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5BC2" w:rsidRDefault="003F43E6" w:rsidP="003F43E6">
      <w:pPr>
        <w:pStyle w:val="Header"/>
        <w:jc w:val="center"/>
        <w:rPr>
          <w:b/>
          <w:sz w:val="32"/>
        </w:rPr>
      </w:pPr>
      <w:r w:rsidRPr="00935BC2">
        <w:rPr>
          <w:b/>
          <w:sz w:val="32"/>
        </w:rPr>
        <w:t>Supreme Court of Canada / Cour suprême du Canada</w:t>
      </w:r>
    </w:p>
    <w:p w:rsidR="003F43E6" w:rsidRPr="00935BC2" w:rsidRDefault="003F43E6" w:rsidP="006F2579">
      <w:pPr>
        <w:widowControl w:val="0"/>
        <w:rPr>
          <w:i/>
        </w:rPr>
      </w:pPr>
    </w:p>
    <w:p w:rsidR="003F43E6" w:rsidRPr="00935BC2" w:rsidRDefault="003F43E6" w:rsidP="006F2579">
      <w:pPr>
        <w:widowControl w:val="0"/>
        <w:rPr>
          <w:i/>
        </w:rPr>
      </w:pPr>
    </w:p>
    <w:p w:rsidR="006F2579" w:rsidRPr="00935BC2" w:rsidRDefault="006F2579" w:rsidP="006F2579">
      <w:pPr>
        <w:widowControl w:val="0"/>
        <w:rPr>
          <w:i/>
          <w:lang w:val="fr-CA"/>
        </w:rPr>
      </w:pPr>
      <w:r w:rsidRPr="00935BC2">
        <w:rPr>
          <w:i/>
          <w:lang w:val="fr-CA"/>
        </w:rPr>
        <w:t>(le français suit)</w:t>
      </w:r>
    </w:p>
    <w:p w:rsidR="006F2579" w:rsidRPr="00935BC2" w:rsidRDefault="006F2579" w:rsidP="006F2579">
      <w:pPr>
        <w:widowControl w:val="0"/>
        <w:rPr>
          <w:lang w:val="fr-CA"/>
        </w:rPr>
      </w:pPr>
    </w:p>
    <w:p w:rsidR="006F2579" w:rsidRPr="00935BC2" w:rsidRDefault="00C007C3" w:rsidP="006F2579">
      <w:pPr>
        <w:widowControl w:val="0"/>
        <w:jc w:val="center"/>
        <w:rPr>
          <w:b/>
          <w:lang w:val="fr-CA"/>
        </w:rPr>
      </w:pPr>
      <w:r w:rsidRPr="00935BC2">
        <w:fldChar w:fldCharType="begin"/>
      </w:r>
      <w:r w:rsidR="006F2579" w:rsidRPr="00935BC2">
        <w:rPr>
          <w:lang w:val="fr-CA"/>
        </w:rPr>
        <w:instrText xml:space="preserve"> SEQ CHAPTER \h \r 1</w:instrText>
      </w:r>
      <w:r w:rsidRPr="00935BC2">
        <w:fldChar w:fldCharType="end"/>
      </w:r>
      <w:r w:rsidR="002767DF" w:rsidRPr="00935BC2">
        <w:rPr>
          <w:b/>
          <w:lang w:val="fr-CA"/>
        </w:rPr>
        <w:t xml:space="preserve">JUDGMENTS </w:t>
      </w:r>
      <w:r w:rsidR="004C4C26" w:rsidRPr="00935BC2">
        <w:rPr>
          <w:b/>
          <w:lang w:val="fr-CA"/>
        </w:rPr>
        <w:t>IN LEAVE APPLICATION</w:t>
      </w:r>
      <w:r w:rsidR="00005B6D" w:rsidRPr="00935BC2">
        <w:rPr>
          <w:b/>
          <w:lang w:val="fr-CA"/>
        </w:rPr>
        <w:t>S</w:t>
      </w:r>
    </w:p>
    <w:p w:rsidR="006F2579" w:rsidRPr="00935BC2" w:rsidRDefault="006F2579" w:rsidP="006F2579">
      <w:pPr>
        <w:widowControl w:val="0"/>
        <w:rPr>
          <w:b/>
          <w:lang w:val="fr-CA"/>
        </w:rPr>
      </w:pPr>
      <w:bookmarkStart w:id="0" w:name="_GoBack"/>
      <w:bookmarkEnd w:id="0"/>
    </w:p>
    <w:p w:rsidR="006F2579" w:rsidRPr="00935BC2" w:rsidRDefault="00FC370C" w:rsidP="006F2579">
      <w:pPr>
        <w:widowControl w:val="0"/>
        <w:rPr>
          <w:b/>
        </w:rPr>
      </w:pPr>
      <w:r>
        <w:rPr>
          <w:b/>
        </w:rPr>
        <w:t>September</w:t>
      </w:r>
      <w:r w:rsidR="00C9475D" w:rsidRPr="00935BC2">
        <w:rPr>
          <w:b/>
        </w:rPr>
        <w:t xml:space="preserve"> </w:t>
      </w:r>
      <w:r w:rsidR="001B1618">
        <w:rPr>
          <w:b/>
        </w:rPr>
        <w:t>20</w:t>
      </w:r>
      <w:r w:rsidR="00170148" w:rsidRPr="00935BC2">
        <w:rPr>
          <w:b/>
        </w:rPr>
        <w:t>,</w:t>
      </w:r>
      <w:r w:rsidR="008825DB" w:rsidRPr="00935BC2">
        <w:rPr>
          <w:b/>
        </w:rPr>
        <w:t xml:space="preserve"> 201</w:t>
      </w:r>
      <w:r w:rsidR="00C565E8" w:rsidRPr="00935BC2">
        <w:rPr>
          <w:b/>
        </w:rPr>
        <w:t>8</w:t>
      </w:r>
    </w:p>
    <w:p w:rsidR="006F2579" w:rsidRPr="00935BC2" w:rsidRDefault="006F2579" w:rsidP="006F2579">
      <w:pPr>
        <w:widowControl w:val="0"/>
        <w:rPr>
          <w:b/>
        </w:rPr>
      </w:pPr>
      <w:r w:rsidRPr="00935BC2">
        <w:rPr>
          <w:b/>
        </w:rPr>
        <w:t>For immediate release</w:t>
      </w:r>
    </w:p>
    <w:p w:rsidR="006F2579" w:rsidRPr="00935BC2" w:rsidRDefault="006F2579" w:rsidP="006F2579">
      <w:pPr>
        <w:widowControl w:val="0"/>
      </w:pPr>
    </w:p>
    <w:p w:rsidR="002767DF" w:rsidRPr="00935BC2" w:rsidRDefault="002767DF" w:rsidP="002767DF">
      <w:pPr>
        <w:widowControl w:val="0"/>
      </w:pPr>
      <w:r w:rsidRPr="00935BC2">
        <w:rPr>
          <w:b/>
        </w:rPr>
        <w:t>OTTAWA</w:t>
      </w:r>
      <w:r w:rsidRPr="00935BC2">
        <w:t xml:space="preserve"> – The Suprem</w:t>
      </w:r>
      <w:r w:rsidR="00580213" w:rsidRPr="00935BC2">
        <w:t>e</w:t>
      </w:r>
      <w:r w:rsidRPr="00935BC2">
        <w:t xml:space="preserve"> Court of Canada has today deposited with the Registrar judgment</w:t>
      </w:r>
      <w:r w:rsidR="004D3B41" w:rsidRPr="00935BC2">
        <w:t>s</w:t>
      </w:r>
      <w:r w:rsidRPr="00935BC2">
        <w:t xml:space="preserve"> in the following application</w:t>
      </w:r>
      <w:r w:rsidR="00CC044F" w:rsidRPr="00935BC2">
        <w:t>s</w:t>
      </w:r>
      <w:r w:rsidRPr="00935BC2">
        <w:t xml:space="preserve"> for leave to appeal.</w:t>
      </w:r>
    </w:p>
    <w:p w:rsidR="006F2579" w:rsidRPr="00935BC2" w:rsidRDefault="006F2579" w:rsidP="006F2579">
      <w:pPr>
        <w:widowControl w:val="0"/>
      </w:pPr>
    </w:p>
    <w:p w:rsidR="006F2579" w:rsidRPr="00935BC2" w:rsidRDefault="006F2579" w:rsidP="006F2579">
      <w:pPr>
        <w:widowControl w:val="0"/>
      </w:pPr>
    </w:p>
    <w:p w:rsidR="002767DF" w:rsidRPr="00935BC2" w:rsidRDefault="002767DF" w:rsidP="002767DF">
      <w:pPr>
        <w:widowControl w:val="0"/>
        <w:jc w:val="center"/>
        <w:rPr>
          <w:lang w:val="fr-CA"/>
        </w:rPr>
      </w:pPr>
      <w:r w:rsidRPr="00935BC2">
        <w:rPr>
          <w:b/>
          <w:lang w:val="fr-CA"/>
        </w:rPr>
        <w:t>JUGEMENT</w:t>
      </w:r>
      <w:r w:rsidR="004C4C26" w:rsidRPr="00935BC2">
        <w:rPr>
          <w:b/>
          <w:lang w:val="fr-CA"/>
        </w:rPr>
        <w:t>S SUR DEMANDE</w:t>
      </w:r>
      <w:r w:rsidR="00CC044F" w:rsidRPr="00935BC2">
        <w:rPr>
          <w:b/>
          <w:lang w:val="fr-CA"/>
        </w:rPr>
        <w:t>S</w:t>
      </w:r>
      <w:r w:rsidRPr="00935BC2">
        <w:rPr>
          <w:b/>
          <w:lang w:val="fr-CA"/>
        </w:rPr>
        <w:t xml:space="preserve"> D’AUTORISATION</w:t>
      </w:r>
    </w:p>
    <w:p w:rsidR="006F2579" w:rsidRPr="00935BC2" w:rsidRDefault="006F2579" w:rsidP="006F2579">
      <w:pPr>
        <w:widowControl w:val="0"/>
        <w:rPr>
          <w:lang w:val="fr-CA"/>
        </w:rPr>
      </w:pPr>
    </w:p>
    <w:p w:rsidR="006F2579" w:rsidRPr="00935BC2" w:rsidRDefault="006F2579" w:rsidP="006F2579">
      <w:pPr>
        <w:widowControl w:val="0"/>
        <w:rPr>
          <w:b/>
          <w:lang w:val="fr-CA"/>
        </w:rPr>
      </w:pPr>
      <w:r w:rsidRPr="00935BC2">
        <w:rPr>
          <w:b/>
          <w:lang w:val="fr-CA"/>
        </w:rPr>
        <w:t>Le</w:t>
      </w:r>
      <w:r w:rsidR="008825DB" w:rsidRPr="00935BC2">
        <w:rPr>
          <w:b/>
          <w:lang w:val="fr-CA"/>
        </w:rPr>
        <w:t xml:space="preserve"> </w:t>
      </w:r>
      <w:r w:rsidR="001B1618">
        <w:rPr>
          <w:b/>
          <w:lang w:val="fr-CA"/>
        </w:rPr>
        <w:t>20</w:t>
      </w:r>
      <w:r w:rsidR="00C9475D" w:rsidRPr="00935BC2">
        <w:rPr>
          <w:b/>
          <w:lang w:val="fr-CA"/>
        </w:rPr>
        <w:t xml:space="preserve"> </w:t>
      </w:r>
      <w:r w:rsidR="00FC370C">
        <w:rPr>
          <w:b/>
          <w:lang w:val="fr-CA"/>
        </w:rPr>
        <w:t>septembre</w:t>
      </w:r>
      <w:r w:rsidR="004E4B02" w:rsidRPr="00935BC2">
        <w:rPr>
          <w:b/>
          <w:lang w:val="fr-CA"/>
        </w:rPr>
        <w:t xml:space="preserve"> </w:t>
      </w:r>
      <w:r w:rsidR="008825DB" w:rsidRPr="00935BC2">
        <w:rPr>
          <w:b/>
          <w:lang w:val="fr-CA"/>
        </w:rPr>
        <w:t>201</w:t>
      </w:r>
      <w:r w:rsidR="00C565E8" w:rsidRPr="00935BC2">
        <w:rPr>
          <w:b/>
          <w:lang w:val="fr-CA"/>
        </w:rPr>
        <w:t>8</w:t>
      </w:r>
    </w:p>
    <w:p w:rsidR="006F2579" w:rsidRPr="00935BC2" w:rsidRDefault="006F2579" w:rsidP="006F2579">
      <w:pPr>
        <w:widowControl w:val="0"/>
        <w:rPr>
          <w:b/>
          <w:lang w:val="fr-CA"/>
        </w:rPr>
      </w:pPr>
      <w:r w:rsidRPr="00935BC2">
        <w:rPr>
          <w:b/>
          <w:lang w:val="fr-CA"/>
        </w:rPr>
        <w:t>Pour diffusion immédiate</w:t>
      </w:r>
    </w:p>
    <w:p w:rsidR="006F2579" w:rsidRPr="00935BC2" w:rsidRDefault="006F2579" w:rsidP="006F2579">
      <w:pPr>
        <w:widowControl w:val="0"/>
        <w:rPr>
          <w:b/>
          <w:lang w:val="fr-CA"/>
        </w:rPr>
      </w:pPr>
    </w:p>
    <w:p w:rsidR="002767DF" w:rsidRPr="00935BC2" w:rsidRDefault="002767DF" w:rsidP="002767DF">
      <w:pPr>
        <w:widowControl w:val="0"/>
        <w:rPr>
          <w:lang w:val="fr-CA"/>
        </w:rPr>
      </w:pPr>
      <w:r w:rsidRPr="00935BC2">
        <w:rPr>
          <w:b/>
          <w:lang w:val="fr-CA"/>
        </w:rPr>
        <w:t>OTTAWA</w:t>
      </w:r>
      <w:r w:rsidRPr="00935BC2">
        <w:rPr>
          <w:lang w:val="fr-CA"/>
        </w:rPr>
        <w:t xml:space="preserve"> – La Cour suprême du Canada a déposé aujourd’hui auprès du registraire les jugements dans </w:t>
      </w:r>
      <w:r w:rsidR="00CC044F" w:rsidRPr="00935BC2">
        <w:rPr>
          <w:lang w:val="fr-CA"/>
        </w:rPr>
        <w:t>les</w:t>
      </w:r>
      <w:r w:rsidR="008C7CD9" w:rsidRPr="00935BC2">
        <w:rPr>
          <w:lang w:val="fr-CA"/>
        </w:rPr>
        <w:t xml:space="preserve"> </w:t>
      </w:r>
      <w:r w:rsidR="004C4C26" w:rsidRPr="00935BC2">
        <w:rPr>
          <w:lang w:val="fr-CA"/>
        </w:rPr>
        <w:t>demande</w:t>
      </w:r>
      <w:r w:rsidR="0088435A" w:rsidRPr="00935BC2">
        <w:rPr>
          <w:lang w:val="fr-CA"/>
        </w:rPr>
        <w:t>s</w:t>
      </w:r>
      <w:r w:rsidRPr="00935BC2">
        <w:rPr>
          <w:lang w:val="fr-CA"/>
        </w:rPr>
        <w:t xml:space="preserve"> d’au</w:t>
      </w:r>
      <w:r w:rsidR="00F24EF2" w:rsidRPr="00935BC2">
        <w:rPr>
          <w:lang w:val="fr-CA"/>
        </w:rPr>
        <w:t>torisation d’appel qui suivent.</w:t>
      </w:r>
    </w:p>
    <w:p w:rsidR="00694BDA" w:rsidRPr="00935BC2" w:rsidRDefault="00694BDA" w:rsidP="000B5274">
      <w:pPr>
        <w:jc w:val="both"/>
        <w:rPr>
          <w:sz w:val="20"/>
          <w:lang w:val="fr-CA"/>
        </w:rPr>
      </w:pPr>
    </w:p>
    <w:p w:rsidR="00FC370C" w:rsidRPr="00FE386C" w:rsidRDefault="00FC370C" w:rsidP="000B5274">
      <w:pPr>
        <w:jc w:val="both"/>
        <w:rPr>
          <w:sz w:val="20"/>
          <w:lang w:val="fr-CA"/>
        </w:rPr>
      </w:pPr>
    </w:p>
    <w:p w:rsidR="00431DE2" w:rsidRPr="00853924" w:rsidRDefault="00431DE2" w:rsidP="00431DE2">
      <w:pPr>
        <w:jc w:val="both"/>
        <w:rPr>
          <w:b/>
          <w:sz w:val="22"/>
          <w:szCs w:val="22"/>
          <w:lang w:val="fr-CA"/>
        </w:rPr>
      </w:pPr>
      <w:r w:rsidRPr="00853924">
        <w:rPr>
          <w:b/>
          <w:sz w:val="22"/>
          <w:szCs w:val="22"/>
          <w:lang w:val="fr-CA"/>
        </w:rPr>
        <w:t xml:space="preserve">DISMISSED / </w:t>
      </w:r>
      <w:r w:rsidRPr="009E7AB1">
        <w:rPr>
          <w:b/>
          <w:sz w:val="22"/>
          <w:szCs w:val="22"/>
          <w:lang w:val="fr-CA"/>
        </w:rPr>
        <w:t>REJETÉE</w:t>
      </w:r>
      <w:r w:rsidR="001B1618" w:rsidRPr="009E7AB1">
        <w:rPr>
          <w:b/>
          <w:sz w:val="22"/>
          <w:szCs w:val="22"/>
          <w:lang w:val="fr-CA"/>
        </w:rPr>
        <w:t>S</w:t>
      </w:r>
    </w:p>
    <w:p w:rsidR="00431DE2" w:rsidRPr="00853924" w:rsidRDefault="00431DE2" w:rsidP="000B5274">
      <w:pPr>
        <w:jc w:val="both"/>
        <w:rPr>
          <w:sz w:val="20"/>
          <w:lang w:val="fr-CA"/>
        </w:rPr>
      </w:pPr>
    </w:p>
    <w:p w:rsidR="00853924" w:rsidRPr="00853924" w:rsidRDefault="00853924" w:rsidP="00853924">
      <w:pPr>
        <w:jc w:val="both"/>
        <w:rPr>
          <w:sz w:val="22"/>
          <w:szCs w:val="22"/>
          <w:lang w:val="fr-CA"/>
        </w:rPr>
      </w:pPr>
      <w:r w:rsidRPr="00853924">
        <w:rPr>
          <w:i/>
          <w:sz w:val="22"/>
          <w:szCs w:val="22"/>
          <w:lang w:val="fr-FR"/>
        </w:rPr>
        <w:t>Michel Guay c. Ville de Brownsburg-Chatham et autre</w:t>
      </w:r>
      <w:r w:rsidRPr="00853924">
        <w:rPr>
          <w:sz w:val="22"/>
          <w:szCs w:val="22"/>
          <w:lang w:val="fr-FR"/>
        </w:rPr>
        <w:t xml:space="preserve"> </w:t>
      </w:r>
      <w:r w:rsidRPr="00853924">
        <w:rPr>
          <w:sz w:val="22"/>
          <w:szCs w:val="22"/>
          <w:lang w:val="fr-CA"/>
        </w:rPr>
        <w:t>(Qc.) (Civile) (Autorisation) (</w:t>
      </w:r>
      <w:hyperlink r:id="rId7" w:history="1">
        <w:r w:rsidRPr="00853924">
          <w:rPr>
            <w:rStyle w:val="Hyperlink"/>
            <w:sz w:val="22"/>
            <w:szCs w:val="22"/>
            <w:lang w:val="fr-CA"/>
          </w:rPr>
          <w:t>37906</w:t>
        </w:r>
      </w:hyperlink>
      <w:r w:rsidRPr="00853924">
        <w:rPr>
          <w:sz w:val="22"/>
          <w:szCs w:val="22"/>
          <w:lang w:val="fr-CA"/>
        </w:rPr>
        <w:t>)</w:t>
      </w:r>
    </w:p>
    <w:p w:rsidR="00F81139" w:rsidRPr="00853924" w:rsidRDefault="00853924" w:rsidP="00D06AA3">
      <w:pPr>
        <w:jc w:val="both"/>
        <w:rPr>
          <w:sz w:val="20"/>
          <w:lang w:val="fr-CA"/>
        </w:rPr>
      </w:pPr>
      <w:r w:rsidRPr="00853924">
        <w:rPr>
          <w:sz w:val="20"/>
          <w:lang w:val="fr-CA"/>
        </w:rPr>
        <w:t>(</w:t>
      </w:r>
      <w:r w:rsidRPr="00853924">
        <w:rPr>
          <w:sz w:val="20"/>
          <w:lang w:val="fr-CA"/>
        </w:rPr>
        <w:t>La requête en prorogation du délai de signification et de dépôt de la demande d’autorisation d’appel est accueillie. La demande d’autorisation d’appel est rejetée avec dépens.</w:t>
      </w:r>
      <w:r w:rsidRPr="00853924">
        <w:rPr>
          <w:sz w:val="20"/>
          <w:lang w:val="fr-CA"/>
        </w:rPr>
        <w:t xml:space="preserve"> / </w:t>
      </w:r>
    </w:p>
    <w:p w:rsidR="00853924" w:rsidRPr="00853924" w:rsidRDefault="00853924" w:rsidP="00D06AA3">
      <w:pPr>
        <w:jc w:val="both"/>
        <w:rPr>
          <w:sz w:val="20"/>
        </w:rPr>
      </w:pPr>
      <w:r w:rsidRPr="00853924">
        <w:rPr>
          <w:sz w:val="20"/>
          <w:lang w:val="en-CA"/>
        </w:rPr>
        <w:t>The motion for an extension of time to serve and file the application for leave to appeal is granted. The application for leave to appeal is dismissed with costs.</w:t>
      </w:r>
      <w:r w:rsidRPr="00853924">
        <w:rPr>
          <w:sz w:val="20"/>
          <w:lang w:val="en-CA"/>
        </w:rPr>
        <w:t>)</w:t>
      </w:r>
    </w:p>
    <w:p w:rsidR="00853924" w:rsidRPr="00853924" w:rsidRDefault="00853924" w:rsidP="00D06AA3">
      <w:pPr>
        <w:jc w:val="both"/>
        <w:rPr>
          <w:sz w:val="20"/>
        </w:rPr>
      </w:pPr>
    </w:p>
    <w:p w:rsidR="00807BAD" w:rsidRPr="00853924" w:rsidRDefault="00807BAD" w:rsidP="00807BAD">
      <w:pPr>
        <w:jc w:val="both"/>
        <w:rPr>
          <w:sz w:val="22"/>
          <w:szCs w:val="22"/>
          <w:lang w:val="fr-CA"/>
        </w:rPr>
      </w:pPr>
      <w:r w:rsidRPr="00853924">
        <w:rPr>
          <w:sz w:val="22"/>
          <w:szCs w:val="22"/>
          <w:lang w:val="fr-CA"/>
        </w:rPr>
        <w:t>****</w:t>
      </w:r>
    </w:p>
    <w:p w:rsidR="001B1618" w:rsidRDefault="001B1618" w:rsidP="001B1618">
      <w:pPr>
        <w:jc w:val="both"/>
        <w:rPr>
          <w:sz w:val="20"/>
          <w:lang w:val="fr-CA"/>
        </w:rPr>
      </w:pPr>
    </w:p>
    <w:p w:rsidR="009E7AB1" w:rsidRPr="009E7AB1" w:rsidRDefault="009E7AB1" w:rsidP="009E7AB1">
      <w:pPr>
        <w:jc w:val="both"/>
        <w:rPr>
          <w:sz w:val="22"/>
          <w:szCs w:val="22"/>
        </w:rPr>
      </w:pPr>
      <w:r w:rsidRPr="009E7AB1">
        <w:rPr>
          <w:i/>
          <w:sz w:val="22"/>
          <w:szCs w:val="22"/>
        </w:rPr>
        <w:t xml:space="preserve">Hanna Engel, in her quality of liquidator of the succession on Fanny Kogan v. Curateur public du Québec et al. </w:t>
      </w:r>
      <w:r w:rsidRPr="009E7AB1">
        <w:rPr>
          <w:sz w:val="22"/>
          <w:szCs w:val="22"/>
        </w:rPr>
        <w:t>(Que.) (Civil) (By Leave) (</w:t>
      </w:r>
      <w:hyperlink r:id="rId8" w:history="1">
        <w:r w:rsidRPr="009E7AB1">
          <w:rPr>
            <w:rStyle w:val="Hyperlink"/>
            <w:sz w:val="22"/>
            <w:szCs w:val="22"/>
          </w:rPr>
          <w:t>37916</w:t>
        </w:r>
      </w:hyperlink>
      <w:r w:rsidRPr="009E7AB1">
        <w:rPr>
          <w:sz w:val="22"/>
          <w:szCs w:val="22"/>
        </w:rPr>
        <w:t>)</w:t>
      </w:r>
    </w:p>
    <w:p w:rsidR="001B1618" w:rsidRPr="009E7AB1" w:rsidRDefault="009E7AB1" w:rsidP="001B1618">
      <w:pPr>
        <w:jc w:val="both"/>
        <w:rPr>
          <w:sz w:val="20"/>
        </w:rPr>
      </w:pPr>
      <w:r w:rsidRPr="009E7AB1">
        <w:rPr>
          <w:sz w:val="20"/>
        </w:rPr>
        <w:t>(</w:t>
      </w:r>
      <w:r w:rsidRPr="009E7AB1">
        <w:rPr>
          <w:sz w:val="20"/>
        </w:rPr>
        <w:t>The motion for an extension of time to serve and file the application for leave to appeal is granted. The motion for an extension of time to serve and file the reply is granted. The application for leave to appeal is dismissed with costs to the respondents, Groupe Boudreau Richard Inc. and Curateur public du Québec.</w:t>
      </w:r>
      <w:r w:rsidRPr="009E7AB1">
        <w:rPr>
          <w:sz w:val="20"/>
        </w:rPr>
        <w:t xml:space="preserve"> / </w:t>
      </w:r>
    </w:p>
    <w:p w:rsidR="001B1618" w:rsidRPr="009E7AB1" w:rsidRDefault="009E7AB1" w:rsidP="001B1618">
      <w:pPr>
        <w:jc w:val="both"/>
        <w:rPr>
          <w:sz w:val="20"/>
          <w:lang w:val="fr-CA"/>
        </w:rPr>
      </w:pPr>
      <w:r w:rsidRPr="009E7AB1">
        <w:rPr>
          <w:sz w:val="20"/>
          <w:lang w:val="fr-CA"/>
        </w:rPr>
        <w:t>La requête en prorogation du délai de signification et de dépôt de la demande d’autorisation d’appel est accueillie. La requête en prorogation du délai de signification et de dépôt de la réplique est accueillie. La demande d’autorisation d’appel est rejetée avec dépens en faveur des intim</w:t>
      </w:r>
      <w:r w:rsidRPr="009E7AB1">
        <w:rPr>
          <w:rFonts w:asciiTheme="minorBidi" w:hAnsiTheme="minorBidi"/>
          <w:sz w:val="20"/>
          <w:lang w:val="fr-CA"/>
        </w:rPr>
        <w:t xml:space="preserve">és, </w:t>
      </w:r>
      <w:r w:rsidRPr="009E7AB1">
        <w:rPr>
          <w:sz w:val="20"/>
          <w:lang w:val="fr-FR"/>
        </w:rPr>
        <w:t>Groupe Boudreau Richard Inc. et Curateur public du Québec.</w:t>
      </w:r>
      <w:r w:rsidRPr="009E7AB1">
        <w:rPr>
          <w:sz w:val="20"/>
          <w:lang w:val="fr-FR"/>
        </w:rPr>
        <w:t>)</w:t>
      </w:r>
    </w:p>
    <w:p w:rsidR="001B1618" w:rsidRPr="009E7AB1" w:rsidRDefault="001B1618" w:rsidP="001B1618">
      <w:pPr>
        <w:jc w:val="both"/>
        <w:rPr>
          <w:sz w:val="20"/>
          <w:lang w:val="fr-CA"/>
        </w:rPr>
      </w:pPr>
    </w:p>
    <w:p w:rsidR="001B1618" w:rsidRPr="00FE386C" w:rsidRDefault="001B1618" w:rsidP="001B1618">
      <w:pPr>
        <w:jc w:val="both"/>
        <w:rPr>
          <w:sz w:val="22"/>
          <w:szCs w:val="22"/>
          <w:lang w:val="fr-CA"/>
        </w:rPr>
      </w:pPr>
      <w:r w:rsidRPr="00FE386C">
        <w:rPr>
          <w:sz w:val="22"/>
          <w:szCs w:val="22"/>
          <w:lang w:val="fr-CA"/>
        </w:rPr>
        <w:t>****</w:t>
      </w:r>
    </w:p>
    <w:p w:rsidR="001B1618" w:rsidRDefault="001B1618" w:rsidP="001B1618">
      <w:pPr>
        <w:jc w:val="both"/>
        <w:rPr>
          <w:sz w:val="20"/>
          <w:lang w:val="fr-CA"/>
        </w:rPr>
      </w:pPr>
    </w:p>
    <w:p w:rsidR="00B04F44" w:rsidRPr="00B04F44" w:rsidRDefault="00B04F44" w:rsidP="00B04F44">
      <w:pPr>
        <w:jc w:val="both"/>
        <w:rPr>
          <w:sz w:val="22"/>
          <w:szCs w:val="22"/>
        </w:rPr>
      </w:pPr>
      <w:r w:rsidRPr="00B04F44">
        <w:rPr>
          <w:i/>
          <w:sz w:val="22"/>
          <w:szCs w:val="22"/>
        </w:rPr>
        <w:t>Dan Bailey v. Milo-Food &amp; Agricultural Infrastructure &amp; Services Inc., o/a Milo-FAIS, and Geetu Pathak</w:t>
      </w:r>
      <w:r w:rsidRPr="00B04F44">
        <w:rPr>
          <w:sz w:val="22"/>
          <w:szCs w:val="22"/>
        </w:rPr>
        <w:t xml:space="preserve"> (Ont.) (Civil) (By Leave) (</w:t>
      </w:r>
      <w:hyperlink r:id="rId9" w:history="1">
        <w:r w:rsidRPr="00B04F44">
          <w:rPr>
            <w:rStyle w:val="Hyperlink"/>
            <w:sz w:val="22"/>
            <w:szCs w:val="22"/>
          </w:rPr>
          <w:t>37958</w:t>
        </w:r>
      </w:hyperlink>
      <w:r w:rsidRPr="00B04F44">
        <w:rPr>
          <w:sz w:val="22"/>
          <w:szCs w:val="22"/>
        </w:rPr>
        <w:t>)</w:t>
      </w:r>
    </w:p>
    <w:p w:rsidR="001B1618" w:rsidRPr="00B04F44" w:rsidRDefault="00B04F44" w:rsidP="001B1618">
      <w:pPr>
        <w:jc w:val="both"/>
        <w:rPr>
          <w:sz w:val="20"/>
          <w:lang w:val="fr-CA"/>
        </w:rPr>
      </w:pPr>
      <w:r w:rsidRPr="00B04F44">
        <w:rPr>
          <w:sz w:val="20"/>
        </w:rPr>
        <w:t>(</w:t>
      </w:r>
      <w:r w:rsidRPr="00B04F44">
        <w:rPr>
          <w:sz w:val="20"/>
        </w:rPr>
        <w:t>The application for leave to appeal is dismissed with costs.</w:t>
      </w:r>
      <w:r w:rsidRPr="00B04F44">
        <w:rPr>
          <w:sz w:val="20"/>
        </w:rPr>
        <w:t xml:space="preserve"> / </w:t>
      </w:r>
      <w:r w:rsidRPr="00B04F44">
        <w:rPr>
          <w:sz w:val="20"/>
          <w:lang w:val="fr-CA"/>
        </w:rPr>
        <w:t xml:space="preserve">La demande d’autorisation d’appel </w:t>
      </w:r>
      <w:proofErr w:type="gramStart"/>
      <w:r w:rsidRPr="00B04F44">
        <w:rPr>
          <w:sz w:val="20"/>
          <w:lang w:val="fr-CA"/>
        </w:rPr>
        <w:t>est</w:t>
      </w:r>
      <w:proofErr w:type="gramEnd"/>
      <w:r w:rsidRPr="00B04F44">
        <w:rPr>
          <w:sz w:val="20"/>
          <w:lang w:val="fr-CA"/>
        </w:rPr>
        <w:t xml:space="preserve"> rejetée avec dépens.</w:t>
      </w:r>
      <w:r w:rsidRPr="00B04F44">
        <w:rPr>
          <w:sz w:val="20"/>
          <w:lang w:val="fr-CA"/>
        </w:rPr>
        <w:t>)</w:t>
      </w:r>
    </w:p>
    <w:p w:rsidR="001B1618" w:rsidRPr="00B04F44" w:rsidRDefault="001B1618" w:rsidP="001B1618">
      <w:pPr>
        <w:jc w:val="both"/>
        <w:rPr>
          <w:sz w:val="20"/>
          <w:lang w:val="fr-CA"/>
        </w:rPr>
      </w:pPr>
    </w:p>
    <w:p w:rsidR="001B1618" w:rsidRPr="00B04F44" w:rsidRDefault="001B1618" w:rsidP="001B1618">
      <w:pPr>
        <w:jc w:val="both"/>
        <w:rPr>
          <w:sz w:val="22"/>
          <w:szCs w:val="22"/>
        </w:rPr>
      </w:pPr>
      <w:r w:rsidRPr="00B04F44">
        <w:rPr>
          <w:sz w:val="22"/>
          <w:szCs w:val="22"/>
        </w:rPr>
        <w:t>****</w:t>
      </w:r>
    </w:p>
    <w:p w:rsidR="001B1618" w:rsidRPr="00B04F44" w:rsidRDefault="001B1618" w:rsidP="001B1618">
      <w:pPr>
        <w:jc w:val="both"/>
        <w:rPr>
          <w:sz w:val="20"/>
        </w:rPr>
      </w:pPr>
    </w:p>
    <w:p w:rsidR="00551754" w:rsidRPr="00551754" w:rsidRDefault="00551754" w:rsidP="00551754">
      <w:pPr>
        <w:jc w:val="both"/>
        <w:rPr>
          <w:sz w:val="22"/>
          <w:szCs w:val="22"/>
          <w:lang w:val="fr-CA"/>
        </w:rPr>
      </w:pPr>
      <w:r w:rsidRPr="00551754">
        <w:rPr>
          <w:i/>
          <w:sz w:val="22"/>
          <w:szCs w:val="22"/>
          <w:lang w:val="fr-CA"/>
        </w:rPr>
        <w:t>Produits de l’érable Philippe Jacques inc. et autre c. Fédération des producteurs acéricoles du Québec</w:t>
      </w:r>
      <w:r w:rsidRPr="00551754">
        <w:rPr>
          <w:sz w:val="22"/>
          <w:szCs w:val="22"/>
          <w:lang w:val="fr-CA"/>
        </w:rPr>
        <w:t xml:space="preserve"> (Qc) (Civile) (Autorisation) (</w:t>
      </w:r>
      <w:hyperlink r:id="rId10" w:history="1">
        <w:r w:rsidRPr="00551754">
          <w:rPr>
            <w:rStyle w:val="Hyperlink"/>
            <w:sz w:val="22"/>
            <w:szCs w:val="22"/>
            <w:lang w:val="fr-CA"/>
          </w:rPr>
          <w:t>37924</w:t>
        </w:r>
      </w:hyperlink>
      <w:r w:rsidRPr="00551754">
        <w:rPr>
          <w:sz w:val="22"/>
          <w:szCs w:val="22"/>
          <w:lang w:val="fr-CA"/>
        </w:rPr>
        <w:t>)</w:t>
      </w:r>
    </w:p>
    <w:p w:rsidR="00551754" w:rsidRPr="00551754" w:rsidRDefault="00551754" w:rsidP="00551754">
      <w:pPr>
        <w:jc w:val="both"/>
        <w:rPr>
          <w:sz w:val="20"/>
          <w:lang w:val="en-CA"/>
        </w:rPr>
      </w:pPr>
      <w:r w:rsidRPr="00976A6E">
        <w:rPr>
          <w:sz w:val="20"/>
        </w:rPr>
        <w:t>(</w:t>
      </w:r>
      <w:r w:rsidRPr="00976A6E">
        <w:rPr>
          <w:sz w:val="20"/>
        </w:rPr>
        <w:t xml:space="preserve">La demande d’autorisation d’appel </w:t>
      </w:r>
      <w:proofErr w:type="gramStart"/>
      <w:r w:rsidRPr="00976A6E">
        <w:rPr>
          <w:sz w:val="20"/>
        </w:rPr>
        <w:t>est</w:t>
      </w:r>
      <w:proofErr w:type="gramEnd"/>
      <w:r w:rsidRPr="00976A6E">
        <w:rPr>
          <w:sz w:val="20"/>
        </w:rPr>
        <w:t xml:space="preserve"> rejetée avec dépens.</w:t>
      </w:r>
      <w:r w:rsidRPr="00976A6E">
        <w:rPr>
          <w:sz w:val="20"/>
        </w:rPr>
        <w:t xml:space="preserve"> / </w:t>
      </w:r>
      <w:proofErr w:type="gramStart"/>
      <w:r w:rsidRPr="00551754">
        <w:rPr>
          <w:sz w:val="20"/>
          <w:lang w:val="en-CA"/>
        </w:rPr>
        <w:t>The</w:t>
      </w:r>
      <w:proofErr w:type="gramEnd"/>
      <w:r w:rsidRPr="00551754">
        <w:rPr>
          <w:sz w:val="20"/>
          <w:lang w:val="en-CA"/>
        </w:rPr>
        <w:t xml:space="preserve"> application for leave to appeal is dismissed with costs.</w:t>
      </w:r>
      <w:r w:rsidRPr="00551754">
        <w:rPr>
          <w:sz w:val="20"/>
          <w:lang w:val="en-CA"/>
        </w:rPr>
        <w:t>)</w:t>
      </w:r>
    </w:p>
    <w:p w:rsidR="001B1618" w:rsidRPr="00551754" w:rsidRDefault="001B1618" w:rsidP="001B1618">
      <w:pPr>
        <w:jc w:val="both"/>
        <w:rPr>
          <w:sz w:val="20"/>
        </w:rPr>
      </w:pPr>
    </w:p>
    <w:p w:rsidR="001B1618" w:rsidRPr="00976A6E" w:rsidRDefault="001B1618" w:rsidP="001B1618">
      <w:pPr>
        <w:jc w:val="both"/>
        <w:rPr>
          <w:sz w:val="22"/>
          <w:szCs w:val="22"/>
        </w:rPr>
      </w:pPr>
      <w:r w:rsidRPr="00976A6E">
        <w:rPr>
          <w:sz w:val="22"/>
          <w:szCs w:val="22"/>
        </w:rPr>
        <w:t>****</w:t>
      </w:r>
    </w:p>
    <w:p w:rsidR="001B1618" w:rsidRPr="00976A6E" w:rsidRDefault="001B1618" w:rsidP="001B1618">
      <w:pPr>
        <w:jc w:val="both"/>
        <w:rPr>
          <w:sz w:val="20"/>
        </w:rPr>
      </w:pPr>
    </w:p>
    <w:p w:rsidR="00976A6E" w:rsidRPr="00976A6E" w:rsidRDefault="00976A6E" w:rsidP="00976A6E">
      <w:pPr>
        <w:pStyle w:val="SCCAppellantInfoAppellantInfo"/>
        <w:jc w:val="both"/>
        <w:rPr>
          <w:sz w:val="22"/>
          <w:szCs w:val="22"/>
        </w:rPr>
      </w:pPr>
      <w:r w:rsidRPr="00976A6E">
        <w:rPr>
          <w:i/>
          <w:sz w:val="22"/>
          <w:szCs w:val="22"/>
        </w:rPr>
        <w:t>Woodstock Police Services Board et al. v. Robert Winmill</w:t>
      </w:r>
      <w:r w:rsidRPr="00976A6E">
        <w:rPr>
          <w:sz w:val="22"/>
          <w:szCs w:val="22"/>
        </w:rPr>
        <w:t xml:space="preserve"> (Ont.) (Civil) (By Leave) (</w:t>
      </w:r>
      <w:hyperlink r:id="rId11" w:history="1">
        <w:r w:rsidRPr="00976A6E">
          <w:rPr>
            <w:rStyle w:val="Hyperlink"/>
            <w:sz w:val="22"/>
            <w:szCs w:val="22"/>
          </w:rPr>
          <w:t>37933</w:t>
        </w:r>
      </w:hyperlink>
      <w:r w:rsidRPr="00976A6E">
        <w:rPr>
          <w:sz w:val="22"/>
          <w:szCs w:val="22"/>
        </w:rPr>
        <w:t>)</w:t>
      </w:r>
    </w:p>
    <w:p w:rsidR="001B1618" w:rsidRPr="00976A6E" w:rsidRDefault="00976A6E" w:rsidP="001B1618">
      <w:pPr>
        <w:jc w:val="both"/>
        <w:rPr>
          <w:sz w:val="20"/>
          <w:lang w:val="fr-CA"/>
        </w:rPr>
      </w:pPr>
      <w:r w:rsidRPr="00976A6E">
        <w:rPr>
          <w:sz w:val="20"/>
        </w:rPr>
        <w:t>(</w:t>
      </w:r>
      <w:r w:rsidRPr="00976A6E">
        <w:rPr>
          <w:sz w:val="20"/>
        </w:rPr>
        <w:t>The application for leave to appeal is dismissed with costs.</w:t>
      </w:r>
      <w:r w:rsidRPr="00976A6E">
        <w:rPr>
          <w:sz w:val="20"/>
        </w:rPr>
        <w:t xml:space="preserve"> / </w:t>
      </w:r>
      <w:r w:rsidRPr="00976A6E">
        <w:rPr>
          <w:sz w:val="20"/>
          <w:lang w:val="fr-CA"/>
        </w:rPr>
        <w:t xml:space="preserve">La demande d’autorisation d’appel </w:t>
      </w:r>
      <w:proofErr w:type="gramStart"/>
      <w:r w:rsidRPr="00976A6E">
        <w:rPr>
          <w:sz w:val="20"/>
          <w:lang w:val="fr-CA"/>
        </w:rPr>
        <w:t>est</w:t>
      </w:r>
      <w:proofErr w:type="gramEnd"/>
      <w:r w:rsidRPr="00976A6E">
        <w:rPr>
          <w:sz w:val="20"/>
          <w:lang w:val="fr-CA"/>
        </w:rPr>
        <w:t xml:space="preserve"> rejetée avec dépens.</w:t>
      </w:r>
      <w:r w:rsidRPr="00976A6E">
        <w:rPr>
          <w:sz w:val="20"/>
          <w:lang w:val="fr-CA"/>
        </w:rPr>
        <w:t>)</w:t>
      </w:r>
    </w:p>
    <w:p w:rsidR="001B1618" w:rsidRPr="00976A6E" w:rsidRDefault="001B1618" w:rsidP="001B1618">
      <w:pPr>
        <w:jc w:val="both"/>
        <w:rPr>
          <w:sz w:val="20"/>
          <w:lang w:val="fr-CA"/>
        </w:rPr>
      </w:pPr>
    </w:p>
    <w:p w:rsidR="001B1618" w:rsidRPr="00976A6E" w:rsidRDefault="001B1618" w:rsidP="001B1618">
      <w:pPr>
        <w:jc w:val="both"/>
        <w:rPr>
          <w:sz w:val="22"/>
          <w:szCs w:val="22"/>
        </w:rPr>
      </w:pPr>
      <w:r w:rsidRPr="00976A6E">
        <w:rPr>
          <w:sz w:val="22"/>
          <w:szCs w:val="22"/>
        </w:rPr>
        <w:t>****</w:t>
      </w:r>
    </w:p>
    <w:p w:rsidR="001B1618" w:rsidRPr="00976A6E" w:rsidRDefault="001B1618" w:rsidP="001B1618">
      <w:pPr>
        <w:jc w:val="both"/>
        <w:rPr>
          <w:sz w:val="20"/>
        </w:rPr>
      </w:pPr>
    </w:p>
    <w:p w:rsidR="00CE37E6" w:rsidRPr="00CE37E6" w:rsidRDefault="00CE37E6" w:rsidP="00CE37E6">
      <w:pPr>
        <w:pStyle w:val="SCCAppellantInfoAppellantInfo"/>
        <w:jc w:val="both"/>
        <w:rPr>
          <w:sz w:val="22"/>
          <w:szCs w:val="22"/>
        </w:rPr>
      </w:pPr>
      <w:r w:rsidRPr="00CE37E6">
        <w:rPr>
          <w:i/>
          <w:sz w:val="22"/>
          <w:szCs w:val="22"/>
        </w:rPr>
        <w:t>Woodstock Police Services Board et al. v. Everton Brown</w:t>
      </w:r>
      <w:r w:rsidRPr="00CE37E6">
        <w:rPr>
          <w:sz w:val="22"/>
          <w:szCs w:val="22"/>
        </w:rPr>
        <w:t xml:space="preserve"> (Ont.) (Civil) (By Leave) (</w:t>
      </w:r>
      <w:hyperlink r:id="rId12" w:history="1">
        <w:r w:rsidRPr="00CE37E6">
          <w:rPr>
            <w:rStyle w:val="Hyperlink"/>
            <w:sz w:val="22"/>
            <w:szCs w:val="22"/>
          </w:rPr>
          <w:t>38061</w:t>
        </w:r>
      </w:hyperlink>
      <w:r w:rsidRPr="00CE37E6">
        <w:rPr>
          <w:sz w:val="22"/>
          <w:szCs w:val="22"/>
        </w:rPr>
        <w:t>)</w:t>
      </w:r>
    </w:p>
    <w:p w:rsidR="001B1618" w:rsidRPr="00CE37E6" w:rsidRDefault="00CE37E6" w:rsidP="001B1618">
      <w:pPr>
        <w:jc w:val="both"/>
        <w:rPr>
          <w:sz w:val="20"/>
          <w:lang w:val="fr-CA"/>
        </w:rPr>
      </w:pPr>
      <w:r w:rsidRPr="00CE37E6">
        <w:rPr>
          <w:sz w:val="20"/>
        </w:rPr>
        <w:t>(</w:t>
      </w:r>
      <w:r w:rsidRPr="00CE37E6">
        <w:rPr>
          <w:sz w:val="20"/>
        </w:rPr>
        <w:t>The application for leave to appeal is dismissed with costs.</w:t>
      </w:r>
      <w:r w:rsidRPr="00CE37E6">
        <w:rPr>
          <w:sz w:val="20"/>
        </w:rPr>
        <w:t xml:space="preserve"> / </w:t>
      </w:r>
      <w:r w:rsidRPr="00CE37E6">
        <w:rPr>
          <w:sz w:val="20"/>
          <w:lang w:val="fr-CA"/>
        </w:rPr>
        <w:t xml:space="preserve">La demande d’autorisation d’appel </w:t>
      </w:r>
      <w:proofErr w:type="gramStart"/>
      <w:r w:rsidRPr="00CE37E6">
        <w:rPr>
          <w:sz w:val="20"/>
          <w:lang w:val="fr-CA"/>
        </w:rPr>
        <w:t>est</w:t>
      </w:r>
      <w:proofErr w:type="gramEnd"/>
      <w:r w:rsidRPr="00CE37E6">
        <w:rPr>
          <w:sz w:val="20"/>
          <w:lang w:val="fr-CA"/>
        </w:rPr>
        <w:t xml:space="preserve"> rejetée avec dépens.</w:t>
      </w:r>
      <w:r w:rsidRPr="00CE37E6">
        <w:rPr>
          <w:sz w:val="20"/>
          <w:lang w:val="fr-CA"/>
        </w:rPr>
        <w:t>)</w:t>
      </w:r>
    </w:p>
    <w:p w:rsidR="001B1618" w:rsidRPr="00CE37E6" w:rsidRDefault="001B1618" w:rsidP="001B1618">
      <w:pPr>
        <w:jc w:val="both"/>
        <w:rPr>
          <w:sz w:val="20"/>
          <w:lang w:val="fr-CA"/>
        </w:rPr>
      </w:pPr>
    </w:p>
    <w:p w:rsidR="001B1618" w:rsidRPr="00CE37E6" w:rsidRDefault="001B1618" w:rsidP="001B1618">
      <w:pPr>
        <w:jc w:val="both"/>
        <w:rPr>
          <w:sz w:val="22"/>
          <w:szCs w:val="22"/>
        </w:rPr>
      </w:pPr>
      <w:r w:rsidRPr="00CE37E6">
        <w:rPr>
          <w:sz w:val="22"/>
          <w:szCs w:val="22"/>
        </w:rPr>
        <w:t>****</w:t>
      </w:r>
    </w:p>
    <w:p w:rsidR="001B1618" w:rsidRPr="00CE37E6" w:rsidRDefault="001B1618" w:rsidP="001B1618">
      <w:pPr>
        <w:jc w:val="both"/>
        <w:rPr>
          <w:sz w:val="20"/>
        </w:rPr>
      </w:pPr>
    </w:p>
    <w:p w:rsidR="00BC4A0A" w:rsidRPr="00BC4A0A" w:rsidRDefault="00BC4A0A" w:rsidP="00BC4A0A">
      <w:pPr>
        <w:pStyle w:val="SCCAppellantInfoAppellantInfo"/>
        <w:rPr>
          <w:sz w:val="22"/>
          <w:szCs w:val="22"/>
        </w:rPr>
      </w:pPr>
      <w:r w:rsidRPr="00BC4A0A">
        <w:rPr>
          <w:i/>
          <w:sz w:val="22"/>
          <w:szCs w:val="22"/>
        </w:rPr>
        <w:t>Gordon Lipka et al. v. Bradley Gaebel</w:t>
      </w:r>
      <w:r w:rsidRPr="00BC4A0A">
        <w:rPr>
          <w:sz w:val="22"/>
          <w:szCs w:val="22"/>
        </w:rPr>
        <w:t xml:space="preserve"> (B.C.) (Civil) (By Leave) (</w:t>
      </w:r>
      <w:hyperlink r:id="rId13" w:history="1">
        <w:r w:rsidRPr="00BC4A0A">
          <w:rPr>
            <w:rStyle w:val="Hyperlink"/>
            <w:sz w:val="22"/>
            <w:szCs w:val="22"/>
          </w:rPr>
          <w:t>37959</w:t>
        </w:r>
      </w:hyperlink>
      <w:r w:rsidRPr="00BC4A0A">
        <w:rPr>
          <w:sz w:val="22"/>
          <w:szCs w:val="22"/>
        </w:rPr>
        <w:t>)</w:t>
      </w:r>
    </w:p>
    <w:p w:rsidR="001B1618" w:rsidRPr="00BC4A0A" w:rsidRDefault="00BC4A0A" w:rsidP="001B1618">
      <w:pPr>
        <w:jc w:val="both"/>
        <w:rPr>
          <w:sz w:val="20"/>
          <w:lang w:val="fr-CA"/>
        </w:rPr>
      </w:pPr>
      <w:r w:rsidRPr="00BC4A0A">
        <w:rPr>
          <w:sz w:val="20"/>
          <w:lang w:val="en-CA"/>
        </w:rPr>
        <w:t>(</w:t>
      </w:r>
      <w:r w:rsidRPr="00BC4A0A">
        <w:rPr>
          <w:sz w:val="20"/>
        </w:rPr>
        <w:t>The application for leave to appeal is dismissed with costs.</w:t>
      </w:r>
      <w:r w:rsidRPr="00BC4A0A">
        <w:rPr>
          <w:sz w:val="20"/>
        </w:rPr>
        <w:t xml:space="preserve"> / </w:t>
      </w:r>
      <w:r w:rsidRPr="00BC4A0A">
        <w:rPr>
          <w:sz w:val="20"/>
          <w:lang w:val="fr-CA"/>
        </w:rPr>
        <w:t xml:space="preserve">La demande d’autorisation d’appel </w:t>
      </w:r>
      <w:proofErr w:type="gramStart"/>
      <w:r w:rsidRPr="00BC4A0A">
        <w:rPr>
          <w:sz w:val="20"/>
          <w:lang w:val="fr-CA"/>
        </w:rPr>
        <w:t>est</w:t>
      </w:r>
      <w:proofErr w:type="gramEnd"/>
      <w:r w:rsidRPr="00BC4A0A">
        <w:rPr>
          <w:sz w:val="20"/>
          <w:lang w:val="fr-CA"/>
        </w:rPr>
        <w:t xml:space="preserve"> rejetée avec dépens.</w:t>
      </w:r>
      <w:r w:rsidRPr="00BC4A0A">
        <w:rPr>
          <w:sz w:val="20"/>
          <w:lang w:val="fr-CA"/>
        </w:rPr>
        <w:t>)</w:t>
      </w:r>
    </w:p>
    <w:p w:rsidR="001B1618" w:rsidRPr="00BC4A0A" w:rsidRDefault="001B1618" w:rsidP="001B1618">
      <w:pPr>
        <w:jc w:val="both"/>
        <w:rPr>
          <w:sz w:val="20"/>
          <w:lang w:val="fr-CA"/>
        </w:rPr>
      </w:pPr>
    </w:p>
    <w:p w:rsidR="001B1618" w:rsidRPr="00FE386C" w:rsidRDefault="001B1618" w:rsidP="001B1618">
      <w:pPr>
        <w:jc w:val="both"/>
        <w:rPr>
          <w:sz w:val="22"/>
          <w:szCs w:val="22"/>
          <w:lang w:val="fr-CA"/>
        </w:rPr>
      </w:pPr>
      <w:r w:rsidRPr="00FE386C">
        <w:rPr>
          <w:sz w:val="22"/>
          <w:szCs w:val="22"/>
          <w:lang w:val="fr-CA"/>
        </w:rPr>
        <w:t>****</w:t>
      </w:r>
    </w:p>
    <w:p w:rsidR="00FC370C" w:rsidRDefault="00FC370C" w:rsidP="00B37728">
      <w:pPr>
        <w:ind w:left="360" w:hanging="360"/>
        <w:jc w:val="both"/>
        <w:rPr>
          <w:sz w:val="20"/>
        </w:rPr>
      </w:pPr>
    </w:p>
    <w:p w:rsidR="00F97208" w:rsidRPr="006A291A" w:rsidRDefault="00F97208" w:rsidP="00F97208">
      <w:pPr>
        <w:ind w:left="360" w:hanging="360"/>
        <w:contextualSpacing/>
        <w:jc w:val="both"/>
        <w:rPr>
          <w:sz w:val="20"/>
        </w:rPr>
      </w:pPr>
    </w:p>
    <w:p w:rsidR="00A727FF" w:rsidRPr="009958D3" w:rsidRDefault="00A727FF" w:rsidP="004D727F">
      <w:pPr>
        <w:ind w:left="360" w:hanging="360"/>
        <w:rPr>
          <w:sz w:val="20"/>
        </w:rPr>
      </w:pPr>
    </w:p>
    <w:p w:rsidR="00D3344A" w:rsidRPr="00935BC2" w:rsidRDefault="00D3344A" w:rsidP="00D3344A">
      <w:pPr>
        <w:widowControl w:val="0"/>
        <w:outlineLvl w:val="0"/>
      </w:pPr>
      <w:r w:rsidRPr="00935BC2">
        <w:t xml:space="preserve">Supreme Court of Canada / Cour suprême du </w:t>
      </w:r>
      <w:proofErr w:type="gramStart"/>
      <w:r w:rsidRPr="00935BC2">
        <w:t>Canada :</w:t>
      </w:r>
      <w:proofErr w:type="gramEnd"/>
      <w:r w:rsidRPr="00935BC2">
        <w:t xml:space="preserve"> </w:t>
      </w:r>
    </w:p>
    <w:p w:rsidR="00D3344A" w:rsidRPr="00935BC2" w:rsidRDefault="00A80A77" w:rsidP="00D3344A">
      <w:pPr>
        <w:widowControl w:val="0"/>
        <w:outlineLvl w:val="0"/>
        <w:rPr>
          <w:color w:val="0000FF"/>
          <w:u w:val="single"/>
        </w:rPr>
      </w:pPr>
      <w:hyperlink r:id="rId14" w:history="1">
        <w:r w:rsidR="00D3344A" w:rsidRPr="00935BC2">
          <w:rPr>
            <w:rStyle w:val="Hyperlink"/>
          </w:rPr>
          <w:t>comments-commentaires@scc-csc.ca</w:t>
        </w:r>
      </w:hyperlink>
    </w:p>
    <w:p w:rsidR="00D3344A" w:rsidRPr="00935BC2" w:rsidRDefault="00D3344A" w:rsidP="00D3344A">
      <w:pPr>
        <w:widowControl w:val="0"/>
        <w:outlineLvl w:val="0"/>
      </w:pPr>
      <w:r w:rsidRPr="00935BC2">
        <w:t>(613) 995-4330</w:t>
      </w:r>
    </w:p>
    <w:p w:rsidR="00497B5E" w:rsidRPr="00935BC2" w:rsidRDefault="00497B5E" w:rsidP="00497B5E">
      <w:pPr>
        <w:widowControl w:val="0"/>
        <w:rPr>
          <w:sz w:val="20"/>
        </w:rPr>
      </w:pPr>
    </w:p>
    <w:p w:rsidR="003F43E6" w:rsidRPr="00935BC2" w:rsidRDefault="003F43E6" w:rsidP="00497B5E">
      <w:pPr>
        <w:widowControl w:val="0"/>
        <w:rPr>
          <w:sz w:val="20"/>
        </w:rPr>
      </w:pPr>
    </w:p>
    <w:p w:rsidR="00224F26" w:rsidRPr="00910AEC" w:rsidRDefault="003F43E6" w:rsidP="00DE0F77">
      <w:pPr>
        <w:pStyle w:val="Footer"/>
        <w:jc w:val="center"/>
      </w:pPr>
      <w:r w:rsidRPr="00935BC2">
        <w:t>- 30</w:t>
      </w:r>
      <w:r w:rsidR="00312438" w:rsidRPr="00935BC2">
        <w:t xml:space="preserve"> -</w:t>
      </w:r>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19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1724"/>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31FD"/>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42C"/>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01AF"/>
    <w:rsid w:val="0016129E"/>
    <w:rsid w:val="00161CCB"/>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4F9"/>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C69"/>
    <w:rsid w:val="001B1618"/>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2431"/>
    <w:rsid w:val="00252FDB"/>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CFB"/>
    <w:rsid w:val="002D0D9E"/>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4C2A"/>
    <w:rsid w:val="002F5A46"/>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64DA"/>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981"/>
    <w:rsid w:val="00403FE3"/>
    <w:rsid w:val="00404DEA"/>
    <w:rsid w:val="0040709C"/>
    <w:rsid w:val="00407B63"/>
    <w:rsid w:val="0041032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411B"/>
    <w:rsid w:val="00494CD1"/>
    <w:rsid w:val="004957BA"/>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27F"/>
    <w:rsid w:val="004D7335"/>
    <w:rsid w:val="004E0005"/>
    <w:rsid w:val="004E0B2F"/>
    <w:rsid w:val="004E177C"/>
    <w:rsid w:val="004E1B3F"/>
    <w:rsid w:val="004E2857"/>
    <w:rsid w:val="004E288D"/>
    <w:rsid w:val="004E33C5"/>
    <w:rsid w:val="004E4B02"/>
    <w:rsid w:val="004E4F02"/>
    <w:rsid w:val="004E72E7"/>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B79"/>
    <w:rsid w:val="00525DE3"/>
    <w:rsid w:val="005313B2"/>
    <w:rsid w:val="00532EB0"/>
    <w:rsid w:val="00532EEF"/>
    <w:rsid w:val="00533DDB"/>
    <w:rsid w:val="00534227"/>
    <w:rsid w:val="00535069"/>
    <w:rsid w:val="00535A60"/>
    <w:rsid w:val="00536D11"/>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34F1"/>
    <w:rsid w:val="005537A8"/>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07B9"/>
    <w:rsid w:val="00631275"/>
    <w:rsid w:val="00631CAA"/>
    <w:rsid w:val="00632A4A"/>
    <w:rsid w:val="00632A72"/>
    <w:rsid w:val="0063355F"/>
    <w:rsid w:val="006343B6"/>
    <w:rsid w:val="00634573"/>
    <w:rsid w:val="00634F34"/>
    <w:rsid w:val="00635A24"/>
    <w:rsid w:val="006365EA"/>
    <w:rsid w:val="00636ADD"/>
    <w:rsid w:val="006400DB"/>
    <w:rsid w:val="00640355"/>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0E43"/>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337F"/>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3A7F"/>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BAD"/>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1AB5"/>
    <w:rsid w:val="00853153"/>
    <w:rsid w:val="00853253"/>
    <w:rsid w:val="00853924"/>
    <w:rsid w:val="00853C98"/>
    <w:rsid w:val="0085543E"/>
    <w:rsid w:val="00857C7B"/>
    <w:rsid w:val="008608D2"/>
    <w:rsid w:val="0086191C"/>
    <w:rsid w:val="00861CAB"/>
    <w:rsid w:val="00863AA5"/>
    <w:rsid w:val="00863DCB"/>
    <w:rsid w:val="008651FB"/>
    <w:rsid w:val="00865274"/>
    <w:rsid w:val="00865C5E"/>
    <w:rsid w:val="008669E6"/>
    <w:rsid w:val="00866A27"/>
    <w:rsid w:val="00867A56"/>
    <w:rsid w:val="00867CBF"/>
    <w:rsid w:val="0087081B"/>
    <w:rsid w:val="00870830"/>
    <w:rsid w:val="008716D1"/>
    <w:rsid w:val="00871A67"/>
    <w:rsid w:val="00871C02"/>
    <w:rsid w:val="00871DAF"/>
    <w:rsid w:val="0087219B"/>
    <w:rsid w:val="008736DB"/>
    <w:rsid w:val="00874308"/>
    <w:rsid w:val="008743C8"/>
    <w:rsid w:val="00875F1D"/>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5E6A"/>
    <w:rsid w:val="008D68D4"/>
    <w:rsid w:val="008D7543"/>
    <w:rsid w:val="008D7F59"/>
    <w:rsid w:val="008E0E42"/>
    <w:rsid w:val="008E10A7"/>
    <w:rsid w:val="008E2917"/>
    <w:rsid w:val="008E2ACE"/>
    <w:rsid w:val="008E4516"/>
    <w:rsid w:val="008E4F93"/>
    <w:rsid w:val="008E5721"/>
    <w:rsid w:val="008E57B3"/>
    <w:rsid w:val="008E67B5"/>
    <w:rsid w:val="008E6D94"/>
    <w:rsid w:val="008E6FD2"/>
    <w:rsid w:val="008E7841"/>
    <w:rsid w:val="008E7C23"/>
    <w:rsid w:val="008E7F8D"/>
    <w:rsid w:val="008F0676"/>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5BC2"/>
    <w:rsid w:val="009360C1"/>
    <w:rsid w:val="00936192"/>
    <w:rsid w:val="00936642"/>
    <w:rsid w:val="009367AC"/>
    <w:rsid w:val="00936A76"/>
    <w:rsid w:val="00936D03"/>
    <w:rsid w:val="009370CC"/>
    <w:rsid w:val="00940C53"/>
    <w:rsid w:val="009416E1"/>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A23"/>
    <w:rsid w:val="00971F36"/>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53A4"/>
    <w:rsid w:val="009D6029"/>
    <w:rsid w:val="009D6798"/>
    <w:rsid w:val="009D7121"/>
    <w:rsid w:val="009D712D"/>
    <w:rsid w:val="009E0147"/>
    <w:rsid w:val="009E0355"/>
    <w:rsid w:val="009E2461"/>
    <w:rsid w:val="009E2E0D"/>
    <w:rsid w:val="009E37AB"/>
    <w:rsid w:val="009E3C8B"/>
    <w:rsid w:val="009E4CA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1960"/>
    <w:rsid w:val="00AF265E"/>
    <w:rsid w:val="00AF497B"/>
    <w:rsid w:val="00AF4E3F"/>
    <w:rsid w:val="00AF66DC"/>
    <w:rsid w:val="00AF6AD8"/>
    <w:rsid w:val="00AF6DC0"/>
    <w:rsid w:val="00B00333"/>
    <w:rsid w:val="00B01B4B"/>
    <w:rsid w:val="00B01BB4"/>
    <w:rsid w:val="00B028A1"/>
    <w:rsid w:val="00B02DE3"/>
    <w:rsid w:val="00B037AA"/>
    <w:rsid w:val="00B04B0F"/>
    <w:rsid w:val="00B04F44"/>
    <w:rsid w:val="00B0617D"/>
    <w:rsid w:val="00B06264"/>
    <w:rsid w:val="00B066B1"/>
    <w:rsid w:val="00B1004F"/>
    <w:rsid w:val="00B10162"/>
    <w:rsid w:val="00B11EC6"/>
    <w:rsid w:val="00B11F59"/>
    <w:rsid w:val="00B1256C"/>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69B"/>
    <w:rsid w:val="00B70890"/>
    <w:rsid w:val="00B70E19"/>
    <w:rsid w:val="00B71369"/>
    <w:rsid w:val="00B74638"/>
    <w:rsid w:val="00B74DA0"/>
    <w:rsid w:val="00B75B83"/>
    <w:rsid w:val="00B75EF9"/>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2D2"/>
    <w:rsid w:val="00BC5F67"/>
    <w:rsid w:val="00BC6C6D"/>
    <w:rsid w:val="00BC6D90"/>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7CA"/>
    <w:rsid w:val="00C03932"/>
    <w:rsid w:val="00C04DE5"/>
    <w:rsid w:val="00C04F3B"/>
    <w:rsid w:val="00C05838"/>
    <w:rsid w:val="00C05F77"/>
    <w:rsid w:val="00C06F4D"/>
    <w:rsid w:val="00C079CB"/>
    <w:rsid w:val="00C07C01"/>
    <w:rsid w:val="00C12264"/>
    <w:rsid w:val="00C127C8"/>
    <w:rsid w:val="00C135B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2CA"/>
    <w:rsid w:val="00C779D4"/>
    <w:rsid w:val="00C77C0E"/>
    <w:rsid w:val="00C80B32"/>
    <w:rsid w:val="00C821A5"/>
    <w:rsid w:val="00C826BF"/>
    <w:rsid w:val="00C8303A"/>
    <w:rsid w:val="00C84303"/>
    <w:rsid w:val="00C8493F"/>
    <w:rsid w:val="00C85915"/>
    <w:rsid w:val="00C85F5E"/>
    <w:rsid w:val="00C87EE9"/>
    <w:rsid w:val="00C90F9B"/>
    <w:rsid w:val="00C935F6"/>
    <w:rsid w:val="00C9475D"/>
    <w:rsid w:val="00C947C4"/>
    <w:rsid w:val="00C94C07"/>
    <w:rsid w:val="00C95D6B"/>
    <w:rsid w:val="00C95EA0"/>
    <w:rsid w:val="00C96747"/>
    <w:rsid w:val="00C96CB2"/>
    <w:rsid w:val="00C9788C"/>
    <w:rsid w:val="00C97C59"/>
    <w:rsid w:val="00CA02C3"/>
    <w:rsid w:val="00CA2379"/>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701"/>
    <w:rsid w:val="00CB7D6D"/>
    <w:rsid w:val="00CB7F2D"/>
    <w:rsid w:val="00CC0090"/>
    <w:rsid w:val="00CC044F"/>
    <w:rsid w:val="00CC0D62"/>
    <w:rsid w:val="00CC3084"/>
    <w:rsid w:val="00CC57C1"/>
    <w:rsid w:val="00CC594E"/>
    <w:rsid w:val="00CC759C"/>
    <w:rsid w:val="00CD0363"/>
    <w:rsid w:val="00CD171A"/>
    <w:rsid w:val="00CD1CCD"/>
    <w:rsid w:val="00CD4BBB"/>
    <w:rsid w:val="00CD4F9A"/>
    <w:rsid w:val="00CD507B"/>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90C"/>
    <w:rsid w:val="00CE7B3F"/>
    <w:rsid w:val="00CF0EF2"/>
    <w:rsid w:val="00CF1DF2"/>
    <w:rsid w:val="00CF1F81"/>
    <w:rsid w:val="00CF22B3"/>
    <w:rsid w:val="00CF294C"/>
    <w:rsid w:val="00CF732A"/>
    <w:rsid w:val="00D02025"/>
    <w:rsid w:val="00D0250E"/>
    <w:rsid w:val="00D0343C"/>
    <w:rsid w:val="00D035CB"/>
    <w:rsid w:val="00D03A35"/>
    <w:rsid w:val="00D06AA3"/>
    <w:rsid w:val="00D07526"/>
    <w:rsid w:val="00D07C5B"/>
    <w:rsid w:val="00D1183B"/>
    <w:rsid w:val="00D12CDF"/>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659"/>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1C44"/>
    <w:rsid w:val="00DE6166"/>
    <w:rsid w:val="00DF0B9B"/>
    <w:rsid w:val="00DF0E05"/>
    <w:rsid w:val="00DF14FC"/>
    <w:rsid w:val="00DF2C09"/>
    <w:rsid w:val="00DF2C1F"/>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E0E"/>
    <w:rsid w:val="00E65A41"/>
    <w:rsid w:val="00E65D1C"/>
    <w:rsid w:val="00E70D0F"/>
    <w:rsid w:val="00E710C9"/>
    <w:rsid w:val="00E715B3"/>
    <w:rsid w:val="00E724E4"/>
    <w:rsid w:val="00E73312"/>
    <w:rsid w:val="00E735D4"/>
    <w:rsid w:val="00E738C7"/>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A6563"/>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37B4"/>
    <w:rsid w:val="00F14355"/>
    <w:rsid w:val="00F147DB"/>
    <w:rsid w:val="00F152B2"/>
    <w:rsid w:val="00F15518"/>
    <w:rsid w:val="00F1565F"/>
    <w:rsid w:val="00F157B5"/>
    <w:rsid w:val="00F200E3"/>
    <w:rsid w:val="00F210BA"/>
    <w:rsid w:val="00F21AF7"/>
    <w:rsid w:val="00F22AFE"/>
    <w:rsid w:val="00F230D5"/>
    <w:rsid w:val="00F24EF2"/>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3CE7"/>
    <w:rsid w:val="00F44136"/>
    <w:rsid w:val="00F44405"/>
    <w:rsid w:val="00F444C5"/>
    <w:rsid w:val="00F4474B"/>
    <w:rsid w:val="00F45664"/>
    <w:rsid w:val="00F46255"/>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139"/>
    <w:rsid w:val="00F818C7"/>
    <w:rsid w:val="00F81900"/>
    <w:rsid w:val="00F828B8"/>
    <w:rsid w:val="00F829D3"/>
    <w:rsid w:val="00F82CC0"/>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335D"/>
    <w:rsid w:val="00F94491"/>
    <w:rsid w:val="00F962B4"/>
    <w:rsid w:val="00F9698D"/>
    <w:rsid w:val="00F97208"/>
    <w:rsid w:val="00FA0210"/>
    <w:rsid w:val="00FA325A"/>
    <w:rsid w:val="00FA37CA"/>
    <w:rsid w:val="00FA3AA3"/>
    <w:rsid w:val="00FA3ECA"/>
    <w:rsid w:val="00FA4061"/>
    <w:rsid w:val="00FA5D62"/>
    <w:rsid w:val="00FB0131"/>
    <w:rsid w:val="00FB08CC"/>
    <w:rsid w:val="00FB1B92"/>
    <w:rsid w:val="00FB1E2E"/>
    <w:rsid w:val="00FB28CE"/>
    <w:rsid w:val="00FB3686"/>
    <w:rsid w:val="00FB443C"/>
    <w:rsid w:val="00FB4545"/>
    <w:rsid w:val="00FB4BCB"/>
    <w:rsid w:val="00FB578C"/>
    <w:rsid w:val="00FB7BC0"/>
    <w:rsid w:val="00FC1A5C"/>
    <w:rsid w:val="00FC253E"/>
    <w:rsid w:val="00FC25CB"/>
    <w:rsid w:val="00FC370C"/>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30CA"/>
    <w:rsid w:val="00FE386C"/>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9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16" TargetMode="External"/><Relationship Id="rId13" Type="http://schemas.openxmlformats.org/officeDocument/2006/relationships/hyperlink" Target="https://www.scc-csc.ca/case-dossier/info/sum-som-eng.aspx?cas=3795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c-csc.ca/case-dossier/info/sum-som-fra.aspx?cas=37906" TargetMode="External"/><Relationship Id="rId12" Type="http://schemas.openxmlformats.org/officeDocument/2006/relationships/hyperlink" Target="https://www.scc-csc.ca/case-dossier/info/sum-som-eng.aspx?cas=3806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79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c-csc.ca/case-dossier/info/sum-som-fra.aspx?cas=3792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cc-csc.ca/case-dossier/info/sum-som-eng.aspx?cas=37958"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2018-09-17T17:57:00Z</dcterms:created>
  <dcterms:modified xsi:type="dcterms:W3CDTF">2018-09-17T17:57:00Z</dcterms:modified>
</cp:coreProperties>
</file>