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03598" w:rsidRDefault="003F43E6" w:rsidP="003F43E6">
      <w:pPr>
        <w:pStyle w:val="Header"/>
        <w:jc w:val="center"/>
        <w:rPr>
          <w:b/>
          <w:sz w:val="32"/>
        </w:rPr>
      </w:pPr>
      <w:r w:rsidRPr="00203598">
        <w:rPr>
          <w:b/>
          <w:sz w:val="32"/>
        </w:rPr>
        <w:t>Supreme Court of Canada / Cour suprême du Canada</w:t>
      </w:r>
    </w:p>
    <w:p w:rsidR="003F43E6" w:rsidRPr="00203598" w:rsidRDefault="003F43E6" w:rsidP="006F2579">
      <w:pPr>
        <w:widowControl w:val="0"/>
        <w:rPr>
          <w:i/>
        </w:rPr>
      </w:pPr>
    </w:p>
    <w:p w:rsidR="003F43E6" w:rsidRPr="00203598" w:rsidRDefault="003F43E6" w:rsidP="006F2579">
      <w:pPr>
        <w:widowControl w:val="0"/>
        <w:rPr>
          <w:i/>
        </w:rPr>
      </w:pPr>
    </w:p>
    <w:p w:rsidR="006F2579" w:rsidRPr="00203598" w:rsidRDefault="006F2579" w:rsidP="006F2579">
      <w:pPr>
        <w:widowControl w:val="0"/>
        <w:rPr>
          <w:i/>
        </w:rPr>
      </w:pPr>
      <w:r w:rsidRPr="00203598">
        <w:rPr>
          <w:i/>
        </w:rPr>
        <w:t>(le français suit)</w:t>
      </w:r>
    </w:p>
    <w:p w:rsidR="006F2579" w:rsidRPr="00203598" w:rsidRDefault="006F2579" w:rsidP="006F2579">
      <w:pPr>
        <w:widowControl w:val="0"/>
      </w:pPr>
    </w:p>
    <w:p w:rsidR="006F2579" w:rsidRPr="00203598" w:rsidRDefault="00D01D61" w:rsidP="006F2579">
      <w:pPr>
        <w:widowControl w:val="0"/>
        <w:jc w:val="center"/>
        <w:rPr>
          <w:b/>
        </w:rPr>
      </w:pPr>
      <w:r w:rsidRPr="00203598">
        <w:fldChar w:fldCharType="begin"/>
      </w:r>
      <w:r w:rsidR="006F2579" w:rsidRPr="00203598">
        <w:instrText xml:space="preserve"> SEQ CHAPTER \h \r 1</w:instrText>
      </w:r>
      <w:r w:rsidRPr="00203598">
        <w:fldChar w:fldCharType="end"/>
      </w:r>
      <w:r w:rsidR="002767DF" w:rsidRPr="00203598">
        <w:rPr>
          <w:b/>
        </w:rPr>
        <w:t xml:space="preserve">JUDGMENTS </w:t>
      </w:r>
      <w:r w:rsidR="004C4C26" w:rsidRPr="00203598">
        <w:rPr>
          <w:b/>
        </w:rPr>
        <w:t>IN APPEAL AND LEAVE APPLICATION</w:t>
      </w:r>
      <w:r w:rsidR="00A35C4D" w:rsidRPr="00203598">
        <w:rPr>
          <w:b/>
        </w:rPr>
        <w:t>S</w:t>
      </w:r>
    </w:p>
    <w:p w:rsidR="006F2579" w:rsidRPr="00203598" w:rsidRDefault="006F2579" w:rsidP="006F2579">
      <w:pPr>
        <w:widowControl w:val="0"/>
        <w:rPr>
          <w:b/>
        </w:rPr>
      </w:pPr>
    </w:p>
    <w:p w:rsidR="006F2579" w:rsidRPr="00203598" w:rsidRDefault="003E2416" w:rsidP="006F2579">
      <w:pPr>
        <w:widowControl w:val="0"/>
        <w:rPr>
          <w:b/>
        </w:rPr>
      </w:pPr>
      <w:r w:rsidRPr="00203598">
        <w:rPr>
          <w:b/>
        </w:rPr>
        <w:t>October</w:t>
      </w:r>
      <w:r w:rsidR="00372704" w:rsidRPr="00203598">
        <w:rPr>
          <w:b/>
        </w:rPr>
        <w:t xml:space="preserve"> </w:t>
      </w:r>
      <w:r w:rsidR="00352C8A" w:rsidRPr="00203598">
        <w:rPr>
          <w:b/>
        </w:rPr>
        <w:t>1</w:t>
      </w:r>
      <w:r w:rsidRPr="00203598">
        <w:rPr>
          <w:b/>
        </w:rPr>
        <w:t>1</w:t>
      </w:r>
      <w:r w:rsidR="002E4682" w:rsidRPr="00203598">
        <w:rPr>
          <w:b/>
        </w:rPr>
        <w:t>, 201</w:t>
      </w:r>
      <w:r w:rsidR="00C5378C" w:rsidRPr="00203598">
        <w:rPr>
          <w:b/>
        </w:rPr>
        <w:t>8</w:t>
      </w:r>
    </w:p>
    <w:p w:rsidR="006F2579" w:rsidRPr="00203598" w:rsidRDefault="000C425D" w:rsidP="006F2579">
      <w:pPr>
        <w:widowControl w:val="0"/>
        <w:rPr>
          <w:b/>
        </w:rPr>
      </w:pPr>
      <w:r w:rsidRPr="00203598">
        <w:rPr>
          <w:b/>
        </w:rPr>
        <w:t>For immediate releas</w:t>
      </w:r>
      <w:r w:rsidR="006C449A" w:rsidRPr="00203598">
        <w:rPr>
          <w:b/>
        </w:rPr>
        <w:t>e</w:t>
      </w:r>
    </w:p>
    <w:p w:rsidR="006F2579" w:rsidRPr="00203598" w:rsidRDefault="006F2579" w:rsidP="006F2579">
      <w:pPr>
        <w:widowControl w:val="0"/>
      </w:pPr>
    </w:p>
    <w:p w:rsidR="002767DF" w:rsidRPr="00203598" w:rsidRDefault="002767DF" w:rsidP="002767DF">
      <w:pPr>
        <w:widowControl w:val="0"/>
      </w:pPr>
      <w:r w:rsidRPr="00203598">
        <w:rPr>
          <w:b/>
        </w:rPr>
        <w:t>OTTAWA</w:t>
      </w:r>
      <w:r w:rsidRPr="00203598">
        <w:t xml:space="preserve"> – The Supreme Court of Canada has to</w:t>
      </w:r>
      <w:r w:rsidR="00ED5900" w:rsidRPr="00203598">
        <w:t>day deposited with the Registrar</w:t>
      </w:r>
      <w:r w:rsidRPr="00203598">
        <w:t xml:space="preserve"> judgment in the following appeal and application</w:t>
      </w:r>
      <w:r w:rsidR="00CC044F" w:rsidRPr="00203598">
        <w:t>s</w:t>
      </w:r>
      <w:r w:rsidRPr="00203598">
        <w:t xml:space="preserve"> for leave to appeal.</w:t>
      </w:r>
    </w:p>
    <w:p w:rsidR="006F2579" w:rsidRPr="00203598" w:rsidRDefault="006F2579" w:rsidP="006F2579">
      <w:pPr>
        <w:widowControl w:val="0"/>
      </w:pPr>
    </w:p>
    <w:p w:rsidR="006F2579" w:rsidRPr="00203598" w:rsidRDefault="006F2579" w:rsidP="006F2579">
      <w:pPr>
        <w:widowControl w:val="0"/>
      </w:pPr>
    </w:p>
    <w:p w:rsidR="002767DF" w:rsidRPr="00203598" w:rsidRDefault="002767DF" w:rsidP="002767DF">
      <w:pPr>
        <w:widowControl w:val="0"/>
        <w:jc w:val="center"/>
        <w:rPr>
          <w:lang w:val="fr-CA"/>
        </w:rPr>
      </w:pPr>
      <w:r w:rsidRPr="00203598">
        <w:rPr>
          <w:b/>
          <w:lang w:val="fr-CA"/>
        </w:rPr>
        <w:t>JUGEMENT</w:t>
      </w:r>
      <w:r w:rsidR="004C4C26" w:rsidRPr="00203598">
        <w:rPr>
          <w:b/>
          <w:lang w:val="fr-CA"/>
        </w:rPr>
        <w:t>S SUR APPEL ET DEMANDE</w:t>
      </w:r>
      <w:r w:rsidR="00CC044F" w:rsidRPr="00203598">
        <w:rPr>
          <w:b/>
          <w:lang w:val="fr-CA"/>
        </w:rPr>
        <w:t>S</w:t>
      </w:r>
      <w:r w:rsidRPr="00203598">
        <w:rPr>
          <w:b/>
          <w:lang w:val="fr-CA"/>
        </w:rPr>
        <w:t xml:space="preserve"> D’AUTORISATION</w:t>
      </w:r>
    </w:p>
    <w:p w:rsidR="006F2579" w:rsidRPr="00203598" w:rsidRDefault="006F2579" w:rsidP="006F2579">
      <w:pPr>
        <w:widowControl w:val="0"/>
        <w:rPr>
          <w:lang w:val="fr-CA"/>
        </w:rPr>
      </w:pPr>
    </w:p>
    <w:p w:rsidR="006F2579" w:rsidRPr="00203598" w:rsidRDefault="006F2579" w:rsidP="006F2579">
      <w:pPr>
        <w:widowControl w:val="0"/>
        <w:rPr>
          <w:b/>
          <w:lang w:val="fr-CA"/>
        </w:rPr>
      </w:pPr>
      <w:r w:rsidRPr="00203598">
        <w:rPr>
          <w:b/>
          <w:lang w:val="fr-CA"/>
        </w:rPr>
        <w:t>Le</w:t>
      </w:r>
      <w:r w:rsidR="008825DB" w:rsidRPr="00203598">
        <w:rPr>
          <w:b/>
          <w:lang w:val="fr-CA"/>
        </w:rPr>
        <w:t xml:space="preserve"> </w:t>
      </w:r>
      <w:r w:rsidR="00352C8A" w:rsidRPr="00203598">
        <w:rPr>
          <w:b/>
          <w:lang w:val="fr-CA"/>
        </w:rPr>
        <w:t>1</w:t>
      </w:r>
      <w:r w:rsidR="003E2416" w:rsidRPr="00203598">
        <w:rPr>
          <w:b/>
          <w:lang w:val="fr-CA"/>
        </w:rPr>
        <w:t>1</w:t>
      </w:r>
      <w:r w:rsidR="00FF4756" w:rsidRPr="00203598">
        <w:rPr>
          <w:b/>
          <w:lang w:val="fr-CA"/>
        </w:rPr>
        <w:t xml:space="preserve"> </w:t>
      </w:r>
      <w:r w:rsidR="003E2416" w:rsidRPr="00203598">
        <w:rPr>
          <w:b/>
          <w:lang w:val="fr-CA"/>
        </w:rPr>
        <w:t>octobre</w:t>
      </w:r>
      <w:r w:rsidR="002E4682" w:rsidRPr="00203598">
        <w:rPr>
          <w:b/>
          <w:lang w:val="fr-CA"/>
        </w:rPr>
        <w:t xml:space="preserve"> </w:t>
      </w:r>
      <w:r w:rsidR="008825DB" w:rsidRPr="00203598">
        <w:rPr>
          <w:b/>
          <w:lang w:val="fr-CA"/>
        </w:rPr>
        <w:t>201</w:t>
      </w:r>
      <w:r w:rsidR="00C5378C" w:rsidRPr="00203598">
        <w:rPr>
          <w:b/>
          <w:lang w:val="fr-CA"/>
        </w:rPr>
        <w:t>8</w:t>
      </w:r>
    </w:p>
    <w:p w:rsidR="006F2579" w:rsidRPr="00203598" w:rsidRDefault="006F2579" w:rsidP="006F2579">
      <w:pPr>
        <w:widowControl w:val="0"/>
        <w:rPr>
          <w:b/>
          <w:lang w:val="fr-CA"/>
        </w:rPr>
      </w:pPr>
      <w:r w:rsidRPr="00203598">
        <w:rPr>
          <w:b/>
          <w:lang w:val="fr-CA"/>
        </w:rPr>
        <w:t>Pour diffusion immédiate</w:t>
      </w:r>
    </w:p>
    <w:p w:rsidR="006F2579" w:rsidRPr="00203598" w:rsidRDefault="006F2579" w:rsidP="006F2579">
      <w:pPr>
        <w:widowControl w:val="0"/>
        <w:rPr>
          <w:b/>
          <w:lang w:val="fr-CA"/>
        </w:rPr>
      </w:pPr>
    </w:p>
    <w:p w:rsidR="002767DF" w:rsidRPr="00203598" w:rsidRDefault="002767DF" w:rsidP="002767DF">
      <w:pPr>
        <w:widowControl w:val="0"/>
        <w:rPr>
          <w:lang w:val="fr-CA"/>
        </w:rPr>
      </w:pPr>
      <w:r w:rsidRPr="00203598">
        <w:rPr>
          <w:b/>
          <w:lang w:val="fr-CA"/>
        </w:rPr>
        <w:t>OTTAWA</w:t>
      </w:r>
      <w:r w:rsidRPr="00203598">
        <w:rPr>
          <w:lang w:val="fr-CA"/>
        </w:rPr>
        <w:t xml:space="preserve"> – La Cour suprême du Canada a déposé aujourd’hui auprès du registraire les jugements dans l</w:t>
      </w:r>
      <w:r w:rsidR="00DF6BD5" w:rsidRPr="00203598">
        <w:rPr>
          <w:lang w:val="fr-CA"/>
        </w:rPr>
        <w:t>’</w:t>
      </w:r>
      <w:r w:rsidRPr="00203598">
        <w:rPr>
          <w:lang w:val="fr-CA"/>
        </w:rPr>
        <w:t>appel</w:t>
      </w:r>
      <w:r w:rsidR="00DF6BD5" w:rsidRPr="00203598">
        <w:rPr>
          <w:lang w:val="fr-CA"/>
        </w:rPr>
        <w:t xml:space="preserve"> </w:t>
      </w:r>
      <w:r w:rsidRPr="00203598">
        <w:rPr>
          <w:lang w:val="fr-CA"/>
        </w:rPr>
        <w:t>et</w:t>
      </w:r>
      <w:r w:rsidR="00CC044F" w:rsidRPr="00203598">
        <w:rPr>
          <w:lang w:val="fr-CA"/>
        </w:rPr>
        <w:t xml:space="preserve"> </w:t>
      </w:r>
      <w:r w:rsidR="004C4C26" w:rsidRPr="00203598">
        <w:rPr>
          <w:lang w:val="fr-CA"/>
        </w:rPr>
        <w:t>demande</w:t>
      </w:r>
      <w:r w:rsidR="00CC044F" w:rsidRPr="00203598">
        <w:rPr>
          <w:lang w:val="fr-CA"/>
        </w:rPr>
        <w:t>s</w:t>
      </w:r>
      <w:r w:rsidRPr="00203598">
        <w:rPr>
          <w:lang w:val="fr-CA"/>
        </w:rPr>
        <w:t xml:space="preserve"> d’autorisation d’appel qui suivent.</w:t>
      </w:r>
    </w:p>
    <w:p w:rsidR="002767DF" w:rsidRPr="00203598" w:rsidRDefault="002767DF" w:rsidP="002767DF">
      <w:pPr>
        <w:widowControl w:val="0"/>
        <w:rPr>
          <w:lang w:val="fr-CA"/>
        </w:rPr>
      </w:pPr>
    </w:p>
    <w:p w:rsidR="002767DF" w:rsidRPr="00203598" w:rsidRDefault="00CC43A4" w:rsidP="002767DF">
      <w:pPr>
        <w:widowControl w:val="0"/>
        <w:rPr>
          <w:sz w:val="20"/>
          <w:lang w:val="fr-CA"/>
        </w:rPr>
      </w:pPr>
      <w:r w:rsidRPr="00203598">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203598" w:rsidRDefault="002767DF" w:rsidP="002767DF">
      <w:pPr>
        <w:widowControl w:val="0"/>
        <w:jc w:val="both"/>
        <w:rPr>
          <w:sz w:val="20"/>
          <w:lang w:val="fr-CA"/>
        </w:rPr>
      </w:pPr>
    </w:p>
    <w:p w:rsidR="002767DF" w:rsidRPr="00203598" w:rsidRDefault="002767DF" w:rsidP="002767DF">
      <w:pPr>
        <w:outlineLvl w:val="0"/>
        <w:rPr>
          <w:b/>
          <w:szCs w:val="24"/>
          <w:lang w:val="fr-CA"/>
        </w:rPr>
      </w:pPr>
      <w:r w:rsidRPr="00203598">
        <w:rPr>
          <w:b/>
          <w:szCs w:val="24"/>
          <w:lang w:val="fr-CA"/>
        </w:rPr>
        <w:t>APPEAL / APPEL</w:t>
      </w:r>
    </w:p>
    <w:p w:rsidR="002767DF" w:rsidRPr="00203598" w:rsidRDefault="002767DF" w:rsidP="002767DF">
      <w:pPr>
        <w:rPr>
          <w:szCs w:val="24"/>
          <w:lang w:val="fr-CA"/>
        </w:rPr>
      </w:pPr>
    </w:p>
    <w:p w:rsidR="00CC31EF" w:rsidRPr="00203598" w:rsidRDefault="00CC31EF" w:rsidP="00CC31EF">
      <w:pPr>
        <w:tabs>
          <w:tab w:val="left" w:pos="720"/>
          <w:tab w:val="left" w:pos="1296"/>
          <w:tab w:val="left" w:pos="2160"/>
          <w:tab w:val="left" w:pos="2880"/>
          <w:tab w:val="left" w:pos="4320"/>
          <w:tab w:val="left" w:pos="10224"/>
          <w:tab w:val="left" w:pos="11376"/>
        </w:tabs>
        <w:jc w:val="both"/>
        <w:rPr>
          <w:lang w:val="fr-CA"/>
        </w:rPr>
      </w:pPr>
      <w:r w:rsidRPr="00203598">
        <w:rPr>
          <w:lang w:val="fr-CA"/>
        </w:rPr>
        <w:t xml:space="preserve">The </w:t>
      </w:r>
      <w:hyperlink r:id="rId8" w:history="1">
        <w:r w:rsidRPr="00203598">
          <w:rPr>
            <w:rStyle w:val="Hyperlink"/>
            <w:lang w:val="fr-CA"/>
          </w:rPr>
          <w:t>reasons for judgment</w:t>
        </w:r>
      </w:hyperlink>
      <w:r w:rsidRPr="00203598">
        <w:rPr>
          <w:lang w:val="fr-CA"/>
        </w:rPr>
        <w:t xml:space="preserve"> will be available shortly. / Les </w:t>
      </w:r>
      <w:hyperlink r:id="rId9" w:history="1">
        <w:r w:rsidRPr="00203598">
          <w:rPr>
            <w:rStyle w:val="Hyperlink"/>
            <w:lang w:val="fr-CA"/>
          </w:rPr>
          <w:t>motifs de jugement</w:t>
        </w:r>
      </w:hyperlink>
      <w:r w:rsidRPr="00203598">
        <w:rPr>
          <w:lang w:val="fr-CA"/>
        </w:rPr>
        <w:t xml:space="preserve"> seront disponibles sous peu.</w:t>
      </w:r>
    </w:p>
    <w:p w:rsidR="002767DF" w:rsidRPr="00203598" w:rsidRDefault="002767DF" w:rsidP="002767DF">
      <w:pPr>
        <w:rPr>
          <w:lang w:val="fr-CA"/>
        </w:rPr>
      </w:pPr>
    </w:p>
    <w:p w:rsidR="005173DC" w:rsidRPr="00203598" w:rsidRDefault="005173DC" w:rsidP="005173DC">
      <w:r w:rsidRPr="00203598">
        <w:t xml:space="preserve">The </w:t>
      </w:r>
      <w:hyperlink r:id="rId10" w:history="1">
        <w:r w:rsidRPr="00203598">
          <w:rPr>
            <w:rStyle w:val="Hyperlink"/>
          </w:rPr>
          <w:t>Case in Brief</w:t>
        </w:r>
      </w:hyperlink>
      <w:r w:rsidRPr="00203598">
        <w:t xml:space="preserve"> will be available at around </w:t>
      </w:r>
      <w:r w:rsidR="00031ACA" w:rsidRPr="00203598">
        <w:t>noon</w:t>
      </w:r>
      <w:r w:rsidRPr="00203598">
        <w:t xml:space="preserve"> (E</w:t>
      </w:r>
      <w:r w:rsidR="00031ACA" w:rsidRPr="00203598">
        <w:t xml:space="preserve">astern </w:t>
      </w:r>
      <w:proofErr w:type="gramStart"/>
      <w:r w:rsidR="00031ACA" w:rsidRPr="00203598">
        <w:t>time</w:t>
      </w:r>
      <w:proofErr w:type="gramEnd"/>
      <w:r w:rsidRPr="00203598">
        <w:t xml:space="preserve">). / </w:t>
      </w:r>
      <w:hyperlink r:id="rId11" w:history="1">
        <w:r w:rsidRPr="00203598">
          <w:rPr>
            <w:rStyle w:val="Hyperlink"/>
          </w:rPr>
          <w:t>La cause en bref</w:t>
        </w:r>
      </w:hyperlink>
      <w:r w:rsidRPr="00203598">
        <w:t xml:space="preserve"> sera disponible vers </w:t>
      </w:r>
      <w:r w:rsidR="00031ACA" w:rsidRPr="00203598">
        <w:t xml:space="preserve">midi </w:t>
      </w:r>
      <w:r w:rsidRPr="00203598">
        <w:t>(</w:t>
      </w:r>
      <w:r w:rsidR="00031ACA" w:rsidRPr="00203598">
        <w:t>heure de l’Est</w:t>
      </w:r>
      <w:r w:rsidRPr="00203598">
        <w:t>).</w:t>
      </w:r>
    </w:p>
    <w:p w:rsidR="002767DF" w:rsidRPr="00203598" w:rsidRDefault="002767DF" w:rsidP="002767DF"/>
    <w:p w:rsidR="0042160E" w:rsidRPr="00203598" w:rsidRDefault="00104BEE" w:rsidP="00B21E87">
      <w:pPr>
        <w:ind w:left="1440" w:hanging="1440"/>
        <w:jc w:val="both"/>
        <w:rPr>
          <w:rFonts w:eastAsiaTheme="minorHAnsi" w:cstheme="minorBidi"/>
          <w:iCs/>
          <w:sz w:val="20"/>
        </w:rPr>
      </w:pPr>
      <w:r w:rsidRPr="00203598">
        <w:rPr>
          <w:b/>
          <w:sz w:val="20"/>
        </w:rPr>
        <w:fldChar w:fldCharType="begin"/>
      </w:r>
      <w:r w:rsidRPr="00203598">
        <w:rPr>
          <w:b/>
          <w:sz w:val="20"/>
        </w:rPr>
        <w:instrText xml:space="preserve"> SEQ CHAPTER \h \r 1</w:instrText>
      </w:r>
      <w:r w:rsidRPr="00203598">
        <w:rPr>
          <w:b/>
          <w:sz w:val="20"/>
        </w:rPr>
        <w:fldChar w:fldCharType="end"/>
      </w:r>
      <w:r w:rsidRPr="00203598">
        <w:rPr>
          <w:b/>
          <w:sz w:val="20"/>
        </w:rPr>
        <w:t>3</w:t>
      </w:r>
      <w:r w:rsidR="000B618B" w:rsidRPr="00203598">
        <w:rPr>
          <w:b/>
          <w:sz w:val="20"/>
        </w:rPr>
        <w:t>7</w:t>
      </w:r>
      <w:r w:rsidR="00DF7245" w:rsidRPr="00203598">
        <w:rPr>
          <w:b/>
          <w:sz w:val="20"/>
        </w:rPr>
        <w:t>441</w:t>
      </w:r>
      <w:r w:rsidRPr="00203598">
        <w:rPr>
          <w:color w:val="FF0000"/>
          <w:sz w:val="20"/>
        </w:rPr>
        <w:tab/>
      </w:r>
      <w:r w:rsidR="00444934" w:rsidRPr="00203598">
        <w:rPr>
          <w:b/>
          <w:iCs/>
          <w:sz w:val="20"/>
          <w:u w:val="single"/>
        </w:rPr>
        <w:t>Chief Steve Courtoreille on behalf of himself and the members of the Mikisew Cree First Nation v. Governor General in Council, Minister of Aboriginal Affairs and Northern Development, Minister of Finance, Minister of the Environment, Minister of Fisheries and Oceans, Minister of Transport and Minister of Natural Resources – and – Attorney General of Quebec, Attorney General of New Brunswick, Attorney General of British Columbia, Attorney General of Saskatchewan, Attorney General of Alberta, Champagne and Aishihik First Nations, Kwanlin Dün First Nation, Little Salmon Carmacks First Nation, First Nation of Na</w:t>
      </w:r>
      <w:r w:rsidR="003D1601" w:rsidRPr="00203598">
        <w:rPr>
          <w:b/>
          <w:iCs/>
          <w:sz w:val="20"/>
          <w:u w:val="single"/>
        </w:rPr>
        <w:t>-</w:t>
      </w:r>
      <w:r w:rsidR="00444934" w:rsidRPr="00203598">
        <w:rPr>
          <w:b/>
          <w:iCs/>
          <w:sz w:val="20"/>
          <w:u w:val="single"/>
        </w:rPr>
        <w:t>Cho Nyak Dun, Teslin Tlingit Council, First Nations of the Maa nulth Treaty Society, Assembly of First Nations, Grand Council of the Crees (Eeyou Istchee), Cree Nation Government, Manitoba Metis Federation Inc., Advocates for the Rule of Law, Federation of Sovereign Indigenous Nations and Gitanyow Hereditary Chiefs</w:t>
      </w:r>
      <w:r w:rsidR="00B21E87" w:rsidRPr="00203598">
        <w:rPr>
          <w:rFonts w:eastAsiaTheme="minorHAnsi" w:cstheme="minorBidi"/>
          <w:iCs/>
          <w:sz w:val="20"/>
        </w:rPr>
        <w:t xml:space="preserve"> </w:t>
      </w:r>
      <w:r w:rsidR="00BF2A9D" w:rsidRPr="00203598">
        <w:rPr>
          <w:rFonts w:eastAsiaTheme="minorHAnsi" w:cstheme="minorBidi"/>
          <w:iCs/>
          <w:sz w:val="20"/>
        </w:rPr>
        <w:t>(</w:t>
      </w:r>
      <w:r w:rsidR="000C66BF" w:rsidRPr="00203598">
        <w:rPr>
          <w:rFonts w:eastAsiaTheme="minorHAnsi" w:cstheme="minorBidi"/>
          <w:iCs/>
          <w:sz w:val="20"/>
        </w:rPr>
        <w:t>F.C</w:t>
      </w:r>
      <w:r w:rsidR="00CA1975" w:rsidRPr="00203598">
        <w:rPr>
          <w:rFonts w:eastAsiaTheme="minorHAnsi" w:cstheme="minorBidi"/>
          <w:iCs/>
          <w:sz w:val="20"/>
        </w:rPr>
        <w:t>.</w:t>
      </w:r>
      <w:r w:rsidR="00BF2A9D" w:rsidRPr="00203598">
        <w:rPr>
          <w:rFonts w:eastAsiaTheme="minorHAnsi" w:cstheme="minorBidi"/>
          <w:iCs/>
          <w:sz w:val="20"/>
        </w:rPr>
        <w:t>)</w:t>
      </w:r>
    </w:p>
    <w:p w:rsidR="00BF2A9D" w:rsidRPr="00203598" w:rsidRDefault="00BF2A9D" w:rsidP="0042160E">
      <w:pPr>
        <w:ind w:left="1440"/>
        <w:jc w:val="both"/>
        <w:rPr>
          <w:rFonts w:eastAsiaTheme="minorHAnsi" w:cstheme="minorBidi"/>
          <w:sz w:val="20"/>
        </w:rPr>
      </w:pPr>
      <w:r w:rsidRPr="00203598">
        <w:rPr>
          <w:rFonts w:eastAsiaTheme="minorHAnsi" w:cstheme="minorBidi"/>
          <w:b/>
          <w:sz w:val="20"/>
        </w:rPr>
        <w:t>201</w:t>
      </w:r>
      <w:r w:rsidR="00C5378C" w:rsidRPr="00203598">
        <w:rPr>
          <w:rFonts w:eastAsiaTheme="minorHAnsi" w:cstheme="minorBidi"/>
          <w:b/>
          <w:sz w:val="20"/>
        </w:rPr>
        <w:t>8</w:t>
      </w:r>
      <w:r w:rsidRPr="00203598">
        <w:rPr>
          <w:rFonts w:eastAsiaTheme="minorHAnsi" w:cstheme="minorBidi"/>
          <w:b/>
          <w:sz w:val="20"/>
        </w:rPr>
        <w:t xml:space="preserve"> SCC </w:t>
      </w:r>
      <w:r w:rsidR="00DF7245" w:rsidRPr="00203598">
        <w:rPr>
          <w:rFonts w:eastAsiaTheme="minorHAnsi" w:cstheme="minorBidi"/>
          <w:b/>
          <w:sz w:val="20"/>
        </w:rPr>
        <w:t>40</w:t>
      </w:r>
      <w:r w:rsidRPr="00203598">
        <w:rPr>
          <w:rFonts w:eastAsiaTheme="minorHAnsi" w:cstheme="minorBidi"/>
          <w:b/>
          <w:sz w:val="20"/>
        </w:rPr>
        <w:t xml:space="preserve"> / 201</w:t>
      </w:r>
      <w:r w:rsidR="00C5378C" w:rsidRPr="00203598">
        <w:rPr>
          <w:rFonts w:eastAsiaTheme="minorHAnsi" w:cstheme="minorBidi"/>
          <w:b/>
          <w:sz w:val="20"/>
        </w:rPr>
        <w:t>8</w:t>
      </w:r>
      <w:r w:rsidRPr="00203598">
        <w:rPr>
          <w:rFonts w:eastAsiaTheme="minorHAnsi" w:cstheme="minorBidi"/>
          <w:b/>
          <w:sz w:val="20"/>
        </w:rPr>
        <w:t xml:space="preserve"> CSC </w:t>
      </w:r>
      <w:r w:rsidR="00DF7245" w:rsidRPr="00203598">
        <w:rPr>
          <w:rFonts w:eastAsiaTheme="minorHAnsi" w:cstheme="minorBidi"/>
          <w:b/>
          <w:sz w:val="20"/>
        </w:rPr>
        <w:t>40</w:t>
      </w:r>
    </w:p>
    <w:p w:rsidR="00104BEE" w:rsidRPr="00203598" w:rsidRDefault="00104BEE" w:rsidP="00BF2A9D">
      <w:pPr>
        <w:ind w:left="1440" w:hanging="1440"/>
        <w:jc w:val="both"/>
        <w:rPr>
          <w:sz w:val="20"/>
        </w:rPr>
      </w:pPr>
    </w:p>
    <w:p w:rsidR="00605BA1" w:rsidRPr="00203598" w:rsidRDefault="00104BEE" w:rsidP="00B77409">
      <w:pPr>
        <w:ind w:left="1440" w:hanging="1440"/>
        <w:rPr>
          <w:sz w:val="20"/>
        </w:rPr>
      </w:pPr>
      <w:r w:rsidRPr="00203598">
        <w:rPr>
          <w:sz w:val="20"/>
        </w:rPr>
        <w:t>Coram:</w:t>
      </w:r>
      <w:r w:rsidRPr="00203598">
        <w:rPr>
          <w:sz w:val="20"/>
        </w:rPr>
        <w:tab/>
      </w:r>
      <w:r w:rsidR="00DF7245" w:rsidRPr="00203598">
        <w:rPr>
          <w:sz w:val="20"/>
          <w:u w:val="single"/>
        </w:rPr>
        <w:t>Wagner C.J. and Abella, Moldaver, Karakatsanis, Gascon, Côté, Brown, Rowe and Martin JJ.</w:t>
      </w:r>
    </w:p>
    <w:p w:rsidR="00B77409" w:rsidRPr="00203598" w:rsidRDefault="00B77409" w:rsidP="00B77409">
      <w:pPr>
        <w:ind w:left="1440" w:hanging="1440"/>
        <w:rPr>
          <w:sz w:val="20"/>
        </w:rPr>
      </w:pPr>
    </w:p>
    <w:p w:rsidR="0096282F" w:rsidRPr="00203598" w:rsidRDefault="0004279B" w:rsidP="0096282F">
      <w:pPr>
        <w:jc w:val="both"/>
        <w:rPr>
          <w:rFonts w:eastAsiaTheme="minorHAnsi" w:cstheme="minorBidi"/>
          <w:sz w:val="20"/>
          <w:lang w:val="en-CA"/>
        </w:rPr>
      </w:pPr>
      <w:r w:rsidRPr="00203598">
        <w:rPr>
          <w:sz w:val="20"/>
        </w:rPr>
        <w:t>The appeal from the judgment of the Federal Court of Appeal, Number A-29-15, 2016 FCA 311, dated December 7, 2016, heard on January 15, 2018, is dismissed.</w:t>
      </w:r>
    </w:p>
    <w:p w:rsidR="0096282F" w:rsidRPr="00203598" w:rsidRDefault="0096282F" w:rsidP="0096282F">
      <w:pPr>
        <w:jc w:val="both"/>
        <w:rPr>
          <w:rFonts w:eastAsiaTheme="minorHAnsi" w:cstheme="minorBidi"/>
          <w:sz w:val="20"/>
          <w:lang w:val="en-CA"/>
        </w:rPr>
      </w:pPr>
    </w:p>
    <w:p w:rsidR="0096282F" w:rsidRPr="00203598" w:rsidRDefault="0004279B" w:rsidP="0096282F">
      <w:pPr>
        <w:jc w:val="both"/>
        <w:rPr>
          <w:rFonts w:eastAsiaTheme="minorHAnsi" w:cstheme="minorBidi"/>
          <w:sz w:val="20"/>
          <w:lang w:val="fr-CA"/>
        </w:rPr>
      </w:pPr>
      <w:r w:rsidRPr="00203598">
        <w:rPr>
          <w:sz w:val="20"/>
          <w:lang w:val="fr-CA"/>
        </w:rPr>
        <w:t>L’appel interjeté contre l’arrêt de la Cour d’appel fédérale, numéro A-29-15, 2016 CAF 311, daté du 7 décembre 2016, entendu le 15 janvier 2018, est rejeté.</w:t>
      </w:r>
    </w:p>
    <w:p w:rsidR="00FF073E" w:rsidRPr="00203598" w:rsidRDefault="00FF073E" w:rsidP="00104BEE">
      <w:pPr>
        <w:jc w:val="both"/>
        <w:rPr>
          <w:sz w:val="20"/>
          <w:lang w:val="fr-CA"/>
        </w:rPr>
      </w:pPr>
    </w:p>
    <w:p w:rsidR="002C2D5B" w:rsidRPr="00203598" w:rsidRDefault="002C2D5B" w:rsidP="00104BEE">
      <w:pPr>
        <w:jc w:val="both"/>
        <w:rPr>
          <w:sz w:val="20"/>
          <w:lang w:val="fr-CA"/>
        </w:rPr>
      </w:pPr>
    </w:p>
    <w:p w:rsidR="009D2AD9" w:rsidRPr="00203598" w:rsidRDefault="00D01D61" w:rsidP="009D2AD9">
      <w:pPr>
        <w:rPr>
          <w:lang w:val="fr-CA"/>
        </w:rPr>
      </w:pPr>
      <w:r w:rsidRPr="00203598">
        <w:rPr>
          <w:szCs w:val="24"/>
        </w:rPr>
        <w:fldChar w:fldCharType="begin"/>
      </w:r>
      <w:r w:rsidR="009D2AD9" w:rsidRPr="00203598">
        <w:rPr>
          <w:szCs w:val="24"/>
          <w:lang w:val="fr-CA"/>
        </w:rPr>
        <w:instrText xml:space="preserve"> SEQ CHAPTER \h \r 1</w:instrText>
      </w:r>
      <w:r w:rsidRPr="00203598">
        <w:rPr>
          <w:szCs w:val="24"/>
        </w:rPr>
        <w:fldChar w:fldCharType="end"/>
      </w:r>
      <w:r w:rsidR="009D2AD9" w:rsidRPr="00203598">
        <w:rPr>
          <w:b/>
          <w:bCs/>
          <w:szCs w:val="24"/>
          <w:lang w:val="fr-CA"/>
        </w:rPr>
        <w:t>APPLICATION</w:t>
      </w:r>
      <w:r w:rsidR="0044099A" w:rsidRPr="00203598">
        <w:rPr>
          <w:b/>
          <w:bCs/>
          <w:szCs w:val="24"/>
          <w:lang w:val="fr-CA"/>
        </w:rPr>
        <w:t>S</w:t>
      </w:r>
      <w:r w:rsidR="009D2AD9" w:rsidRPr="00203598">
        <w:rPr>
          <w:b/>
          <w:bCs/>
          <w:szCs w:val="24"/>
          <w:lang w:val="fr-CA"/>
        </w:rPr>
        <w:t xml:space="preserve"> FOR LEAVE / DEMANDE</w:t>
      </w:r>
      <w:r w:rsidR="0044099A" w:rsidRPr="00203598">
        <w:rPr>
          <w:b/>
          <w:bCs/>
          <w:szCs w:val="24"/>
          <w:lang w:val="fr-CA"/>
        </w:rPr>
        <w:t>S</w:t>
      </w:r>
      <w:r w:rsidR="009D2AD9" w:rsidRPr="00203598">
        <w:rPr>
          <w:b/>
          <w:bCs/>
          <w:szCs w:val="24"/>
          <w:lang w:val="fr-CA"/>
        </w:rPr>
        <w:t xml:space="preserve"> D’AUTORISATION :</w:t>
      </w:r>
    </w:p>
    <w:p w:rsidR="009D2AD9" w:rsidRPr="00203598" w:rsidRDefault="009D2AD9" w:rsidP="000627A2">
      <w:pPr>
        <w:widowControl w:val="0"/>
        <w:jc w:val="both"/>
        <w:rPr>
          <w:sz w:val="20"/>
          <w:lang w:val="fr-CA"/>
        </w:rPr>
      </w:pPr>
    </w:p>
    <w:p w:rsidR="00EC7F2C" w:rsidRPr="00203598" w:rsidRDefault="00EC7F2C" w:rsidP="00EC7F2C">
      <w:pPr>
        <w:jc w:val="both"/>
        <w:rPr>
          <w:b/>
          <w:sz w:val="22"/>
          <w:szCs w:val="22"/>
        </w:rPr>
      </w:pPr>
      <w:r w:rsidRPr="00203598">
        <w:rPr>
          <w:b/>
          <w:sz w:val="22"/>
          <w:szCs w:val="22"/>
        </w:rPr>
        <w:t>GRANTED / ACCORDÉE</w:t>
      </w:r>
      <w:r w:rsidR="00DF7245" w:rsidRPr="00203598">
        <w:rPr>
          <w:b/>
          <w:sz w:val="22"/>
          <w:szCs w:val="22"/>
        </w:rPr>
        <w:t>S</w:t>
      </w:r>
    </w:p>
    <w:p w:rsidR="00E22F66" w:rsidRPr="00203598" w:rsidRDefault="00E22F66" w:rsidP="0027631F">
      <w:pPr>
        <w:jc w:val="both"/>
        <w:rPr>
          <w:sz w:val="20"/>
        </w:rPr>
      </w:pPr>
    </w:p>
    <w:p w:rsidR="001F12E4" w:rsidRPr="00203598" w:rsidRDefault="001F12E4" w:rsidP="001F12E4">
      <w:pPr>
        <w:jc w:val="both"/>
        <w:rPr>
          <w:rFonts w:eastAsiaTheme="minorEastAsia"/>
          <w:sz w:val="22"/>
          <w:szCs w:val="22"/>
          <w:lang w:eastAsia="en-CA"/>
        </w:rPr>
      </w:pPr>
      <w:r w:rsidRPr="00203598">
        <w:rPr>
          <w:rFonts w:eastAsiaTheme="minorEastAsia"/>
          <w:i/>
          <w:sz w:val="22"/>
          <w:szCs w:val="22"/>
          <w:lang w:eastAsia="en-CA"/>
        </w:rPr>
        <w:t>Attorney General of Canada v. British Columbia Investment Management Corporation et al.</w:t>
      </w:r>
      <w:r w:rsidRPr="00203598">
        <w:rPr>
          <w:sz w:val="22"/>
          <w:szCs w:val="22"/>
        </w:rPr>
        <w:t xml:space="preserve"> (B.C.) (Civil) (By Leave) (</w:t>
      </w:r>
      <w:hyperlink r:id="rId12" w:history="1">
        <w:r w:rsidRPr="00203598">
          <w:rPr>
            <w:rStyle w:val="Hyperlink"/>
            <w:sz w:val="22"/>
            <w:szCs w:val="22"/>
          </w:rPr>
          <w:t>38059</w:t>
        </w:r>
      </w:hyperlink>
      <w:r w:rsidRPr="00203598">
        <w:rPr>
          <w:sz w:val="22"/>
          <w:szCs w:val="22"/>
        </w:rPr>
        <w:t>)</w:t>
      </w:r>
    </w:p>
    <w:p w:rsidR="00EC7F2C" w:rsidRPr="00203598" w:rsidRDefault="001F12E4" w:rsidP="00EC7F2C">
      <w:pPr>
        <w:widowControl w:val="0"/>
        <w:rPr>
          <w:sz w:val="20"/>
          <w:lang w:val="en-CA"/>
        </w:rPr>
      </w:pPr>
      <w:r w:rsidRPr="00203598">
        <w:rPr>
          <w:sz w:val="20"/>
          <w:lang w:val="en-CA"/>
        </w:rPr>
        <w:t>(</w:t>
      </w:r>
      <w:r w:rsidRPr="00203598">
        <w:rPr>
          <w:sz w:val="20"/>
        </w:rPr>
        <w:t xml:space="preserve">The application for leave to appeal and the conditional application for leave to cross-appeal filed by the respondent, the British Columbia Investment Management Corporation, are granted with costs in the cause. The schedule for serving and filing materials will be set by the Registrar. / </w:t>
      </w:r>
    </w:p>
    <w:p w:rsidR="00DF7245" w:rsidRPr="00203598" w:rsidRDefault="001F12E4" w:rsidP="00EC7F2C">
      <w:pPr>
        <w:widowControl w:val="0"/>
        <w:rPr>
          <w:sz w:val="20"/>
          <w:lang w:val="fr-CA"/>
        </w:rPr>
      </w:pPr>
      <w:r w:rsidRPr="00203598">
        <w:rPr>
          <w:rFonts w:cstheme="minorBidi"/>
          <w:sz w:val="20"/>
          <w:lang w:val="fr-CA"/>
        </w:rPr>
        <w:t>L</w:t>
      </w:r>
      <w:r w:rsidRPr="00203598">
        <w:rPr>
          <w:sz w:val="20"/>
          <w:lang w:val="fr-CA"/>
        </w:rPr>
        <w:t>a demande d’autorisation d’appel et l</w:t>
      </w:r>
      <w:r w:rsidRPr="00203598">
        <w:rPr>
          <w:rFonts w:cstheme="minorBidi"/>
          <w:sz w:val="20"/>
          <w:lang w:val="fr-CA"/>
        </w:rPr>
        <w:t xml:space="preserve">a demande conditionnelle d’autorisation d’appel incident déposée par l’intimée, la British Columbia Investment Management Corporation, </w:t>
      </w:r>
      <w:r w:rsidRPr="00203598">
        <w:rPr>
          <w:sz w:val="20"/>
          <w:lang w:val="fr-CA"/>
        </w:rPr>
        <w:t>sont accueillies avec dépens suivant l’issue de la cause. L’échéancier pour la signification et le dépôt des documents sera fixé par le registraire.)</w:t>
      </w:r>
    </w:p>
    <w:p w:rsidR="00DF7245" w:rsidRPr="00203598" w:rsidRDefault="00DF7245" w:rsidP="00EC7F2C">
      <w:pPr>
        <w:widowControl w:val="0"/>
        <w:rPr>
          <w:sz w:val="20"/>
          <w:lang w:val="fr-CA"/>
        </w:rPr>
      </w:pPr>
    </w:p>
    <w:p w:rsidR="00EC7F2C" w:rsidRPr="00203598" w:rsidRDefault="00EC7F2C" w:rsidP="00EC7F2C">
      <w:pPr>
        <w:jc w:val="both"/>
        <w:rPr>
          <w:sz w:val="20"/>
        </w:rPr>
      </w:pPr>
      <w:r w:rsidRPr="00203598">
        <w:rPr>
          <w:sz w:val="20"/>
        </w:rPr>
        <w:t>****</w:t>
      </w:r>
    </w:p>
    <w:p w:rsidR="00DF7245" w:rsidRPr="00203598" w:rsidRDefault="00DF7245" w:rsidP="00DF7245">
      <w:pPr>
        <w:widowControl w:val="0"/>
        <w:rPr>
          <w:sz w:val="20"/>
          <w:lang w:val="en-CA"/>
        </w:rPr>
      </w:pPr>
    </w:p>
    <w:p w:rsidR="005D5219" w:rsidRPr="00203598" w:rsidRDefault="005D5219" w:rsidP="005D5219">
      <w:pPr>
        <w:pStyle w:val="SCCAppellantInfoAppellantInfo"/>
        <w:jc w:val="both"/>
        <w:rPr>
          <w:sz w:val="22"/>
          <w:szCs w:val="22"/>
        </w:rPr>
      </w:pPr>
      <w:r w:rsidRPr="00203598">
        <w:rPr>
          <w:rFonts w:eastAsiaTheme="minorHAnsi" w:cstheme="minorBidi"/>
          <w:i/>
          <w:sz w:val="22"/>
          <w:szCs w:val="22"/>
        </w:rPr>
        <w:t>Her Majesty the Queen v. Dean Daniel Kelsie</w:t>
      </w:r>
      <w:r w:rsidRPr="00203598">
        <w:rPr>
          <w:rFonts w:eastAsiaTheme="minorHAnsi" w:cstheme="minorBidi"/>
          <w:sz w:val="22"/>
          <w:szCs w:val="22"/>
        </w:rPr>
        <w:t xml:space="preserve"> (N.S.) (Criminal) (By Leave) </w:t>
      </w:r>
      <w:r w:rsidRPr="00203598">
        <w:rPr>
          <w:sz w:val="22"/>
          <w:szCs w:val="22"/>
          <w:lang w:val="en-US"/>
        </w:rPr>
        <w:t>(</w:t>
      </w:r>
      <w:hyperlink r:id="rId13" w:history="1">
        <w:r w:rsidRPr="00203598">
          <w:rPr>
            <w:rStyle w:val="Hyperlink"/>
            <w:sz w:val="22"/>
            <w:szCs w:val="22"/>
            <w:lang w:val="en-US"/>
          </w:rPr>
          <w:t>38129</w:t>
        </w:r>
      </w:hyperlink>
      <w:r w:rsidRPr="00203598">
        <w:rPr>
          <w:sz w:val="22"/>
          <w:szCs w:val="22"/>
          <w:lang w:val="en-US"/>
        </w:rPr>
        <w:t>)</w:t>
      </w:r>
    </w:p>
    <w:p w:rsidR="00DF7245" w:rsidRPr="00203598" w:rsidRDefault="005D5219" w:rsidP="005D5219">
      <w:pPr>
        <w:jc w:val="both"/>
        <w:rPr>
          <w:sz w:val="20"/>
          <w:lang w:val="en-CA"/>
        </w:rPr>
      </w:pPr>
      <w:r w:rsidRPr="00203598">
        <w:rPr>
          <w:sz w:val="20"/>
          <w:lang w:val="en-CA"/>
        </w:rPr>
        <w:t>(</w:t>
      </w:r>
      <w:r w:rsidRPr="00203598">
        <w:rPr>
          <w:sz w:val="20"/>
        </w:rPr>
        <w:t xml:space="preserve">The motion for an extension of time to serve and file the application for leave to appeal is granted. It is not necessary to consider the motion for an extension of time to serve and file the response to the application for leave to appeal. The application for leave to appeal is granted. The schedule for serving and filing materials will be set by the Registrar. The parties are required to provide written submissions in their factum addressing the impact of the publication ban on the release of the Court’s reasons in this matter. / </w:t>
      </w:r>
    </w:p>
    <w:p w:rsidR="00DF7245" w:rsidRPr="00203598" w:rsidRDefault="005D5219" w:rsidP="005D5219">
      <w:pPr>
        <w:jc w:val="both"/>
        <w:rPr>
          <w:sz w:val="20"/>
          <w:lang w:val="fr-CA"/>
        </w:rPr>
      </w:pPr>
      <w:r w:rsidRPr="00203598">
        <w:rPr>
          <w:sz w:val="20"/>
          <w:lang w:val="fr-CA"/>
        </w:rPr>
        <w:t>La requête en prorogation du délai de signification et de dépôt de la demande d’autorisation d’appel est accueillie. Il n’est pas nécessaire d’examiner la requête en prorogation du délai de signification et de dépôt de la réponse à la demande d’autorisation d’appel. La demande d’autorisation d’appel est accueillie. L’échéancier pour la signification et le dépôt des documents sera fixé par le registraire. Les parties sont tenues d’aborder dans leur mémoire l’incidence qu’a l’interdiction de publication sur le dépôt des motifs de la Cour en l’espèce.</w:t>
      </w:r>
      <w:r w:rsidR="00007844">
        <w:rPr>
          <w:sz w:val="20"/>
          <w:lang w:val="fr-CA"/>
        </w:rPr>
        <w:t>)</w:t>
      </w:r>
      <w:bookmarkStart w:id="0" w:name="_GoBack"/>
      <w:bookmarkEnd w:id="0"/>
    </w:p>
    <w:p w:rsidR="00DF7245" w:rsidRPr="00203598" w:rsidRDefault="00DF7245" w:rsidP="00DF7245">
      <w:pPr>
        <w:widowControl w:val="0"/>
        <w:rPr>
          <w:sz w:val="20"/>
          <w:lang w:val="fr-CA"/>
        </w:rPr>
      </w:pPr>
    </w:p>
    <w:p w:rsidR="00DF7245" w:rsidRPr="00203598" w:rsidRDefault="00DF7245" w:rsidP="00DF7245">
      <w:pPr>
        <w:jc w:val="both"/>
        <w:rPr>
          <w:sz w:val="20"/>
          <w:lang w:val="fr-CA"/>
        </w:rPr>
      </w:pPr>
      <w:r w:rsidRPr="00203598">
        <w:rPr>
          <w:sz w:val="20"/>
          <w:lang w:val="fr-CA"/>
        </w:rPr>
        <w:t>****</w:t>
      </w:r>
    </w:p>
    <w:p w:rsidR="00EC7F2C" w:rsidRPr="00203598" w:rsidRDefault="00EC7F2C" w:rsidP="0027631F">
      <w:pPr>
        <w:jc w:val="both"/>
        <w:rPr>
          <w:sz w:val="20"/>
          <w:lang w:val="fr-CA"/>
        </w:rPr>
      </w:pPr>
    </w:p>
    <w:p w:rsidR="009F09C0" w:rsidRPr="00203598" w:rsidRDefault="009F09C0" w:rsidP="009F09C0">
      <w:pPr>
        <w:jc w:val="both"/>
        <w:rPr>
          <w:b/>
          <w:sz w:val="22"/>
          <w:szCs w:val="22"/>
          <w:lang w:val="fr-CA"/>
        </w:rPr>
      </w:pPr>
      <w:r w:rsidRPr="00203598">
        <w:rPr>
          <w:b/>
          <w:sz w:val="22"/>
          <w:szCs w:val="22"/>
          <w:lang w:val="fr-CA"/>
        </w:rPr>
        <w:t>DISMISSED / REJETÉES</w:t>
      </w:r>
    </w:p>
    <w:p w:rsidR="009971D8" w:rsidRPr="00203598" w:rsidRDefault="009971D8" w:rsidP="00026162">
      <w:pPr>
        <w:widowControl w:val="0"/>
        <w:rPr>
          <w:sz w:val="20"/>
          <w:lang w:val="fr-CA"/>
        </w:rPr>
      </w:pPr>
    </w:p>
    <w:p w:rsidR="00BB2B09" w:rsidRPr="00203598" w:rsidRDefault="00BB2B09" w:rsidP="00BB2B09">
      <w:pPr>
        <w:jc w:val="both"/>
        <w:rPr>
          <w:sz w:val="22"/>
          <w:szCs w:val="22"/>
          <w:lang w:val="fr-CA"/>
        </w:rPr>
      </w:pPr>
      <w:r w:rsidRPr="00203598">
        <w:rPr>
          <w:i/>
          <w:sz w:val="22"/>
          <w:szCs w:val="22"/>
          <w:lang w:val="fr-CA"/>
        </w:rPr>
        <w:t xml:space="preserve">Aldège Banville c. Sa Majesté la Reine </w:t>
      </w:r>
      <w:r w:rsidRPr="00203598">
        <w:rPr>
          <w:sz w:val="22"/>
          <w:szCs w:val="22"/>
          <w:lang w:val="fr-CA"/>
        </w:rPr>
        <w:t>(C.F.) (Civile) (Autorisation) (</w:t>
      </w:r>
      <w:hyperlink r:id="rId14" w:history="1">
        <w:r w:rsidRPr="00203598">
          <w:rPr>
            <w:rStyle w:val="Hyperlink"/>
            <w:sz w:val="22"/>
            <w:szCs w:val="22"/>
            <w:lang w:val="fr-CA"/>
          </w:rPr>
          <w:t>38000</w:t>
        </w:r>
      </w:hyperlink>
      <w:r w:rsidRPr="00203598">
        <w:rPr>
          <w:sz w:val="22"/>
          <w:szCs w:val="22"/>
          <w:lang w:val="fr-CA"/>
        </w:rPr>
        <w:t>)</w:t>
      </w:r>
    </w:p>
    <w:p w:rsidR="00BB2B09" w:rsidRPr="00203598" w:rsidRDefault="00BB2B09" w:rsidP="00026162">
      <w:pPr>
        <w:widowControl w:val="0"/>
        <w:rPr>
          <w:sz w:val="20"/>
          <w:lang w:val="fr-CA"/>
        </w:rPr>
      </w:pPr>
      <w:r w:rsidRPr="00203598">
        <w:rPr>
          <w:sz w:val="20"/>
          <w:lang w:val="fr-CA"/>
        </w:rPr>
        <w:t>(</w:t>
      </w:r>
      <w:r w:rsidRPr="00203598">
        <w:rPr>
          <w:sz w:val="20"/>
          <w:lang w:val="fr-CA" w:eastAsia="en-CA"/>
        </w:rPr>
        <w:t xml:space="preserve">La requête de l’intimée en prorogation du délai de signification de la réponse est accueillie. La requête du demandeur en prorogation du délai de signification et de dépôt de la demande d’autorisation d’appel est rejetée. / </w:t>
      </w:r>
    </w:p>
    <w:p w:rsidR="00BB2B09" w:rsidRPr="00203598" w:rsidRDefault="00BB2B09" w:rsidP="00026162">
      <w:pPr>
        <w:widowControl w:val="0"/>
        <w:rPr>
          <w:sz w:val="20"/>
        </w:rPr>
      </w:pPr>
      <w:r w:rsidRPr="00203598">
        <w:rPr>
          <w:sz w:val="20"/>
          <w:lang w:val="en-CA" w:eastAsia="en-CA"/>
        </w:rPr>
        <w:t>The respondent’s motion for extension of time to serve the response is granted. The applicant’s motion for an extension of time to serve and file the application for leave to appeal is dismissed.)</w:t>
      </w:r>
    </w:p>
    <w:p w:rsidR="00077E0B" w:rsidRPr="00203598" w:rsidRDefault="00077E0B" w:rsidP="00A357F9">
      <w:pPr>
        <w:widowControl w:val="0"/>
        <w:rPr>
          <w:sz w:val="20"/>
        </w:rPr>
      </w:pPr>
    </w:p>
    <w:p w:rsidR="00A357F9" w:rsidRPr="00203598" w:rsidRDefault="00A357F9" w:rsidP="00A357F9">
      <w:pPr>
        <w:jc w:val="both"/>
        <w:rPr>
          <w:sz w:val="20"/>
          <w:lang w:val="fr-CA"/>
        </w:rPr>
      </w:pPr>
      <w:r w:rsidRPr="00203598">
        <w:rPr>
          <w:sz w:val="20"/>
          <w:lang w:val="fr-CA"/>
        </w:rPr>
        <w:t>****</w:t>
      </w:r>
    </w:p>
    <w:p w:rsidR="00A357F9" w:rsidRPr="00203598" w:rsidRDefault="00A357F9" w:rsidP="00026162">
      <w:pPr>
        <w:widowControl w:val="0"/>
        <w:rPr>
          <w:sz w:val="20"/>
          <w:lang w:val="fr-CA"/>
        </w:rPr>
      </w:pPr>
    </w:p>
    <w:p w:rsidR="002E1F20" w:rsidRPr="00203598" w:rsidRDefault="002E1F20" w:rsidP="002E1F20">
      <w:pPr>
        <w:pStyle w:val="SCCAppellantInfoAppellantInfo"/>
        <w:rPr>
          <w:sz w:val="22"/>
          <w:szCs w:val="22"/>
          <w:lang w:val="fr-CA"/>
        </w:rPr>
      </w:pPr>
      <w:r w:rsidRPr="00203598">
        <w:rPr>
          <w:rFonts w:eastAsiaTheme="minorEastAsia"/>
          <w:i/>
          <w:sz w:val="22"/>
          <w:szCs w:val="22"/>
          <w:lang w:val="fr-CA" w:eastAsia="en-CA"/>
        </w:rPr>
        <w:t xml:space="preserve">Albert Duterville c. </w:t>
      </w:r>
      <w:r w:rsidRPr="00203598">
        <w:rPr>
          <w:i/>
          <w:sz w:val="22"/>
          <w:szCs w:val="22"/>
          <w:lang w:val="fr-CA"/>
        </w:rPr>
        <w:t xml:space="preserve">D. Ian Glen et autres </w:t>
      </w:r>
      <w:r w:rsidRPr="00203598">
        <w:rPr>
          <w:rFonts w:eastAsiaTheme="minorEastAsia"/>
          <w:sz w:val="22"/>
          <w:szCs w:val="22"/>
          <w:lang w:val="fr-CA" w:eastAsia="en-CA"/>
        </w:rPr>
        <w:t>(C.F.) (Civile) (Autorisation)</w:t>
      </w:r>
      <w:r w:rsidRPr="00203598">
        <w:rPr>
          <w:sz w:val="22"/>
          <w:szCs w:val="22"/>
          <w:lang w:val="fr-CA"/>
        </w:rPr>
        <w:t xml:space="preserve"> (</w:t>
      </w:r>
      <w:hyperlink r:id="rId15" w:history="1">
        <w:r w:rsidRPr="00203598">
          <w:rPr>
            <w:rStyle w:val="Hyperlink"/>
            <w:sz w:val="22"/>
            <w:szCs w:val="22"/>
            <w:lang w:val="fr-CA"/>
          </w:rPr>
          <w:t>37911</w:t>
        </w:r>
      </w:hyperlink>
      <w:r w:rsidRPr="00203598">
        <w:rPr>
          <w:sz w:val="22"/>
          <w:szCs w:val="22"/>
          <w:lang w:val="fr-CA"/>
        </w:rPr>
        <w:t>)</w:t>
      </w:r>
    </w:p>
    <w:p w:rsidR="00EC7F2C" w:rsidRPr="00203598" w:rsidRDefault="002E1F20" w:rsidP="00026162">
      <w:pPr>
        <w:widowControl w:val="0"/>
        <w:rPr>
          <w:sz w:val="20"/>
        </w:rPr>
      </w:pPr>
      <w:r w:rsidRPr="00203598">
        <w:rPr>
          <w:sz w:val="20"/>
          <w:lang w:val="fr-CA"/>
        </w:rPr>
        <w:t xml:space="preserve">(La requête en prorogation du délai de signification et de dépôt de la demande d’autorisation d’appel est accueillie. </w:t>
      </w:r>
      <w:r w:rsidRPr="00203598">
        <w:rPr>
          <w:sz w:val="20"/>
        </w:rPr>
        <w:t xml:space="preserve">La </w:t>
      </w:r>
      <w:proofErr w:type="spellStart"/>
      <w:r w:rsidRPr="00203598">
        <w:rPr>
          <w:sz w:val="20"/>
        </w:rPr>
        <w:t>demande</w:t>
      </w:r>
      <w:proofErr w:type="spellEnd"/>
      <w:r w:rsidRPr="00203598">
        <w:rPr>
          <w:sz w:val="20"/>
        </w:rPr>
        <w:t xml:space="preserve"> d’autorisation </w:t>
      </w:r>
      <w:proofErr w:type="spellStart"/>
      <w:r w:rsidRPr="00203598">
        <w:rPr>
          <w:sz w:val="20"/>
        </w:rPr>
        <w:t>d’appel</w:t>
      </w:r>
      <w:proofErr w:type="spellEnd"/>
      <w:r w:rsidRPr="00203598">
        <w:rPr>
          <w:sz w:val="20"/>
        </w:rPr>
        <w:t xml:space="preserve"> </w:t>
      </w:r>
      <w:proofErr w:type="spellStart"/>
      <w:proofErr w:type="gramStart"/>
      <w:r w:rsidRPr="00203598">
        <w:rPr>
          <w:sz w:val="20"/>
        </w:rPr>
        <w:t>est</w:t>
      </w:r>
      <w:proofErr w:type="spellEnd"/>
      <w:proofErr w:type="gramEnd"/>
      <w:r w:rsidRPr="00203598">
        <w:rPr>
          <w:sz w:val="20"/>
        </w:rPr>
        <w:t xml:space="preserve"> </w:t>
      </w:r>
      <w:proofErr w:type="spellStart"/>
      <w:r w:rsidRPr="00203598">
        <w:rPr>
          <w:sz w:val="20"/>
        </w:rPr>
        <w:t>rejetée</w:t>
      </w:r>
      <w:proofErr w:type="spellEnd"/>
      <w:r w:rsidRPr="00203598">
        <w:rPr>
          <w:sz w:val="20"/>
        </w:rPr>
        <w:t xml:space="preserve">. / </w:t>
      </w:r>
    </w:p>
    <w:p w:rsidR="00CD75F1" w:rsidRPr="00203598" w:rsidRDefault="002E1F20" w:rsidP="00026162">
      <w:pPr>
        <w:widowControl w:val="0"/>
        <w:rPr>
          <w:sz w:val="20"/>
        </w:rPr>
      </w:pPr>
      <w:r w:rsidRPr="00203598">
        <w:rPr>
          <w:sz w:val="20"/>
          <w:lang w:val="en-CA"/>
        </w:rPr>
        <w:t>The motion for an extension of time to serve and file the application for leave to appeal is granted. The application for leave to appeal is dismissed.)</w:t>
      </w:r>
    </w:p>
    <w:p w:rsidR="00CD75F1" w:rsidRPr="00203598" w:rsidRDefault="00CD75F1" w:rsidP="00026162">
      <w:pPr>
        <w:widowControl w:val="0"/>
        <w:rPr>
          <w:sz w:val="20"/>
        </w:rPr>
      </w:pPr>
    </w:p>
    <w:p w:rsidR="00026162" w:rsidRPr="00203598" w:rsidRDefault="00026162" w:rsidP="00026162">
      <w:pPr>
        <w:jc w:val="both"/>
        <w:rPr>
          <w:sz w:val="20"/>
        </w:rPr>
      </w:pPr>
      <w:r w:rsidRPr="00203598">
        <w:rPr>
          <w:sz w:val="20"/>
        </w:rPr>
        <w:t>****</w:t>
      </w:r>
    </w:p>
    <w:p w:rsidR="004A2FD6" w:rsidRPr="00203598" w:rsidRDefault="004A2FD6" w:rsidP="004A2FD6">
      <w:pPr>
        <w:jc w:val="both"/>
        <w:rPr>
          <w:sz w:val="20"/>
        </w:rPr>
      </w:pPr>
    </w:p>
    <w:p w:rsidR="00A60146" w:rsidRPr="00203598" w:rsidRDefault="00A60146" w:rsidP="00A60146">
      <w:pPr>
        <w:pStyle w:val="SCCAppellantInfoAppellantInfo"/>
        <w:rPr>
          <w:sz w:val="22"/>
          <w:szCs w:val="22"/>
        </w:rPr>
      </w:pPr>
      <w:r w:rsidRPr="00203598">
        <w:rPr>
          <w:i/>
          <w:sz w:val="22"/>
          <w:szCs w:val="22"/>
        </w:rPr>
        <w:t xml:space="preserve">Arbutus Bay Estates Ltd. v. Attorney General of Canada et al. </w:t>
      </w:r>
      <w:r w:rsidRPr="00203598">
        <w:rPr>
          <w:sz w:val="22"/>
          <w:szCs w:val="22"/>
        </w:rPr>
        <w:t xml:space="preserve">(B.C.) (Civil) (By Leave) </w:t>
      </w:r>
      <w:r w:rsidRPr="00203598">
        <w:rPr>
          <w:sz w:val="22"/>
          <w:szCs w:val="22"/>
          <w:lang w:val="en-US"/>
        </w:rPr>
        <w:t>(</w:t>
      </w:r>
      <w:hyperlink r:id="rId16" w:history="1">
        <w:r w:rsidRPr="00203598">
          <w:rPr>
            <w:rStyle w:val="Hyperlink"/>
            <w:sz w:val="22"/>
            <w:szCs w:val="22"/>
            <w:lang w:val="en-US"/>
          </w:rPr>
          <w:t>37892</w:t>
        </w:r>
      </w:hyperlink>
      <w:r w:rsidRPr="00203598">
        <w:rPr>
          <w:sz w:val="22"/>
          <w:szCs w:val="22"/>
          <w:lang w:val="en-US"/>
        </w:rPr>
        <w:t>)</w:t>
      </w:r>
    </w:p>
    <w:p w:rsidR="00CD75F1" w:rsidRPr="00203598" w:rsidRDefault="00A60146" w:rsidP="004A2FD6">
      <w:pPr>
        <w:widowControl w:val="0"/>
        <w:rPr>
          <w:sz w:val="20"/>
          <w:lang w:val="fr-CA"/>
        </w:rPr>
      </w:pPr>
      <w:r w:rsidRPr="00203598">
        <w:rPr>
          <w:sz w:val="20"/>
          <w:lang w:val="fr-CA"/>
        </w:rPr>
        <w:t xml:space="preserve">(The application for leave to </w:t>
      </w:r>
      <w:proofErr w:type="spellStart"/>
      <w:r w:rsidRPr="00203598">
        <w:rPr>
          <w:sz w:val="20"/>
          <w:lang w:val="fr-CA"/>
        </w:rPr>
        <w:t>appeal</w:t>
      </w:r>
      <w:proofErr w:type="spellEnd"/>
      <w:r w:rsidRPr="00203598">
        <w:rPr>
          <w:sz w:val="20"/>
          <w:lang w:val="fr-CA"/>
        </w:rPr>
        <w:t xml:space="preserve"> </w:t>
      </w:r>
      <w:proofErr w:type="spellStart"/>
      <w:r w:rsidRPr="00203598">
        <w:rPr>
          <w:sz w:val="20"/>
          <w:lang w:val="fr-CA"/>
        </w:rPr>
        <w:t>is</w:t>
      </w:r>
      <w:proofErr w:type="spellEnd"/>
      <w:r w:rsidRPr="00203598">
        <w:rPr>
          <w:sz w:val="20"/>
          <w:lang w:val="fr-CA"/>
        </w:rPr>
        <w:t xml:space="preserve"> </w:t>
      </w:r>
      <w:proofErr w:type="spellStart"/>
      <w:r w:rsidRPr="00203598">
        <w:rPr>
          <w:sz w:val="20"/>
          <w:lang w:val="fr-CA"/>
        </w:rPr>
        <w:t>dismissed</w:t>
      </w:r>
      <w:proofErr w:type="spellEnd"/>
      <w:r w:rsidRPr="00203598">
        <w:rPr>
          <w:sz w:val="20"/>
          <w:lang w:val="fr-CA"/>
        </w:rPr>
        <w:t xml:space="preserve"> </w:t>
      </w:r>
      <w:proofErr w:type="spellStart"/>
      <w:r w:rsidRPr="00203598">
        <w:rPr>
          <w:sz w:val="20"/>
          <w:lang w:val="fr-CA"/>
        </w:rPr>
        <w:t>with</w:t>
      </w:r>
      <w:proofErr w:type="spellEnd"/>
      <w:r w:rsidRPr="00203598">
        <w:rPr>
          <w:sz w:val="20"/>
          <w:lang w:val="fr-CA"/>
        </w:rPr>
        <w:t xml:space="preserve"> </w:t>
      </w:r>
      <w:proofErr w:type="spellStart"/>
      <w:r w:rsidRPr="00203598">
        <w:rPr>
          <w:sz w:val="20"/>
          <w:lang w:val="fr-CA"/>
        </w:rPr>
        <w:t>costs</w:t>
      </w:r>
      <w:proofErr w:type="spellEnd"/>
      <w:r w:rsidRPr="00203598">
        <w:rPr>
          <w:sz w:val="20"/>
          <w:lang w:val="fr-CA"/>
        </w:rPr>
        <w:t>. / La demande d’autorisation d’appel est rejetée avec dépens.)</w:t>
      </w:r>
    </w:p>
    <w:p w:rsidR="00CD75F1" w:rsidRPr="00203598" w:rsidRDefault="00CD75F1" w:rsidP="004A2FD6">
      <w:pPr>
        <w:widowControl w:val="0"/>
        <w:rPr>
          <w:sz w:val="20"/>
          <w:lang w:val="fr-CA"/>
        </w:rPr>
      </w:pPr>
    </w:p>
    <w:p w:rsidR="004A2FD6" w:rsidRPr="00203598" w:rsidRDefault="004A2FD6" w:rsidP="004A2FD6">
      <w:pPr>
        <w:jc w:val="both"/>
        <w:rPr>
          <w:sz w:val="20"/>
          <w:lang w:val="fr-CA"/>
        </w:rPr>
      </w:pPr>
      <w:r w:rsidRPr="00203598">
        <w:rPr>
          <w:sz w:val="20"/>
          <w:lang w:val="fr-CA"/>
        </w:rPr>
        <w:t>****</w:t>
      </w:r>
    </w:p>
    <w:p w:rsidR="00CD75F1" w:rsidRPr="00203598" w:rsidRDefault="00CD75F1" w:rsidP="00CD75F1">
      <w:pPr>
        <w:widowControl w:val="0"/>
        <w:rPr>
          <w:sz w:val="20"/>
          <w:lang w:val="fr-CA"/>
        </w:rPr>
      </w:pPr>
    </w:p>
    <w:p w:rsidR="00B07C7F" w:rsidRPr="00203598" w:rsidRDefault="00B07C7F" w:rsidP="00B07C7F">
      <w:pPr>
        <w:pStyle w:val="SCCAppellantInfoAppellantInfo"/>
        <w:jc w:val="both"/>
        <w:rPr>
          <w:sz w:val="22"/>
          <w:szCs w:val="22"/>
          <w:lang w:val="fr-CA"/>
        </w:rPr>
      </w:pPr>
      <w:r w:rsidRPr="00203598">
        <w:rPr>
          <w:i/>
          <w:sz w:val="22"/>
          <w:szCs w:val="22"/>
          <w:lang w:val="fr-CA"/>
        </w:rPr>
        <w:t>X c. Sa Majesté la Reine</w:t>
      </w:r>
      <w:r w:rsidRPr="00203598">
        <w:rPr>
          <w:sz w:val="22"/>
          <w:szCs w:val="22"/>
          <w:lang w:val="fr-CA"/>
        </w:rPr>
        <w:t xml:space="preserve"> (Qc) (Criminelle) (Autorisation) (</w:t>
      </w:r>
      <w:hyperlink r:id="rId17" w:history="1">
        <w:r w:rsidRPr="00203598">
          <w:rPr>
            <w:rStyle w:val="Hyperlink"/>
            <w:sz w:val="22"/>
            <w:szCs w:val="22"/>
            <w:lang w:val="fr-CA"/>
          </w:rPr>
          <w:t>38034</w:t>
        </w:r>
      </w:hyperlink>
      <w:r w:rsidRPr="00203598">
        <w:rPr>
          <w:sz w:val="22"/>
          <w:szCs w:val="22"/>
          <w:lang w:val="fr-CA"/>
        </w:rPr>
        <w:t>)</w:t>
      </w:r>
    </w:p>
    <w:p w:rsidR="00CD75F1" w:rsidRPr="00203598" w:rsidRDefault="00B07C7F" w:rsidP="00CD75F1">
      <w:pPr>
        <w:widowControl w:val="0"/>
        <w:rPr>
          <w:sz w:val="20"/>
          <w:lang w:val="fr-CA"/>
        </w:rPr>
      </w:pPr>
      <w:r w:rsidRPr="00203598">
        <w:rPr>
          <w:sz w:val="20"/>
          <w:lang w:val="fr-CA"/>
        </w:rPr>
        <w:t xml:space="preserve">(La demande d’autorisation d’appel est rejetée. / The application for leave to </w:t>
      </w:r>
      <w:proofErr w:type="spellStart"/>
      <w:r w:rsidRPr="00203598">
        <w:rPr>
          <w:sz w:val="20"/>
          <w:lang w:val="fr-CA"/>
        </w:rPr>
        <w:t>appeal</w:t>
      </w:r>
      <w:proofErr w:type="spellEnd"/>
      <w:r w:rsidRPr="00203598">
        <w:rPr>
          <w:sz w:val="20"/>
          <w:lang w:val="fr-CA"/>
        </w:rPr>
        <w:t xml:space="preserve"> </w:t>
      </w:r>
      <w:proofErr w:type="spellStart"/>
      <w:r w:rsidRPr="00203598">
        <w:rPr>
          <w:sz w:val="20"/>
          <w:lang w:val="fr-CA"/>
        </w:rPr>
        <w:t>is</w:t>
      </w:r>
      <w:proofErr w:type="spellEnd"/>
      <w:r w:rsidRPr="00203598">
        <w:rPr>
          <w:sz w:val="20"/>
          <w:lang w:val="fr-CA"/>
        </w:rPr>
        <w:t xml:space="preserve"> </w:t>
      </w:r>
      <w:proofErr w:type="spellStart"/>
      <w:r w:rsidRPr="00203598">
        <w:rPr>
          <w:sz w:val="20"/>
          <w:lang w:val="fr-CA"/>
        </w:rPr>
        <w:t>dismissed</w:t>
      </w:r>
      <w:proofErr w:type="spellEnd"/>
      <w:r w:rsidRPr="00203598">
        <w:rPr>
          <w:sz w:val="20"/>
          <w:lang w:val="fr-CA"/>
        </w:rPr>
        <w:t>.)</w:t>
      </w:r>
    </w:p>
    <w:p w:rsidR="00CD75F1" w:rsidRPr="00203598" w:rsidRDefault="00CD75F1" w:rsidP="00CD75F1">
      <w:pPr>
        <w:widowControl w:val="0"/>
        <w:rPr>
          <w:sz w:val="20"/>
          <w:lang w:val="fr-CA"/>
        </w:rPr>
      </w:pPr>
    </w:p>
    <w:p w:rsidR="00CD75F1" w:rsidRPr="00203598" w:rsidRDefault="00CD75F1" w:rsidP="00CD75F1">
      <w:pPr>
        <w:jc w:val="both"/>
        <w:rPr>
          <w:sz w:val="20"/>
          <w:lang w:val="fr-CA"/>
        </w:rPr>
      </w:pPr>
      <w:r w:rsidRPr="00203598">
        <w:rPr>
          <w:sz w:val="20"/>
          <w:lang w:val="fr-CA"/>
        </w:rPr>
        <w:t>****</w:t>
      </w:r>
    </w:p>
    <w:p w:rsidR="00CD75F1" w:rsidRPr="00203598" w:rsidRDefault="00CD75F1" w:rsidP="00CD75F1">
      <w:pPr>
        <w:jc w:val="both"/>
        <w:rPr>
          <w:sz w:val="20"/>
          <w:lang w:val="fr-CA"/>
        </w:rPr>
      </w:pPr>
    </w:p>
    <w:p w:rsidR="00854C67" w:rsidRPr="00203598" w:rsidRDefault="00854C67" w:rsidP="00854C67">
      <w:pPr>
        <w:jc w:val="both"/>
        <w:rPr>
          <w:sz w:val="22"/>
          <w:szCs w:val="22"/>
          <w:lang w:val="fr-CA"/>
        </w:rPr>
      </w:pPr>
      <w:r w:rsidRPr="00203598">
        <w:rPr>
          <w:i/>
          <w:sz w:val="22"/>
          <w:szCs w:val="22"/>
          <w:lang w:val="fr-CA"/>
        </w:rPr>
        <w:t>Saïd Boukendour c. Syndicat des professeures et professeurs de l’Université du Québec en Outaouais et autre</w:t>
      </w:r>
      <w:r w:rsidRPr="00203598">
        <w:rPr>
          <w:sz w:val="22"/>
          <w:szCs w:val="22"/>
          <w:lang w:val="fr-CA"/>
        </w:rPr>
        <w:t xml:space="preserve"> (Qc) (Civile) (Autorisation) (</w:t>
      </w:r>
      <w:hyperlink r:id="rId18" w:history="1">
        <w:r w:rsidRPr="00203598">
          <w:rPr>
            <w:rStyle w:val="Hyperlink"/>
            <w:sz w:val="22"/>
            <w:szCs w:val="22"/>
            <w:lang w:val="fr-CA"/>
          </w:rPr>
          <w:t>38028</w:t>
        </w:r>
      </w:hyperlink>
      <w:r w:rsidRPr="00203598">
        <w:rPr>
          <w:sz w:val="22"/>
          <w:szCs w:val="22"/>
          <w:lang w:val="fr-CA"/>
        </w:rPr>
        <w:t>)</w:t>
      </w:r>
    </w:p>
    <w:p w:rsidR="00CD75F1" w:rsidRPr="00203598" w:rsidRDefault="00854C67" w:rsidP="00CD75F1">
      <w:pPr>
        <w:widowControl w:val="0"/>
        <w:rPr>
          <w:sz w:val="20"/>
        </w:rPr>
      </w:pPr>
      <w:r w:rsidRPr="00203598">
        <w:rPr>
          <w:sz w:val="20"/>
          <w:lang w:val="fr-CA"/>
        </w:rPr>
        <w:t xml:space="preserve">(La requête en prorogation du délai de signification et de dépôt de la demande d’autorisation d’appel est accueillie. </w:t>
      </w:r>
      <w:r w:rsidRPr="00203598">
        <w:rPr>
          <w:sz w:val="20"/>
        </w:rPr>
        <w:t xml:space="preserve">La </w:t>
      </w:r>
      <w:proofErr w:type="spellStart"/>
      <w:r w:rsidRPr="00203598">
        <w:rPr>
          <w:sz w:val="20"/>
        </w:rPr>
        <w:t>demande</w:t>
      </w:r>
      <w:proofErr w:type="spellEnd"/>
      <w:r w:rsidRPr="00203598">
        <w:rPr>
          <w:sz w:val="20"/>
        </w:rPr>
        <w:t xml:space="preserve"> d’autorisation </w:t>
      </w:r>
      <w:proofErr w:type="spellStart"/>
      <w:r w:rsidRPr="00203598">
        <w:rPr>
          <w:sz w:val="20"/>
        </w:rPr>
        <w:t>d’appel</w:t>
      </w:r>
      <w:proofErr w:type="spellEnd"/>
      <w:r w:rsidRPr="00203598">
        <w:rPr>
          <w:sz w:val="20"/>
        </w:rPr>
        <w:t xml:space="preserve"> </w:t>
      </w:r>
      <w:proofErr w:type="spellStart"/>
      <w:proofErr w:type="gramStart"/>
      <w:r w:rsidRPr="00203598">
        <w:rPr>
          <w:sz w:val="20"/>
        </w:rPr>
        <w:t>est</w:t>
      </w:r>
      <w:proofErr w:type="spellEnd"/>
      <w:proofErr w:type="gramEnd"/>
      <w:r w:rsidRPr="00203598">
        <w:rPr>
          <w:sz w:val="20"/>
        </w:rPr>
        <w:t xml:space="preserve"> </w:t>
      </w:r>
      <w:proofErr w:type="spellStart"/>
      <w:r w:rsidRPr="00203598">
        <w:rPr>
          <w:sz w:val="20"/>
        </w:rPr>
        <w:t>rejetée</w:t>
      </w:r>
      <w:proofErr w:type="spellEnd"/>
      <w:r w:rsidRPr="00203598">
        <w:rPr>
          <w:sz w:val="20"/>
        </w:rPr>
        <w:t xml:space="preserve"> sans </w:t>
      </w:r>
      <w:proofErr w:type="spellStart"/>
      <w:r w:rsidRPr="00203598">
        <w:rPr>
          <w:sz w:val="20"/>
        </w:rPr>
        <w:t>dépens</w:t>
      </w:r>
      <w:proofErr w:type="spellEnd"/>
      <w:r w:rsidRPr="00203598">
        <w:rPr>
          <w:sz w:val="20"/>
        </w:rPr>
        <w:t xml:space="preserve">. / </w:t>
      </w:r>
    </w:p>
    <w:p w:rsidR="00CD75F1" w:rsidRPr="00203598" w:rsidRDefault="00854C67" w:rsidP="00CD75F1">
      <w:pPr>
        <w:widowControl w:val="0"/>
        <w:rPr>
          <w:sz w:val="20"/>
        </w:rPr>
      </w:pPr>
      <w:r w:rsidRPr="00203598">
        <w:rPr>
          <w:sz w:val="20"/>
          <w:lang w:val="en-CA"/>
        </w:rPr>
        <w:t>The motion for an extension of time to serve and file the application for leave to appeal is granted. The application for leave to appeal is dismissed without costs.)</w:t>
      </w:r>
    </w:p>
    <w:p w:rsidR="00CD75F1" w:rsidRPr="00203598" w:rsidRDefault="00CD75F1" w:rsidP="00CD75F1">
      <w:pPr>
        <w:widowControl w:val="0"/>
        <w:rPr>
          <w:sz w:val="20"/>
        </w:rPr>
      </w:pPr>
    </w:p>
    <w:p w:rsidR="00CD75F1" w:rsidRPr="00203598" w:rsidRDefault="00CD75F1" w:rsidP="00CD75F1">
      <w:pPr>
        <w:jc w:val="both"/>
        <w:rPr>
          <w:sz w:val="20"/>
        </w:rPr>
      </w:pPr>
      <w:r w:rsidRPr="00203598">
        <w:rPr>
          <w:sz w:val="20"/>
        </w:rPr>
        <w:t>****</w:t>
      </w:r>
    </w:p>
    <w:p w:rsidR="00CD75F1" w:rsidRPr="00203598" w:rsidRDefault="00CD75F1" w:rsidP="00CD75F1">
      <w:pPr>
        <w:jc w:val="both"/>
        <w:rPr>
          <w:sz w:val="20"/>
        </w:rPr>
      </w:pPr>
    </w:p>
    <w:p w:rsidR="00644C13" w:rsidRPr="00203598" w:rsidRDefault="00644C13" w:rsidP="00644C13">
      <w:pPr>
        <w:jc w:val="both"/>
        <w:rPr>
          <w:sz w:val="22"/>
          <w:szCs w:val="22"/>
        </w:rPr>
      </w:pPr>
      <w:r w:rsidRPr="00203598">
        <w:rPr>
          <w:i/>
          <w:sz w:val="22"/>
          <w:szCs w:val="22"/>
        </w:rPr>
        <w:t>N-Krypt International Corp. v. Thierry LeVasseur</w:t>
      </w:r>
      <w:r w:rsidRPr="00203598">
        <w:rPr>
          <w:sz w:val="22"/>
          <w:szCs w:val="22"/>
        </w:rPr>
        <w:t xml:space="preserve"> (B.C.) (Civil) (By Leave) (</w:t>
      </w:r>
      <w:hyperlink r:id="rId19" w:history="1">
        <w:r w:rsidRPr="00203598">
          <w:rPr>
            <w:rStyle w:val="Hyperlink"/>
            <w:sz w:val="22"/>
            <w:szCs w:val="22"/>
          </w:rPr>
          <w:t>38018</w:t>
        </w:r>
      </w:hyperlink>
      <w:r w:rsidRPr="00203598">
        <w:rPr>
          <w:sz w:val="22"/>
          <w:szCs w:val="22"/>
        </w:rPr>
        <w:t>)</w:t>
      </w:r>
    </w:p>
    <w:p w:rsidR="00CD75F1" w:rsidRPr="00203598" w:rsidRDefault="00644C13" w:rsidP="00CD75F1">
      <w:pPr>
        <w:widowControl w:val="0"/>
        <w:rPr>
          <w:sz w:val="20"/>
        </w:rPr>
      </w:pPr>
      <w:r w:rsidRPr="00203598">
        <w:rPr>
          <w:sz w:val="20"/>
        </w:rPr>
        <w:t xml:space="preserve">(The application for leave to appeal is dismissed with costs. / La </w:t>
      </w:r>
      <w:proofErr w:type="spellStart"/>
      <w:r w:rsidRPr="00203598">
        <w:rPr>
          <w:sz w:val="20"/>
        </w:rPr>
        <w:t>demande</w:t>
      </w:r>
      <w:proofErr w:type="spellEnd"/>
      <w:r w:rsidRPr="00203598">
        <w:rPr>
          <w:sz w:val="20"/>
        </w:rPr>
        <w:t xml:space="preserve"> d’autorisation </w:t>
      </w:r>
      <w:proofErr w:type="spellStart"/>
      <w:r w:rsidRPr="00203598">
        <w:rPr>
          <w:sz w:val="20"/>
        </w:rPr>
        <w:t>d’appel</w:t>
      </w:r>
      <w:proofErr w:type="spellEnd"/>
      <w:r w:rsidRPr="00203598">
        <w:rPr>
          <w:sz w:val="20"/>
        </w:rPr>
        <w:t xml:space="preserve"> </w:t>
      </w:r>
      <w:proofErr w:type="spellStart"/>
      <w:proofErr w:type="gramStart"/>
      <w:r w:rsidRPr="00203598">
        <w:rPr>
          <w:sz w:val="20"/>
        </w:rPr>
        <w:t>est</w:t>
      </w:r>
      <w:proofErr w:type="spellEnd"/>
      <w:proofErr w:type="gramEnd"/>
      <w:r w:rsidRPr="00203598">
        <w:rPr>
          <w:sz w:val="20"/>
        </w:rPr>
        <w:t xml:space="preserve"> </w:t>
      </w:r>
      <w:proofErr w:type="spellStart"/>
      <w:r w:rsidRPr="00203598">
        <w:rPr>
          <w:sz w:val="20"/>
        </w:rPr>
        <w:t>rejetée</w:t>
      </w:r>
      <w:proofErr w:type="spellEnd"/>
      <w:r w:rsidRPr="00203598">
        <w:rPr>
          <w:sz w:val="20"/>
        </w:rPr>
        <w:t xml:space="preserve"> avec </w:t>
      </w:r>
      <w:proofErr w:type="spellStart"/>
      <w:r w:rsidRPr="00203598">
        <w:rPr>
          <w:sz w:val="20"/>
        </w:rPr>
        <w:t>dépens</w:t>
      </w:r>
      <w:proofErr w:type="spellEnd"/>
      <w:r w:rsidRPr="00203598">
        <w:rPr>
          <w:sz w:val="20"/>
        </w:rPr>
        <w:t>.)</w:t>
      </w:r>
    </w:p>
    <w:p w:rsidR="00CD75F1" w:rsidRPr="00203598" w:rsidRDefault="00CD75F1" w:rsidP="00CD75F1">
      <w:pPr>
        <w:widowControl w:val="0"/>
        <w:rPr>
          <w:sz w:val="20"/>
        </w:rPr>
      </w:pPr>
    </w:p>
    <w:p w:rsidR="00CD75F1" w:rsidRPr="00203598" w:rsidRDefault="00CD75F1" w:rsidP="00CD75F1">
      <w:pPr>
        <w:jc w:val="both"/>
        <w:rPr>
          <w:sz w:val="20"/>
        </w:rPr>
      </w:pPr>
      <w:r w:rsidRPr="00203598">
        <w:rPr>
          <w:sz w:val="20"/>
        </w:rPr>
        <w:t>****</w:t>
      </w:r>
    </w:p>
    <w:p w:rsidR="00CD75F1" w:rsidRPr="00203598" w:rsidRDefault="00CD75F1" w:rsidP="00CD75F1">
      <w:pPr>
        <w:jc w:val="both"/>
        <w:rPr>
          <w:sz w:val="20"/>
        </w:rPr>
      </w:pPr>
    </w:p>
    <w:p w:rsidR="00D7748D" w:rsidRPr="00203598" w:rsidRDefault="00D7748D" w:rsidP="00D7748D">
      <w:pPr>
        <w:jc w:val="both"/>
        <w:rPr>
          <w:sz w:val="22"/>
          <w:szCs w:val="22"/>
          <w:lang w:val="en-CA"/>
        </w:rPr>
      </w:pPr>
      <w:r w:rsidRPr="00203598">
        <w:rPr>
          <w:i/>
          <w:sz w:val="22"/>
          <w:szCs w:val="22"/>
        </w:rPr>
        <w:t>Jaspal Samra v. Keith Brennestuhl; Human Rights Tribunal of Ontario et al.</w:t>
      </w:r>
      <w:r w:rsidRPr="00203598">
        <w:rPr>
          <w:sz w:val="22"/>
          <w:szCs w:val="22"/>
        </w:rPr>
        <w:t xml:space="preserve"> </w:t>
      </w:r>
      <w:r w:rsidRPr="00203598">
        <w:rPr>
          <w:sz w:val="22"/>
          <w:szCs w:val="22"/>
          <w:lang w:val="en-CA"/>
        </w:rPr>
        <w:t xml:space="preserve">(Ont.) (Civil) (By Leave) </w:t>
      </w:r>
      <w:r w:rsidRPr="00203598">
        <w:rPr>
          <w:sz w:val="22"/>
          <w:szCs w:val="22"/>
        </w:rPr>
        <w:t>(</w:t>
      </w:r>
      <w:hyperlink r:id="rId20" w:history="1">
        <w:r w:rsidRPr="00203598">
          <w:rPr>
            <w:rStyle w:val="Hyperlink"/>
            <w:sz w:val="22"/>
            <w:szCs w:val="22"/>
          </w:rPr>
          <w:t>37979</w:t>
        </w:r>
      </w:hyperlink>
      <w:r w:rsidRPr="00203598">
        <w:rPr>
          <w:sz w:val="22"/>
          <w:szCs w:val="22"/>
        </w:rPr>
        <w:t>)</w:t>
      </w:r>
    </w:p>
    <w:p w:rsidR="00CD75F1" w:rsidRPr="00203598" w:rsidRDefault="00D7748D" w:rsidP="00CD75F1">
      <w:pPr>
        <w:widowControl w:val="0"/>
        <w:rPr>
          <w:sz w:val="20"/>
        </w:rPr>
      </w:pPr>
      <w:r w:rsidRPr="00203598">
        <w:rPr>
          <w:sz w:val="20"/>
        </w:rPr>
        <w:t xml:space="preserve">(Pursuant to Rule 6 of the </w:t>
      </w:r>
      <w:r w:rsidRPr="00203598">
        <w:rPr>
          <w:i/>
          <w:sz w:val="20"/>
        </w:rPr>
        <w:t>Rules of the Supreme Court of Canada</w:t>
      </w:r>
      <w:r w:rsidRPr="00203598">
        <w:rPr>
          <w:sz w:val="20"/>
        </w:rPr>
        <w:t xml:space="preserve">, the time to file the application for leave to appeal is extended to December 6, 2017. The application for leave to appeal is dismissed with no order as to costs. / </w:t>
      </w:r>
    </w:p>
    <w:p w:rsidR="00CD75F1" w:rsidRPr="00203598" w:rsidRDefault="00D7748D" w:rsidP="00CD75F1">
      <w:pPr>
        <w:widowControl w:val="0"/>
        <w:rPr>
          <w:sz w:val="20"/>
          <w:lang w:val="fr-CA"/>
        </w:rPr>
      </w:pPr>
      <w:r w:rsidRPr="00203598">
        <w:rPr>
          <w:sz w:val="20"/>
          <w:lang w:val="fr-CA"/>
        </w:rPr>
        <w:t xml:space="preserve">Conformément à la règle 6 des </w:t>
      </w:r>
      <w:r w:rsidRPr="00203598">
        <w:rPr>
          <w:i/>
          <w:sz w:val="20"/>
          <w:lang w:val="fr-CA"/>
        </w:rPr>
        <w:t>Règles de la Cour suprême du Canada</w:t>
      </w:r>
      <w:r w:rsidRPr="00203598">
        <w:rPr>
          <w:sz w:val="20"/>
          <w:lang w:val="fr-CA"/>
        </w:rPr>
        <w:t>, le délai pour déposer la demande d’autorisation d’appel est prorogé jusqu’au 6 décembre 2017. La demande d’autorisation d’appel est rejetée sans ordonnance quant aux dépens.)</w:t>
      </w:r>
    </w:p>
    <w:p w:rsidR="00CD75F1" w:rsidRPr="00203598" w:rsidRDefault="00CD75F1" w:rsidP="00CD75F1">
      <w:pPr>
        <w:widowControl w:val="0"/>
        <w:rPr>
          <w:sz w:val="20"/>
          <w:lang w:val="fr-CA"/>
        </w:rPr>
      </w:pPr>
    </w:p>
    <w:p w:rsidR="00CD75F1" w:rsidRPr="00203598" w:rsidRDefault="00CD75F1" w:rsidP="00CD75F1">
      <w:pPr>
        <w:jc w:val="both"/>
        <w:rPr>
          <w:sz w:val="20"/>
        </w:rPr>
      </w:pPr>
      <w:r w:rsidRPr="00203598">
        <w:rPr>
          <w:sz w:val="20"/>
        </w:rPr>
        <w:t>****</w:t>
      </w:r>
    </w:p>
    <w:p w:rsidR="00EC7F2C" w:rsidRPr="00203598" w:rsidRDefault="00EC7F2C" w:rsidP="006C152B">
      <w:pPr>
        <w:ind w:left="360" w:hanging="360"/>
        <w:contextualSpacing/>
        <w:jc w:val="both"/>
        <w:rPr>
          <w:sz w:val="20"/>
        </w:rPr>
      </w:pPr>
    </w:p>
    <w:p w:rsidR="00EC7F2C" w:rsidRPr="00203598" w:rsidRDefault="00EC7F2C" w:rsidP="006C152B">
      <w:pPr>
        <w:ind w:left="360" w:hanging="360"/>
        <w:contextualSpacing/>
        <w:jc w:val="both"/>
        <w:rPr>
          <w:sz w:val="20"/>
        </w:rPr>
      </w:pPr>
    </w:p>
    <w:p w:rsidR="002107EC" w:rsidRPr="00203598" w:rsidRDefault="002107EC" w:rsidP="00A17090">
      <w:pPr>
        <w:contextualSpacing/>
        <w:jc w:val="both"/>
        <w:rPr>
          <w:sz w:val="20"/>
        </w:rPr>
      </w:pPr>
    </w:p>
    <w:p w:rsidR="002E4682" w:rsidRPr="00203598" w:rsidRDefault="002E4682" w:rsidP="002E4682">
      <w:pPr>
        <w:widowControl w:val="0"/>
        <w:outlineLvl w:val="0"/>
      </w:pPr>
      <w:r w:rsidRPr="00203598">
        <w:t xml:space="preserve">Supreme Court of Canada / Cour suprême du </w:t>
      </w:r>
      <w:proofErr w:type="gramStart"/>
      <w:r w:rsidRPr="00203598">
        <w:t>Canada :</w:t>
      </w:r>
      <w:proofErr w:type="gramEnd"/>
      <w:r w:rsidRPr="00203598">
        <w:t xml:space="preserve"> </w:t>
      </w:r>
    </w:p>
    <w:p w:rsidR="002E4682" w:rsidRPr="00203598" w:rsidRDefault="00007844" w:rsidP="002E4682">
      <w:pPr>
        <w:widowControl w:val="0"/>
        <w:outlineLvl w:val="0"/>
        <w:rPr>
          <w:color w:val="0000FF"/>
          <w:u w:val="single"/>
        </w:rPr>
      </w:pPr>
      <w:hyperlink r:id="rId21" w:history="1">
        <w:r w:rsidR="002E4682" w:rsidRPr="00203598">
          <w:rPr>
            <w:rStyle w:val="Hyperlink"/>
          </w:rPr>
          <w:t>comments-commentaires@scc-csc.ca</w:t>
        </w:r>
      </w:hyperlink>
    </w:p>
    <w:p w:rsidR="002E4682" w:rsidRPr="00203598" w:rsidRDefault="002E4682" w:rsidP="002E4682">
      <w:pPr>
        <w:widowControl w:val="0"/>
        <w:outlineLvl w:val="0"/>
      </w:pPr>
      <w:r w:rsidRPr="00203598">
        <w:t>(613) 995-4330</w:t>
      </w:r>
    </w:p>
    <w:p w:rsidR="002E4682" w:rsidRPr="00203598" w:rsidRDefault="002E4682" w:rsidP="002E4682">
      <w:pPr>
        <w:widowControl w:val="0"/>
        <w:rPr>
          <w:sz w:val="20"/>
        </w:rPr>
      </w:pPr>
    </w:p>
    <w:p w:rsidR="002E4682" w:rsidRPr="00203598" w:rsidRDefault="002E4682" w:rsidP="002E4682">
      <w:pPr>
        <w:widowControl w:val="0"/>
        <w:rPr>
          <w:sz w:val="20"/>
        </w:rPr>
      </w:pPr>
    </w:p>
    <w:p w:rsidR="000C541E" w:rsidRPr="0057289B" w:rsidRDefault="002E4682">
      <w:pPr>
        <w:pStyle w:val="Footer"/>
        <w:jc w:val="center"/>
      </w:pPr>
      <w:r w:rsidRPr="00203598">
        <w:t>- 30 -</w:t>
      </w:r>
    </w:p>
    <w:sectPr w:rsidR="000C541E" w:rsidRPr="0057289B" w:rsidSect="007C3E99">
      <w:footerReference w:type="defaul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96CBA"/>
    <w:multiLevelType w:val="hybridMultilevel"/>
    <w:tmpl w:val="E5BCD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24751"/>
    <w:multiLevelType w:val="hybridMultilevel"/>
    <w:tmpl w:val="825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686D"/>
    <w:multiLevelType w:val="hybridMultilevel"/>
    <w:tmpl w:val="D2CEC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D61D4"/>
    <w:multiLevelType w:val="hybridMultilevel"/>
    <w:tmpl w:val="B66E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9"/>
  </w:num>
  <w:num w:numId="4">
    <w:abstractNumId w:val="5"/>
  </w:num>
  <w:num w:numId="5">
    <w:abstractNumId w:val="30"/>
  </w:num>
  <w:num w:numId="6">
    <w:abstractNumId w:val="22"/>
  </w:num>
  <w:num w:numId="7">
    <w:abstractNumId w:val="34"/>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27"/>
  </w:num>
  <w:num w:numId="13">
    <w:abstractNumId w:val="8"/>
  </w:num>
  <w:num w:numId="14">
    <w:abstractNumId w:val="6"/>
  </w:num>
  <w:num w:numId="15">
    <w:abstractNumId w:val="29"/>
  </w:num>
  <w:num w:numId="16">
    <w:abstractNumId w:val="15"/>
  </w:num>
  <w:num w:numId="17">
    <w:abstractNumId w:val="31"/>
  </w:num>
  <w:num w:numId="18">
    <w:abstractNumId w:val="17"/>
  </w:num>
  <w:num w:numId="19">
    <w:abstractNumId w:val="0"/>
  </w:num>
  <w:num w:numId="20">
    <w:abstractNumId w:val="2"/>
  </w:num>
  <w:num w:numId="21">
    <w:abstractNumId w:val="26"/>
  </w:num>
  <w:num w:numId="22">
    <w:abstractNumId w:val="33"/>
  </w:num>
  <w:num w:numId="23">
    <w:abstractNumId w:val="20"/>
  </w:num>
  <w:num w:numId="24">
    <w:abstractNumId w:val="32"/>
  </w:num>
  <w:num w:numId="25">
    <w:abstractNumId w:val="4"/>
  </w:num>
  <w:num w:numId="26">
    <w:abstractNumId w:val="28"/>
  </w:num>
  <w:num w:numId="27">
    <w:abstractNumId w:val="37"/>
  </w:num>
  <w:num w:numId="28">
    <w:abstractNumId w:val="35"/>
  </w:num>
  <w:num w:numId="29">
    <w:abstractNumId w:val="38"/>
  </w:num>
  <w:num w:numId="30">
    <w:abstractNumId w:val="39"/>
  </w:num>
  <w:num w:numId="31">
    <w:abstractNumId w:val="18"/>
  </w:num>
  <w:num w:numId="32">
    <w:abstractNumId w:val="24"/>
  </w:num>
  <w:num w:numId="33">
    <w:abstractNumId w:val="1"/>
  </w:num>
  <w:num w:numId="34">
    <w:abstractNumId w:val="3"/>
  </w:num>
  <w:num w:numId="35">
    <w:abstractNumId w:val="21"/>
  </w:num>
  <w:num w:numId="36">
    <w:abstractNumId w:val="13"/>
  </w:num>
  <w:num w:numId="37">
    <w:abstractNumId w:val="16"/>
  </w:num>
  <w:num w:numId="38">
    <w:abstractNumId w:val="41"/>
  </w:num>
  <w:num w:numId="39">
    <w:abstractNumId w:val="11"/>
  </w:num>
  <w:num w:numId="40">
    <w:abstractNumId w:val="23"/>
  </w:num>
  <w:num w:numId="41">
    <w:abstractNumId w:val="14"/>
  </w:num>
  <w:num w:numId="42">
    <w:abstractNumId w:val="10"/>
  </w:num>
  <w:num w:numId="43">
    <w:abstractNumId w:val="3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07844"/>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3F0F"/>
    <w:rsid w:val="0002445D"/>
    <w:rsid w:val="00024531"/>
    <w:rsid w:val="00024962"/>
    <w:rsid w:val="00025FB8"/>
    <w:rsid w:val="00026162"/>
    <w:rsid w:val="00026E74"/>
    <w:rsid w:val="0002704A"/>
    <w:rsid w:val="000275D5"/>
    <w:rsid w:val="000276EE"/>
    <w:rsid w:val="00027EC2"/>
    <w:rsid w:val="00031ACA"/>
    <w:rsid w:val="00033257"/>
    <w:rsid w:val="00033B10"/>
    <w:rsid w:val="00033D1E"/>
    <w:rsid w:val="00033D28"/>
    <w:rsid w:val="00034A7F"/>
    <w:rsid w:val="000350D2"/>
    <w:rsid w:val="00035790"/>
    <w:rsid w:val="00036753"/>
    <w:rsid w:val="000414BC"/>
    <w:rsid w:val="00041B58"/>
    <w:rsid w:val="00042069"/>
    <w:rsid w:val="0004279B"/>
    <w:rsid w:val="00043D06"/>
    <w:rsid w:val="00043FDE"/>
    <w:rsid w:val="00044217"/>
    <w:rsid w:val="0004601E"/>
    <w:rsid w:val="00047CD6"/>
    <w:rsid w:val="0005131F"/>
    <w:rsid w:val="00051DE6"/>
    <w:rsid w:val="0005591B"/>
    <w:rsid w:val="000577D9"/>
    <w:rsid w:val="000603E0"/>
    <w:rsid w:val="00060F87"/>
    <w:rsid w:val="000627A2"/>
    <w:rsid w:val="00064BA8"/>
    <w:rsid w:val="00064C3D"/>
    <w:rsid w:val="00065F8F"/>
    <w:rsid w:val="000660E6"/>
    <w:rsid w:val="00066B80"/>
    <w:rsid w:val="00067298"/>
    <w:rsid w:val="00067929"/>
    <w:rsid w:val="00067F50"/>
    <w:rsid w:val="00070830"/>
    <w:rsid w:val="00072F91"/>
    <w:rsid w:val="000731E6"/>
    <w:rsid w:val="00073D38"/>
    <w:rsid w:val="00077E0B"/>
    <w:rsid w:val="00077E16"/>
    <w:rsid w:val="0008004B"/>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82"/>
    <w:rsid w:val="000B618B"/>
    <w:rsid w:val="000B7258"/>
    <w:rsid w:val="000C014A"/>
    <w:rsid w:val="000C08E9"/>
    <w:rsid w:val="000C0E20"/>
    <w:rsid w:val="000C182C"/>
    <w:rsid w:val="000C3667"/>
    <w:rsid w:val="000C425D"/>
    <w:rsid w:val="000C541E"/>
    <w:rsid w:val="000C66BF"/>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3F6"/>
    <w:rsid w:val="00124DEC"/>
    <w:rsid w:val="00127484"/>
    <w:rsid w:val="00130FF5"/>
    <w:rsid w:val="00131605"/>
    <w:rsid w:val="00132635"/>
    <w:rsid w:val="00132E67"/>
    <w:rsid w:val="001352E4"/>
    <w:rsid w:val="001354E7"/>
    <w:rsid w:val="00136895"/>
    <w:rsid w:val="00136F92"/>
    <w:rsid w:val="001403D2"/>
    <w:rsid w:val="00141200"/>
    <w:rsid w:val="00141BC5"/>
    <w:rsid w:val="0014243F"/>
    <w:rsid w:val="00142C72"/>
    <w:rsid w:val="00143DD1"/>
    <w:rsid w:val="00144111"/>
    <w:rsid w:val="0014650B"/>
    <w:rsid w:val="00147BE4"/>
    <w:rsid w:val="00147DE3"/>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4D38"/>
    <w:rsid w:val="00176790"/>
    <w:rsid w:val="00176C45"/>
    <w:rsid w:val="00176CC2"/>
    <w:rsid w:val="001813C3"/>
    <w:rsid w:val="00182188"/>
    <w:rsid w:val="001830C1"/>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4F22"/>
    <w:rsid w:val="001A562F"/>
    <w:rsid w:val="001B07C7"/>
    <w:rsid w:val="001B3248"/>
    <w:rsid w:val="001B3257"/>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E165E"/>
    <w:rsid w:val="001E1BA7"/>
    <w:rsid w:val="001E1C80"/>
    <w:rsid w:val="001E2870"/>
    <w:rsid w:val="001E3BCD"/>
    <w:rsid w:val="001E4329"/>
    <w:rsid w:val="001F1186"/>
    <w:rsid w:val="001F12E4"/>
    <w:rsid w:val="001F27B1"/>
    <w:rsid w:val="001F30DD"/>
    <w:rsid w:val="001F5B11"/>
    <w:rsid w:val="001F79FD"/>
    <w:rsid w:val="00200F31"/>
    <w:rsid w:val="002012AC"/>
    <w:rsid w:val="0020221F"/>
    <w:rsid w:val="0020334D"/>
    <w:rsid w:val="00203598"/>
    <w:rsid w:val="00203AEA"/>
    <w:rsid w:val="00203C42"/>
    <w:rsid w:val="00205051"/>
    <w:rsid w:val="00205D01"/>
    <w:rsid w:val="0020794A"/>
    <w:rsid w:val="00207C3D"/>
    <w:rsid w:val="00207C7F"/>
    <w:rsid w:val="00210614"/>
    <w:rsid w:val="00210652"/>
    <w:rsid w:val="002107EC"/>
    <w:rsid w:val="00210BB0"/>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6C93"/>
    <w:rsid w:val="00237C53"/>
    <w:rsid w:val="002407C6"/>
    <w:rsid w:val="002407D0"/>
    <w:rsid w:val="00243304"/>
    <w:rsid w:val="002434DF"/>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C42"/>
    <w:rsid w:val="0026349D"/>
    <w:rsid w:val="002655B9"/>
    <w:rsid w:val="00265E51"/>
    <w:rsid w:val="00266E0E"/>
    <w:rsid w:val="002671CC"/>
    <w:rsid w:val="002709E7"/>
    <w:rsid w:val="00272D25"/>
    <w:rsid w:val="00273760"/>
    <w:rsid w:val="0027631F"/>
    <w:rsid w:val="002767DF"/>
    <w:rsid w:val="00276C42"/>
    <w:rsid w:val="00277449"/>
    <w:rsid w:val="002804C1"/>
    <w:rsid w:val="00280E55"/>
    <w:rsid w:val="00281D85"/>
    <w:rsid w:val="00282EF5"/>
    <w:rsid w:val="002839A2"/>
    <w:rsid w:val="002848CB"/>
    <w:rsid w:val="002858BA"/>
    <w:rsid w:val="002861F9"/>
    <w:rsid w:val="0028686B"/>
    <w:rsid w:val="00290A71"/>
    <w:rsid w:val="00290C85"/>
    <w:rsid w:val="0029170D"/>
    <w:rsid w:val="00292338"/>
    <w:rsid w:val="00292574"/>
    <w:rsid w:val="0029457E"/>
    <w:rsid w:val="00296182"/>
    <w:rsid w:val="00296512"/>
    <w:rsid w:val="00296766"/>
    <w:rsid w:val="002A08C0"/>
    <w:rsid w:val="002A0D9F"/>
    <w:rsid w:val="002A1071"/>
    <w:rsid w:val="002A10BE"/>
    <w:rsid w:val="002A4035"/>
    <w:rsid w:val="002A4D0A"/>
    <w:rsid w:val="002A5245"/>
    <w:rsid w:val="002A55D1"/>
    <w:rsid w:val="002A5C41"/>
    <w:rsid w:val="002A78A0"/>
    <w:rsid w:val="002B49D6"/>
    <w:rsid w:val="002B5525"/>
    <w:rsid w:val="002B63EB"/>
    <w:rsid w:val="002B6F52"/>
    <w:rsid w:val="002C082D"/>
    <w:rsid w:val="002C10D1"/>
    <w:rsid w:val="002C1A99"/>
    <w:rsid w:val="002C2D5B"/>
    <w:rsid w:val="002C5B18"/>
    <w:rsid w:val="002C61DF"/>
    <w:rsid w:val="002C63CB"/>
    <w:rsid w:val="002C6D9C"/>
    <w:rsid w:val="002D0C49"/>
    <w:rsid w:val="002D1371"/>
    <w:rsid w:val="002D1D51"/>
    <w:rsid w:val="002D2553"/>
    <w:rsid w:val="002D2B23"/>
    <w:rsid w:val="002D43A1"/>
    <w:rsid w:val="002D45D1"/>
    <w:rsid w:val="002D5CCE"/>
    <w:rsid w:val="002D6680"/>
    <w:rsid w:val="002D73A0"/>
    <w:rsid w:val="002E1F20"/>
    <w:rsid w:val="002E29C1"/>
    <w:rsid w:val="002E30C3"/>
    <w:rsid w:val="002E3911"/>
    <w:rsid w:val="002E3B68"/>
    <w:rsid w:val="002E4682"/>
    <w:rsid w:val="002F0620"/>
    <w:rsid w:val="002F06D0"/>
    <w:rsid w:val="002F0FF7"/>
    <w:rsid w:val="002F2E7A"/>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0825"/>
    <w:rsid w:val="00312D0B"/>
    <w:rsid w:val="003134D7"/>
    <w:rsid w:val="00313652"/>
    <w:rsid w:val="00314319"/>
    <w:rsid w:val="003143C0"/>
    <w:rsid w:val="003151B5"/>
    <w:rsid w:val="00315FF3"/>
    <w:rsid w:val="00316DFA"/>
    <w:rsid w:val="003205B7"/>
    <w:rsid w:val="003207FB"/>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54F"/>
    <w:rsid w:val="00355DB1"/>
    <w:rsid w:val="00357AFF"/>
    <w:rsid w:val="00360FCE"/>
    <w:rsid w:val="00362520"/>
    <w:rsid w:val="00362E82"/>
    <w:rsid w:val="00364001"/>
    <w:rsid w:val="0036464A"/>
    <w:rsid w:val="0036541E"/>
    <w:rsid w:val="00366709"/>
    <w:rsid w:val="00366BF8"/>
    <w:rsid w:val="003676FD"/>
    <w:rsid w:val="0037013D"/>
    <w:rsid w:val="003710CD"/>
    <w:rsid w:val="00371399"/>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4862"/>
    <w:rsid w:val="003B5381"/>
    <w:rsid w:val="003B61F0"/>
    <w:rsid w:val="003B64B3"/>
    <w:rsid w:val="003B6E18"/>
    <w:rsid w:val="003C2E5C"/>
    <w:rsid w:val="003C5E25"/>
    <w:rsid w:val="003C5F5E"/>
    <w:rsid w:val="003C6BB7"/>
    <w:rsid w:val="003C7BF7"/>
    <w:rsid w:val="003D0A88"/>
    <w:rsid w:val="003D1601"/>
    <w:rsid w:val="003D1FDF"/>
    <w:rsid w:val="003D27BD"/>
    <w:rsid w:val="003D52D1"/>
    <w:rsid w:val="003D67ED"/>
    <w:rsid w:val="003E0468"/>
    <w:rsid w:val="003E0670"/>
    <w:rsid w:val="003E0D5A"/>
    <w:rsid w:val="003E2416"/>
    <w:rsid w:val="003E3957"/>
    <w:rsid w:val="003E5769"/>
    <w:rsid w:val="003E597E"/>
    <w:rsid w:val="003E6558"/>
    <w:rsid w:val="003E7FB7"/>
    <w:rsid w:val="003F1029"/>
    <w:rsid w:val="003F1BAE"/>
    <w:rsid w:val="003F1E6F"/>
    <w:rsid w:val="003F25CB"/>
    <w:rsid w:val="003F3BC1"/>
    <w:rsid w:val="003F43E6"/>
    <w:rsid w:val="003F466B"/>
    <w:rsid w:val="003F573E"/>
    <w:rsid w:val="004000BE"/>
    <w:rsid w:val="0040063B"/>
    <w:rsid w:val="0040101A"/>
    <w:rsid w:val="00401A03"/>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160E"/>
    <w:rsid w:val="00426676"/>
    <w:rsid w:val="00426976"/>
    <w:rsid w:val="00427F4F"/>
    <w:rsid w:val="00430373"/>
    <w:rsid w:val="004305AF"/>
    <w:rsid w:val="00432412"/>
    <w:rsid w:val="00433C3E"/>
    <w:rsid w:val="00434871"/>
    <w:rsid w:val="00434B35"/>
    <w:rsid w:val="00435BBE"/>
    <w:rsid w:val="0044099A"/>
    <w:rsid w:val="00444072"/>
    <w:rsid w:val="00444934"/>
    <w:rsid w:val="004511AB"/>
    <w:rsid w:val="00451AD0"/>
    <w:rsid w:val="0045235F"/>
    <w:rsid w:val="004533F1"/>
    <w:rsid w:val="00453400"/>
    <w:rsid w:val="00453AB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869EA"/>
    <w:rsid w:val="004904F3"/>
    <w:rsid w:val="00490DDC"/>
    <w:rsid w:val="00491173"/>
    <w:rsid w:val="00491D60"/>
    <w:rsid w:val="00494283"/>
    <w:rsid w:val="00494CD1"/>
    <w:rsid w:val="004957BA"/>
    <w:rsid w:val="0049607D"/>
    <w:rsid w:val="004963C9"/>
    <w:rsid w:val="004970C9"/>
    <w:rsid w:val="00497B5E"/>
    <w:rsid w:val="00497D57"/>
    <w:rsid w:val="00497E41"/>
    <w:rsid w:val="004A0FED"/>
    <w:rsid w:val="004A1296"/>
    <w:rsid w:val="004A1699"/>
    <w:rsid w:val="004A224A"/>
    <w:rsid w:val="004A2FD6"/>
    <w:rsid w:val="004A3074"/>
    <w:rsid w:val="004A3208"/>
    <w:rsid w:val="004A3A12"/>
    <w:rsid w:val="004A7CEC"/>
    <w:rsid w:val="004B06E1"/>
    <w:rsid w:val="004B0CC1"/>
    <w:rsid w:val="004B127F"/>
    <w:rsid w:val="004B35A2"/>
    <w:rsid w:val="004B427D"/>
    <w:rsid w:val="004B4D25"/>
    <w:rsid w:val="004B5A50"/>
    <w:rsid w:val="004B6380"/>
    <w:rsid w:val="004B72EC"/>
    <w:rsid w:val="004C0544"/>
    <w:rsid w:val="004C2585"/>
    <w:rsid w:val="004C281D"/>
    <w:rsid w:val="004C2D83"/>
    <w:rsid w:val="004C2E9D"/>
    <w:rsid w:val="004C30A6"/>
    <w:rsid w:val="004C4513"/>
    <w:rsid w:val="004C4C26"/>
    <w:rsid w:val="004C7FC6"/>
    <w:rsid w:val="004D0704"/>
    <w:rsid w:val="004D422A"/>
    <w:rsid w:val="004E020B"/>
    <w:rsid w:val="004E0B2F"/>
    <w:rsid w:val="004E1B3F"/>
    <w:rsid w:val="004E33C5"/>
    <w:rsid w:val="004E62C6"/>
    <w:rsid w:val="004F0EC9"/>
    <w:rsid w:val="004F2287"/>
    <w:rsid w:val="004F27DD"/>
    <w:rsid w:val="004F36A1"/>
    <w:rsid w:val="004F40AB"/>
    <w:rsid w:val="004F5B79"/>
    <w:rsid w:val="004F66ED"/>
    <w:rsid w:val="004F672B"/>
    <w:rsid w:val="004F7009"/>
    <w:rsid w:val="00502AA3"/>
    <w:rsid w:val="00502F3E"/>
    <w:rsid w:val="00503196"/>
    <w:rsid w:val="00504706"/>
    <w:rsid w:val="00507026"/>
    <w:rsid w:val="0051062F"/>
    <w:rsid w:val="00511E62"/>
    <w:rsid w:val="00512BC5"/>
    <w:rsid w:val="005146FA"/>
    <w:rsid w:val="0051517F"/>
    <w:rsid w:val="00516260"/>
    <w:rsid w:val="00516E12"/>
    <w:rsid w:val="005173DC"/>
    <w:rsid w:val="005208AC"/>
    <w:rsid w:val="00521EFA"/>
    <w:rsid w:val="005229FF"/>
    <w:rsid w:val="005232E3"/>
    <w:rsid w:val="00525B79"/>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66DF2"/>
    <w:rsid w:val="00570169"/>
    <w:rsid w:val="0057289B"/>
    <w:rsid w:val="005756A3"/>
    <w:rsid w:val="005805A8"/>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B743E"/>
    <w:rsid w:val="005C0F87"/>
    <w:rsid w:val="005C1075"/>
    <w:rsid w:val="005C196C"/>
    <w:rsid w:val="005C2CA2"/>
    <w:rsid w:val="005C3064"/>
    <w:rsid w:val="005C413E"/>
    <w:rsid w:val="005C5C2F"/>
    <w:rsid w:val="005C7BBF"/>
    <w:rsid w:val="005D019B"/>
    <w:rsid w:val="005D0DE0"/>
    <w:rsid w:val="005D1C0B"/>
    <w:rsid w:val="005D29DE"/>
    <w:rsid w:val="005D2C20"/>
    <w:rsid w:val="005D2DE6"/>
    <w:rsid w:val="005D3069"/>
    <w:rsid w:val="005D35E4"/>
    <w:rsid w:val="005D3730"/>
    <w:rsid w:val="005D5219"/>
    <w:rsid w:val="005D7831"/>
    <w:rsid w:val="005E0EF2"/>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4C13"/>
    <w:rsid w:val="006451E9"/>
    <w:rsid w:val="006464B6"/>
    <w:rsid w:val="00647438"/>
    <w:rsid w:val="00650965"/>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5499"/>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49A"/>
    <w:rsid w:val="006C477E"/>
    <w:rsid w:val="006C6301"/>
    <w:rsid w:val="006C7E68"/>
    <w:rsid w:val="006D0DD8"/>
    <w:rsid w:val="006D0F19"/>
    <w:rsid w:val="006D3FB0"/>
    <w:rsid w:val="006D443D"/>
    <w:rsid w:val="006D4C3A"/>
    <w:rsid w:val="006D50F8"/>
    <w:rsid w:val="006D56E9"/>
    <w:rsid w:val="006D614A"/>
    <w:rsid w:val="006D6B0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4713"/>
    <w:rsid w:val="006F5483"/>
    <w:rsid w:val="006F5E7C"/>
    <w:rsid w:val="006F6638"/>
    <w:rsid w:val="006F6D08"/>
    <w:rsid w:val="006F79EE"/>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5EE1"/>
    <w:rsid w:val="007479FD"/>
    <w:rsid w:val="00747C5A"/>
    <w:rsid w:val="00750A93"/>
    <w:rsid w:val="00750B42"/>
    <w:rsid w:val="00751DE7"/>
    <w:rsid w:val="00755055"/>
    <w:rsid w:val="00757888"/>
    <w:rsid w:val="00760D26"/>
    <w:rsid w:val="00761D51"/>
    <w:rsid w:val="007626D3"/>
    <w:rsid w:val="00763367"/>
    <w:rsid w:val="00766432"/>
    <w:rsid w:val="00766983"/>
    <w:rsid w:val="0077122D"/>
    <w:rsid w:val="007712C3"/>
    <w:rsid w:val="00771432"/>
    <w:rsid w:val="007716CD"/>
    <w:rsid w:val="0077287B"/>
    <w:rsid w:val="007736D0"/>
    <w:rsid w:val="00774310"/>
    <w:rsid w:val="00775FEC"/>
    <w:rsid w:val="00776281"/>
    <w:rsid w:val="007768EA"/>
    <w:rsid w:val="0077725B"/>
    <w:rsid w:val="00777EBC"/>
    <w:rsid w:val="007823D7"/>
    <w:rsid w:val="00782E96"/>
    <w:rsid w:val="00783617"/>
    <w:rsid w:val="007862ED"/>
    <w:rsid w:val="0078776F"/>
    <w:rsid w:val="00795FC0"/>
    <w:rsid w:val="007970F8"/>
    <w:rsid w:val="007975AC"/>
    <w:rsid w:val="00797B6B"/>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086"/>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71E"/>
    <w:rsid w:val="007F4F42"/>
    <w:rsid w:val="008008DF"/>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20"/>
    <w:rsid w:val="00824713"/>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4C67"/>
    <w:rsid w:val="0085543E"/>
    <w:rsid w:val="0085559F"/>
    <w:rsid w:val="00857B21"/>
    <w:rsid w:val="00860210"/>
    <w:rsid w:val="008602E3"/>
    <w:rsid w:val="00861CAB"/>
    <w:rsid w:val="00863AA5"/>
    <w:rsid w:val="00865274"/>
    <w:rsid w:val="00866A27"/>
    <w:rsid w:val="00867716"/>
    <w:rsid w:val="00867A56"/>
    <w:rsid w:val="0087081B"/>
    <w:rsid w:val="00871C02"/>
    <w:rsid w:val="008738D7"/>
    <w:rsid w:val="00874308"/>
    <w:rsid w:val="008762F7"/>
    <w:rsid w:val="00876A08"/>
    <w:rsid w:val="0087734D"/>
    <w:rsid w:val="0087771F"/>
    <w:rsid w:val="00877B13"/>
    <w:rsid w:val="00880EC6"/>
    <w:rsid w:val="008825DB"/>
    <w:rsid w:val="008836A7"/>
    <w:rsid w:val="00883F3F"/>
    <w:rsid w:val="008853E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5A1E"/>
    <w:rsid w:val="008C6043"/>
    <w:rsid w:val="008C73F6"/>
    <w:rsid w:val="008C7834"/>
    <w:rsid w:val="008C7C77"/>
    <w:rsid w:val="008C7CD9"/>
    <w:rsid w:val="008D3544"/>
    <w:rsid w:val="008D3B18"/>
    <w:rsid w:val="008D3D04"/>
    <w:rsid w:val="008D579D"/>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1343"/>
    <w:rsid w:val="00902AD7"/>
    <w:rsid w:val="009035A2"/>
    <w:rsid w:val="00907409"/>
    <w:rsid w:val="009074C8"/>
    <w:rsid w:val="00910442"/>
    <w:rsid w:val="00912BCC"/>
    <w:rsid w:val="00913D1E"/>
    <w:rsid w:val="00914783"/>
    <w:rsid w:val="009164C6"/>
    <w:rsid w:val="009166C2"/>
    <w:rsid w:val="00920A81"/>
    <w:rsid w:val="00922A7B"/>
    <w:rsid w:val="00923646"/>
    <w:rsid w:val="00925955"/>
    <w:rsid w:val="00925C95"/>
    <w:rsid w:val="0092773B"/>
    <w:rsid w:val="00930D7C"/>
    <w:rsid w:val="00932E04"/>
    <w:rsid w:val="009340AB"/>
    <w:rsid w:val="00936192"/>
    <w:rsid w:val="00936642"/>
    <w:rsid w:val="009367AC"/>
    <w:rsid w:val="00940746"/>
    <w:rsid w:val="00942A08"/>
    <w:rsid w:val="00942CAD"/>
    <w:rsid w:val="00943363"/>
    <w:rsid w:val="009434F5"/>
    <w:rsid w:val="009441A5"/>
    <w:rsid w:val="00944736"/>
    <w:rsid w:val="00950FA8"/>
    <w:rsid w:val="00951233"/>
    <w:rsid w:val="00952AFC"/>
    <w:rsid w:val="00952FCA"/>
    <w:rsid w:val="00956067"/>
    <w:rsid w:val="009571E4"/>
    <w:rsid w:val="009574CC"/>
    <w:rsid w:val="00957921"/>
    <w:rsid w:val="00957C00"/>
    <w:rsid w:val="00957EFD"/>
    <w:rsid w:val="009619CF"/>
    <w:rsid w:val="0096282F"/>
    <w:rsid w:val="00963DC8"/>
    <w:rsid w:val="00964197"/>
    <w:rsid w:val="00966A89"/>
    <w:rsid w:val="0097114B"/>
    <w:rsid w:val="00971A04"/>
    <w:rsid w:val="00971F36"/>
    <w:rsid w:val="00972A4E"/>
    <w:rsid w:val="0097588C"/>
    <w:rsid w:val="00977C25"/>
    <w:rsid w:val="009807C9"/>
    <w:rsid w:val="0098122A"/>
    <w:rsid w:val="009833CB"/>
    <w:rsid w:val="009837A3"/>
    <w:rsid w:val="0098395F"/>
    <w:rsid w:val="00983AFA"/>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A34"/>
    <w:rsid w:val="009A5EF6"/>
    <w:rsid w:val="009A6043"/>
    <w:rsid w:val="009A6F9E"/>
    <w:rsid w:val="009B0110"/>
    <w:rsid w:val="009B0602"/>
    <w:rsid w:val="009B0987"/>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C71"/>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EF8"/>
    <w:rsid w:val="009F4F1B"/>
    <w:rsid w:val="009F51A9"/>
    <w:rsid w:val="009F5783"/>
    <w:rsid w:val="009F5872"/>
    <w:rsid w:val="009F6D2A"/>
    <w:rsid w:val="009F6F6E"/>
    <w:rsid w:val="00A00F88"/>
    <w:rsid w:val="00A01AAA"/>
    <w:rsid w:val="00A02451"/>
    <w:rsid w:val="00A041C7"/>
    <w:rsid w:val="00A04539"/>
    <w:rsid w:val="00A06B3C"/>
    <w:rsid w:val="00A101C0"/>
    <w:rsid w:val="00A117F4"/>
    <w:rsid w:val="00A12CC9"/>
    <w:rsid w:val="00A12DC8"/>
    <w:rsid w:val="00A138C3"/>
    <w:rsid w:val="00A17090"/>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92D"/>
    <w:rsid w:val="00A45F29"/>
    <w:rsid w:val="00A466AC"/>
    <w:rsid w:val="00A46D73"/>
    <w:rsid w:val="00A476D4"/>
    <w:rsid w:val="00A50604"/>
    <w:rsid w:val="00A50E26"/>
    <w:rsid w:val="00A52186"/>
    <w:rsid w:val="00A54818"/>
    <w:rsid w:val="00A54F6C"/>
    <w:rsid w:val="00A56409"/>
    <w:rsid w:val="00A5682D"/>
    <w:rsid w:val="00A575AD"/>
    <w:rsid w:val="00A57B79"/>
    <w:rsid w:val="00A60146"/>
    <w:rsid w:val="00A602C0"/>
    <w:rsid w:val="00A60CA4"/>
    <w:rsid w:val="00A62285"/>
    <w:rsid w:val="00A635D9"/>
    <w:rsid w:val="00A64BF1"/>
    <w:rsid w:val="00A70197"/>
    <w:rsid w:val="00A73387"/>
    <w:rsid w:val="00A8029C"/>
    <w:rsid w:val="00A8033D"/>
    <w:rsid w:val="00A80695"/>
    <w:rsid w:val="00A80781"/>
    <w:rsid w:val="00A80F5B"/>
    <w:rsid w:val="00A81963"/>
    <w:rsid w:val="00A8395A"/>
    <w:rsid w:val="00A83C7E"/>
    <w:rsid w:val="00A8418C"/>
    <w:rsid w:val="00A8486E"/>
    <w:rsid w:val="00A84DA1"/>
    <w:rsid w:val="00A86B78"/>
    <w:rsid w:val="00A9019A"/>
    <w:rsid w:val="00A93A7A"/>
    <w:rsid w:val="00A94210"/>
    <w:rsid w:val="00A960E9"/>
    <w:rsid w:val="00A96928"/>
    <w:rsid w:val="00A97F93"/>
    <w:rsid w:val="00AA0E4D"/>
    <w:rsid w:val="00AA1E5C"/>
    <w:rsid w:val="00AB05C9"/>
    <w:rsid w:val="00AB0760"/>
    <w:rsid w:val="00AB09B6"/>
    <w:rsid w:val="00AB2AAE"/>
    <w:rsid w:val="00AB2C0F"/>
    <w:rsid w:val="00AB5604"/>
    <w:rsid w:val="00AB59AC"/>
    <w:rsid w:val="00AC0AB0"/>
    <w:rsid w:val="00AC21C6"/>
    <w:rsid w:val="00AC33F8"/>
    <w:rsid w:val="00AC3779"/>
    <w:rsid w:val="00AC41BC"/>
    <w:rsid w:val="00AC5AEC"/>
    <w:rsid w:val="00AD0097"/>
    <w:rsid w:val="00AD020B"/>
    <w:rsid w:val="00AD30C3"/>
    <w:rsid w:val="00AD4780"/>
    <w:rsid w:val="00AD52A6"/>
    <w:rsid w:val="00AD68F4"/>
    <w:rsid w:val="00AD6AD0"/>
    <w:rsid w:val="00AD7038"/>
    <w:rsid w:val="00AE2218"/>
    <w:rsid w:val="00AE42F5"/>
    <w:rsid w:val="00AE4721"/>
    <w:rsid w:val="00AE62B2"/>
    <w:rsid w:val="00AE747B"/>
    <w:rsid w:val="00AF1653"/>
    <w:rsid w:val="00AF1EFF"/>
    <w:rsid w:val="00AF5A9D"/>
    <w:rsid w:val="00AF6DC0"/>
    <w:rsid w:val="00AF6E3E"/>
    <w:rsid w:val="00AF74DF"/>
    <w:rsid w:val="00B02DE3"/>
    <w:rsid w:val="00B037AA"/>
    <w:rsid w:val="00B04B0F"/>
    <w:rsid w:val="00B066B1"/>
    <w:rsid w:val="00B07C7F"/>
    <w:rsid w:val="00B10162"/>
    <w:rsid w:val="00B10B81"/>
    <w:rsid w:val="00B1160A"/>
    <w:rsid w:val="00B12339"/>
    <w:rsid w:val="00B1256C"/>
    <w:rsid w:val="00B12E59"/>
    <w:rsid w:val="00B13787"/>
    <w:rsid w:val="00B1445B"/>
    <w:rsid w:val="00B14B19"/>
    <w:rsid w:val="00B1644E"/>
    <w:rsid w:val="00B16D65"/>
    <w:rsid w:val="00B21AD9"/>
    <w:rsid w:val="00B21E87"/>
    <w:rsid w:val="00B220E6"/>
    <w:rsid w:val="00B22D45"/>
    <w:rsid w:val="00B245B8"/>
    <w:rsid w:val="00B24ABA"/>
    <w:rsid w:val="00B25939"/>
    <w:rsid w:val="00B25FB2"/>
    <w:rsid w:val="00B30861"/>
    <w:rsid w:val="00B3266D"/>
    <w:rsid w:val="00B3366A"/>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74ED"/>
    <w:rsid w:val="00B50D48"/>
    <w:rsid w:val="00B5139A"/>
    <w:rsid w:val="00B548FD"/>
    <w:rsid w:val="00B55EA9"/>
    <w:rsid w:val="00B57024"/>
    <w:rsid w:val="00B57067"/>
    <w:rsid w:val="00B63604"/>
    <w:rsid w:val="00B63AF6"/>
    <w:rsid w:val="00B6480A"/>
    <w:rsid w:val="00B6581A"/>
    <w:rsid w:val="00B6639E"/>
    <w:rsid w:val="00B67C07"/>
    <w:rsid w:val="00B70890"/>
    <w:rsid w:val="00B71369"/>
    <w:rsid w:val="00B73606"/>
    <w:rsid w:val="00B74DA0"/>
    <w:rsid w:val="00B75614"/>
    <w:rsid w:val="00B76DCA"/>
    <w:rsid w:val="00B7733B"/>
    <w:rsid w:val="00B77409"/>
    <w:rsid w:val="00B80F85"/>
    <w:rsid w:val="00B820C2"/>
    <w:rsid w:val="00B83D3B"/>
    <w:rsid w:val="00B83EBF"/>
    <w:rsid w:val="00B84490"/>
    <w:rsid w:val="00B84553"/>
    <w:rsid w:val="00B84F90"/>
    <w:rsid w:val="00B86D28"/>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B2B09"/>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55DE"/>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276D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4110"/>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2"/>
    <w:rsid w:val="00C653FB"/>
    <w:rsid w:val="00C6540C"/>
    <w:rsid w:val="00C65D72"/>
    <w:rsid w:val="00C66D71"/>
    <w:rsid w:val="00C67CD6"/>
    <w:rsid w:val="00C70EFD"/>
    <w:rsid w:val="00C717C9"/>
    <w:rsid w:val="00C7351D"/>
    <w:rsid w:val="00C74030"/>
    <w:rsid w:val="00C75878"/>
    <w:rsid w:val="00C76BBB"/>
    <w:rsid w:val="00C77074"/>
    <w:rsid w:val="00C779D4"/>
    <w:rsid w:val="00C77C0E"/>
    <w:rsid w:val="00C8231C"/>
    <w:rsid w:val="00C8343F"/>
    <w:rsid w:val="00C85915"/>
    <w:rsid w:val="00C86AE1"/>
    <w:rsid w:val="00C935F6"/>
    <w:rsid w:val="00C94C9B"/>
    <w:rsid w:val="00C9530B"/>
    <w:rsid w:val="00C959D0"/>
    <w:rsid w:val="00C95D6B"/>
    <w:rsid w:val="00C95FE4"/>
    <w:rsid w:val="00C96CB2"/>
    <w:rsid w:val="00C9788C"/>
    <w:rsid w:val="00C97C59"/>
    <w:rsid w:val="00CA1975"/>
    <w:rsid w:val="00CA40AB"/>
    <w:rsid w:val="00CA64A9"/>
    <w:rsid w:val="00CA6FFC"/>
    <w:rsid w:val="00CA7BB3"/>
    <w:rsid w:val="00CB1766"/>
    <w:rsid w:val="00CB1E90"/>
    <w:rsid w:val="00CB215C"/>
    <w:rsid w:val="00CB3B10"/>
    <w:rsid w:val="00CB3FC8"/>
    <w:rsid w:val="00CB4831"/>
    <w:rsid w:val="00CB5DBA"/>
    <w:rsid w:val="00CB5FBD"/>
    <w:rsid w:val="00CB6701"/>
    <w:rsid w:val="00CB7716"/>
    <w:rsid w:val="00CB7F2D"/>
    <w:rsid w:val="00CC044F"/>
    <w:rsid w:val="00CC1D2F"/>
    <w:rsid w:val="00CC23DF"/>
    <w:rsid w:val="00CC31EF"/>
    <w:rsid w:val="00CC43A4"/>
    <w:rsid w:val="00CC4A80"/>
    <w:rsid w:val="00CC4C01"/>
    <w:rsid w:val="00CC530D"/>
    <w:rsid w:val="00CC6839"/>
    <w:rsid w:val="00CC7478"/>
    <w:rsid w:val="00CC759C"/>
    <w:rsid w:val="00CD0363"/>
    <w:rsid w:val="00CD171A"/>
    <w:rsid w:val="00CD1CCD"/>
    <w:rsid w:val="00CD4F9A"/>
    <w:rsid w:val="00CD7593"/>
    <w:rsid w:val="00CD75F1"/>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07DA2"/>
    <w:rsid w:val="00D1308F"/>
    <w:rsid w:val="00D1479F"/>
    <w:rsid w:val="00D16C4E"/>
    <w:rsid w:val="00D202AE"/>
    <w:rsid w:val="00D207B2"/>
    <w:rsid w:val="00D22FBA"/>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599A"/>
    <w:rsid w:val="00D6634C"/>
    <w:rsid w:val="00D669A4"/>
    <w:rsid w:val="00D7143F"/>
    <w:rsid w:val="00D71775"/>
    <w:rsid w:val="00D72617"/>
    <w:rsid w:val="00D72F0C"/>
    <w:rsid w:val="00D74860"/>
    <w:rsid w:val="00D7507B"/>
    <w:rsid w:val="00D7557F"/>
    <w:rsid w:val="00D75968"/>
    <w:rsid w:val="00D75BC9"/>
    <w:rsid w:val="00D75EE3"/>
    <w:rsid w:val="00D76168"/>
    <w:rsid w:val="00D77160"/>
    <w:rsid w:val="00D7748D"/>
    <w:rsid w:val="00D80E99"/>
    <w:rsid w:val="00D81BB1"/>
    <w:rsid w:val="00D81C9B"/>
    <w:rsid w:val="00D822FE"/>
    <w:rsid w:val="00D83D17"/>
    <w:rsid w:val="00D84F6A"/>
    <w:rsid w:val="00D852CC"/>
    <w:rsid w:val="00D869C1"/>
    <w:rsid w:val="00D90F27"/>
    <w:rsid w:val="00D90F8B"/>
    <w:rsid w:val="00D92517"/>
    <w:rsid w:val="00D92F3E"/>
    <w:rsid w:val="00D94E30"/>
    <w:rsid w:val="00D95F43"/>
    <w:rsid w:val="00DA06BD"/>
    <w:rsid w:val="00DA17B0"/>
    <w:rsid w:val="00DA2720"/>
    <w:rsid w:val="00DA2C00"/>
    <w:rsid w:val="00DA3CA7"/>
    <w:rsid w:val="00DA4F54"/>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D0EF5"/>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DF7245"/>
    <w:rsid w:val="00E00723"/>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2108D"/>
    <w:rsid w:val="00E21F3F"/>
    <w:rsid w:val="00E21F53"/>
    <w:rsid w:val="00E21F9F"/>
    <w:rsid w:val="00E220EA"/>
    <w:rsid w:val="00E22F66"/>
    <w:rsid w:val="00E23054"/>
    <w:rsid w:val="00E236AB"/>
    <w:rsid w:val="00E237A8"/>
    <w:rsid w:val="00E25852"/>
    <w:rsid w:val="00E27508"/>
    <w:rsid w:val="00E30066"/>
    <w:rsid w:val="00E30827"/>
    <w:rsid w:val="00E31BA9"/>
    <w:rsid w:val="00E337E8"/>
    <w:rsid w:val="00E33E8D"/>
    <w:rsid w:val="00E33F7B"/>
    <w:rsid w:val="00E34AA2"/>
    <w:rsid w:val="00E35507"/>
    <w:rsid w:val="00E370F1"/>
    <w:rsid w:val="00E37552"/>
    <w:rsid w:val="00E37C49"/>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0733"/>
    <w:rsid w:val="00E710C9"/>
    <w:rsid w:val="00E724E4"/>
    <w:rsid w:val="00E73312"/>
    <w:rsid w:val="00E735D4"/>
    <w:rsid w:val="00E75928"/>
    <w:rsid w:val="00E76439"/>
    <w:rsid w:val="00E76BAC"/>
    <w:rsid w:val="00E80002"/>
    <w:rsid w:val="00E80317"/>
    <w:rsid w:val="00E83A2B"/>
    <w:rsid w:val="00E841FF"/>
    <w:rsid w:val="00E84544"/>
    <w:rsid w:val="00E84795"/>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391F"/>
    <w:rsid w:val="00EC44F3"/>
    <w:rsid w:val="00EC4647"/>
    <w:rsid w:val="00EC4A6C"/>
    <w:rsid w:val="00EC4FBB"/>
    <w:rsid w:val="00EC52E0"/>
    <w:rsid w:val="00EC55C8"/>
    <w:rsid w:val="00EC7F2C"/>
    <w:rsid w:val="00ED1803"/>
    <w:rsid w:val="00ED200B"/>
    <w:rsid w:val="00ED2E12"/>
    <w:rsid w:val="00ED4F03"/>
    <w:rsid w:val="00ED5900"/>
    <w:rsid w:val="00ED7509"/>
    <w:rsid w:val="00EE173D"/>
    <w:rsid w:val="00EE1CB9"/>
    <w:rsid w:val="00EE24D6"/>
    <w:rsid w:val="00EE475F"/>
    <w:rsid w:val="00EE59C6"/>
    <w:rsid w:val="00EE7852"/>
    <w:rsid w:val="00EF0C04"/>
    <w:rsid w:val="00EF1864"/>
    <w:rsid w:val="00EF1F85"/>
    <w:rsid w:val="00EF26B4"/>
    <w:rsid w:val="00EF3641"/>
    <w:rsid w:val="00EF3F23"/>
    <w:rsid w:val="00EF5BF9"/>
    <w:rsid w:val="00EF63CB"/>
    <w:rsid w:val="00EF7C06"/>
    <w:rsid w:val="00F02E36"/>
    <w:rsid w:val="00F03839"/>
    <w:rsid w:val="00F0392F"/>
    <w:rsid w:val="00F04707"/>
    <w:rsid w:val="00F04ACD"/>
    <w:rsid w:val="00F057D3"/>
    <w:rsid w:val="00F06BBB"/>
    <w:rsid w:val="00F06DAD"/>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1696"/>
    <w:rsid w:val="00F32569"/>
    <w:rsid w:val="00F33612"/>
    <w:rsid w:val="00F33C90"/>
    <w:rsid w:val="00F33EEA"/>
    <w:rsid w:val="00F35C22"/>
    <w:rsid w:val="00F3661E"/>
    <w:rsid w:val="00F41337"/>
    <w:rsid w:val="00F41940"/>
    <w:rsid w:val="00F4298E"/>
    <w:rsid w:val="00F44405"/>
    <w:rsid w:val="00F44A77"/>
    <w:rsid w:val="00F46255"/>
    <w:rsid w:val="00F46BAA"/>
    <w:rsid w:val="00F50007"/>
    <w:rsid w:val="00F50E67"/>
    <w:rsid w:val="00F5158A"/>
    <w:rsid w:val="00F53282"/>
    <w:rsid w:val="00F53B21"/>
    <w:rsid w:val="00F55369"/>
    <w:rsid w:val="00F5608F"/>
    <w:rsid w:val="00F60DAD"/>
    <w:rsid w:val="00F61F8E"/>
    <w:rsid w:val="00F63405"/>
    <w:rsid w:val="00F64156"/>
    <w:rsid w:val="00F64951"/>
    <w:rsid w:val="00F67501"/>
    <w:rsid w:val="00F67CBF"/>
    <w:rsid w:val="00F711BE"/>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0E08"/>
    <w:rsid w:val="00FA3AA3"/>
    <w:rsid w:val="00FA5D62"/>
    <w:rsid w:val="00FA7261"/>
    <w:rsid w:val="00FB08CC"/>
    <w:rsid w:val="00FB28D5"/>
    <w:rsid w:val="00FB2E89"/>
    <w:rsid w:val="00FB3686"/>
    <w:rsid w:val="00FB4545"/>
    <w:rsid w:val="00FB4B18"/>
    <w:rsid w:val="00FB578C"/>
    <w:rsid w:val="00FB5F91"/>
    <w:rsid w:val="00FB7BC0"/>
    <w:rsid w:val="00FC0756"/>
    <w:rsid w:val="00FC0A50"/>
    <w:rsid w:val="00FC1A5C"/>
    <w:rsid w:val="00FC21B3"/>
    <w:rsid w:val="00FC39EA"/>
    <w:rsid w:val="00FC3FD5"/>
    <w:rsid w:val="00FC4348"/>
    <w:rsid w:val="00FC4AAC"/>
    <w:rsid w:val="00FC4ECC"/>
    <w:rsid w:val="00FC5B66"/>
    <w:rsid w:val="00FC5FC5"/>
    <w:rsid w:val="00FD147A"/>
    <w:rsid w:val="00FD15AF"/>
    <w:rsid w:val="00FD23EE"/>
    <w:rsid w:val="00FD2F1A"/>
    <w:rsid w:val="00FD5F57"/>
    <w:rsid w:val="00FD6865"/>
    <w:rsid w:val="00FD7F01"/>
    <w:rsid w:val="00FE1185"/>
    <w:rsid w:val="00FE2350"/>
    <w:rsid w:val="00FE44CF"/>
    <w:rsid w:val="00FE4692"/>
    <w:rsid w:val="00FE4721"/>
    <w:rsid w:val="00FE4D2A"/>
    <w:rsid w:val="00FE4FD0"/>
    <w:rsid w:val="00FE5E6A"/>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5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2626121">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75675716">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en/nav.do" TargetMode="External"/><Relationship Id="rId13" Type="http://schemas.openxmlformats.org/officeDocument/2006/relationships/hyperlink" Target="https://www.scc-csc.ca/case-dossier/info/sum-som-eng.aspx?cas=38129" TargetMode="External"/><Relationship Id="rId18" Type="http://schemas.openxmlformats.org/officeDocument/2006/relationships/hyperlink" Target="https://www.scc-csc.ca/case-dossier/info/sum-som-fra.aspx?cas=38028" TargetMode="Externa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s://www.scc-csc.ca/case-dossier/info/sum-som-eng.aspx?cas=38059" TargetMode="External"/><Relationship Id="rId17" Type="http://schemas.openxmlformats.org/officeDocument/2006/relationships/hyperlink" Target="https://www.scc-csc.ca/case-dossier/info/sum-som-fra.aspx?cas=38034" TargetMode="External"/><Relationship Id="rId2" Type="http://schemas.openxmlformats.org/officeDocument/2006/relationships/numbering" Target="numbering.xml"/><Relationship Id="rId16" Type="http://schemas.openxmlformats.org/officeDocument/2006/relationships/hyperlink" Target="https://www.scc-csc.ca/case-dossier/info/sum-som-eng.aspx?cas=37892" TargetMode="External"/><Relationship Id="rId20" Type="http://schemas.openxmlformats.org/officeDocument/2006/relationships/hyperlink" Target="https://www.scc-csc.ca/case-dossier/info/sum-som-eng.aspx?cas=379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cb/index-fra.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fra.aspx?cas=37911" TargetMode="External"/><Relationship Id="rId23" Type="http://schemas.openxmlformats.org/officeDocument/2006/relationships/fontTable" Target="fontTable.xml"/><Relationship Id="rId10" Type="http://schemas.openxmlformats.org/officeDocument/2006/relationships/hyperlink" Target="https://www.scc-csc.ca/case-dossier/cb/index-eng.aspx" TargetMode="External"/><Relationship Id="rId19" Type="http://schemas.openxmlformats.org/officeDocument/2006/relationships/hyperlink" Target="https://www.scc-csc.ca/case-dossier/info/sum-som-eng.aspx?cas=38018" TargetMode="External"/><Relationship Id="rId4" Type="http://schemas.openxmlformats.org/officeDocument/2006/relationships/settings" Target="settings.xml"/><Relationship Id="rId9" Type="http://schemas.openxmlformats.org/officeDocument/2006/relationships/hyperlink" Target="http://scc-csc.lexum.com/scc-csc/fr/nav.do" TargetMode="External"/><Relationship Id="rId14" Type="http://schemas.openxmlformats.org/officeDocument/2006/relationships/hyperlink" Target="https://www.scc-csc.ca/case-dossier/info/sum-som-fra.aspx?cas=3800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3DA5E-CA71-4182-ABAC-86953096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8068</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2018-10-10T18:22:00Z</dcterms:created>
  <dcterms:modified xsi:type="dcterms:W3CDTF">2018-10-11T11:41:00Z</dcterms:modified>
</cp:coreProperties>
</file>