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5" w:rsidRPr="00FF09DA" w:rsidRDefault="001C4415" w:rsidP="001C4415">
      <w:pPr>
        <w:pStyle w:val="Header"/>
        <w:jc w:val="center"/>
        <w:rPr>
          <w:b/>
          <w:sz w:val="32"/>
        </w:rPr>
      </w:pPr>
      <w:r w:rsidRPr="00FF09DA">
        <w:rPr>
          <w:b/>
          <w:sz w:val="32"/>
        </w:rPr>
        <w:t>Supreme Court of Canada / Cour suprême du Canada</w:t>
      </w:r>
    </w:p>
    <w:p w:rsidR="001C4415" w:rsidRPr="00FF09DA" w:rsidRDefault="001C4415" w:rsidP="001C4415">
      <w:pPr>
        <w:widowControl w:val="0"/>
        <w:rPr>
          <w:i/>
        </w:rPr>
      </w:pPr>
    </w:p>
    <w:p w:rsidR="001C4415" w:rsidRPr="00FF09DA" w:rsidRDefault="001C4415" w:rsidP="001C4415">
      <w:pPr>
        <w:widowControl w:val="0"/>
        <w:rPr>
          <w:i/>
        </w:rPr>
      </w:pPr>
    </w:p>
    <w:p w:rsidR="001C4415" w:rsidRPr="00FF09DA" w:rsidRDefault="001C4415" w:rsidP="001C4415">
      <w:pPr>
        <w:widowControl w:val="0"/>
        <w:rPr>
          <w:i/>
        </w:rPr>
      </w:pPr>
      <w:r w:rsidRPr="00FF09DA">
        <w:rPr>
          <w:i/>
        </w:rPr>
        <w:t>(le français suit)</w:t>
      </w:r>
    </w:p>
    <w:p w:rsidR="001C4415" w:rsidRPr="00FF09DA" w:rsidRDefault="001C4415" w:rsidP="001C4415">
      <w:pPr>
        <w:widowControl w:val="0"/>
      </w:pPr>
    </w:p>
    <w:p w:rsidR="001C4415" w:rsidRPr="00724953" w:rsidRDefault="000347C1" w:rsidP="00214729">
      <w:pPr>
        <w:widowControl w:val="0"/>
        <w:jc w:val="center"/>
        <w:rPr>
          <w:b/>
        </w:rPr>
      </w:pPr>
      <w:r w:rsidRPr="00724953">
        <w:fldChar w:fldCharType="begin"/>
      </w:r>
      <w:r w:rsidR="00FA7412" w:rsidRPr="00724953">
        <w:instrText xml:space="preserve"> SEQ CHAPTER \h \r 1</w:instrText>
      </w:r>
      <w:r w:rsidRPr="00724953">
        <w:fldChar w:fldCharType="end"/>
      </w:r>
      <w:r w:rsidR="00455BB9" w:rsidRPr="00724953">
        <w:rPr>
          <w:b/>
        </w:rPr>
        <w:t>JUDGMENT</w:t>
      </w:r>
      <w:r w:rsidR="00FA7412" w:rsidRPr="00724953">
        <w:rPr>
          <w:b/>
        </w:rPr>
        <w:t xml:space="preserve"> TO BE RENDERED IN APPEA</w:t>
      </w:r>
      <w:r w:rsidR="00CC2799" w:rsidRPr="00724953">
        <w:rPr>
          <w:b/>
        </w:rPr>
        <w:t>L</w:t>
      </w:r>
    </w:p>
    <w:p w:rsidR="005A7C1B" w:rsidRPr="00724953" w:rsidRDefault="005A7C1B" w:rsidP="005A7C1B">
      <w:pPr>
        <w:widowControl w:val="0"/>
      </w:pPr>
    </w:p>
    <w:p w:rsidR="00EC79B0" w:rsidRPr="00152C42" w:rsidRDefault="00BC100C" w:rsidP="00EC79B0">
      <w:pPr>
        <w:widowControl w:val="0"/>
        <w:rPr>
          <w:b/>
        </w:rPr>
      </w:pPr>
      <w:r>
        <w:rPr>
          <w:b/>
        </w:rPr>
        <w:t>November</w:t>
      </w:r>
      <w:r w:rsidR="00C86395" w:rsidRPr="00152C42">
        <w:rPr>
          <w:b/>
        </w:rPr>
        <w:t xml:space="preserve"> </w:t>
      </w:r>
      <w:r w:rsidR="00AB1071" w:rsidRPr="00152C42">
        <w:rPr>
          <w:b/>
        </w:rPr>
        <w:t>2</w:t>
      </w:r>
      <w:r w:rsidR="00EC79B0" w:rsidRPr="00152C42">
        <w:rPr>
          <w:b/>
        </w:rPr>
        <w:t>, 2</w:t>
      </w:r>
      <w:r w:rsidR="00E6600C" w:rsidRPr="00152C42">
        <w:rPr>
          <w:b/>
        </w:rPr>
        <w:t>0</w:t>
      </w:r>
      <w:r w:rsidR="00EC79B0" w:rsidRPr="00152C42">
        <w:rPr>
          <w:b/>
        </w:rPr>
        <w:t>1</w:t>
      </w:r>
      <w:r w:rsidR="0088662B" w:rsidRPr="00152C42">
        <w:rPr>
          <w:b/>
        </w:rPr>
        <w:t>8</w:t>
      </w:r>
    </w:p>
    <w:p w:rsidR="00EC79B0" w:rsidRPr="00152C42" w:rsidRDefault="00EC79B0" w:rsidP="00EC79B0">
      <w:pPr>
        <w:widowControl w:val="0"/>
        <w:rPr>
          <w:b/>
        </w:rPr>
      </w:pPr>
      <w:r w:rsidRPr="00152C42">
        <w:rPr>
          <w:b/>
        </w:rPr>
        <w:t>For immediate release</w:t>
      </w:r>
    </w:p>
    <w:p w:rsidR="00EC79B0" w:rsidRPr="00152C42" w:rsidRDefault="00EC79B0" w:rsidP="00EC79B0">
      <w:pPr>
        <w:widowControl w:val="0"/>
      </w:pPr>
    </w:p>
    <w:p w:rsidR="00EC79B0" w:rsidRPr="00414192" w:rsidRDefault="00EC79B0" w:rsidP="00EC79B0">
      <w:pPr>
        <w:widowControl w:val="0"/>
        <w:rPr>
          <w:lang w:val="fr-CA"/>
        </w:rPr>
      </w:pPr>
      <w:r w:rsidRPr="00152C42">
        <w:rPr>
          <w:b/>
        </w:rPr>
        <w:t>OTTAWA</w:t>
      </w:r>
      <w:r w:rsidRPr="00152C42">
        <w:t xml:space="preserve"> – The Supreme Court of Canad</w:t>
      </w:r>
      <w:r w:rsidR="00455BB9" w:rsidRPr="00152C42">
        <w:t>a announced today that judgment</w:t>
      </w:r>
      <w:r w:rsidRPr="00152C42">
        <w:t xml:space="preserve"> in the following appeal will be delivered at 9:45 a.m. E</w:t>
      </w:r>
      <w:r w:rsidR="00BC100C">
        <w:t>S</w:t>
      </w:r>
      <w:r w:rsidR="00DC6C1E" w:rsidRPr="00152C42">
        <w:t>T</w:t>
      </w:r>
      <w:r w:rsidR="00D74667" w:rsidRPr="00152C42">
        <w:t xml:space="preserve"> on</w:t>
      </w:r>
      <w:r w:rsidR="00DC6C1E" w:rsidRPr="00152C42">
        <w:t xml:space="preserve"> </w:t>
      </w:r>
      <w:r w:rsidR="00FB61C0" w:rsidRPr="00152C42">
        <w:t>Fri</w:t>
      </w:r>
      <w:r w:rsidR="00F531CE" w:rsidRPr="00152C42">
        <w:t>day</w:t>
      </w:r>
      <w:r w:rsidR="000A7900" w:rsidRPr="00152C42">
        <w:t xml:space="preserve">, </w:t>
      </w:r>
      <w:r w:rsidR="00AB1071" w:rsidRPr="00152C42">
        <w:t>November</w:t>
      </w:r>
      <w:r w:rsidR="004E605A" w:rsidRPr="00152C42">
        <w:t xml:space="preserve"> </w:t>
      </w:r>
      <w:r w:rsidR="00BC100C">
        <w:t>9</w:t>
      </w:r>
      <w:r w:rsidR="00E63199" w:rsidRPr="00152C42">
        <w:t>, 2</w:t>
      </w:r>
      <w:r w:rsidR="0086609D" w:rsidRPr="00152C42">
        <w:t>01</w:t>
      </w:r>
      <w:r w:rsidR="0088662B" w:rsidRPr="00152C42">
        <w:t>8</w:t>
      </w:r>
      <w:r w:rsidR="00455BB9" w:rsidRPr="00152C42">
        <w:t xml:space="preserve">. </w:t>
      </w:r>
      <w:r w:rsidR="00455BB9" w:rsidRPr="00414192">
        <w:rPr>
          <w:lang w:val="fr-CA"/>
        </w:rPr>
        <w:t>This</w:t>
      </w:r>
      <w:r w:rsidRPr="00414192">
        <w:rPr>
          <w:lang w:val="fr-CA"/>
        </w:rPr>
        <w:t xml:space="preserve"> list is subject to change.</w:t>
      </w:r>
    </w:p>
    <w:p w:rsidR="001F76DD" w:rsidRPr="00414192" w:rsidRDefault="001F76DD" w:rsidP="001C4415">
      <w:pPr>
        <w:widowControl w:val="0"/>
        <w:rPr>
          <w:szCs w:val="24"/>
          <w:lang w:val="fr-CA"/>
        </w:rPr>
      </w:pPr>
    </w:p>
    <w:p w:rsidR="001C4415" w:rsidRPr="00414192" w:rsidRDefault="001C4415" w:rsidP="001C4415">
      <w:pPr>
        <w:widowControl w:val="0"/>
        <w:rPr>
          <w:lang w:val="fr-CA"/>
        </w:rPr>
      </w:pPr>
    </w:p>
    <w:p w:rsidR="001335A1" w:rsidRPr="00152C42" w:rsidRDefault="001335A1" w:rsidP="001335A1">
      <w:pPr>
        <w:widowControl w:val="0"/>
        <w:jc w:val="center"/>
        <w:rPr>
          <w:b/>
          <w:lang w:val="fr-CA"/>
        </w:rPr>
      </w:pPr>
      <w:r w:rsidRPr="00152C42">
        <w:rPr>
          <w:b/>
          <w:lang w:val="fr-CA"/>
        </w:rPr>
        <w:t>PROCHAIN JUGEMENT</w:t>
      </w:r>
      <w:r w:rsidR="00455BB9" w:rsidRPr="00152C42">
        <w:rPr>
          <w:b/>
          <w:lang w:val="fr-CA"/>
        </w:rPr>
        <w:t xml:space="preserve"> SUR APPEL</w:t>
      </w:r>
    </w:p>
    <w:p w:rsidR="001335A1" w:rsidRPr="00152C42" w:rsidRDefault="001335A1" w:rsidP="001335A1">
      <w:pPr>
        <w:widowControl w:val="0"/>
        <w:rPr>
          <w:lang w:val="fr-CA"/>
        </w:rPr>
      </w:pPr>
    </w:p>
    <w:p w:rsidR="00EC79B0" w:rsidRPr="00152C42" w:rsidRDefault="00EC79B0" w:rsidP="00EC79B0">
      <w:pPr>
        <w:widowControl w:val="0"/>
        <w:rPr>
          <w:b/>
          <w:lang w:val="fr-CA"/>
        </w:rPr>
      </w:pPr>
      <w:r w:rsidRPr="00152C42">
        <w:rPr>
          <w:b/>
          <w:lang w:val="fr-CA"/>
        </w:rPr>
        <w:t xml:space="preserve">Le </w:t>
      </w:r>
      <w:r w:rsidR="00AB1071" w:rsidRPr="00152C42">
        <w:rPr>
          <w:b/>
          <w:lang w:val="fr-CA"/>
        </w:rPr>
        <w:t>2</w:t>
      </w:r>
      <w:r w:rsidR="00FA5450" w:rsidRPr="00152C42">
        <w:rPr>
          <w:b/>
          <w:lang w:val="fr-CA"/>
        </w:rPr>
        <w:t xml:space="preserve"> </w:t>
      </w:r>
      <w:r w:rsidR="00BC100C">
        <w:rPr>
          <w:b/>
          <w:lang w:val="fr-CA"/>
        </w:rPr>
        <w:t>n</w:t>
      </w:r>
      <w:r w:rsidR="000A03A4" w:rsidRPr="00152C42">
        <w:rPr>
          <w:b/>
          <w:lang w:val="fr-CA"/>
        </w:rPr>
        <w:t>o</w:t>
      </w:r>
      <w:r w:rsidR="00BC100C">
        <w:rPr>
          <w:b/>
          <w:lang w:val="fr-CA"/>
        </w:rPr>
        <w:t>vem</w:t>
      </w:r>
      <w:r w:rsidR="000A03A4" w:rsidRPr="00152C42">
        <w:rPr>
          <w:b/>
          <w:lang w:val="fr-CA"/>
        </w:rPr>
        <w:t>bre</w:t>
      </w:r>
      <w:r w:rsidR="00C86395" w:rsidRPr="00152C42">
        <w:rPr>
          <w:b/>
          <w:lang w:val="fr-CA"/>
        </w:rPr>
        <w:t xml:space="preserve"> </w:t>
      </w:r>
      <w:r w:rsidR="0086609D" w:rsidRPr="00152C42">
        <w:rPr>
          <w:b/>
          <w:lang w:val="fr-CA"/>
        </w:rPr>
        <w:t>201</w:t>
      </w:r>
      <w:r w:rsidR="0088662B" w:rsidRPr="00152C42">
        <w:rPr>
          <w:b/>
          <w:lang w:val="fr-CA"/>
        </w:rPr>
        <w:t>8</w:t>
      </w:r>
    </w:p>
    <w:p w:rsidR="00EC79B0" w:rsidRPr="00152C42" w:rsidRDefault="00EC79B0" w:rsidP="00EC79B0">
      <w:pPr>
        <w:widowControl w:val="0"/>
        <w:rPr>
          <w:b/>
          <w:lang w:val="fr-CA"/>
        </w:rPr>
      </w:pPr>
      <w:r w:rsidRPr="00152C42">
        <w:rPr>
          <w:b/>
          <w:lang w:val="fr-CA"/>
        </w:rPr>
        <w:t>Pour diffusion immédiate</w:t>
      </w:r>
    </w:p>
    <w:p w:rsidR="00EC79B0" w:rsidRPr="00152C42" w:rsidRDefault="00EC79B0" w:rsidP="00EC79B0">
      <w:pPr>
        <w:widowControl w:val="0"/>
        <w:rPr>
          <w:b/>
          <w:lang w:val="fr-CA"/>
        </w:rPr>
      </w:pPr>
    </w:p>
    <w:p w:rsidR="00EC79B0" w:rsidRPr="00152C42" w:rsidRDefault="00EC79B0" w:rsidP="00EC79B0">
      <w:pPr>
        <w:widowControl w:val="0"/>
        <w:rPr>
          <w:lang w:val="fr-CA"/>
        </w:rPr>
      </w:pPr>
      <w:r w:rsidRPr="00152C42">
        <w:rPr>
          <w:b/>
          <w:lang w:val="fr-CA"/>
        </w:rPr>
        <w:t>OTTAWA</w:t>
      </w:r>
      <w:r w:rsidRPr="00152C42">
        <w:rPr>
          <w:lang w:val="fr-CA"/>
        </w:rPr>
        <w:t xml:space="preserve"> – La Cour suprême du Canada annonce que jugement ser</w:t>
      </w:r>
      <w:r w:rsidR="00C86395" w:rsidRPr="00152C42">
        <w:rPr>
          <w:lang w:val="fr-CA"/>
        </w:rPr>
        <w:t>a</w:t>
      </w:r>
      <w:r w:rsidRPr="00152C42">
        <w:rPr>
          <w:lang w:val="fr-CA"/>
        </w:rPr>
        <w:t xml:space="preserve"> rendu dans </w:t>
      </w:r>
      <w:r w:rsidR="001F1643" w:rsidRPr="00152C42">
        <w:rPr>
          <w:lang w:val="fr-CA"/>
        </w:rPr>
        <w:t>l</w:t>
      </w:r>
      <w:r w:rsidR="00C86395" w:rsidRPr="00152C42">
        <w:rPr>
          <w:lang w:val="fr-CA"/>
        </w:rPr>
        <w:t>’</w:t>
      </w:r>
      <w:r w:rsidR="001F1643" w:rsidRPr="00152C42">
        <w:rPr>
          <w:lang w:val="fr-CA"/>
        </w:rPr>
        <w:t xml:space="preserve">appel </w:t>
      </w:r>
      <w:r w:rsidRPr="00152C42">
        <w:rPr>
          <w:lang w:val="fr-CA"/>
        </w:rPr>
        <w:t xml:space="preserve">suivant le </w:t>
      </w:r>
      <w:r w:rsidR="00FB61C0" w:rsidRPr="00152C42">
        <w:rPr>
          <w:lang w:val="fr-CA"/>
        </w:rPr>
        <w:t>vendre</w:t>
      </w:r>
      <w:r w:rsidR="00831D1B" w:rsidRPr="00152C42">
        <w:rPr>
          <w:lang w:val="fr-CA"/>
        </w:rPr>
        <w:t>d</w:t>
      </w:r>
      <w:r w:rsidR="00945121" w:rsidRPr="00152C42">
        <w:rPr>
          <w:lang w:val="fr-CA"/>
        </w:rPr>
        <w:t>i</w:t>
      </w:r>
      <w:r w:rsidR="007C1648" w:rsidRPr="00152C42">
        <w:rPr>
          <w:lang w:val="fr-CA"/>
        </w:rPr>
        <w:t xml:space="preserve"> </w:t>
      </w:r>
      <w:r w:rsidR="00BC100C">
        <w:rPr>
          <w:lang w:val="fr-CA"/>
        </w:rPr>
        <w:t>9</w:t>
      </w:r>
      <w:r w:rsidR="00C7690C" w:rsidRPr="00152C42">
        <w:rPr>
          <w:lang w:val="fr-CA"/>
        </w:rPr>
        <w:t xml:space="preserve"> </w:t>
      </w:r>
      <w:r w:rsidR="00AB1071" w:rsidRPr="00152C42">
        <w:rPr>
          <w:lang w:val="fr-CA"/>
        </w:rPr>
        <w:t>novembre</w:t>
      </w:r>
      <w:r w:rsidR="00282563" w:rsidRPr="00152C42">
        <w:rPr>
          <w:lang w:val="fr-CA"/>
        </w:rPr>
        <w:t xml:space="preserve"> </w:t>
      </w:r>
      <w:r w:rsidRPr="00152C42">
        <w:rPr>
          <w:lang w:val="fr-CA"/>
        </w:rPr>
        <w:t>201</w:t>
      </w:r>
      <w:r w:rsidR="0088662B" w:rsidRPr="00152C42">
        <w:rPr>
          <w:lang w:val="fr-CA"/>
        </w:rPr>
        <w:t>8</w:t>
      </w:r>
      <w:r w:rsidRPr="00152C42">
        <w:rPr>
          <w:lang w:val="fr-CA"/>
        </w:rPr>
        <w:t>, à 9 h 45 H</w:t>
      </w:r>
      <w:r w:rsidR="00BC100C">
        <w:rPr>
          <w:lang w:val="fr-CA"/>
        </w:rPr>
        <w:t>N</w:t>
      </w:r>
      <w:r w:rsidRPr="00152C42">
        <w:rPr>
          <w:lang w:val="fr-CA"/>
        </w:rPr>
        <w:t>E. Cette liste est sujette à modifications.</w:t>
      </w:r>
    </w:p>
    <w:p w:rsidR="001F76DD" w:rsidRPr="00152C42" w:rsidRDefault="001F76DD" w:rsidP="001335A1">
      <w:pPr>
        <w:widowControl w:val="0"/>
        <w:rPr>
          <w:szCs w:val="24"/>
          <w:lang w:val="fr-CA"/>
        </w:rPr>
      </w:pPr>
    </w:p>
    <w:p w:rsidR="001335A1" w:rsidRPr="009E2BF3" w:rsidRDefault="005C7A4F" w:rsidP="001335A1">
      <w:pPr>
        <w:widowControl w:val="0"/>
        <w:rPr>
          <w:szCs w:val="24"/>
          <w:lang w:val="fr-CA"/>
        </w:rPr>
      </w:pPr>
      <w:r w:rsidRPr="00152C42">
        <w:rPr>
          <w:noProof/>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6985" r="1143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13DAE" id="_x0000_t32" coordsize="21600,21600" o:spt="32" o:oned="t" path="m,l21600,21600e" filled="f">
                <v:path arrowok="t" fillok="f" o:connecttype="none"/>
                <o:lock v:ext="edit" shapetype="t"/>
              </v:shapetype>
              <v:shape id="AutoShape 7"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Q1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5NsMhvPphj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ASTnQ1HwIAADsEAAAOAAAAAAAAAAAAAAAAAC4CAABkcnMvZTJvRG9jLnhtbFBLAQIt&#10;ABQABgAIAAAAIQAjyLjm2wAAAAYBAAAPAAAAAAAAAAAAAAAAAHkEAABkcnMvZG93bnJldi54bWxQ&#10;SwUGAAAAAAQABADzAAAAgQUAAAAA&#10;">
                <w10:wrap anchorx="margin"/>
              </v:shape>
            </w:pict>
          </mc:Fallback>
        </mc:AlternateContent>
      </w:r>
    </w:p>
    <w:p w:rsidR="00340C6D" w:rsidRPr="001F76DD" w:rsidRDefault="00340C6D" w:rsidP="00340C6D">
      <w:pPr>
        <w:jc w:val="both"/>
        <w:rPr>
          <w:bCs/>
          <w:szCs w:val="24"/>
          <w:lang w:val="fr-CA"/>
        </w:rPr>
      </w:pPr>
    </w:p>
    <w:p w:rsidR="00772636" w:rsidRPr="00506DD4" w:rsidRDefault="00506DD4" w:rsidP="00772636">
      <w:pPr>
        <w:jc w:val="both"/>
        <w:rPr>
          <w:szCs w:val="24"/>
          <w:lang w:val="fr-CA"/>
        </w:rPr>
      </w:pPr>
      <w:r w:rsidRPr="00506DD4">
        <w:rPr>
          <w:i/>
          <w:szCs w:val="24"/>
          <w:lang w:val="fr-CA"/>
        </w:rPr>
        <w:t>Procureur général du Canada et autre c. Procureure générale du Québec</w:t>
      </w:r>
      <w:r w:rsidR="00735BE0" w:rsidRPr="00506DD4">
        <w:rPr>
          <w:i/>
          <w:szCs w:val="24"/>
          <w:lang w:val="fr-CA"/>
        </w:rPr>
        <w:t xml:space="preserve"> </w:t>
      </w:r>
      <w:r w:rsidR="00772636" w:rsidRPr="00506DD4">
        <w:rPr>
          <w:szCs w:val="24"/>
          <w:lang w:val="fr-CA"/>
        </w:rPr>
        <w:t>(</w:t>
      </w:r>
      <w:r w:rsidR="00735BE0" w:rsidRPr="00506DD4">
        <w:rPr>
          <w:szCs w:val="24"/>
          <w:lang w:val="fr-CA"/>
        </w:rPr>
        <w:t>Q</w:t>
      </w:r>
      <w:r>
        <w:rPr>
          <w:szCs w:val="24"/>
          <w:lang w:val="fr-CA"/>
        </w:rPr>
        <w:t>c</w:t>
      </w:r>
      <w:r w:rsidR="00772636" w:rsidRPr="00506DD4">
        <w:rPr>
          <w:szCs w:val="24"/>
          <w:lang w:val="fr-CA"/>
        </w:rPr>
        <w:t xml:space="preserve">) </w:t>
      </w:r>
      <w:r w:rsidR="00772636" w:rsidRPr="00506DD4">
        <w:rPr>
          <w:lang w:val="fr-CA"/>
        </w:rPr>
        <w:t>(</w:t>
      </w:r>
      <w:hyperlink r:id="rId7" w:history="1">
        <w:r w:rsidR="00772636" w:rsidRPr="00506DD4">
          <w:rPr>
            <w:rStyle w:val="Hyperlink"/>
            <w:lang w:val="fr-CA"/>
          </w:rPr>
          <w:t>3</w:t>
        </w:r>
        <w:r w:rsidR="00717966" w:rsidRPr="00506DD4">
          <w:rPr>
            <w:rStyle w:val="Hyperlink"/>
            <w:lang w:val="fr-CA"/>
          </w:rPr>
          <w:t>7</w:t>
        </w:r>
        <w:r w:rsidR="00DB53BA" w:rsidRPr="00506DD4">
          <w:rPr>
            <w:rStyle w:val="Hyperlink"/>
            <w:lang w:val="fr-CA"/>
          </w:rPr>
          <w:t>613</w:t>
        </w:r>
      </w:hyperlink>
      <w:r w:rsidR="00772636" w:rsidRPr="00506DD4">
        <w:rPr>
          <w:lang w:val="fr-CA"/>
        </w:rPr>
        <w:t>)</w:t>
      </w:r>
    </w:p>
    <w:p w:rsidR="009F18D7" w:rsidRDefault="009F18D7" w:rsidP="00340C6D">
      <w:pPr>
        <w:jc w:val="both"/>
        <w:rPr>
          <w:lang w:val="fr-CA"/>
        </w:rPr>
      </w:pPr>
    </w:p>
    <w:p w:rsidR="00751A72" w:rsidRDefault="00751A72" w:rsidP="00340C6D">
      <w:pPr>
        <w:jc w:val="both"/>
        <w:rPr>
          <w:lang w:val="fr-CA"/>
        </w:rPr>
      </w:pPr>
    </w:p>
    <w:bookmarkStart w:id="0" w:name="1"/>
    <w:bookmarkEnd w:id="0"/>
    <w:p w:rsidR="00751A72" w:rsidRPr="00751A72" w:rsidRDefault="00751A72" w:rsidP="008251E4">
      <w:pPr>
        <w:widowControl w:val="0"/>
        <w:ind w:left="720" w:hanging="720"/>
        <w:jc w:val="both"/>
        <w:rPr>
          <w:b/>
          <w:i/>
          <w:sz w:val="20"/>
        </w:rPr>
      </w:pPr>
      <w:r w:rsidRPr="00751A72">
        <w:rPr>
          <w:b/>
          <w:sz w:val="20"/>
          <w:lang w:val="en-CA"/>
        </w:rPr>
        <w:fldChar w:fldCharType="begin"/>
      </w:r>
      <w:r w:rsidRPr="00751A72">
        <w:rPr>
          <w:b/>
          <w:sz w:val="20"/>
        </w:rPr>
        <w:instrText xml:space="preserve"> SEQ CHAPTER \h \r 1</w:instrText>
      </w:r>
      <w:r w:rsidRPr="00751A72">
        <w:rPr>
          <w:b/>
          <w:sz w:val="20"/>
        </w:rPr>
        <w:fldChar w:fldCharType="end"/>
      </w:r>
      <w:r w:rsidRPr="00751A72">
        <w:rPr>
          <w:b/>
          <w:sz w:val="20"/>
        </w:rPr>
        <w:t>37613</w:t>
      </w:r>
      <w:r w:rsidRPr="00751A72">
        <w:rPr>
          <w:sz w:val="20"/>
        </w:rPr>
        <w:tab/>
      </w:r>
      <w:bookmarkStart w:id="1" w:name="3"/>
      <w:bookmarkEnd w:id="1"/>
      <w:r w:rsidRPr="00751A72">
        <w:rPr>
          <w:b/>
          <w:i/>
          <w:sz w:val="20"/>
        </w:rPr>
        <w:t>Attorney General of Quebec et al. v. Attorney General of Canada et al.</w:t>
      </w:r>
    </w:p>
    <w:p w:rsidR="00751A72" w:rsidRPr="00751A72" w:rsidRDefault="00751A72" w:rsidP="009E5CCF">
      <w:pPr>
        <w:widowControl w:val="0"/>
        <w:ind w:left="1440" w:hanging="720"/>
        <w:jc w:val="both"/>
        <w:rPr>
          <w:sz w:val="20"/>
        </w:rPr>
      </w:pPr>
      <w:r w:rsidRPr="00751A72">
        <w:rPr>
          <w:sz w:val="20"/>
        </w:rPr>
        <w:t>(Que.) (Civil) (As of Right)</w:t>
      </w:r>
    </w:p>
    <w:p w:rsidR="00751A72" w:rsidRPr="00751A72" w:rsidRDefault="00751A72">
      <w:pPr>
        <w:widowControl w:val="0"/>
        <w:jc w:val="both"/>
        <w:rPr>
          <w:sz w:val="20"/>
        </w:rPr>
      </w:pPr>
      <w:bookmarkStart w:id="2" w:name="_GoBack"/>
      <w:bookmarkEnd w:id="2"/>
    </w:p>
    <w:p w:rsidR="00751A72" w:rsidRPr="00751A72" w:rsidRDefault="00751A72" w:rsidP="00D05947">
      <w:pPr>
        <w:widowControl w:val="0"/>
        <w:jc w:val="both"/>
        <w:rPr>
          <w:sz w:val="20"/>
        </w:rPr>
      </w:pPr>
      <w:bookmarkStart w:id="3" w:name="QuickMark_1"/>
      <w:bookmarkEnd w:id="3"/>
      <w:r w:rsidRPr="00751A72">
        <w:rPr>
          <w:sz w:val="20"/>
        </w:rPr>
        <w:t xml:space="preserve">Constitutional law - Division of powers - Trade and commerce - Securities - Reference - Pan-Canadian securities regulation - Regulatory regime for capital markets - </w:t>
      </w:r>
      <w:r w:rsidRPr="00751A72">
        <w:rPr>
          <w:i/>
          <w:sz w:val="20"/>
        </w:rPr>
        <w:t>Constitution Act, 1867</w:t>
      </w:r>
      <w:r w:rsidRPr="00751A72">
        <w:rPr>
          <w:sz w:val="20"/>
        </w:rPr>
        <w:t>, s. 91(2).</w:t>
      </w:r>
    </w:p>
    <w:p w:rsidR="00751A72" w:rsidRPr="00751A72" w:rsidRDefault="00751A72">
      <w:pPr>
        <w:widowControl w:val="0"/>
        <w:jc w:val="both"/>
        <w:rPr>
          <w:sz w:val="20"/>
        </w:rPr>
      </w:pPr>
    </w:p>
    <w:p w:rsidR="00751A72" w:rsidRPr="00751A72" w:rsidRDefault="00751A72">
      <w:pPr>
        <w:widowControl w:val="0"/>
        <w:jc w:val="both"/>
        <w:rPr>
          <w:sz w:val="20"/>
        </w:rPr>
      </w:pPr>
      <w:r w:rsidRPr="00751A72">
        <w:rPr>
          <w:sz w:val="20"/>
        </w:rPr>
        <w:t>Under Order in Council No. 642-2015 dated July 15, 2015, the Government of Quebec referred the following two questions to the Quebec Court of Appeal:</w:t>
      </w:r>
    </w:p>
    <w:p w:rsidR="00751A72" w:rsidRPr="00751A72" w:rsidRDefault="00751A72">
      <w:pPr>
        <w:widowControl w:val="0"/>
        <w:jc w:val="both"/>
        <w:rPr>
          <w:sz w:val="20"/>
        </w:rPr>
      </w:pPr>
    </w:p>
    <w:p w:rsidR="00751A72" w:rsidRPr="00751A72" w:rsidRDefault="00751A72" w:rsidP="00751A72">
      <w:pPr>
        <w:pStyle w:val="ListParagraph"/>
        <w:widowControl w:val="0"/>
        <w:numPr>
          <w:ilvl w:val="0"/>
          <w:numId w:val="4"/>
        </w:numPr>
        <w:jc w:val="both"/>
        <w:rPr>
          <w:sz w:val="20"/>
        </w:rPr>
      </w:pPr>
      <w:r w:rsidRPr="00751A72">
        <w:rPr>
          <w:sz w:val="20"/>
        </w:rPr>
        <w:t>Does the Constitution of Canada authorize the implementation of pan-Canadian securities regulation under the authority of a single regulator, according to the model established by the most recent publication of the “Memorandum of Agreement regarding the Cooperative Capital Markets Regulatory System”?</w:t>
      </w:r>
    </w:p>
    <w:p w:rsidR="00751A72" w:rsidRPr="00751A72" w:rsidRDefault="00751A72" w:rsidP="005B6767">
      <w:pPr>
        <w:pStyle w:val="ListParagraph"/>
        <w:widowControl w:val="0"/>
        <w:jc w:val="both"/>
        <w:rPr>
          <w:sz w:val="20"/>
        </w:rPr>
      </w:pPr>
    </w:p>
    <w:p w:rsidR="00751A72" w:rsidRPr="00751A72" w:rsidRDefault="00751A72" w:rsidP="00751A72">
      <w:pPr>
        <w:pStyle w:val="ListParagraph"/>
        <w:widowControl w:val="0"/>
        <w:numPr>
          <w:ilvl w:val="0"/>
          <w:numId w:val="4"/>
        </w:numPr>
        <w:jc w:val="both"/>
        <w:rPr>
          <w:sz w:val="20"/>
        </w:rPr>
      </w:pPr>
      <w:r w:rsidRPr="00751A72">
        <w:rPr>
          <w:sz w:val="20"/>
        </w:rPr>
        <w:t xml:space="preserve">Does the most recent version of the draft of the federal “Capital Markets Stability Act” exceed the authority of the Parliament of Canada over the general branch of the trade and commerce power under subsection 91(2) of the </w:t>
      </w:r>
      <w:r w:rsidRPr="00751A72">
        <w:rPr>
          <w:i/>
          <w:sz w:val="20"/>
        </w:rPr>
        <w:t>Constitution Act, 1867</w:t>
      </w:r>
      <w:r w:rsidRPr="00751A72">
        <w:rPr>
          <w:sz w:val="20"/>
        </w:rPr>
        <w:t>?</w:t>
      </w:r>
    </w:p>
    <w:p w:rsidR="00751A72" w:rsidRPr="00751A72" w:rsidRDefault="00751A72" w:rsidP="005B6767">
      <w:pPr>
        <w:pStyle w:val="ListParagraph"/>
        <w:rPr>
          <w:sz w:val="20"/>
        </w:rPr>
      </w:pPr>
    </w:p>
    <w:p w:rsidR="00751A72" w:rsidRDefault="00751A72" w:rsidP="005B6767">
      <w:pPr>
        <w:widowControl w:val="0"/>
        <w:jc w:val="both"/>
        <w:rPr>
          <w:sz w:val="20"/>
        </w:rPr>
      </w:pPr>
      <w:r w:rsidRPr="00751A72">
        <w:rPr>
          <w:sz w:val="20"/>
        </w:rPr>
        <w:t>The majority of the Court of Appeal answered “no” to the first question, finding that the Constitution of Canada does not authorize the implementation of the regulation at issue under that model. It also answered “no” to the second question, as it was of the view that the most recent version of the draft of the legislation is not beyond the jurisdiction of Parliament, except with respect to its sections 76 to 79 concerning the role and powers of the Council of Ministers which, if not removed, render the act unconstitutional as a whole.</w:t>
      </w:r>
    </w:p>
    <w:p w:rsidR="00751A72" w:rsidRDefault="00751A72" w:rsidP="005B6767">
      <w:pPr>
        <w:widowControl w:val="0"/>
        <w:jc w:val="both"/>
        <w:rPr>
          <w:sz w:val="20"/>
        </w:rPr>
      </w:pPr>
    </w:p>
    <w:p w:rsidR="00751A72" w:rsidRPr="00751A72" w:rsidRDefault="00751A72" w:rsidP="005B6767">
      <w:pPr>
        <w:widowControl w:val="0"/>
        <w:jc w:val="both"/>
        <w:rPr>
          <w:sz w:val="20"/>
        </w:rPr>
      </w:pPr>
    </w:p>
    <w:p w:rsidR="00751A72" w:rsidRPr="00751A72" w:rsidRDefault="00751A72" w:rsidP="008251E4">
      <w:pPr>
        <w:widowControl w:val="0"/>
        <w:ind w:left="720" w:hanging="720"/>
        <w:jc w:val="both"/>
        <w:rPr>
          <w:b/>
          <w:i/>
          <w:sz w:val="20"/>
          <w:lang w:val="fr-CA"/>
        </w:rPr>
      </w:pPr>
      <w:r w:rsidRPr="00751A72">
        <w:rPr>
          <w:b/>
          <w:sz w:val="20"/>
          <w:lang w:val="en-CA"/>
        </w:rPr>
        <w:fldChar w:fldCharType="begin"/>
      </w:r>
      <w:r w:rsidRPr="00751A72">
        <w:rPr>
          <w:b/>
          <w:sz w:val="20"/>
          <w:lang w:val="fr-CA"/>
        </w:rPr>
        <w:instrText xml:space="preserve"> SEQ CHAPTER \h \r 1</w:instrText>
      </w:r>
      <w:r w:rsidRPr="00751A72">
        <w:rPr>
          <w:b/>
          <w:sz w:val="20"/>
        </w:rPr>
        <w:fldChar w:fldCharType="end"/>
      </w:r>
      <w:r w:rsidRPr="00751A72">
        <w:rPr>
          <w:b/>
          <w:sz w:val="20"/>
          <w:lang w:val="fr-CA"/>
        </w:rPr>
        <w:t>37613</w:t>
      </w:r>
      <w:r w:rsidRPr="00751A72">
        <w:rPr>
          <w:sz w:val="20"/>
          <w:lang w:val="fr-CA"/>
        </w:rPr>
        <w:tab/>
      </w:r>
      <w:r w:rsidRPr="00751A72">
        <w:rPr>
          <w:b/>
          <w:i/>
          <w:sz w:val="20"/>
          <w:lang w:val="fr-CA"/>
        </w:rPr>
        <w:t>Procureure générale du Québec et autres c. Procureur général du Canada et autres</w:t>
      </w:r>
    </w:p>
    <w:p w:rsidR="00751A72" w:rsidRPr="00751A72" w:rsidRDefault="00751A72" w:rsidP="009E5CCF">
      <w:pPr>
        <w:widowControl w:val="0"/>
        <w:ind w:left="1440" w:hanging="720"/>
        <w:jc w:val="both"/>
        <w:rPr>
          <w:sz w:val="20"/>
          <w:lang w:val="fr-CA"/>
        </w:rPr>
      </w:pPr>
      <w:r w:rsidRPr="00751A72">
        <w:rPr>
          <w:sz w:val="20"/>
          <w:lang w:val="fr-CA"/>
        </w:rPr>
        <w:lastRenderedPageBreak/>
        <w:t>(Qc) (Civile) (De plein droit)</w:t>
      </w:r>
    </w:p>
    <w:p w:rsidR="00751A72" w:rsidRPr="00751A72" w:rsidRDefault="00751A72">
      <w:pPr>
        <w:widowControl w:val="0"/>
        <w:jc w:val="both"/>
        <w:rPr>
          <w:sz w:val="20"/>
          <w:lang w:val="fr-CA"/>
        </w:rPr>
      </w:pPr>
    </w:p>
    <w:p w:rsidR="00751A72" w:rsidRPr="00751A72" w:rsidRDefault="00751A72" w:rsidP="00D05947">
      <w:pPr>
        <w:widowControl w:val="0"/>
        <w:jc w:val="both"/>
        <w:rPr>
          <w:sz w:val="20"/>
          <w:lang w:val="fr-CA"/>
        </w:rPr>
      </w:pPr>
      <w:r w:rsidRPr="00751A72">
        <w:rPr>
          <w:sz w:val="20"/>
          <w:lang w:val="fr-CA"/>
        </w:rPr>
        <w:t>Droit constitutionnel - Partage des compétences - Trafic et commerce - Valeurs mobilières - Renvoi - Réglementation pancanadienne des valeurs mobilières -</w:t>
      </w:r>
      <w:r w:rsidRPr="00751A72">
        <w:rPr>
          <w:b/>
          <w:sz w:val="20"/>
          <w:lang w:val="fr-CA"/>
        </w:rPr>
        <w:t xml:space="preserve"> </w:t>
      </w:r>
      <w:r w:rsidRPr="00751A72">
        <w:rPr>
          <w:sz w:val="20"/>
          <w:lang w:val="fr-CA"/>
        </w:rPr>
        <w:t xml:space="preserve">Régime coopératif de réglementation des marchés des capitaux - </w:t>
      </w:r>
      <w:r w:rsidRPr="00751A72">
        <w:rPr>
          <w:i/>
          <w:sz w:val="20"/>
          <w:lang w:val="fr-CA"/>
        </w:rPr>
        <w:t>Loi constitutionnelle de 1867</w:t>
      </w:r>
      <w:r w:rsidRPr="00751A72">
        <w:rPr>
          <w:sz w:val="20"/>
          <w:lang w:val="fr-CA"/>
        </w:rPr>
        <w:t>, art. 91(2).</w:t>
      </w:r>
    </w:p>
    <w:p w:rsidR="00751A72" w:rsidRPr="00751A72" w:rsidRDefault="00751A72" w:rsidP="00D05947">
      <w:pPr>
        <w:widowControl w:val="0"/>
        <w:jc w:val="both"/>
        <w:rPr>
          <w:sz w:val="20"/>
          <w:lang w:val="fr-CA"/>
        </w:rPr>
      </w:pPr>
    </w:p>
    <w:p w:rsidR="00751A72" w:rsidRPr="00751A72" w:rsidRDefault="00751A72">
      <w:pPr>
        <w:widowControl w:val="0"/>
        <w:jc w:val="both"/>
        <w:rPr>
          <w:sz w:val="20"/>
          <w:lang w:val="fr-CA"/>
        </w:rPr>
      </w:pPr>
      <w:r w:rsidRPr="00751A72">
        <w:rPr>
          <w:sz w:val="20"/>
          <w:lang w:val="fr-CA"/>
        </w:rPr>
        <w:t>Par le décret n</w:t>
      </w:r>
      <w:r w:rsidRPr="00751A72">
        <w:rPr>
          <w:sz w:val="20"/>
          <w:vertAlign w:val="superscript"/>
          <w:lang w:val="fr-CA"/>
        </w:rPr>
        <w:t>o </w:t>
      </w:r>
      <w:r w:rsidRPr="00751A72">
        <w:rPr>
          <w:sz w:val="20"/>
          <w:lang w:val="fr-CA"/>
        </w:rPr>
        <w:t>642-2015 du 15 juillet 2015, le gouvernement du Québec a soumis les deux questions suivantes à la Cour d’appel du Québec :</w:t>
      </w:r>
    </w:p>
    <w:p w:rsidR="00751A72" w:rsidRPr="00751A72" w:rsidRDefault="00751A72">
      <w:pPr>
        <w:widowControl w:val="0"/>
        <w:jc w:val="both"/>
        <w:rPr>
          <w:sz w:val="20"/>
          <w:lang w:val="fr-CA"/>
        </w:rPr>
      </w:pPr>
    </w:p>
    <w:p w:rsidR="00751A72" w:rsidRPr="00751A72" w:rsidRDefault="00751A72" w:rsidP="00414192">
      <w:pPr>
        <w:pStyle w:val="ListParagraph"/>
        <w:widowControl w:val="0"/>
        <w:numPr>
          <w:ilvl w:val="0"/>
          <w:numId w:val="5"/>
        </w:numPr>
        <w:jc w:val="both"/>
        <w:rPr>
          <w:sz w:val="20"/>
          <w:lang w:val="fr-CA"/>
        </w:rPr>
      </w:pPr>
      <w:r w:rsidRPr="00751A72">
        <w:rPr>
          <w:sz w:val="20"/>
          <w:lang w:val="fr-CA"/>
        </w:rPr>
        <w:t>La Constitution du Canada autorise-t-elle la mise en place d’une réglementation pancanadienne des valeurs mobilières sous la gouverne d’un organisme unique selon le modèle prévu par la plus récente publication du « Protocole d’accord concernant le régime coopératif de réglementation des marchés des capitaux »?</w:t>
      </w:r>
    </w:p>
    <w:p w:rsidR="00751A72" w:rsidRPr="00751A72" w:rsidRDefault="00751A72" w:rsidP="005B6767">
      <w:pPr>
        <w:pStyle w:val="ListParagraph"/>
        <w:widowControl w:val="0"/>
        <w:jc w:val="both"/>
        <w:rPr>
          <w:sz w:val="20"/>
          <w:lang w:val="fr-CA"/>
        </w:rPr>
      </w:pPr>
    </w:p>
    <w:p w:rsidR="00751A72" w:rsidRPr="00751A72" w:rsidRDefault="00751A72" w:rsidP="00414192">
      <w:pPr>
        <w:pStyle w:val="ListParagraph"/>
        <w:widowControl w:val="0"/>
        <w:numPr>
          <w:ilvl w:val="0"/>
          <w:numId w:val="5"/>
        </w:numPr>
        <w:jc w:val="both"/>
        <w:rPr>
          <w:sz w:val="20"/>
          <w:lang w:val="fr-CA"/>
        </w:rPr>
      </w:pPr>
      <w:r w:rsidRPr="00751A72">
        <w:rPr>
          <w:sz w:val="20"/>
          <w:lang w:val="fr-CA"/>
        </w:rPr>
        <w:t>La plus récente version de l’ébauche de la loi fédérale intitulée « </w:t>
      </w:r>
      <w:r w:rsidRPr="00751A72">
        <w:rPr>
          <w:i/>
          <w:sz w:val="20"/>
          <w:lang w:val="fr-CA"/>
        </w:rPr>
        <w:t>Loi sur la stabilité des marchés des capitaux</w:t>
      </w:r>
      <w:r w:rsidRPr="00751A72">
        <w:rPr>
          <w:sz w:val="20"/>
          <w:lang w:val="fr-CA"/>
        </w:rPr>
        <w:t xml:space="preserve"> » excède-t-elle la compétence du Parlement du Canada sur le commerce selon le paragraphe 91(2) de la </w:t>
      </w:r>
      <w:r w:rsidRPr="00751A72">
        <w:rPr>
          <w:i/>
          <w:sz w:val="20"/>
          <w:lang w:val="fr-CA"/>
        </w:rPr>
        <w:t>Loi constitutionnelle de 1867</w:t>
      </w:r>
      <w:r w:rsidRPr="00751A72">
        <w:rPr>
          <w:sz w:val="20"/>
          <w:lang w:val="fr-CA"/>
        </w:rPr>
        <w:t>?</w:t>
      </w:r>
    </w:p>
    <w:p w:rsidR="00751A72" w:rsidRPr="00751A72" w:rsidRDefault="00751A72" w:rsidP="005B6767">
      <w:pPr>
        <w:pStyle w:val="ListParagraph"/>
        <w:rPr>
          <w:sz w:val="20"/>
          <w:lang w:val="fr-CA"/>
        </w:rPr>
      </w:pPr>
    </w:p>
    <w:p w:rsidR="00751A72" w:rsidRPr="00751A72" w:rsidRDefault="00751A72" w:rsidP="005B6767">
      <w:pPr>
        <w:widowControl w:val="0"/>
        <w:jc w:val="both"/>
        <w:rPr>
          <w:sz w:val="20"/>
          <w:lang w:val="fr-CA"/>
        </w:rPr>
      </w:pPr>
      <w:r w:rsidRPr="00751A72">
        <w:rPr>
          <w:sz w:val="20"/>
          <w:lang w:val="fr-CA"/>
        </w:rPr>
        <w:t xml:space="preserve">Les juges majoritaires de la Cour d’appel ont répondu « non » à la première question, estimant que la Constitution du Canada n’autorise pas la mise en place de la réglementation en question selon ce modèle. Ils ont également répondu « non » à la deuxième question, étant d’avis que la plus récente version de la loi n’excède pas la compétence du Parlement, sauf en regard de ses articles 76 à 79 pour ce qui est du rôle et des pouvoirs du Conseil des ministres, lesquels articles rendent la loi proposée inconstitutionnelle dans son ensemble s’ils n’en sont pas retirés. </w:t>
      </w:r>
    </w:p>
    <w:p w:rsidR="00751A72" w:rsidRPr="00506DD4" w:rsidRDefault="00751A72" w:rsidP="00340C6D">
      <w:pPr>
        <w:jc w:val="both"/>
        <w:rPr>
          <w:lang w:val="fr-CA"/>
        </w:rPr>
      </w:pPr>
    </w:p>
    <w:p w:rsidR="00072A63" w:rsidRPr="00506DD4" w:rsidRDefault="00072A63" w:rsidP="00340C6D">
      <w:pPr>
        <w:jc w:val="both"/>
        <w:rPr>
          <w:szCs w:val="24"/>
          <w:lang w:val="fr-CA"/>
        </w:rPr>
      </w:pPr>
    </w:p>
    <w:p w:rsidR="00072A63" w:rsidRPr="00506DD4" w:rsidRDefault="00072A63" w:rsidP="00EC79B0">
      <w:pPr>
        <w:jc w:val="both"/>
        <w:rPr>
          <w:szCs w:val="24"/>
          <w:lang w:val="fr-CA"/>
        </w:rPr>
      </w:pPr>
    </w:p>
    <w:p w:rsidR="001C4415" w:rsidRPr="00614699" w:rsidRDefault="001C4415" w:rsidP="001C4415">
      <w:pPr>
        <w:widowControl w:val="0"/>
        <w:outlineLvl w:val="0"/>
      </w:pPr>
      <w:r w:rsidRPr="00614699">
        <w:t xml:space="preserve">Supreme Court of Canada / Cour suprême du </w:t>
      </w:r>
      <w:proofErr w:type="gramStart"/>
      <w:r w:rsidRPr="00614699">
        <w:t>Canada :</w:t>
      </w:r>
      <w:proofErr w:type="gramEnd"/>
      <w:r w:rsidRPr="00614699">
        <w:t xml:space="preserve"> </w:t>
      </w:r>
    </w:p>
    <w:p w:rsidR="001C4415" w:rsidRPr="00614699" w:rsidRDefault="00414192" w:rsidP="001C4415">
      <w:pPr>
        <w:widowControl w:val="0"/>
        <w:outlineLvl w:val="0"/>
      </w:pPr>
      <w:hyperlink r:id="rId8" w:history="1">
        <w:r w:rsidR="001C4415" w:rsidRPr="00614699">
          <w:rPr>
            <w:rStyle w:val="Hyperlink"/>
          </w:rPr>
          <w:t>comments-commentaires@scc-csc.ca</w:t>
        </w:r>
      </w:hyperlink>
    </w:p>
    <w:p w:rsidR="001C4415" w:rsidRPr="00614699" w:rsidRDefault="001C4415" w:rsidP="001C4415">
      <w:pPr>
        <w:widowControl w:val="0"/>
        <w:outlineLvl w:val="0"/>
      </w:pPr>
      <w:r w:rsidRPr="00614699">
        <w:t>(613) 995-4330</w:t>
      </w:r>
    </w:p>
    <w:p w:rsidR="001C4415" w:rsidRPr="00614699" w:rsidRDefault="001C4415" w:rsidP="001C4415">
      <w:pPr>
        <w:widowControl w:val="0"/>
        <w:rPr>
          <w:sz w:val="20"/>
        </w:rPr>
      </w:pPr>
    </w:p>
    <w:p w:rsidR="0036476C" w:rsidRPr="00A8502B" w:rsidRDefault="001C4415" w:rsidP="0036476C">
      <w:pPr>
        <w:pStyle w:val="Footer"/>
        <w:jc w:val="center"/>
        <w:rPr>
          <w:lang w:val="fr-CA"/>
        </w:rPr>
      </w:pPr>
      <w:r w:rsidRPr="00FF09DA">
        <w:rPr>
          <w:lang w:val="fr-CA"/>
        </w:rPr>
        <w:t xml:space="preserve">- 30 </w:t>
      </w:r>
      <w:r w:rsidR="003C1B6E" w:rsidRPr="00FF09DA">
        <w:rPr>
          <w:lang w:val="fr-CA"/>
        </w:rPr>
        <w:t>-</w:t>
      </w:r>
    </w:p>
    <w:p w:rsidR="0036476C" w:rsidRPr="00A8502B" w:rsidRDefault="0036476C" w:rsidP="0036476C">
      <w:pPr>
        <w:pStyle w:val="Footer"/>
        <w:jc w:val="center"/>
        <w:rPr>
          <w:lang w:val="fr-CA"/>
        </w:rPr>
      </w:pPr>
    </w:p>
    <w:sectPr w:rsidR="0036476C" w:rsidRPr="00A8502B" w:rsidSect="00D362A2">
      <w:headerReference w:type="even" r:id="rId9"/>
      <w:headerReference w:type="default" r:id="rId10"/>
      <w:footerReference w:type="even" r:id="rId11"/>
      <w:footerReference w:type="default" r:id="rId12"/>
      <w:headerReference w:type="first" r:id="rId13"/>
      <w:footerReference w:type="first" r:id="rId14"/>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5606"/>
    <w:multiLevelType w:val="hybridMultilevel"/>
    <w:tmpl w:val="D3C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6526E"/>
    <w:multiLevelType w:val="hybridMultilevel"/>
    <w:tmpl w:val="D3C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2B21"/>
    <w:rsid w:val="000446D3"/>
    <w:rsid w:val="000454BF"/>
    <w:rsid w:val="00053111"/>
    <w:rsid w:val="00060140"/>
    <w:rsid w:val="00060B39"/>
    <w:rsid w:val="00061A14"/>
    <w:rsid w:val="00072A63"/>
    <w:rsid w:val="0008116D"/>
    <w:rsid w:val="000855FD"/>
    <w:rsid w:val="00087122"/>
    <w:rsid w:val="0009615F"/>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F98"/>
    <w:rsid w:val="00193030"/>
    <w:rsid w:val="001936BC"/>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630C"/>
    <w:rsid w:val="00290E05"/>
    <w:rsid w:val="00290F21"/>
    <w:rsid w:val="00291F84"/>
    <w:rsid w:val="00297E1D"/>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49"/>
    <w:rsid w:val="00346B6F"/>
    <w:rsid w:val="00346F0D"/>
    <w:rsid w:val="00350C6A"/>
    <w:rsid w:val="00350CE0"/>
    <w:rsid w:val="00352B94"/>
    <w:rsid w:val="00353AB0"/>
    <w:rsid w:val="00357919"/>
    <w:rsid w:val="00362484"/>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4E7E"/>
    <w:rsid w:val="003B6ECB"/>
    <w:rsid w:val="003C1B6E"/>
    <w:rsid w:val="003C381F"/>
    <w:rsid w:val="003D4D2A"/>
    <w:rsid w:val="003D74E7"/>
    <w:rsid w:val="003E0326"/>
    <w:rsid w:val="003E101F"/>
    <w:rsid w:val="003E1BBF"/>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4192"/>
    <w:rsid w:val="0041533E"/>
    <w:rsid w:val="0042151F"/>
    <w:rsid w:val="00421CC7"/>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91284"/>
    <w:rsid w:val="004927D1"/>
    <w:rsid w:val="004A017B"/>
    <w:rsid w:val="004A2228"/>
    <w:rsid w:val="004A40E1"/>
    <w:rsid w:val="004A4570"/>
    <w:rsid w:val="004A56AC"/>
    <w:rsid w:val="004A6F06"/>
    <w:rsid w:val="004B22B5"/>
    <w:rsid w:val="004B4821"/>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3FB9"/>
    <w:rsid w:val="004F76A1"/>
    <w:rsid w:val="00504582"/>
    <w:rsid w:val="00506DD4"/>
    <w:rsid w:val="00511094"/>
    <w:rsid w:val="00512FB2"/>
    <w:rsid w:val="0051320D"/>
    <w:rsid w:val="005132EC"/>
    <w:rsid w:val="00517F18"/>
    <w:rsid w:val="00520A3C"/>
    <w:rsid w:val="00525362"/>
    <w:rsid w:val="00525B8E"/>
    <w:rsid w:val="005271AD"/>
    <w:rsid w:val="00531567"/>
    <w:rsid w:val="00534E1E"/>
    <w:rsid w:val="00537187"/>
    <w:rsid w:val="005400BA"/>
    <w:rsid w:val="00542361"/>
    <w:rsid w:val="0054302E"/>
    <w:rsid w:val="0054378D"/>
    <w:rsid w:val="00545B3E"/>
    <w:rsid w:val="005463D9"/>
    <w:rsid w:val="005511F1"/>
    <w:rsid w:val="00552278"/>
    <w:rsid w:val="0055520C"/>
    <w:rsid w:val="00560D32"/>
    <w:rsid w:val="005631B8"/>
    <w:rsid w:val="00563EF8"/>
    <w:rsid w:val="005671BC"/>
    <w:rsid w:val="005717F4"/>
    <w:rsid w:val="00572E24"/>
    <w:rsid w:val="00575FA2"/>
    <w:rsid w:val="0057727D"/>
    <w:rsid w:val="00580897"/>
    <w:rsid w:val="00580EBF"/>
    <w:rsid w:val="005831CF"/>
    <w:rsid w:val="00591F70"/>
    <w:rsid w:val="005932DF"/>
    <w:rsid w:val="00595150"/>
    <w:rsid w:val="00595922"/>
    <w:rsid w:val="005A0FB1"/>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29E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CC3"/>
    <w:rsid w:val="006E7FD1"/>
    <w:rsid w:val="006F1899"/>
    <w:rsid w:val="006F1A6D"/>
    <w:rsid w:val="006F202E"/>
    <w:rsid w:val="006F3B04"/>
    <w:rsid w:val="006F636B"/>
    <w:rsid w:val="006F73CC"/>
    <w:rsid w:val="006F7FC8"/>
    <w:rsid w:val="007009F9"/>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3AB2"/>
    <w:rsid w:val="00743CD0"/>
    <w:rsid w:val="007464AD"/>
    <w:rsid w:val="007505FE"/>
    <w:rsid w:val="00751A72"/>
    <w:rsid w:val="00753E0D"/>
    <w:rsid w:val="00753FDD"/>
    <w:rsid w:val="00755A54"/>
    <w:rsid w:val="00762239"/>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29FE"/>
    <w:rsid w:val="007F3D16"/>
    <w:rsid w:val="007F45A9"/>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D03"/>
    <w:rsid w:val="008D2829"/>
    <w:rsid w:val="008D3DE1"/>
    <w:rsid w:val="008D557C"/>
    <w:rsid w:val="008D5B1F"/>
    <w:rsid w:val="008D6BC4"/>
    <w:rsid w:val="008D7257"/>
    <w:rsid w:val="008E0CE6"/>
    <w:rsid w:val="008E0CF4"/>
    <w:rsid w:val="008E5108"/>
    <w:rsid w:val="008E5567"/>
    <w:rsid w:val="008E7015"/>
    <w:rsid w:val="008E7777"/>
    <w:rsid w:val="008F15CD"/>
    <w:rsid w:val="008F246A"/>
    <w:rsid w:val="008F6C55"/>
    <w:rsid w:val="0090380F"/>
    <w:rsid w:val="009062BF"/>
    <w:rsid w:val="009079AF"/>
    <w:rsid w:val="00911071"/>
    <w:rsid w:val="00916404"/>
    <w:rsid w:val="00916B9F"/>
    <w:rsid w:val="009202FD"/>
    <w:rsid w:val="00921102"/>
    <w:rsid w:val="009214B3"/>
    <w:rsid w:val="0092264F"/>
    <w:rsid w:val="009234CE"/>
    <w:rsid w:val="009246D2"/>
    <w:rsid w:val="00925384"/>
    <w:rsid w:val="00931A3C"/>
    <w:rsid w:val="0093468B"/>
    <w:rsid w:val="009408A3"/>
    <w:rsid w:val="009421D0"/>
    <w:rsid w:val="009448B0"/>
    <w:rsid w:val="00945121"/>
    <w:rsid w:val="00945199"/>
    <w:rsid w:val="00945849"/>
    <w:rsid w:val="00946EC7"/>
    <w:rsid w:val="00955BCE"/>
    <w:rsid w:val="009603A2"/>
    <w:rsid w:val="00961DA1"/>
    <w:rsid w:val="00962301"/>
    <w:rsid w:val="00970CA2"/>
    <w:rsid w:val="00970EDF"/>
    <w:rsid w:val="00972F05"/>
    <w:rsid w:val="00975F1B"/>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E15E2"/>
    <w:rsid w:val="009E23BF"/>
    <w:rsid w:val="009E2BF3"/>
    <w:rsid w:val="009E2D9A"/>
    <w:rsid w:val="009E478A"/>
    <w:rsid w:val="009E6E2B"/>
    <w:rsid w:val="009E7F8F"/>
    <w:rsid w:val="009F18D7"/>
    <w:rsid w:val="009F1E2B"/>
    <w:rsid w:val="009F5005"/>
    <w:rsid w:val="009F5F96"/>
    <w:rsid w:val="009F74D0"/>
    <w:rsid w:val="00A06BFF"/>
    <w:rsid w:val="00A129AE"/>
    <w:rsid w:val="00A12B84"/>
    <w:rsid w:val="00A13112"/>
    <w:rsid w:val="00A17FF7"/>
    <w:rsid w:val="00A20D09"/>
    <w:rsid w:val="00A21A0F"/>
    <w:rsid w:val="00A253E7"/>
    <w:rsid w:val="00A26653"/>
    <w:rsid w:val="00A2764E"/>
    <w:rsid w:val="00A40505"/>
    <w:rsid w:val="00A409CF"/>
    <w:rsid w:val="00A42C03"/>
    <w:rsid w:val="00A45E77"/>
    <w:rsid w:val="00A47417"/>
    <w:rsid w:val="00A50E58"/>
    <w:rsid w:val="00A52FC3"/>
    <w:rsid w:val="00A539FF"/>
    <w:rsid w:val="00A56E84"/>
    <w:rsid w:val="00A60F48"/>
    <w:rsid w:val="00A641A8"/>
    <w:rsid w:val="00A64DFD"/>
    <w:rsid w:val="00A709E8"/>
    <w:rsid w:val="00A83DF2"/>
    <w:rsid w:val="00A8420B"/>
    <w:rsid w:val="00A8502B"/>
    <w:rsid w:val="00A86226"/>
    <w:rsid w:val="00A86D9C"/>
    <w:rsid w:val="00A920FB"/>
    <w:rsid w:val="00A9462E"/>
    <w:rsid w:val="00A968C4"/>
    <w:rsid w:val="00A96F68"/>
    <w:rsid w:val="00A97C36"/>
    <w:rsid w:val="00AA6478"/>
    <w:rsid w:val="00AB1071"/>
    <w:rsid w:val="00AB4EFD"/>
    <w:rsid w:val="00AB6E49"/>
    <w:rsid w:val="00AB7298"/>
    <w:rsid w:val="00AB76F5"/>
    <w:rsid w:val="00AC0E55"/>
    <w:rsid w:val="00AC1EBB"/>
    <w:rsid w:val="00AC29C3"/>
    <w:rsid w:val="00AC3DA6"/>
    <w:rsid w:val="00AD271C"/>
    <w:rsid w:val="00AD28E3"/>
    <w:rsid w:val="00AD4D8B"/>
    <w:rsid w:val="00AE57A4"/>
    <w:rsid w:val="00AE77AE"/>
    <w:rsid w:val="00AF291D"/>
    <w:rsid w:val="00AF51A0"/>
    <w:rsid w:val="00AF5D67"/>
    <w:rsid w:val="00B00765"/>
    <w:rsid w:val="00B0211B"/>
    <w:rsid w:val="00B0252F"/>
    <w:rsid w:val="00B02858"/>
    <w:rsid w:val="00B10539"/>
    <w:rsid w:val="00B10F2E"/>
    <w:rsid w:val="00B11D20"/>
    <w:rsid w:val="00B11D74"/>
    <w:rsid w:val="00B14DCE"/>
    <w:rsid w:val="00B15276"/>
    <w:rsid w:val="00B17303"/>
    <w:rsid w:val="00B21DA8"/>
    <w:rsid w:val="00B26A2D"/>
    <w:rsid w:val="00B348B0"/>
    <w:rsid w:val="00B36EC1"/>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495B"/>
    <w:rsid w:val="00C14970"/>
    <w:rsid w:val="00C173E2"/>
    <w:rsid w:val="00C20C17"/>
    <w:rsid w:val="00C210C3"/>
    <w:rsid w:val="00C23E02"/>
    <w:rsid w:val="00C26855"/>
    <w:rsid w:val="00C26ED7"/>
    <w:rsid w:val="00C318D7"/>
    <w:rsid w:val="00C343BF"/>
    <w:rsid w:val="00C34DBC"/>
    <w:rsid w:val="00C3754A"/>
    <w:rsid w:val="00C443AF"/>
    <w:rsid w:val="00C46901"/>
    <w:rsid w:val="00C472C0"/>
    <w:rsid w:val="00C51144"/>
    <w:rsid w:val="00C5334E"/>
    <w:rsid w:val="00C54C7F"/>
    <w:rsid w:val="00C55365"/>
    <w:rsid w:val="00C56B06"/>
    <w:rsid w:val="00C610C8"/>
    <w:rsid w:val="00C63FB9"/>
    <w:rsid w:val="00C65E58"/>
    <w:rsid w:val="00C724D2"/>
    <w:rsid w:val="00C72BFA"/>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F26"/>
    <w:rsid w:val="00CB3AE2"/>
    <w:rsid w:val="00CB3FBB"/>
    <w:rsid w:val="00CB5906"/>
    <w:rsid w:val="00CB65F1"/>
    <w:rsid w:val="00CC2799"/>
    <w:rsid w:val="00CC2CF7"/>
    <w:rsid w:val="00CC59ED"/>
    <w:rsid w:val="00CD00F0"/>
    <w:rsid w:val="00CD2A1C"/>
    <w:rsid w:val="00CD2EFD"/>
    <w:rsid w:val="00CD4BC4"/>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22031"/>
    <w:rsid w:val="00D303D6"/>
    <w:rsid w:val="00D32687"/>
    <w:rsid w:val="00D32D6E"/>
    <w:rsid w:val="00D3314A"/>
    <w:rsid w:val="00D362A2"/>
    <w:rsid w:val="00D37B27"/>
    <w:rsid w:val="00D424D2"/>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78FE"/>
    <w:rsid w:val="00DE04BB"/>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4A3B"/>
    <w:rsid w:val="00E450FF"/>
    <w:rsid w:val="00E47A93"/>
    <w:rsid w:val="00E51DCC"/>
    <w:rsid w:val="00E538AE"/>
    <w:rsid w:val="00E575D4"/>
    <w:rsid w:val="00E602CC"/>
    <w:rsid w:val="00E60BCF"/>
    <w:rsid w:val="00E63199"/>
    <w:rsid w:val="00E631BB"/>
    <w:rsid w:val="00E6600C"/>
    <w:rsid w:val="00E66FC2"/>
    <w:rsid w:val="00E67137"/>
    <w:rsid w:val="00E701AC"/>
    <w:rsid w:val="00E71B6C"/>
    <w:rsid w:val="00E71F47"/>
    <w:rsid w:val="00E7552C"/>
    <w:rsid w:val="00E75EDC"/>
    <w:rsid w:val="00E76F19"/>
    <w:rsid w:val="00E77DF7"/>
    <w:rsid w:val="00E802FE"/>
    <w:rsid w:val="00E823D3"/>
    <w:rsid w:val="00E828F0"/>
    <w:rsid w:val="00E82DB5"/>
    <w:rsid w:val="00E8450A"/>
    <w:rsid w:val="00E857F1"/>
    <w:rsid w:val="00E919C6"/>
    <w:rsid w:val="00E919F1"/>
    <w:rsid w:val="00E93DBE"/>
    <w:rsid w:val="00E9584F"/>
    <w:rsid w:val="00EA00F5"/>
    <w:rsid w:val="00EA2FA7"/>
    <w:rsid w:val="00EA389B"/>
    <w:rsid w:val="00EB1B1D"/>
    <w:rsid w:val="00EB3D84"/>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65C0"/>
    <w:rsid w:val="00EF778F"/>
    <w:rsid w:val="00EF78B8"/>
    <w:rsid w:val="00EF7999"/>
    <w:rsid w:val="00F006DA"/>
    <w:rsid w:val="00F01ED3"/>
    <w:rsid w:val="00F020DF"/>
    <w:rsid w:val="00F03BFD"/>
    <w:rsid w:val="00F118D3"/>
    <w:rsid w:val="00F1242C"/>
    <w:rsid w:val="00F128C3"/>
    <w:rsid w:val="00F1711D"/>
    <w:rsid w:val="00F200BC"/>
    <w:rsid w:val="00F223F4"/>
    <w:rsid w:val="00F23EAF"/>
    <w:rsid w:val="00F25C3E"/>
    <w:rsid w:val="00F269BB"/>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E3585"/>
    <w:rsid w:val="00FF09DA"/>
    <w:rsid w:val="00FF16A1"/>
    <w:rsid w:val="00FF330A"/>
    <w:rsid w:val="00FF3CAD"/>
    <w:rsid w:val="00FF483D"/>
    <w:rsid w:val="00FF49A5"/>
    <w:rsid w:val="00FF69FD"/>
    <w:rsid w:val="00FF6B2B"/>
    <w:rsid w:val="00FF6CAF"/>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paragraph" w:styleId="ListParagraph">
    <w:name w:val="List Paragraph"/>
    <w:basedOn w:val="Normal"/>
    <w:uiPriority w:val="34"/>
    <w:qFormat/>
    <w:rsid w:val="00751A72"/>
    <w:pPr>
      <w:ind w:left="720"/>
      <w:contextualSpacing/>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commentaires@scc-cs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c-csc.ca/case-dossier/info/sum-som-fra.aspx?cas=3761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4187</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2018-10-29T15:20:00Z</dcterms:created>
  <dcterms:modified xsi:type="dcterms:W3CDTF">2018-11-02T16:32:00Z</dcterms:modified>
</cp:coreProperties>
</file>