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3351CE" w:rsidRDefault="00F61846" w:rsidP="00122CE1">
      <w:pPr>
        <w:pStyle w:val="Header"/>
        <w:tabs>
          <w:tab w:val="left" w:pos="1620"/>
          <w:tab w:val="left" w:pos="1710"/>
        </w:tabs>
        <w:jc w:val="center"/>
        <w:rPr>
          <w:b/>
          <w:sz w:val="32"/>
        </w:rPr>
      </w:pPr>
      <w:r w:rsidRPr="003351CE">
        <w:rPr>
          <w:b/>
          <w:sz w:val="32"/>
        </w:rPr>
        <w:t>S</w:t>
      </w:r>
      <w:r w:rsidR="003F43E6" w:rsidRPr="003351CE">
        <w:rPr>
          <w:b/>
          <w:sz w:val="32"/>
        </w:rPr>
        <w:t>upreme Court of Canada / Cour suprême du Canada</w:t>
      </w:r>
    </w:p>
    <w:p w:rsidR="003F43E6" w:rsidRPr="003351CE" w:rsidRDefault="003F43E6" w:rsidP="006F2579">
      <w:pPr>
        <w:widowControl w:val="0"/>
        <w:rPr>
          <w:i/>
        </w:rPr>
      </w:pPr>
    </w:p>
    <w:p w:rsidR="006F2579" w:rsidRPr="003351CE" w:rsidRDefault="006F2579" w:rsidP="006F2579">
      <w:pPr>
        <w:widowControl w:val="0"/>
        <w:rPr>
          <w:i/>
        </w:rPr>
      </w:pPr>
      <w:r w:rsidRPr="003351CE">
        <w:rPr>
          <w:i/>
        </w:rPr>
        <w:t>(le français suit)</w:t>
      </w:r>
    </w:p>
    <w:p w:rsidR="006F2579" w:rsidRPr="003351CE" w:rsidRDefault="006F2579" w:rsidP="006F2579">
      <w:pPr>
        <w:widowControl w:val="0"/>
      </w:pPr>
    </w:p>
    <w:p w:rsidR="006F2579" w:rsidRPr="003351CE" w:rsidRDefault="00B07908" w:rsidP="006F2579">
      <w:pPr>
        <w:widowControl w:val="0"/>
        <w:jc w:val="center"/>
        <w:rPr>
          <w:b/>
        </w:rPr>
      </w:pPr>
      <w:r w:rsidRPr="003351CE">
        <w:fldChar w:fldCharType="begin"/>
      </w:r>
      <w:r w:rsidR="006F2579" w:rsidRPr="003351CE">
        <w:instrText xml:space="preserve"> SEQ CHAPTER \h \r 1</w:instrText>
      </w:r>
      <w:r w:rsidRPr="003351CE">
        <w:fldChar w:fldCharType="end"/>
      </w:r>
      <w:r w:rsidR="006F2579" w:rsidRPr="003351CE">
        <w:rPr>
          <w:b/>
        </w:rPr>
        <w:t>JUDGMENT</w:t>
      </w:r>
      <w:r w:rsidR="00B17AAC" w:rsidRPr="003351CE">
        <w:rPr>
          <w:b/>
        </w:rPr>
        <w:t>S</w:t>
      </w:r>
      <w:r w:rsidR="006F2579" w:rsidRPr="003351CE">
        <w:rPr>
          <w:b/>
        </w:rPr>
        <w:t xml:space="preserve"> TO B</w:t>
      </w:r>
      <w:r w:rsidR="00001846" w:rsidRPr="003351CE">
        <w:rPr>
          <w:b/>
        </w:rPr>
        <w:t>E RENDERED IN LE</w:t>
      </w:r>
      <w:r w:rsidR="00A0288A" w:rsidRPr="003351CE">
        <w:rPr>
          <w:b/>
        </w:rPr>
        <w:t>A</w:t>
      </w:r>
      <w:r w:rsidR="00001846" w:rsidRPr="003351CE">
        <w:rPr>
          <w:b/>
        </w:rPr>
        <w:t>VE APPLICATION</w:t>
      </w:r>
      <w:r w:rsidR="00E94FDF" w:rsidRPr="003351CE">
        <w:rPr>
          <w:b/>
        </w:rPr>
        <w:t>S</w:t>
      </w:r>
    </w:p>
    <w:p w:rsidR="006F2579" w:rsidRPr="003351CE" w:rsidRDefault="006F2579" w:rsidP="006F2579">
      <w:pPr>
        <w:widowControl w:val="0"/>
      </w:pPr>
    </w:p>
    <w:p w:rsidR="006F2579" w:rsidRPr="003351CE" w:rsidRDefault="00AE11D6" w:rsidP="006F2579">
      <w:pPr>
        <w:widowControl w:val="0"/>
        <w:rPr>
          <w:b/>
        </w:rPr>
      </w:pPr>
      <w:r>
        <w:rPr>
          <w:b/>
        </w:rPr>
        <w:t>Febru</w:t>
      </w:r>
      <w:r w:rsidR="00313D36">
        <w:rPr>
          <w:b/>
        </w:rPr>
        <w:t>ary</w:t>
      </w:r>
      <w:r w:rsidR="00A15B66">
        <w:rPr>
          <w:b/>
        </w:rPr>
        <w:t xml:space="preserve"> </w:t>
      </w:r>
      <w:r w:rsidR="00FD3FA0">
        <w:rPr>
          <w:b/>
        </w:rPr>
        <w:t>25</w:t>
      </w:r>
      <w:r w:rsidR="004441C7" w:rsidRPr="003351CE">
        <w:rPr>
          <w:b/>
        </w:rPr>
        <w:t>,</w:t>
      </w:r>
      <w:r w:rsidR="006F2579" w:rsidRPr="003351CE">
        <w:rPr>
          <w:b/>
        </w:rPr>
        <w:t xml:space="preserve"> </w:t>
      </w:r>
      <w:r w:rsidR="0054689F" w:rsidRPr="003351CE">
        <w:rPr>
          <w:b/>
        </w:rPr>
        <w:t>201</w:t>
      </w:r>
      <w:r w:rsidR="00313D36">
        <w:rPr>
          <w:b/>
        </w:rPr>
        <w:t>9</w:t>
      </w:r>
    </w:p>
    <w:p w:rsidR="006F2579" w:rsidRPr="003351CE" w:rsidRDefault="00674F39" w:rsidP="006F2579">
      <w:pPr>
        <w:widowControl w:val="0"/>
        <w:rPr>
          <w:b/>
        </w:rPr>
      </w:pPr>
      <w:r w:rsidRPr="003351CE">
        <w:rPr>
          <w:b/>
        </w:rPr>
        <w:t>For immediate release</w:t>
      </w:r>
    </w:p>
    <w:p w:rsidR="006F2579" w:rsidRPr="003351CE" w:rsidRDefault="006F2579" w:rsidP="006F2579">
      <w:pPr>
        <w:widowControl w:val="0"/>
      </w:pPr>
    </w:p>
    <w:p w:rsidR="006F2579" w:rsidRPr="008E5DBE" w:rsidRDefault="006F2579" w:rsidP="006F2579">
      <w:pPr>
        <w:widowControl w:val="0"/>
        <w:rPr>
          <w:lang w:val="fr-CA"/>
        </w:rPr>
      </w:pPr>
      <w:r w:rsidRPr="006C319D">
        <w:rPr>
          <w:b/>
        </w:rPr>
        <w:t>OTTAWA</w:t>
      </w:r>
      <w:r w:rsidRPr="006C319D">
        <w:t xml:space="preserve"> – The Supreme Court of Canad</w:t>
      </w:r>
      <w:r w:rsidR="006246E4" w:rsidRPr="006C319D">
        <w:t>a</w:t>
      </w:r>
      <w:r w:rsidRPr="006C319D">
        <w:t xml:space="preserve"> announced today that judgment in the following application</w:t>
      </w:r>
      <w:r w:rsidR="008600ED" w:rsidRPr="006C319D">
        <w:t>s</w:t>
      </w:r>
      <w:r w:rsidRPr="006C319D">
        <w:t xml:space="preserve"> for leave to appeal will be delivered at 9:45 a.m. </w:t>
      </w:r>
      <w:r w:rsidR="00E05816">
        <w:t>EST</w:t>
      </w:r>
      <w:r w:rsidRPr="006C319D">
        <w:t xml:space="preserve"> on Thursday, </w:t>
      </w:r>
      <w:r w:rsidR="00AE11D6">
        <w:t>February</w:t>
      </w:r>
      <w:r w:rsidR="00455912" w:rsidRPr="006C319D">
        <w:t xml:space="preserve"> </w:t>
      </w:r>
      <w:r w:rsidR="00670786">
        <w:t>2</w:t>
      </w:r>
      <w:r w:rsidR="00FD3FA0">
        <w:t>8</w:t>
      </w:r>
      <w:r w:rsidR="007E112F" w:rsidRPr="006C319D">
        <w:t>,</w:t>
      </w:r>
      <w:r w:rsidR="002F38D7" w:rsidRPr="006C319D">
        <w:t xml:space="preserve"> </w:t>
      </w:r>
      <w:r w:rsidR="006648D1" w:rsidRPr="00C00270">
        <w:t>201</w:t>
      </w:r>
      <w:r w:rsidR="00313D36" w:rsidRPr="00C00270">
        <w:t>9</w:t>
      </w:r>
      <w:r w:rsidRPr="00C00270">
        <w:t xml:space="preserve">. </w:t>
      </w:r>
      <w:r w:rsidRPr="008E5DBE">
        <w:rPr>
          <w:lang w:val="fr-CA"/>
        </w:rPr>
        <w:t>This list is subject to chang</w:t>
      </w:r>
      <w:r w:rsidR="00192F7F" w:rsidRPr="008E5DBE">
        <w:rPr>
          <w:lang w:val="fr-CA"/>
        </w:rPr>
        <w:t>e</w:t>
      </w:r>
      <w:r w:rsidRPr="008E5DBE">
        <w:rPr>
          <w:lang w:val="fr-CA"/>
        </w:rPr>
        <w:t>.</w:t>
      </w:r>
    </w:p>
    <w:p w:rsidR="00EF2A9D" w:rsidRPr="008E5DBE" w:rsidRDefault="00EF2A9D" w:rsidP="006F2579">
      <w:pPr>
        <w:widowControl w:val="0"/>
        <w:rPr>
          <w:sz w:val="20"/>
          <w:lang w:val="fr-CA"/>
        </w:rPr>
      </w:pPr>
    </w:p>
    <w:p w:rsidR="00B43418" w:rsidRPr="008E5DBE" w:rsidRDefault="00B43418" w:rsidP="006F2579">
      <w:pPr>
        <w:widowControl w:val="0"/>
        <w:rPr>
          <w:sz w:val="20"/>
          <w:lang w:val="fr-CA"/>
        </w:rPr>
      </w:pPr>
    </w:p>
    <w:p w:rsidR="006F2579" w:rsidRPr="004E0745" w:rsidRDefault="006F2579" w:rsidP="006F2579">
      <w:pPr>
        <w:widowControl w:val="0"/>
        <w:jc w:val="center"/>
        <w:rPr>
          <w:lang w:val="fr-CA"/>
        </w:rPr>
      </w:pPr>
      <w:r w:rsidRPr="004E0745">
        <w:rPr>
          <w:b/>
          <w:lang w:val="fr-CA"/>
        </w:rPr>
        <w:t>PROCHAIN</w:t>
      </w:r>
      <w:r w:rsidR="00B17AAC" w:rsidRPr="004E0745">
        <w:rPr>
          <w:b/>
          <w:lang w:val="fr-CA"/>
        </w:rPr>
        <w:t>S</w:t>
      </w:r>
      <w:r w:rsidRPr="004E0745">
        <w:rPr>
          <w:b/>
          <w:lang w:val="fr-CA"/>
        </w:rPr>
        <w:t xml:space="preserve"> JUGEMENT</w:t>
      </w:r>
      <w:r w:rsidR="00B17AAC" w:rsidRPr="004E0745">
        <w:rPr>
          <w:b/>
          <w:lang w:val="fr-CA"/>
        </w:rPr>
        <w:t>S</w:t>
      </w:r>
      <w:r w:rsidR="00001846" w:rsidRPr="004E0745">
        <w:rPr>
          <w:b/>
          <w:lang w:val="fr-CA"/>
        </w:rPr>
        <w:t xml:space="preserve"> SUR DEMANDE</w:t>
      </w:r>
      <w:r w:rsidR="00B17AAC" w:rsidRPr="004E0745">
        <w:rPr>
          <w:b/>
          <w:lang w:val="fr-CA"/>
        </w:rPr>
        <w:t>S</w:t>
      </w:r>
      <w:r w:rsidRPr="004E0745">
        <w:rPr>
          <w:b/>
          <w:lang w:val="fr-CA"/>
        </w:rPr>
        <w:t xml:space="preserve"> D’AUTORISATION</w:t>
      </w:r>
    </w:p>
    <w:p w:rsidR="006F2579" w:rsidRPr="004E0745" w:rsidRDefault="006F2579" w:rsidP="006F2579">
      <w:pPr>
        <w:widowControl w:val="0"/>
        <w:rPr>
          <w:lang w:val="fr-CA"/>
        </w:rPr>
      </w:pPr>
    </w:p>
    <w:p w:rsidR="006F2579" w:rsidRPr="004E0745" w:rsidRDefault="006F2579" w:rsidP="006F2579">
      <w:pPr>
        <w:widowControl w:val="0"/>
        <w:rPr>
          <w:b/>
          <w:lang w:val="fr-CA"/>
        </w:rPr>
      </w:pPr>
      <w:r w:rsidRPr="004E0745">
        <w:rPr>
          <w:b/>
          <w:lang w:val="fr-CA"/>
        </w:rPr>
        <w:t>Le</w:t>
      </w:r>
      <w:r w:rsidR="00957A76" w:rsidRPr="004E0745">
        <w:rPr>
          <w:b/>
          <w:lang w:val="fr-CA"/>
        </w:rPr>
        <w:t xml:space="preserve"> </w:t>
      </w:r>
      <w:r w:rsidR="00FD3FA0">
        <w:rPr>
          <w:b/>
          <w:lang w:val="fr-CA"/>
        </w:rPr>
        <w:t>25</w:t>
      </w:r>
      <w:r w:rsidR="00A15B66" w:rsidRPr="004E0745">
        <w:rPr>
          <w:b/>
          <w:lang w:val="fr-CA"/>
        </w:rPr>
        <w:t xml:space="preserve"> </w:t>
      </w:r>
      <w:r w:rsidR="00AE11D6" w:rsidRPr="004E0745">
        <w:rPr>
          <w:b/>
          <w:lang w:val="fr-CA"/>
        </w:rPr>
        <w:t>février</w:t>
      </w:r>
      <w:r w:rsidR="00A151D1" w:rsidRPr="004E0745">
        <w:rPr>
          <w:b/>
          <w:lang w:val="fr-CA"/>
        </w:rPr>
        <w:t xml:space="preserve"> 201</w:t>
      </w:r>
      <w:r w:rsidR="00313D36" w:rsidRPr="004E0745">
        <w:rPr>
          <w:b/>
          <w:lang w:val="fr-CA"/>
        </w:rPr>
        <w:t>9</w:t>
      </w:r>
    </w:p>
    <w:p w:rsidR="006F2579" w:rsidRPr="004E0745" w:rsidRDefault="006F2579" w:rsidP="006F2579">
      <w:pPr>
        <w:widowControl w:val="0"/>
        <w:rPr>
          <w:b/>
          <w:lang w:val="fr-CA"/>
        </w:rPr>
      </w:pPr>
      <w:r w:rsidRPr="004E0745">
        <w:rPr>
          <w:b/>
          <w:lang w:val="fr-CA"/>
        </w:rPr>
        <w:t>Pour diffusion immédiate</w:t>
      </w:r>
    </w:p>
    <w:p w:rsidR="006F2579" w:rsidRPr="004E0745" w:rsidRDefault="006F2579" w:rsidP="006F2579">
      <w:pPr>
        <w:widowControl w:val="0"/>
        <w:rPr>
          <w:lang w:val="fr-CA"/>
        </w:rPr>
      </w:pPr>
    </w:p>
    <w:p w:rsidR="006F2579" w:rsidRPr="004E0745" w:rsidRDefault="006F2579" w:rsidP="006F2579">
      <w:pPr>
        <w:widowControl w:val="0"/>
        <w:rPr>
          <w:lang w:val="fr-CA"/>
        </w:rPr>
      </w:pPr>
      <w:r w:rsidRPr="004E0745">
        <w:rPr>
          <w:b/>
          <w:lang w:val="fr-CA"/>
        </w:rPr>
        <w:t>OTTAWA</w:t>
      </w:r>
      <w:r w:rsidRPr="004E0745">
        <w:rPr>
          <w:lang w:val="fr-CA"/>
        </w:rPr>
        <w:t xml:space="preserve"> – La Cour suprême du Canada annonce que jugement ser</w:t>
      </w:r>
      <w:r w:rsidR="004259F9" w:rsidRPr="004E0745">
        <w:rPr>
          <w:lang w:val="fr-CA"/>
        </w:rPr>
        <w:t>a</w:t>
      </w:r>
      <w:r w:rsidRPr="004E0745">
        <w:rPr>
          <w:lang w:val="fr-CA"/>
        </w:rPr>
        <w:t xml:space="preserve"> rendu dans l</w:t>
      </w:r>
      <w:r w:rsidR="008600ED" w:rsidRPr="004E0745">
        <w:rPr>
          <w:lang w:val="fr-CA"/>
        </w:rPr>
        <w:t>es</w:t>
      </w:r>
      <w:r w:rsidRPr="004E0745">
        <w:rPr>
          <w:lang w:val="fr-CA"/>
        </w:rPr>
        <w:t xml:space="preserve"> demande</w:t>
      </w:r>
      <w:r w:rsidR="008600ED" w:rsidRPr="004E0745">
        <w:rPr>
          <w:lang w:val="fr-CA"/>
        </w:rPr>
        <w:t>s</w:t>
      </w:r>
      <w:r w:rsidRPr="004E0745">
        <w:rPr>
          <w:lang w:val="fr-CA"/>
        </w:rPr>
        <w:t xml:space="preserve"> d</w:t>
      </w:r>
      <w:r w:rsidR="00001846" w:rsidRPr="004E0745">
        <w:rPr>
          <w:lang w:val="fr-CA"/>
        </w:rPr>
        <w:t>’autorisation d’appel suivante</w:t>
      </w:r>
      <w:r w:rsidR="008600ED" w:rsidRPr="004E0745">
        <w:rPr>
          <w:lang w:val="fr-CA"/>
        </w:rPr>
        <w:t>s</w:t>
      </w:r>
      <w:r w:rsidRPr="004E0745">
        <w:rPr>
          <w:lang w:val="fr-CA"/>
        </w:rPr>
        <w:t xml:space="preserve"> le jeudi </w:t>
      </w:r>
      <w:r w:rsidR="00670786" w:rsidRPr="004E0745">
        <w:rPr>
          <w:lang w:val="fr-CA"/>
        </w:rPr>
        <w:t>2</w:t>
      </w:r>
      <w:r w:rsidR="00FD3FA0">
        <w:rPr>
          <w:lang w:val="fr-CA"/>
        </w:rPr>
        <w:t>8</w:t>
      </w:r>
      <w:r w:rsidR="00780317" w:rsidRPr="004E0745">
        <w:rPr>
          <w:lang w:val="fr-CA"/>
        </w:rPr>
        <w:t xml:space="preserve"> </w:t>
      </w:r>
      <w:r w:rsidR="00AE11D6" w:rsidRPr="004E0745">
        <w:rPr>
          <w:lang w:val="fr-CA"/>
        </w:rPr>
        <w:t>février</w:t>
      </w:r>
      <w:r w:rsidR="00694391" w:rsidRPr="004E0745">
        <w:rPr>
          <w:lang w:val="fr-CA"/>
        </w:rPr>
        <w:t xml:space="preserve"> 2</w:t>
      </w:r>
      <w:r w:rsidR="006648D1" w:rsidRPr="004E0745">
        <w:rPr>
          <w:lang w:val="fr-CA"/>
        </w:rPr>
        <w:t>01</w:t>
      </w:r>
      <w:r w:rsidR="00313D36" w:rsidRPr="004E0745">
        <w:rPr>
          <w:lang w:val="fr-CA"/>
        </w:rPr>
        <w:t>9</w:t>
      </w:r>
      <w:r w:rsidRPr="004E0745">
        <w:rPr>
          <w:lang w:val="fr-CA"/>
        </w:rPr>
        <w:t xml:space="preserve">, à 9 h 45 </w:t>
      </w:r>
      <w:r w:rsidR="000627A2" w:rsidRPr="004E0745">
        <w:rPr>
          <w:lang w:val="fr-CA"/>
        </w:rPr>
        <w:t>H</w:t>
      </w:r>
      <w:r w:rsidR="00E05816" w:rsidRPr="004E0745">
        <w:rPr>
          <w:lang w:val="fr-CA"/>
        </w:rPr>
        <w:t>N</w:t>
      </w:r>
      <w:r w:rsidRPr="004E0745">
        <w:rPr>
          <w:lang w:val="fr-CA"/>
        </w:rPr>
        <w:t>E. Cette liste est sujette à modifications.</w:t>
      </w:r>
    </w:p>
    <w:p w:rsidR="00EF2A9D" w:rsidRPr="004E0745" w:rsidRDefault="00EF2A9D" w:rsidP="009B14F4">
      <w:pPr>
        <w:widowControl w:val="0"/>
        <w:jc w:val="both"/>
        <w:rPr>
          <w:sz w:val="20"/>
          <w:lang w:val="fr-CA"/>
        </w:rPr>
      </w:pPr>
    </w:p>
    <w:p w:rsidR="001838E0" w:rsidRPr="004E0745" w:rsidRDefault="003D353C" w:rsidP="009B14F4">
      <w:pPr>
        <w:widowControl w:val="0"/>
        <w:jc w:val="both"/>
        <w:rPr>
          <w:sz w:val="20"/>
          <w:lang w:val="fr-CA"/>
        </w:rPr>
      </w:pPr>
      <w:r w:rsidRPr="004E0745">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18BCD"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714B95" w:rsidRPr="0026148A" w:rsidRDefault="00714B95" w:rsidP="006A22CA">
      <w:pPr>
        <w:ind w:left="142" w:hanging="142"/>
        <w:jc w:val="both"/>
        <w:rPr>
          <w:sz w:val="16"/>
          <w:lang w:val="fr-CA"/>
        </w:rPr>
      </w:pPr>
    </w:p>
    <w:p w:rsidR="0026148A" w:rsidRPr="00604ACB" w:rsidRDefault="0026148A" w:rsidP="00604ACB">
      <w:pPr>
        <w:pStyle w:val="ListParagraph"/>
        <w:numPr>
          <w:ilvl w:val="0"/>
          <w:numId w:val="11"/>
        </w:numPr>
        <w:ind w:left="357" w:hanging="357"/>
        <w:rPr>
          <w:sz w:val="20"/>
          <w:lang w:val="en-CA"/>
        </w:rPr>
      </w:pPr>
      <w:r w:rsidRPr="00604ACB">
        <w:rPr>
          <w:i/>
          <w:sz w:val="20"/>
          <w:lang w:val="en-CA"/>
        </w:rPr>
        <w:t>Ebrahim Toure v. Minister of Public Safety &amp; Emergency Preparedness, et al.</w:t>
      </w:r>
      <w:r w:rsidRPr="00604ACB">
        <w:rPr>
          <w:sz w:val="20"/>
          <w:lang w:val="en-CA"/>
        </w:rPr>
        <w:t xml:space="preserve"> (Ont.) (Criminal) (By Leave) </w:t>
      </w:r>
      <w:r w:rsidR="00E04B64" w:rsidRPr="00604ACB">
        <w:rPr>
          <w:sz w:val="20"/>
        </w:rPr>
        <w:t>(</w:t>
      </w:r>
      <w:hyperlink r:id="rId8" w:history="1">
        <w:r w:rsidR="00E04B64" w:rsidRPr="00604ACB">
          <w:rPr>
            <w:rStyle w:val="Hyperlink"/>
            <w:sz w:val="20"/>
          </w:rPr>
          <w:t>38</w:t>
        </w:r>
        <w:r w:rsidR="009C61C6" w:rsidRPr="00604ACB">
          <w:rPr>
            <w:rStyle w:val="Hyperlink"/>
            <w:sz w:val="20"/>
          </w:rPr>
          <w:t>355</w:t>
        </w:r>
      </w:hyperlink>
      <w:r w:rsidR="00E04B64" w:rsidRPr="00604ACB">
        <w:rPr>
          <w:sz w:val="20"/>
        </w:rPr>
        <w:t>)</w:t>
      </w:r>
    </w:p>
    <w:p w:rsidR="0026148A" w:rsidRPr="0026148A" w:rsidRDefault="0026148A" w:rsidP="00604ACB">
      <w:pPr>
        <w:ind w:left="357" w:hanging="357"/>
        <w:rPr>
          <w:sz w:val="20"/>
          <w:lang w:val="en-CA"/>
        </w:rPr>
      </w:pPr>
    </w:p>
    <w:p w:rsidR="0026148A" w:rsidRPr="00604ACB" w:rsidRDefault="0026148A" w:rsidP="00604ACB">
      <w:pPr>
        <w:pStyle w:val="ListParagraph"/>
        <w:numPr>
          <w:ilvl w:val="0"/>
          <w:numId w:val="11"/>
        </w:numPr>
        <w:ind w:left="357" w:hanging="357"/>
        <w:rPr>
          <w:sz w:val="20"/>
          <w:lang w:val="en-CA"/>
        </w:rPr>
      </w:pPr>
      <w:r w:rsidRPr="00604ACB">
        <w:rPr>
          <w:i/>
          <w:sz w:val="20"/>
          <w:lang w:val="en-CA"/>
        </w:rPr>
        <w:t>Alberta Human Rights Commission (Director), et al. v. Webber Academy Foundation</w:t>
      </w:r>
      <w:r w:rsidRPr="00604ACB">
        <w:rPr>
          <w:sz w:val="20"/>
          <w:lang w:val="en-CA"/>
        </w:rPr>
        <w:t xml:space="preserve"> (Alta.) (Civil) (By Leave)</w:t>
      </w:r>
      <w:r w:rsidR="00E04B64" w:rsidRPr="00604ACB">
        <w:rPr>
          <w:sz w:val="20"/>
          <w:lang w:val="en-CA"/>
        </w:rPr>
        <w:t xml:space="preserve"> </w:t>
      </w:r>
      <w:r w:rsidR="00E04B64" w:rsidRPr="00604ACB">
        <w:rPr>
          <w:sz w:val="20"/>
        </w:rPr>
        <w:t>(</w:t>
      </w:r>
      <w:hyperlink r:id="rId9" w:history="1">
        <w:r w:rsidR="00E04B64" w:rsidRPr="00604ACB">
          <w:rPr>
            <w:rStyle w:val="Hyperlink"/>
            <w:sz w:val="20"/>
          </w:rPr>
          <w:t>382</w:t>
        </w:r>
        <w:r w:rsidR="00D43569" w:rsidRPr="00604ACB">
          <w:rPr>
            <w:rStyle w:val="Hyperlink"/>
            <w:sz w:val="20"/>
          </w:rPr>
          <w:t>73</w:t>
        </w:r>
      </w:hyperlink>
      <w:r w:rsidR="00E04B64" w:rsidRPr="00604ACB">
        <w:rPr>
          <w:sz w:val="20"/>
        </w:rPr>
        <w:t>)</w:t>
      </w:r>
    </w:p>
    <w:p w:rsidR="0026148A" w:rsidRPr="0026148A" w:rsidRDefault="0026148A" w:rsidP="00604ACB">
      <w:pPr>
        <w:ind w:left="357" w:hanging="357"/>
        <w:rPr>
          <w:sz w:val="20"/>
          <w:lang w:val="en-CA"/>
        </w:rPr>
      </w:pPr>
    </w:p>
    <w:p w:rsidR="0026148A" w:rsidRPr="00604ACB" w:rsidRDefault="0026148A" w:rsidP="00604ACB">
      <w:pPr>
        <w:pStyle w:val="ListParagraph"/>
        <w:numPr>
          <w:ilvl w:val="0"/>
          <w:numId w:val="11"/>
        </w:numPr>
        <w:ind w:left="357" w:hanging="357"/>
        <w:rPr>
          <w:sz w:val="20"/>
          <w:lang w:val="en-CA"/>
        </w:rPr>
      </w:pPr>
      <w:r w:rsidRPr="00604ACB">
        <w:rPr>
          <w:i/>
          <w:sz w:val="20"/>
          <w:lang w:val="en-CA"/>
        </w:rPr>
        <w:t>Hassan Hashemi v. Christopher Kennelly, et al.</w:t>
      </w:r>
      <w:r w:rsidRPr="00604ACB">
        <w:rPr>
          <w:sz w:val="20"/>
          <w:lang w:val="en-CA"/>
        </w:rPr>
        <w:t xml:space="preserve"> (Ont.) (Civil) (By Leave)</w:t>
      </w:r>
      <w:r w:rsidR="00E04B64" w:rsidRPr="00604ACB">
        <w:rPr>
          <w:sz w:val="20"/>
          <w:lang w:val="en-CA"/>
        </w:rPr>
        <w:t xml:space="preserve"> </w:t>
      </w:r>
      <w:r w:rsidR="00E04B64" w:rsidRPr="00604ACB">
        <w:rPr>
          <w:sz w:val="20"/>
        </w:rPr>
        <w:t>(</w:t>
      </w:r>
      <w:hyperlink r:id="rId10" w:history="1">
        <w:r w:rsidR="00E04B64" w:rsidRPr="00604ACB">
          <w:rPr>
            <w:rStyle w:val="Hyperlink"/>
            <w:sz w:val="20"/>
          </w:rPr>
          <w:t>38</w:t>
        </w:r>
        <w:r w:rsidR="000B38C9" w:rsidRPr="00604ACB">
          <w:rPr>
            <w:rStyle w:val="Hyperlink"/>
            <w:sz w:val="20"/>
          </w:rPr>
          <w:t>356</w:t>
        </w:r>
      </w:hyperlink>
      <w:r w:rsidR="00E04B64" w:rsidRPr="00604ACB">
        <w:rPr>
          <w:sz w:val="20"/>
        </w:rPr>
        <w:t>)</w:t>
      </w:r>
    </w:p>
    <w:p w:rsidR="0026148A" w:rsidRPr="0026148A" w:rsidRDefault="0026148A" w:rsidP="00604ACB">
      <w:pPr>
        <w:ind w:left="357" w:hanging="357"/>
        <w:rPr>
          <w:sz w:val="20"/>
          <w:lang w:val="en-CA"/>
        </w:rPr>
      </w:pPr>
    </w:p>
    <w:p w:rsidR="0026148A" w:rsidRPr="00BA3F4C" w:rsidRDefault="0026148A" w:rsidP="00604ACB">
      <w:pPr>
        <w:pStyle w:val="ListParagraph"/>
        <w:numPr>
          <w:ilvl w:val="0"/>
          <w:numId w:val="11"/>
        </w:numPr>
        <w:ind w:left="357" w:hanging="357"/>
        <w:rPr>
          <w:sz w:val="20"/>
        </w:rPr>
      </w:pPr>
      <w:r w:rsidRPr="00604ACB">
        <w:rPr>
          <w:i/>
          <w:sz w:val="20"/>
          <w:lang w:val="en-CA"/>
        </w:rPr>
        <w:t>E</w:t>
      </w:r>
      <w:r w:rsidR="004565BE">
        <w:rPr>
          <w:i/>
          <w:sz w:val="20"/>
          <w:lang w:val="en-CA"/>
        </w:rPr>
        <w:t>NMAX</w:t>
      </w:r>
      <w:r w:rsidRPr="00604ACB">
        <w:rPr>
          <w:i/>
          <w:sz w:val="20"/>
          <w:lang w:val="en-CA"/>
        </w:rPr>
        <w:t xml:space="preserve"> Energy Corporation, et al. v. Her Majesty the Queen in Right of Alberta </w:t>
      </w:r>
      <w:r w:rsidRPr="00604ACB">
        <w:rPr>
          <w:sz w:val="20"/>
          <w:lang w:val="en-CA"/>
        </w:rPr>
        <w:t xml:space="preserve">(Alta.) </w:t>
      </w:r>
      <w:r w:rsidRPr="00BA3F4C">
        <w:rPr>
          <w:sz w:val="20"/>
        </w:rPr>
        <w:t>(Civil) (By Leave)</w:t>
      </w:r>
      <w:r w:rsidR="00E04B64" w:rsidRPr="00BA3F4C">
        <w:rPr>
          <w:sz w:val="20"/>
        </w:rPr>
        <w:t xml:space="preserve"> (</w:t>
      </w:r>
      <w:hyperlink r:id="rId11" w:history="1">
        <w:r w:rsidR="00E04B64" w:rsidRPr="00BA3F4C">
          <w:rPr>
            <w:rStyle w:val="Hyperlink"/>
            <w:sz w:val="20"/>
          </w:rPr>
          <w:t>38</w:t>
        </w:r>
        <w:r w:rsidR="00B65076" w:rsidRPr="00BA3F4C">
          <w:rPr>
            <w:rStyle w:val="Hyperlink"/>
            <w:sz w:val="20"/>
          </w:rPr>
          <w:t>181</w:t>
        </w:r>
      </w:hyperlink>
      <w:r w:rsidR="00E04B64" w:rsidRPr="00BA3F4C">
        <w:rPr>
          <w:sz w:val="20"/>
        </w:rPr>
        <w:t>)</w:t>
      </w:r>
    </w:p>
    <w:p w:rsidR="0026148A" w:rsidRPr="00BA3F4C" w:rsidRDefault="0026148A" w:rsidP="00604ACB">
      <w:pPr>
        <w:ind w:left="357" w:hanging="357"/>
        <w:rPr>
          <w:sz w:val="20"/>
        </w:rPr>
      </w:pPr>
    </w:p>
    <w:p w:rsidR="0026148A" w:rsidRPr="00604ACB" w:rsidRDefault="0026148A" w:rsidP="00604ACB">
      <w:pPr>
        <w:pStyle w:val="ListParagraph"/>
        <w:numPr>
          <w:ilvl w:val="0"/>
          <w:numId w:val="11"/>
        </w:numPr>
        <w:ind w:left="357" w:hanging="357"/>
        <w:rPr>
          <w:sz w:val="20"/>
          <w:lang w:val="fr-CA"/>
        </w:rPr>
      </w:pPr>
      <w:r w:rsidRPr="00604ACB">
        <w:rPr>
          <w:i/>
          <w:sz w:val="20"/>
          <w:lang w:val="fr-CA"/>
        </w:rPr>
        <w:t xml:space="preserve">Agence du revenu du Québec c </w:t>
      </w:r>
      <w:r w:rsidR="001E386F" w:rsidRPr="00604ACB">
        <w:rPr>
          <w:i/>
          <w:sz w:val="20"/>
          <w:lang w:val="fr-CA"/>
        </w:rPr>
        <w:t>Mines</w:t>
      </w:r>
      <w:r w:rsidRPr="00604ACB">
        <w:rPr>
          <w:i/>
          <w:sz w:val="20"/>
          <w:lang w:val="fr-CA"/>
        </w:rPr>
        <w:t xml:space="preserve"> </w:t>
      </w:r>
      <w:r w:rsidR="001E386F" w:rsidRPr="00604ACB">
        <w:rPr>
          <w:i/>
          <w:sz w:val="20"/>
          <w:lang w:val="fr-CA"/>
        </w:rPr>
        <w:t>d’or Wesdome</w:t>
      </w:r>
      <w:r w:rsidRPr="00604ACB">
        <w:rPr>
          <w:sz w:val="20"/>
          <w:lang w:val="fr-CA"/>
        </w:rPr>
        <w:t xml:space="preserve"> (Qc) (Civile) (Autorisation)</w:t>
      </w:r>
      <w:r w:rsidR="00E04B64" w:rsidRPr="00604ACB">
        <w:rPr>
          <w:sz w:val="20"/>
          <w:lang w:val="fr-CA"/>
        </w:rPr>
        <w:t xml:space="preserve"> (</w:t>
      </w:r>
      <w:hyperlink r:id="rId12" w:history="1">
        <w:r w:rsidR="00E04B64" w:rsidRPr="00604ACB">
          <w:rPr>
            <w:rStyle w:val="Hyperlink"/>
            <w:sz w:val="20"/>
            <w:szCs w:val="20"/>
            <w:lang w:val="fr-CA"/>
          </w:rPr>
          <w:t>38</w:t>
        </w:r>
        <w:r w:rsidR="001B5B2D" w:rsidRPr="00604ACB">
          <w:rPr>
            <w:rStyle w:val="Hyperlink"/>
            <w:sz w:val="20"/>
            <w:lang w:val="fr-CA"/>
          </w:rPr>
          <w:t>1</w:t>
        </w:r>
        <w:r w:rsidR="00E04B64" w:rsidRPr="00604ACB">
          <w:rPr>
            <w:rStyle w:val="Hyperlink"/>
            <w:sz w:val="20"/>
            <w:szCs w:val="20"/>
            <w:lang w:val="fr-CA"/>
          </w:rPr>
          <w:t>37</w:t>
        </w:r>
      </w:hyperlink>
      <w:r w:rsidR="00E04B64" w:rsidRPr="00604ACB">
        <w:rPr>
          <w:sz w:val="20"/>
          <w:lang w:val="fr-CA"/>
        </w:rPr>
        <w:t>)</w:t>
      </w:r>
    </w:p>
    <w:p w:rsidR="0026148A" w:rsidRPr="001E386F" w:rsidRDefault="0026148A" w:rsidP="00604ACB">
      <w:pPr>
        <w:ind w:left="357" w:hanging="357"/>
        <w:rPr>
          <w:sz w:val="20"/>
          <w:lang w:val="fr-CA"/>
        </w:rPr>
      </w:pPr>
    </w:p>
    <w:p w:rsidR="0026148A" w:rsidRPr="00604ACB" w:rsidRDefault="0026148A" w:rsidP="00604ACB">
      <w:pPr>
        <w:pStyle w:val="ListParagraph"/>
        <w:numPr>
          <w:ilvl w:val="0"/>
          <w:numId w:val="11"/>
        </w:numPr>
        <w:ind w:left="357" w:hanging="357"/>
        <w:rPr>
          <w:sz w:val="20"/>
          <w:lang w:val="en-CA"/>
        </w:rPr>
      </w:pPr>
      <w:r w:rsidRPr="00604ACB">
        <w:rPr>
          <w:i/>
          <w:sz w:val="20"/>
          <w:lang w:val="en-CA"/>
        </w:rPr>
        <w:t>Shella Gardezi v. Positive Living Society of British Columbia, et al. (</w:t>
      </w:r>
      <w:r w:rsidRPr="00604ACB">
        <w:rPr>
          <w:sz w:val="20"/>
          <w:lang w:val="en-CA"/>
        </w:rPr>
        <w:t>B.C.) (Civil) (By Leave)</w:t>
      </w:r>
      <w:r w:rsidR="00E04B64" w:rsidRPr="00604ACB">
        <w:rPr>
          <w:sz w:val="20"/>
          <w:lang w:val="en-CA"/>
        </w:rPr>
        <w:t xml:space="preserve"> </w:t>
      </w:r>
      <w:r w:rsidR="00E04B64" w:rsidRPr="00604ACB">
        <w:rPr>
          <w:sz w:val="20"/>
        </w:rPr>
        <w:t>(</w:t>
      </w:r>
      <w:hyperlink r:id="rId13" w:history="1">
        <w:r w:rsidR="00E04B64" w:rsidRPr="00604ACB">
          <w:rPr>
            <w:rStyle w:val="Hyperlink"/>
            <w:sz w:val="20"/>
          </w:rPr>
          <w:t>38</w:t>
        </w:r>
        <w:r w:rsidR="00E0787E" w:rsidRPr="00604ACB">
          <w:rPr>
            <w:rStyle w:val="Hyperlink"/>
            <w:sz w:val="20"/>
          </w:rPr>
          <w:t>383</w:t>
        </w:r>
      </w:hyperlink>
      <w:r w:rsidR="00E04B64" w:rsidRPr="00604ACB">
        <w:rPr>
          <w:sz w:val="20"/>
        </w:rPr>
        <w:t>)</w:t>
      </w:r>
    </w:p>
    <w:p w:rsidR="0026148A" w:rsidRPr="0026148A" w:rsidRDefault="0026148A" w:rsidP="00604ACB">
      <w:pPr>
        <w:ind w:left="357" w:hanging="357"/>
        <w:rPr>
          <w:sz w:val="20"/>
          <w:lang w:val="en-CA"/>
        </w:rPr>
      </w:pPr>
    </w:p>
    <w:p w:rsidR="0026148A" w:rsidRPr="00604ACB" w:rsidRDefault="0026148A" w:rsidP="00604ACB">
      <w:pPr>
        <w:pStyle w:val="ListParagraph"/>
        <w:numPr>
          <w:ilvl w:val="0"/>
          <w:numId w:val="11"/>
        </w:numPr>
        <w:ind w:left="357" w:hanging="357"/>
        <w:rPr>
          <w:sz w:val="20"/>
          <w:lang w:val="en-CA"/>
        </w:rPr>
      </w:pPr>
      <w:r w:rsidRPr="00604ACB">
        <w:rPr>
          <w:i/>
          <w:sz w:val="20"/>
          <w:lang w:val="en-CA"/>
        </w:rPr>
        <w:t xml:space="preserve">Abella Ezra Kasheke v. Attorney General of Canada, et al. </w:t>
      </w:r>
      <w:r w:rsidRPr="00604ACB">
        <w:rPr>
          <w:sz w:val="20"/>
          <w:lang w:val="en-CA"/>
        </w:rPr>
        <w:t>(N.S.) (Civil) (By Leave)</w:t>
      </w:r>
      <w:r w:rsidR="00E04B64" w:rsidRPr="00604ACB">
        <w:rPr>
          <w:sz w:val="20"/>
          <w:lang w:val="en-CA"/>
        </w:rPr>
        <w:t xml:space="preserve"> </w:t>
      </w:r>
      <w:r w:rsidR="00E04B64" w:rsidRPr="00604ACB">
        <w:rPr>
          <w:sz w:val="20"/>
        </w:rPr>
        <w:t>(</w:t>
      </w:r>
      <w:hyperlink r:id="rId14" w:history="1">
        <w:r w:rsidR="00E04B64" w:rsidRPr="00604ACB">
          <w:rPr>
            <w:rStyle w:val="Hyperlink"/>
            <w:sz w:val="20"/>
          </w:rPr>
          <w:t>382</w:t>
        </w:r>
        <w:r w:rsidR="000374DA" w:rsidRPr="00604ACB">
          <w:rPr>
            <w:rStyle w:val="Hyperlink"/>
            <w:sz w:val="20"/>
          </w:rPr>
          <w:t>50</w:t>
        </w:r>
      </w:hyperlink>
      <w:r w:rsidR="00E04B64" w:rsidRPr="00604ACB">
        <w:rPr>
          <w:sz w:val="20"/>
        </w:rPr>
        <w:t>)</w:t>
      </w:r>
    </w:p>
    <w:p w:rsidR="0026148A" w:rsidRPr="0026148A" w:rsidRDefault="0026148A" w:rsidP="00604ACB">
      <w:pPr>
        <w:ind w:left="357" w:hanging="357"/>
        <w:rPr>
          <w:sz w:val="20"/>
        </w:rPr>
      </w:pPr>
    </w:p>
    <w:p w:rsidR="006D4C04" w:rsidRPr="00DC0112" w:rsidRDefault="006D4C04" w:rsidP="00604ACB">
      <w:pPr>
        <w:pStyle w:val="SCCAppellantInfoAppellantInfo"/>
        <w:numPr>
          <w:ilvl w:val="0"/>
          <w:numId w:val="11"/>
        </w:numPr>
        <w:ind w:left="357" w:hanging="357"/>
        <w:rPr>
          <w:sz w:val="20"/>
          <w:szCs w:val="20"/>
          <w:lang w:val="fr-CA"/>
        </w:rPr>
      </w:pPr>
      <w:r w:rsidRPr="006D4C04">
        <w:rPr>
          <w:i/>
          <w:sz w:val="20"/>
          <w:szCs w:val="20"/>
          <w:lang w:val="fr-CA"/>
        </w:rPr>
        <w:t xml:space="preserve">M.P. </w:t>
      </w:r>
      <w:r w:rsidR="00D679B1">
        <w:rPr>
          <w:i/>
          <w:sz w:val="20"/>
          <w:szCs w:val="20"/>
          <w:lang w:val="fr-CA"/>
        </w:rPr>
        <w:t>c</w:t>
      </w:r>
      <w:r w:rsidRPr="006D4C04">
        <w:rPr>
          <w:i/>
          <w:sz w:val="20"/>
          <w:szCs w:val="20"/>
          <w:lang w:val="fr-CA"/>
        </w:rPr>
        <w:t>. E.L.</w:t>
      </w:r>
      <w:r w:rsidRPr="006D4C04">
        <w:rPr>
          <w:sz w:val="20"/>
          <w:szCs w:val="20"/>
          <w:lang w:val="fr-CA"/>
        </w:rPr>
        <w:t xml:space="preserve"> (Qc) (Civile) (Autorisation)</w:t>
      </w:r>
      <w:r w:rsidR="00DC0112">
        <w:rPr>
          <w:sz w:val="20"/>
          <w:szCs w:val="20"/>
          <w:lang w:val="fr-CA"/>
        </w:rPr>
        <w:t xml:space="preserve"> </w:t>
      </w:r>
      <w:r w:rsidR="00DC0112" w:rsidRPr="00DC0112">
        <w:rPr>
          <w:sz w:val="20"/>
          <w:lang w:val="fr-CA"/>
        </w:rPr>
        <w:t>(</w:t>
      </w:r>
      <w:hyperlink r:id="rId15" w:history="1">
        <w:r w:rsidR="00DC0112" w:rsidRPr="00DC0112">
          <w:rPr>
            <w:rStyle w:val="Hyperlink"/>
            <w:sz w:val="20"/>
            <w:szCs w:val="20"/>
            <w:lang w:val="fr-CA"/>
          </w:rPr>
          <w:t>38</w:t>
        </w:r>
        <w:r w:rsidR="00697BFC">
          <w:rPr>
            <w:rStyle w:val="Hyperlink"/>
            <w:sz w:val="20"/>
            <w:szCs w:val="20"/>
            <w:lang w:val="fr-CA"/>
          </w:rPr>
          <w:t>377</w:t>
        </w:r>
      </w:hyperlink>
      <w:r w:rsidR="00DC0112" w:rsidRPr="00DC0112">
        <w:rPr>
          <w:sz w:val="20"/>
          <w:lang w:val="fr-CA"/>
        </w:rPr>
        <w:t>)</w:t>
      </w:r>
    </w:p>
    <w:p w:rsidR="00FD3FA0" w:rsidRPr="006D4C04" w:rsidRDefault="00FD3FA0" w:rsidP="00604ACB">
      <w:pPr>
        <w:ind w:left="357" w:hanging="357"/>
        <w:rPr>
          <w:sz w:val="20"/>
          <w:lang w:val="fr-CA"/>
        </w:rPr>
      </w:pPr>
    </w:p>
    <w:p w:rsidR="006D4C04" w:rsidRPr="00604ACB" w:rsidRDefault="00520BF3" w:rsidP="00604ACB">
      <w:pPr>
        <w:pStyle w:val="ListParagraph"/>
        <w:numPr>
          <w:ilvl w:val="0"/>
          <w:numId w:val="11"/>
        </w:numPr>
        <w:ind w:left="357" w:hanging="357"/>
        <w:rPr>
          <w:rFonts w:eastAsia="Calibri"/>
          <w:sz w:val="20"/>
          <w:lang w:val="fr-CA"/>
        </w:rPr>
      </w:pPr>
      <w:r w:rsidRPr="00604ACB">
        <w:rPr>
          <w:rFonts w:eastAsia="Calibri"/>
          <w:i/>
          <w:sz w:val="20"/>
          <w:lang w:val="fr-CA"/>
        </w:rPr>
        <w:t>9280-1331 Québec i</w:t>
      </w:r>
      <w:r w:rsidR="006D4C04" w:rsidRPr="00604ACB">
        <w:rPr>
          <w:rFonts w:eastAsia="Calibri"/>
          <w:i/>
          <w:sz w:val="20"/>
          <w:lang w:val="fr-CA"/>
        </w:rPr>
        <w:t>nc. c. Ville de Montréal</w:t>
      </w:r>
      <w:r w:rsidR="006D4C04" w:rsidRPr="00604ACB">
        <w:rPr>
          <w:rFonts w:eastAsia="Calibri"/>
          <w:sz w:val="20"/>
          <w:lang w:val="fr-CA"/>
        </w:rPr>
        <w:t xml:space="preserve"> (Qc) (Civile) (Autorisation)</w:t>
      </w:r>
      <w:r w:rsidR="00DC0112" w:rsidRPr="00604ACB">
        <w:rPr>
          <w:rFonts w:eastAsia="Calibri"/>
          <w:sz w:val="20"/>
          <w:lang w:val="fr-CA"/>
        </w:rPr>
        <w:t xml:space="preserve"> </w:t>
      </w:r>
      <w:r w:rsidR="00DC0112" w:rsidRPr="00604ACB">
        <w:rPr>
          <w:sz w:val="20"/>
          <w:lang w:val="fr-CA"/>
        </w:rPr>
        <w:t>(</w:t>
      </w:r>
      <w:hyperlink r:id="rId16" w:history="1">
        <w:r w:rsidR="00DC0112" w:rsidRPr="00604ACB">
          <w:rPr>
            <w:rStyle w:val="Hyperlink"/>
            <w:sz w:val="20"/>
            <w:lang w:val="fr-CA"/>
          </w:rPr>
          <w:t>38</w:t>
        </w:r>
        <w:r w:rsidRPr="00604ACB">
          <w:rPr>
            <w:rStyle w:val="Hyperlink"/>
            <w:sz w:val="20"/>
            <w:lang w:val="fr-CA"/>
          </w:rPr>
          <w:t>249</w:t>
        </w:r>
      </w:hyperlink>
      <w:r w:rsidR="00DC0112" w:rsidRPr="00604ACB">
        <w:rPr>
          <w:sz w:val="20"/>
          <w:lang w:val="fr-CA"/>
        </w:rPr>
        <w:t>)</w:t>
      </w:r>
    </w:p>
    <w:p w:rsidR="006D4C04" w:rsidRPr="006D4C04" w:rsidRDefault="006D4C04" w:rsidP="00604ACB">
      <w:pPr>
        <w:widowControl w:val="0"/>
        <w:autoSpaceDE w:val="0"/>
        <w:autoSpaceDN w:val="0"/>
        <w:adjustRightInd w:val="0"/>
        <w:ind w:left="357" w:hanging="357"/>
        <w:rPr>
          <w:sz w:val="20"/>
          <w:lang w:val="fr-CA"/>
        </w:rPr>
      </w:pPr>
    </w:p>
    <w:p w:rsidR="006D4C04" w:rsidRPr="00604ACB" w:rsidRDefault="006D4C04" w:rsidP="00604ACB">
      <w:pPr>
        <w:pStyle w:val="ListParagraph"/>
        <w:numPr>
          <w:ilvl w:val="0"/>
          <w:numId w:val="11"/>
        </w:numPr>
        <w:ind w:left="357" w:hanging="357"/>
        <w:rPr>
          <w:rFonts w:eastAsia="Calibri"/>
          <w:sz w:val="20"/>
          <w:lang w:val="en-CA"/>
        </w:rPr>
      </w:pPr>
      <w:r w:rsidRPr="00604ACB">
        <w:rPr>
          <w:rFonts w:eastAsia="Calibri"/>
          <w:i/>
          <w:sz w:val="20"/>
          <w:lang w:val="en-CA"/>
        </w:rPr>
        <w:t>Gordon Aylward v. Law Society of Newfoundland and Labrador</w:t>
      </w:r>
      <w:r w:rsidRPr="00604ACB">
        <w:rPr>
          <w:rFonts w:eastAsia="Calibri"/>
          <w:sz w:val="20"/>
          <w:lang w:val="en-CA"/>
        </w:rPr>
        <w:t xml:space="preserve"> (N.L.) (Civil) (By Leave)</w:t>
      </w:r>
      <w:r w:rsidR="00DC0112" w:rsidRPr="00604ACB">
        <w:rPr>
          <w:rFonts w:eastAsia="Calibri"/>
          <w:sz w:val="20"/>
          <w:lang w:val="en-CA"/>
        </w:rPr>
        <w:t xml:space="preserve"> </w:t>
      </w:r>
      <w:r w:rsidR="00DC0112" w:rsidRPr="00604ACB">
        <w:rPr>
          <w:sz w:val="20"/>
        </w:rPr>
        <w:t>(</w:t>
      </w:r>
      <w:hyperlink r:id="rId17" w:history="1">
        <w:r w:rsidR="00DC0112" w:rsidRPr="00604ACB">
          <w:rPr>
            <w:rStyle w:val="Hyperlink"/>
            <w:sz w:val="20"/>
          </w:rPr>
          <w:t>38</w:t>
        </w:r>
        <w:r w:rsidR="00983F27" w:rsidRPr="00604ACB">
          <w:rPr>
            <w:rStyle w:val="Hyperlink"/>
            <w:sz w:val="20"/>
          </w:rPr>
          <w:t>22</w:t>
        </w:r>
        <w:r w:rsidR="00DC0112" w:rsidRPr="00604ACB">
          <w:rPr>
            <w:rStyle w:val="Hyperlink"/>
            <w:sz w:val="20"/>
          </w:rPr>
          <w:t>8</w:t>
        </w:r>
      </w:hyperlink>
      <w:r w:rsidR="00DC0112" w:rsidRPr="00604ACB">
        <w:rPr>
          <w:sz w:val="20"/>
        </w:rPr>
        <w:t>)</w:t>
      </w:r>
    </w:p>
    <w:p w:rsidR="006D4C04" w:rsidRPr="006D4C04" w:rsidRDefault="006D4C04" w:rsidP="00604ACB">
      <w:pPr>
        <w:widowControl w:val="0"/>
        <w:autoSpaceDE w:val="0"/>
        <w:autoSpaceDN w:val="0"/>
        <w:adjustRightInd w:val="0"/>
        <w:ind w:left="357" w:hanging="357"/>
        <w:rPr>
          <w:sz w:val="20"/>
          <w:lang w:val="en-CA"/>
        </w:rPr>
      </w:pPr>
    </w:p>
    <w:p w:rsidR="006D4C04" w:rsidRPr="00604ACB" w:rsidRDefault="006D4C04" w:rsidP="00604ACB">
      <w:pPr>
        <w:pStyle w:val="ListParagraph"/>
        <w:numPr>
          <w:ilvl w:val="0"/>
          <w:numId w:val="11"/>
        </w:numPr>
        <w:ind w:left="357" w:hanging="357"/>
        <w:rPr>
          <w:rFonts w:eastAsia="Calibri"/>
          <w:sz w:val="20"/>
          <w:lang w:val="en-CA"/>
        </w:rPr>
      </w:pPr>
      <w:r w:rsidRPr="00604ACB">
        <w:rPr>
          <w:rFonts w:eastAsia="Calibri"/>
          <w:i/>
          <w:sz w:val="20"/>
          <w:lang w:val="en-CA"/>
        </w:rPr>
        <w:t>Robin James Goertz v. Owners Condominium Plan No. 98SA12401</w:t>
      </w:r>
      <w:r w:rsidR="00047941" w:rsidRPr="00604ACB">
        <w:rPr>
          <w:rFonts w:eastAsia="Calibri"/>
          <w:sz w:val="20"/>
          <w:lang w:val="en-CA"/>
        </w:rPr>
        <w:t xml:space="preserve"> (Sask.) (Civil) (By Leave)</w:t>
      </w:r>
      <w:r w:rsidR="00DC0112" w:rsidRPr="00604ACB">
        <w:rPr>
          <w:rFonts w:eastAsia="Calibri"/>
          <w:sz w:val="20"/>
          <w:lang w:val="en-CA"/>
        </w:rPr>
        <w:t xml:space="preserve"> </w:t>
      </w:r>
      <w:r w:rsidR="00DC0112" w:rsidRPr="00604ACB">
        <w:rPr>
          <w:sz w:val="20"/>
        </w:rPr>
        <w:t>(</w:t>
      </w:r>
      <w:hyperlink r:id="rId18" w:history="1">
        <w:r w:rsidR="00DC0112" w:rsidRPr="00604ACB">
          <w:rPr>
            <w:rStyle w:val="Hyperlink"/>
            <w:sz w:val="20"/>
          </w:rPr>
          <w:t>38</w:t>
        </w:r>
        <w:r w:rsidR="00047941" w:rsidRPr="00604ACB">
          <w:rPr>
            <w:rStyle w:val="Hyperlink"/>
            <w:sz w:val="20"/>
          </w:rPr>
          <w:t>260</w:t>
        </w:r>
      </w:hyperlink>
      <w:r w:rsidR="00DC0112" w:rsidRPr="00604ACB">
        <w:rPr>
          <w:sz w:val="20"/>
        </w:rPr>
        <w:t>)</w:t>
      </w:r>
    </w:p>
    <w:p w:rsidR="002866D9" w:rsidRPr="006D4C04" w:rsidRDefault="002866D9" w:rsidP="006A22CA">
      <w:pPr>
        <w:ind w:left="142" w:hanging="142"/>
        <w:jc w:val="both"/>
        <w:rPr>
          <w:sz w:val="20"/>
        </w:rPr>
      </w:pPr>
    </w:p>
    <w:p w:rsidR="002866D9" w:rsidRDefault="002866D9" w:rsidP="006A22CA">
      <w:pPr>
        <w:ind w:left="142" w:hanging="142"/>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lastRenderedPageBreak/>
              <w:t>38355</w:t>
            </w:r>
          </w:p>
        </w:tc>
        <w:tc>
          <w:tcPr>
            <w:tcW w:w="4457" w:type="pct"/>
            <w:gridSpan w:val="3"/>
          </w:tcPr>
          <w:p w:rsidR="00931A37" w:rsidRPr="00C82620" w:rsidRDefault="00931A37" w:rsidP="00931A37">
            <w:pPr>
              <w:pStyle w:val="SCCLsocParty"/>
              <w:jc w:val="both"/>
              <w:rPr>
                <w:b/>
                <w:sz w:val="20"/>
                <w:szCs w:val="20"/>
                <w:lang w:val="en-US"/>
              </w:rPr>
            </w:pPr>
            <w:r w:rsidRPr="00C82620">
              <w:rPr>
                <w:b/>
                <w:sz w:val="20"/>
                <w:szCs w:val="20"/>
                <w:lang w:val="en-US"/>
              </w:rPr>
              <w:t>Ebrahim Toure v. Minister of Public Safety &amp; Emergency Preparedness</w:t>
            </w:r>
            <w:r w:rsidR="008E5DBE">
              <w:rPr>
                <w:b/>
                <w:sz w:val="20"/>
                <w:szCs w:val="20"/>
                <w:lang w:val="en-US"/>
              </w:rPr>
              <w:t xml:space="preserve"> and</w:t>
            </w:r>
            <w:r w:rsidRPr="00C82620">
              <w:rPr>
                <w:b/>
                <w:sz w:val="20"/>
                <w:szCs w:val="20"/>
                <w:lang w:val="en-US"/>
              </w:rPr>
              <w:t xml:space="preserve"> Attorney General of Canada</w:t>
            </w:r>
          </w:p>
          <w:p w:rsidR="00931A37" w:rsidRPr="00931A37" w:rsidRDefault="00931A37" w:rsidP="00931A37">
            <w:pPr>
              <w:pStyle w:val="SCCLsocOtherPartySeparator"/>
              <w:rPr>
                <w:sz w:val="20"/>
                <w:szCs w:val="20"/>
              </w:rPr>
            </w:pPr>
            <w:r w:rsidRPr="00931A37">
              <w:rPr>
                <w:sz w:val="20"/>
                <w:szCs w:val="20"/>
              </w:rPr>
              <w:t>- and -</w:t>
            </w:r>
          </w:p>
          <w:p w:rsidR="00931A37" w:rsidRPr="00C82620" w:rsidRDefault="00931A37" w:rsidP="00931A37">
            <w:pPr>
              <w:pStyle w:val="SCCLsocParty"/>
              <w:jc w:val="both"/>
              <w:rPr>
                <w:b/>
                <w:sz w:val="20"/>
                <w:szCs w:val="20"/>
                <w:lang w:val="en-US"/>
              </w:rPr>
            </w:pPr>
            <w:r w:rsidRPr="00C82620">
              <w:rPr>
                <w:b/>
                <w:sz w:val="20"/>
                <w:szCs w:val="20"/>
                <w:lang w:val="en-US"/>
              </w:rPr>
              <w:t>Attorney General of Ontario</w:t>
            </w:r>
          </w:p>
          <w:p w:rsidR="00931A37" w:rsidRPr="00931A37" w:rsidRDefault="00931A37" w:rsidP="00931A37">
            <w:pPr>
              <w:jc w:val="both"/>
              <w:rPr>
                <w:sz w:val="20"/>
              </w:rPr>
            </w:pPr>
            <w:r w:rsidRPr="00931A37">
              <w:rPr>
                <w:sz w:val="20"/>
              </w:rPr>
              <w:t>(Ont.) (Criminal) (By Leave)</w:t>
            </w:r>
          </w:p>
        </w:tc>
      </w:tr>
      <w:tr w:rsidR="00931A37" w:rsidRPr="00931A37" w:rsidTr="00931A37">
        <w:tc>
          <w:tcPr>
            <w:tcW w:w="5000" w:type="pct"/>
            <w:gridSpan w:val="4"/>
          </w:tcPr>
          <w:p w:rsidR="00931A37" w:rsidRPr="00931A37" w:rsidRDefault="00931A37" w:rsidP="00931A37">
            <w:pPr>
              <w:jc w:val="both"/>
              <w:rPr>
                <w:sz w:val="20"/>
              </w:rPr>
            </w:pPr>
            <w:r w:rsidRPr="00931A37">
              <w:rPr>
                <w:i/>
                <w:sz w:val="20"/>
              </w:rPr>
              <w:t>Charter of Rights and Freedoms</w:t>
            </w:r>
            <w:r w:rsidRPr="00931A37">
              <w:rPr>
                <w:sz w:val="20"/>
              </w:rPr>
              <w:t xml:space="preserve"> – Fundamental justice – Cruel and unusual treatment – </w:t>
            </w:r>
            <w:r w:rsidRPr="00931A37">
              <w:rPr>
                <w:i/>
                <w:sz w:val="20"/>
              </w:rPr>
              <w:t>Habeas corpus</w:t>
            </w:r>
            <w:r w:rsidRPr="00931A37">
              <w:rPr>
                <w:sz w:val="20"/>
              </w:rPr>
              <w:t xml:space="preserve"> – Immigration – Whether ss. 7 and 12 of the </w:t>
            </w:r>
            <w:r w:rsidRPr="00931A37">
              <w:rPr>
                <w:i/>
                <w:sz w:val="20"/>
              </w:rPr>
              <w:t>Charter</w:t>
            </w:r>
            <w:r w:rsidRPr="00931A37">
              <w:rPr>
                <w:sz w:val="20"/>
              </w:rPr>
              <w:t xml:space="preserve"> require a meaningful process of ongoing review that includes a review of the conditions of detention where an individual is subject to long-term administrative detention for non-punitive reasons – Whether </w:t>
            </w:r>
            <w:r w:rsidRPr="00931A37">
              <w:rPr>
                <w:i/>
                <w:sz w:val="20"/>
              </w:rPr>
              <w:t xml:space="preserve">habeas corpus </w:t>
            </w:r>
            <w:r w:rsidRPr="00931A37">
              <w:rPr>
                <w:sz w:val="20"/>
              </w:rPr>
              <w:t>is</w:t>
            </w:r>
            <w:r w:rsidRPr="00931A37">
              <w:rPr>
                <w:i/>
                <w:sz w:val="20"/>
              </w:rPr>
              <w:t xml:space="preserve"> </w:t>
            </w:r>
            <w:r w:rsidRPr="00931A37">
              <w:rPr>
                <w:sz w:val="20"/>
              </w:rPr>
              <w:t xml:space="preserve">an appropriate procedural vehicle for challenging the lawfulness of detention on s. 12 </w:t>
            </w:r>
            <w:r w:rsidRPr="00931A37">
              <w:rPr>
                <w:i/>
                <w:sz w:val="20"/>
              </w:rPr>
              <w:t xml:space="preserve">Charter </w:t>
            </w:r>
            <w:r w:rsidRPr="00931A37">
              <w:rPr>
                <w:sz w:val="20"/>
              </w:rPr>
              <w:t>grounds.</w:t>
            </w:r>
          </w:p>
          <w:p w:rsidR="00931A37" w:rsidRPr="00931A37" w:rsidRDefault="00931A37" w:rsidP="00931A37">
            <w:pPr>
              <w:jc w:val="both"/>
              <w:rPr>
                <w:sz w:val="20"/>
              </w:rPr>
            </w:pPr>
          </w:p>
        </w:tc>
      </w:tr>
      <w:tr w:rsidR="00931A37" w:rsidRPr="00931A37" w:rsidTr="00931A37">
        <w:tc>
          <w:tcPr>
            <w:tcW w:w="5000" w:type="pct"/>
            <w:gridSpan w:val="4"/>
          </w:tcPr>
          <w:p w:rsidR="00931A37" w:rsidRPr="00931A37" w:rsidRDefault="00931A37" w:rsidP="00931A37">
            <w:pPr>
              <w:jc w:val="both"/>
              <w:rPr>
                <w:sz w:val="20"/>
                <w:lang w:val="en"/>
              </w:rPr>
            </w:pPr>
            <w:r w:rsidRPr="00931A37">
              <w:rPr>
                <w:sz w:val="20"/>
              </w:rPr>
              <w:t xml:space="preserve">The immigration claim of the applicant, Ebrahim Toure, was denied in 2012. </w:t>
            </w:r>
            <w:r w:rsidRPr="00931A37">
              <w:rPr>
                <w:sz w:val="20"/>
                <w:lang w:val="en"/>
              </w:rPr>
              <w:t>After failing to report for a required interview with Canada Border Services Agency (</w:t>
            </w:r>
            <w:r w:rsidRPr="00931A37">
              <w:rPr>
                <w:sz w:val="20"/>
              </w:rPr>
              <w:t>“</w:t>
            </w:r>
            <w:r w:rsidRPr="00931A37">
              <w:rPr>
                <w:sz w:val="20"/>
                <w:lang w:val="en"/>
              </w:rPr>
              <w:t xml:space="preserve">CBSA”), he was arrested and detained at an immigration holding center (“IHC”). At his detention review, he was found to be a flight risk and his continued detention was ordered. The CBSA attempted to remove Mr. Toure to Guinea but he was refused entry by Guinean authorities as his birth certificate was fraudulent and he told authorities he had status in the Gambia. Upon returning to Canada in April 2013, Mr. Toure was detained in a maximum security jail because he was deemed a flight risk and was unlikely to appear for removal. </w:t>
            </w:r>
          </w:p>
          <w:p w:rsidR="00931A37" w:rsidRPr="00931A37" w:rsidRDefault="00931A37" w:rsidP="00931A37">
            <w:pPr>
              <w:jc w:val="both"/>
              <w:rPr>
                <w:sz w:val="20"/>
                <w:lang w:val="en"/>
              </w:rPr>
            </w:pPr>
          </w:p>
          <w:p w:rsidR="00931A37" w:rsidRPr="00931A37" w:rsidRDefault="00931A37" w:rsidP="00931A37">
            <w:pPr>
              <w:jc w:val="both"/>
              <w:rPr>
                <w:sz w:val="20"/>
                <w:lang w:val="en"/>
              </w:rPr>
            </w:pPr>
            <w:r w:rsidRPr="00931A37">
              <w:rPr>
                <w:sz w:val="20"/>
                <w:lang w:val="en"/>
              </w:rPr>
              <w:t xml:space="preserve">Mr. Toure commenced an application for release from immigration detention pursuant to the </w:t>
            </w:r>
            <w:r w:rsidRPr="00931A37">
              <w:rPr>
                <w:i/>
                <w:sz w:val="20"/>
                <w:lang w:val="en"/>
              </w:rPr>
              <w:t>Habeas Corpus Act</w:t>
            </w:r>
            <w:r w:rsidRPr="00931A37">
              <w:rPr>
                <w:sz w:val="20"/>
                <w:lang w:val="en"/>
              </w:rPr>
              <w:t xml:space="preserve">, R.S.O. 1990, c. H.1, and ss. 7, 9, 10(c), 12 and 24 of the </w:t>
            </w:r>
            <w:r w:rsidRPr="00931A37">
              <w:rPr>
                <w:i/>
                <w:sz w:val="20"/>
                <w:lang w:val="en"/>
              </w:rPr>
              <w:t>Canadian Charter of Rights and Freedoms</w:t>
            </w:r>
            <w:r w:rsidRPr="00931A37">
              <w:rPr>
                <w:sz w:val="20"/>
                <w:lang w:val="en"/>
              </w:rPr>
              <w:t xml:space="preserve">. The application judge dismissed the </w:t>
            </w:r>
            <w:r w:rsidRPr="00931A37">
              <w:rPr>
                <w:i/>
                <w:sz w:val="20"/>
                <w:lang w:val="en"/>
              </w:rPr>
              <w:t>habeas corpus</w:t>
            </w:r>
            <w:r w:rsidRPr="00931A37">
              <w:rPr>
                <w:sz w:val="20"/>
                <w:lang w:val="en"/>
              </w:rPr>
              <w:t xml:space="preserve"> application but found that the applicant’s s. 12 </w:t>
            </w:r>
            <w:r w:rsidRPr="00931A37">
              <w:rPr>
                <w:i/>
                <w:sz w:val="20"/>
                <w:lang w:val="en"/>
              </w:rPr>
              <w:t>Charter</w:t>
            </w:r>
            <w:r w:rsidRPr="00931A37">
              <w:rPr>
                <w:sz w:val="20"/>
                <w:lang w:val="en"/>
              </w:rPr>
              <w:t xml:space="preserve"> rights were violated. A section 24(1) remedial order was made that the applicant be moved</w:t>
            </w:r>
            <w:r w:rsidRPr="00931A37">
              <w:rPr>
                <w:sz w:val="20"/>
              </w:rPr>
              <w:t xml:space="preserve"> from the maximum security facility</w:t>
            </w:r>
            <w:r w:rsidRPr="00931A37">
              <w:rPr>
                <w:sz w:val="20"/>
                <w:lang w:val="en"/>
              </w:rPr>
              <w:t xml:space="preserve"> to the IHC pending </w:t>
            </w:r>
            <w:r w:rsidRPr="00931A37">
              <w:rPr>
                <w:sz w:val="20"/>
              </w:rPr>
              <w:t>future detention reviews and removal.</w:t>
            </w:r>
          </w:p>
          <w:p w:rsidR="00931A37" w:rsidRPr="00931A37" w:rsidRDefault="00931A37" w:rsidP="00931A37">
            <w:pPr>
              <w:jc w:val="both"/>
              <w:rPr>
                <w:sz w:val="20"/>
                <w:lang w:val="en"/>
              </w:rPr>
            </w:pPr>
          </w:p>
          <w:p w:rsidR="00931A37" w:rsidRPr="00931A37" w:rsidRDefault="00931A37" w:rsidP="00931A37">
            <w:pPr>
              <w:jc w:val="both"/>
              <w:rPr>
                <w:sz w:val="20"/>
                <w:lang w:val="en"/>
              </w:rPr>
            </w:pPr>
            <w:r w:rsidRPr="00931A37">
              <w:rPr>
                <w:sz w:val="20"/>
                <w:lang w:val="en"/>
              </w:rPr>
              <w:t xml:space="preserve">The applicant’s appeal of the </w:t>
            </w:r>
            <w:r w:rsidRPr="00931A37">
              <w:rPr>
                <w:i/>
                <w:sz w:val="20"/>
                <w:lang w:val="en"/>
              </w:rPr>
              <w:t xml:space="preserve">habeas corpus </w:t>
            </w:r>
            <w:r w:rsidRPr="00931A37">
              <w:rPr>
                <w:sz w:val="20"/>
                <w:lang w:val="en"/>
              </w:rPr>
              <w:t xml:space="preserve">application was dismissed. The respondent’s cross-appeal from the application judge’s s. 24(1) remedial order was allowed. </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October 5, 2017</w:t>
            </w:r>
          </w:p>
          <w:p w:rsidR="00931A37" w:rsidRPr="00931A37" w:rsidRDefault="00931A37" w:rsidP="00931A37">
            <w:pPr>
              <w:jc w:val="both"/>
              <w:rPr>
                <w:sz w:val="20"/>
              </w:rPr>
            </w:pPr>
            <w:r w:rsidRPr="00931A37">
              <w:rPr>
                <w:sz w:val="20"/>
              </w:rPr>
              <w:t>Ontario Superior Court of Justice</w:t>
            </w:r>
          </w:p>
          <w:p w:rsidR="00931A37" w:rsidRPr="00931A37" w:rsidRDefault="00931A37" w:rsidP="00931A37">
            <w:pPr>
              <w:jc w:val="both"/>
              <w:rPr>
                <w:sz w:val="20"/>
              </w:rPr>
            </w:pPr>
            <w:r w:rsidRPr="00931A37">
              <w:rPr>
                <w:sz w:val="20"/>
              </w:rPr>
              <w:t>(</w:t>
            </w:r>
            <w:proofErr w:type="spellStart"/>
            <w:r w:rsidRPr="00931A37">
              <w:rPr>
                <w:sz w:val="20"/>
              </w:rPr>
              <w:t>O’Marra</w:t>
            </w:r>
            <w:proofErr w:type="spellEnd"/>
            <w:r w:rsidRPr="00931A37">
              <w:rPr>
                <w:sz w:val="20"/>
              </w:rPr>
              <w:t xml:space="preserve"> J.)</w:t>
            </w:r>
          </w:p>
          <w:p w:rsidR="00931A37" w:rsidRPr="00931A37" w:rsidRDefault="00345C48" w:rsidP="00931A37">
            <w:pPr>
              <w:jc w:val="both"/>
              <w:rPr>
                <w:sz w:val="20"/>
              </w:rPr>
            </w:pPr>
            <w:hyperlink r:id="rId19" w:history="1">
              <w:r w:rsidR="00931A37" w:rsidRPr="00931A37">
                <w:rPr>
                  <w:rStyle w:val="Hyperlink"/>
                  <w:sz w:val="20"/>
                </w:rPr>
                <w:t>2017 ONSC 5878</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i/>
                <w:sz w:val="20"/>
              </w:rPr>
              <w:t>Habeas corpus</w:t>
            </w:r>
            <w:r w:rsidRPr="00931A37">
              <w:rPr>
                <w:sz w:val="20"/>
              </w:rPr>
              <w:t xml:space="preserve"> application dismissed; breach of s. 12 of </w:t>
            </w:r>
            <w:r w:rsidRPr="00931A37">
              <w:rPr>
                <w:i/>
                <w:sz w:val="20"/>
              </w:rPr>
              <w:t xml:space="preserve">Charter </w:t>
            </w:r>
            <w:r w:rsidRPr="00931A37">
              <w:rPr>
                <w:sz w:val="20"/>
              </w:rPr>
              <w:t xml:space="preserve">found and remedial order made under s. 24(1) that applicant be moved to IHC, pending future detention reviews and removal. </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August 13, 2018</w:t>
            </w:r>
          </w:p>
          <w:p w:rsidR="00931A37" w:rsidRPr="00931A37" w:rsidRDefault="00931A37" w:rsidP="00931A37">
            <w:pPr>
              <w:jc w:val="both"/>
              <w:rPr>
                <w:sz w:val="20"/>
              </w:rPr>
            </w:pPr>
            <w:r w:rsidRPr="00931A37">
              <w:rPr>
                <w:sz w:val="20"/>
              </w:rPr>
              <w:t>Court of Appeal for Ontario</w:t>
            </w:r>
          </w:p>
          <w:p w:rsidR="00931A37" w:rsidRPr="00931A37" w:rsidRDefault="00931A37" w:rsidP="00931A37">
            <w:pPr>
              <w:jc w:val="both"/>
              <w:rPr>
                <w:sz w:val="20"/>
              </w:rPr>
            </w:pPr>
            <w:r w:rsidRPr="00931A37">
              <w:rPr>
                <w:sz w:val="20"/>
              </w:rPr>
              <w:t xml:space="preserve">(Doherty, </w:t>
            </w:r>
            <w:proofErr w:type="spellStart"/>
            <w:r w:rsidRPr="00931A37">
              <w:rPr>
                <w:sz w:val="20"/>
              </w:rPr>
              <w:t>LaForme</w:t>
            </w:r>
            <w:proofErr w:type="spellEnd"/>
            <w:r w:rsidRPr="00931A37">
              <w:rPr>
                <w:sz w:val="20"/>
              </w:rPr>
              <w:t>, and Hourigan JJ.A.)</w:t>
            </w:r>
          </w:p>
          <w:p w:rsidR="00931A37" w:rsidRPr="00931A37" w:rsidRDefault="00345C48" w:rsidP="00931A37">
            <w:pPr>
              <w:jc w:val="both"/>
              <w:rPr>
                <w:sz w:val="20"/>
              </w:rPr>
            </w:pPr>
            <w:hyperlink r:id="rId20" w:history="1">
              <w:r w:rsidR="00931A37" w:rsidRPr="00931A37">
                <w:rPr>
                  <w:rStyle w:val="Hyperlink"/>
                  <w:sz w:val="20"/>
                </w:rPr>
                <w:t>2018 ONCA 681</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 xml:space="preserve">Appeal dismissed; cross-appeal granted. </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October 16, 2018</w:t>
            </w:r>
          </w:p>
          <w:p w:rsidR="00931A37" w:rsidRPr="00931A37" w:rsidRDefault="00931A37" w:rsidP="00925A9A">
            <w:pPr>
              <w:jc w:val="both"/>
              <w:rPr>
                <w:sz w:val="20"/>
              </w:rPr>
            </w:pPr>
            <w:r w:rsidRPr="00931A37">
              <w:rPr>
                <w:sz w:val="20"/>
              </w:rPr>
              <w:t>Supreme Court of Canada</w:t>
            </w: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for leave to appeal filed together with motion for extension of time to serve and file.</w:t>
            </w:r>
          </w:p>
        </w:tc>
      </w:tr>
    </w:tbl>
    <w:p w:rsidR="00931A37" w:rsidRDefault="00931A37" w:rsidP="00931A37">
      <w:pPr>
        <w:jc w:val="both"/>
        <w:rPr>
          <w:sz w:val="20"/>
        </w:rPr>
      </w:pPr>
    </w:p>
    <w:p w:rsidR="00925A9A" w:rsidRPr="00931A37" w:rsidRDefault="00925A9A"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8E5DBE" w:rsidTr="00931A37">
        <w:tc>
          <w:tcPr>
            <w:tcW w:w="543" w:type="pct"/>
          </w:tcPr>
          <w:p w:rsidR="00931A37" w:rsidRPr="00931A37" w:rsidRDefault="00931A37" w:rsidP="00931A37">
            <w:pPr>
              <w:jc w:val="both"/>
              <w:rPr>
                <w:sz w:val="20"/>
                <w:lang w:val="fr-CA"/>
              </w:rPr>
            </w:pPr>
            <w:r w:rsidRPr="00931A37">
              <w:rPr>
                <w:rStyle w:val="SCCFileNumberChar"/>
                <w:sz w:val="20"/>
                <w:szCs w:val="20"/>
                <w:lang w:val="fr-CA"/>
              </w:rPr>
              <w:t>38355</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 xml:space="preserve">Ebrahim Toure c. </w:t>
            </w:r>
            <w:r w:rsidR="008E5DBE">
              <w:rPr>
                <w:b/>
                <w:sz w:val="20"/>
                <w:szCs w:val="20"/>
              </w:rPr>
              <w:t>M</w:t>
            </w:r>
            <w:r w:rsidRPr="00925A9A">
              <w:rPr>
                <w:b/>
                <w:sz w:val="20"/>
                <w:szCs w:val="20"/>
              </w:rPr>
              <w:t>inistre de la Sécurité publique et de la Protection civile</w:t>
            </w:r>
            <w:r w:rsidR="008E5DBE">
              <w:rPr>
                <w:b/>
                <w:sz w:val="20"/>
                <w:szCs w:val="20"/>
              </w:rPr>
              <w:t xml:space="preserve"> et</w:t>
            </w:r>
            <w:r w:rsidRPr="00925A9A">
              <w:rPr>
                <w:b/>
                <w:sz w:val="20"/>
                <w:szCs w:val="20"/>
              </w:rPr>
              <w:t xml:space="preserve"> </w:t>
            </w:r>
            <w:r w:rsidR="008E5DBE">
              <w:rPr>
                <w:b/>
                <w:sz w:val="20"/>
                <w:szCs w:val="20"/>
              </w:rPr>
              <w:t>P</w:t>
            </w:r>
            <w:r w:rsidRPr="00925A9A">
              <w:rPr>
                <w:b/>
                <w:sz w:val="20"/>
                <w:szCs w:val="20"/>
              </w:rPr>
              <w:t>rocureur général du Canada</w:t>
            </w:r>
          </w:p>
          <w:p w:rsidR="00931A37" w:rsidRPr="00931A37" w:rsidRDefault="00931A37" w:rsidP="00931A37">
            <w:pPr>
              <w:pStyle w:val="SCCLsocOtherPartySeparator"/>
              <w:rPr>
                <w:sz w:val="20"/>
                <w:szCs w:val="20"/>
                <w:lang w:val="fr-CA"/>
              </w:rPr>
            </w:pPr>
            <w:r w:rsidRPr="00931A37">
              <w:rPr>
                <w:sz w:val="20"/>
                <w:szCs w:val="20"/>
                <w:lang w:val="fr-CA"/>
              </w:rPr>
              <w:t>- et -</w:t>
            </w:r>
          </w:p>
          <w:p w:rsidR="00931A37" w:rsidRPr="00925A9A" w:rsidRDefault="00931A37" w:rsidP="00931A37">
            <w:pPr>
              <w:pStyle w:val="SCCLsocParty"/>
              <w:jc w:val="both"/>
              <w:rPr>
                <w:b/>
                <w:sz w:val="20"/>
                <w:szCs w:val="20"/>
              </w:rPr>
            </w:pPr>
            <w:r w:rsidRPr="00925A9A">
              <w:rPr>
                <w:b/>
                <w:sz w:val="20"/>
                <w:szCs w:val="20"/>
              </w:rPr>
              <w:t>Procureur général de l’Ontario</w:t>
            </w:r>
          </w:p>
          <w:p w:rsidR="00931A37" w:rsidRPr="00931A37" w:rsidRDefault="00931A37" w:rsidP="00931A37">
            <w:pPr>
              <w:jc w:val="both"/>
              <w:rPr>
                <w:sz w:val="20"/>
                <w:lang w:val="fr-CA"/>
              </w:rPr>
            </w:pPr>
            <w:r w:rsidRPr="00931A37">
              <w:rPr>
                <w:sz w:val="20"/>
                <w:lang w:val="fr-CA"/>
              </w:rPr>
              <w:t>(Ont.) (Criminelle)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i/>
                <w:sz w:val="20"/>
                <w:lang w:val="fr-CA"/>
              </w:rPr>
              <w:t>Charte des droits et libertés</w:t>
            </w:r>
            <w:r w:rsidRPr="00931A37">
              <w:rPr>
                <w:sz w:val="20"/>
                <w:lang w:val="fr-CA"/>
              </w:rPr>
              <w:t xml:space="preserve"> – Justice fondamentale – Traitement cruel et inusité – </w:t>
            </w:r>
            <w:r w:rsidRPr="00931A37">
              <w:rPr>
                <w:i/>
                <w:sz w:val="20"/>
                <w:lang w:val="fr-CA"/>
              </w:rPr>
              <w:t>Habeas corpus</w:t>
            </w:r>
            <w:r w:rsidRPr="00931A37">
              <w:rPr>
                <w:sz w:val="20"/>
                <w:lang w:val="fr-CA"/>
              </w:rPr>
              <w:t xml:space="preserve"> – Immigration – Les art. 7 et 12 de la </w:t>
            </w:r>
            <w:r w:rsidRPr="00931A37">
              <w:rPr>
                <w:i/>
                <w:sz w:val="20"/>
                <w:lang w:val="fr-CA"/>
              </w:rPr>
              <w:t>Charte</w:t>
            </w:r>
            <w:r w:rsidRPr="00931A37">
              <w:rPr>
                <w:sz w:val="20"/>
                <w:lang w:val="fr-CA"/>
              </w:rPr>
              <w:t xml:space="preserve"> prescrivent-ils un processus véritable d’examen continu qui comprend un examen des conditions de détention lorsqu’une personne est soumise à une détention administrative de longue durée pour des motifs non punitifs? – L’</w:t>
            </w:r>
            <w:r w:rsidRPr="00931A37">
              <w:rPr>
                <w:i/>
                <w:sz w:val="20"/>
                <w:lang w:val="fr-CA"/>
              </w:rPr>
              <w:t xml:space="preserve">habeas corpus </w:t>
            </w:r>
            <w:r w:rsidRPr="00931A37">
              <w:rPr>
                <w:sz w:val="20"/>
                <w:lang w:val="fr-CA"/>
              </w:rPr>
              <w:t xml:space="preserve">est-il un véhicule procédural approprié pour contester la légalité de la détention pour des motifs fondés sur l’art. 12 de la </w:t>
            </w:r>
            <w:r w:rsidRPr="00931A37">
              <w:rPr>
                <w:i/>
                <w:sz w:val="20"/>
                <w:lang w:val="fr-CA"/>
              </w:rPr>
              <w:t>Charte</w:t>
            </w:r>
            <w:r w:rsidRPr="00931A37">
              <w:rPr>
                <w:sz w:val="20"/>
                <w:lang w:val="fr-CA"/>
              </w:rPr>
              <w:t>?</w:t>
            </w:r>
          </w:p>
          <w:p w:rsidR="00931A37" w:rsidRPr="00931A37" w:rsidRDefault="00931A37" w:rsidP="00931A37">
            <w:pPr>
              <w:jc w:val="both"/>
              <w:rPr>
                <w:sz w:val="20"/>
                <w:lang w:val="fr-CA"/>
              </w:rPr>
            </w:pP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lastRenderedPageBreak/>
              <w:t xml:space="preserve">La demande d’immigration du demandeur, Ebrahim Toure, a été rejetée en 2012. Après avoir omis de se présenter à une entrevue obligatoire avec l’Agence des services frontaliers du Canada (« ASFC »), il a été arrêté et détenu dans un centre de surveillance de l’immigration (« CSI »). Lors de l’examen des motifs de la détention, on a jugé qu’il représentait un risque de fuite et on a ordonné son maintien en détention. L’ASFC a tenté de renvoyer M. Toure en Guinée, mais les autorités guinéennes lui ont refusé l’entrée, car son certificat de naissance était frauduleux et il avait dit aux autorités qu’il avait un état civil en Gambie. De retour au Canada en avril 2013, M. Toure a été détenu dans une prison à sécurité maximale, car on a jugé qu’il représentait un risque de fuite et qu’il était peu vraisemblable qu’il comparaisse en vue de son renvoi. </w:t>
            </w:r>
          </w:p>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 xml:space="preserve">Monsieur Toure a introduit une demande de libération de sa détention d’immigration en application de la </w:t>
            </w:r>
            <w:r w:rsidRPr="00931A37">
              <w:rPr>
                <w:i/>
                <w:sz w:val="20"/>
                <w:lang w:val="fr-CA"/>
              </w:rPr>
              <w:t>Loi sur l’habeas corpus</w:t>
            </w:r>
            <w:r w:rsidRPr="00931A37">
              <w:rPr>
                <w:sz w:val="20"/>
                <w:lang w:val="fr-CA"/>
              </w:rPr>
              <w:t xml:space="preserve">, L.R.O. 1990, ch. H.1, et </w:t>
            </w:r>
            <w:proofErr w:type="gramStart"/>
            <w:r w:rsidRPr="00931A37">
              <w:rPr>
                <w:sz w:val="20"/>
                <w:lang w:val="fr-CA"/>
              </w:rPr>
              <w:t>des art</w:t>
            </w:r>
            <w:proofErr w:type="gramEnd"/>
            <w:r w:rsidRPr="00931A37">
              <w:rPr>
                <w:sz w:val="20"/>
                <w:lang w:val="fr-CA"/>
              </w:rPr>
              <w:t xml:space="preserve">. 7, 9, 10c), 12 et 24 de la </w:t>
            </w:r>
            <w:r w:rsidRPr="00931A37">
              <w:rPr>
                <w:i/>
                <w:sz w:val="20"/>
                <w:lang w:val="fr-CA"/>
              </w:rPr>
              <w:t>Charte canadienne des droits et libertés</w:t>
            </w:r>
            <w:r w:rsidRPr="00931A37">
              <w:rPr>
                <w:sz w:val="20"/>
                <w:lang w:val="fr-CA"/>
              </w:rPr>
              <w:t>. Le juge de première instance a rejeté la demande d’</w:t>
            </w:r>
            <w:r w:rsidRPr="00931A37">
              <w:rPr>
                <w:i/>
                <w:sz w:val="20"/>
                <w:lang w:val="fr-CA"/>
              </w:rPr>
              <w:t>habeas corpus</w:t>
            </w:r>
            <w:r w:rsidRPr="00931A37">
              <w:rPr>
                <w:sz w:val="20"/>
                <w:lang w:val="fr-CA"/>
              </w:rPr>
              <w:t xml:space="preserve">, mais a conclu que les droits que l’art. 12 de la </w:t>
            </w:r>
            <w:r w:rsidRPr="00931A37">
              <w:rPr>
                <w:i/>
                <w:sz w:val="20"/>
                <w:lang w:val="fr-CA"/>
              </w:rPr>
              <w:t>Charte</w:t>
            </w:r>
            <w:r w:rsidRPr="00931A37">
              <w:rPr>
                <w:sz w:val="20"/>
                <w:lang w:val="fr-CA"/>
              </w:rPr>
              <w:t xml:space="preserve"> garantissent au demandeur ont été violés. Une réparation en vertu du par. 24(1) a été accordée, ordonnant que le demandeur soit déplacé de l’établissement à sécurité maximale au CSI en attendant d’éventuels examens des motifs de la détention et le renvoi.</w:t>
            </w:r>
          </w:p>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L’appel du demandeur de la demande d’</w:t>
            </w:r>
            <w:r w:rsidRPr="00931A37">
              <w:rPr>
                <w:i/>
                <w:sz w:val="20"/>
                <w:lang w:val="fr-CA"/>
              </w:rPr>
              <w:t xml:space="preserve">habeas corpus </w:t>
            </w:r>
            <w:r w:rsidRPr="00931A37">
              <w:rPr>
                <w:sz w:val="20"/>
                <w:lang w:val="fr-CA"/>
              </w:rPr>
              <w:t xml:space="preserve">a été rejeté. L’appel incident de l’intimé de la réparation accordée par le juge de première instance en vertu du par. 24(1) a été accueilli. </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5 octobre 2017</w:t>
            </w:r>
          </w:p>
          <w:p w:rsidR="00931A37" w:rsidRPr="00931A37" w:rsidRDefault="00931A37" w:rsidP="00931A37">
            <w:pPr>
              <w:jc w:val="both"/>
              <w:rPr>
                <w:sz w:val="20"/>
                <w:lang w:val="fr-CA"/>
              </w:rPr>
            </w:pPr>
            <w:r w:rsidRPr="00931A37">
              <w:rPr>
                <w:sz w:val="20"/>
                <w:lang w:val="fr-CA"/>
              </w:rPr>
              <w:t>Cour supérieure de justice de l’Ontario</w:t>
            </w:r>
          </w:p>
          <w:p w:rsidR="00931A37" w:rsidRPr="00931A37" w:rsidRDefault="00931A37" w:rsidP="00931A37">
            <w:pPr>
              <w:jc w:val="both"/>
              <w:rPr>
                <w:sz w:val="20"/>
                <w:lang w:val="fr-CA"/>
              </w:rPr>
            </w:pPr>
            <w:r w:rsidRPr="00931A37">
              <w:rPr>
                <w:sz w:val="20"/>
                <w:lang w:val="fr-CA"/>
              </w:rPr>
              <w:t xml:space="preserve">(Juge </w:t>
            </w:r>
            <w:proofErr w:type="spellStart"/>
            <w:r w:rsidRPr="00931A37">
              <w:rPr>
                <w:sz w:val="20"/>
                <w:lang w:val="fr-CA"/>
              </w:rPr>
              <w:t>O’Marra</w:t>
            </w:r>
            <w:proofErr w:type="spellEnd"/>
            <w:r w:rsidRPr="00931A37">
              <w:rPr>
                <w:sz w:val="20"/>
                <w:lang w:val="fr-CA"/>
              </w:rPr>
              <w:t>)</w:t>
            </w:r>
          </w:p>
          <w:p w:rsidR="00931A37" w:rsidRPr="00931A37" w:rsidRDefault="00345C48" w:rsidP="00931A37">
            <w:pPr>
              <w:jc w:val="both"/>
              <w:rPr>
                <w:sz w:val="20"/>
                <w:lang w:val="fr-CA"/>
              </w:rPr>
            </w:pPr>
            <w:hyperlink r:id="rId21" w:history="1">
              <w:r w:rsidR="00931A37" w:rsidRPr="00931A37">
                <w:rPr>
                  <w:rStyle w:val="Hyperlink"/>
                  <w:sz w:val="20"/>
                  <w:lang w:val="fr-CA"/>
                </w:rPr>
                <w:t>2017 ONSC 5878</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Jugement rejetant la demande d’</w:t>
            </w:r>
            <w:r w:rsidRPr="00931A37">
              <w:rPr>
                <w:i/>
                <w:sz w:val="20"/>
                <w:lang w:val="fr-CA"/>
              </w:rPr>
              <w:t>habeas corpus</w:t>
            </w:r>
            <w:r w:rsidRPr="00931A37">
              <w:rPr>
                <w:sz w:val="20"/>
                <w:lang w:val="fr-CA"/>
              </w:rPr>
              <w:t xml:space="preserve">, concluant qu’il y a eu violation de l’art. 12 de la </w:t>
            </w:r>
            <w:r w:rsidRPr="00931A37">
              <w:rPr>
                <w:i/>
                <w:sz w:val="20"/>
                <w:lang w:val="fr-CA"/>
              </w:rPr>
              <w:t xml:space="preserve">Charte </w:t>
            </w:r>
            <w:r w:rsidRPr="00931A37">
              <w:rPr>
                <w:sz w:val="20"/>
                <w:lang w:val="fr-CA"/>
              </w:rPr>
              <w:t xml:space="preserve">et accordant une réparation en vertu du par. 24(1) ordonnant que le demandeur soit déplacé vers un CSI en attendant d’éventuels examens des motifs de la détention et le renvoi. </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13 août 2018</w:t>
            </w:r>
          </w:p>
          <w:p w:rsidR="00931A37" w:rsidRPr="00931A37" w:rsidRDefault="00931A37" w:rsidP="00931A37">
            <w:pPr>
              <w:jc w:val="both"/>
              <w:rPr>
                <w:sz w:val="20"/>
                <w:lang w:val="fr-CA"/>
              </w:rPr>
            </w:pPr>
            <w:r w:rsidRPr="00931A37">
              <w:rPr>
                <w:sz w:val="20"/>
                <w:lang w:val="fr-CA"/>
              </w:rPr>
              <w:t>Cour d’appel de l’Ontario</w:t>
            </w:r>
          </w:p>
          <w:p w:rsidR="00931A37" w:rsidRPr="00931A37" w:rsidRDefault="00931A37" w:rsidP="00931A37">
            <w:pPr>
              <w:jc w:val="both"/>
              <w:rPr>
                <w:sz w:val="20"/>
                <w:lang w:val="fr-CA"/>
              </w:rPr>
            </w:pPr>
            <w:r w:rsidRPr="00931A37">
              <w:rPr>
                <w:sz w:val="20"/>
                <w:lang w:val="fr-CA"/>
              </w:rPr>
              <w:t xml:space="preserve">(Juges Doherty, </w:t>
            </w:r>
            <w:proofErr w:type="spellStart"/>
            <w:r w:rsidRPr="00931A37">
              <w:rPr>
                <w:sz w:val="20"/>
                <w:lang w:val="fr-CA"/>
              </w:rPr>
              <w:t>LaForme</w:t>
            </w:r>
            <w:proofErr w:type="spellEnd"/>
            <w:r w:rsidRPr="00931A37">
              <w:rPr>
                <w:sz w:val="20"/>
                <w:lang w:val="fr-CA"/>
              </w:rPr>
              <w:t xml:space="preserve"> et </w:t>
            </w:r>
            <w:proofErr w:type="spellStart"/>
            <w:r w:rsidRPr="00931A37">
              <w:rPr>
                <w:sz w:val="20"/>
                <w:lang w:val="fr-CA"/>
              </w:rPr>
              <w:t>Hourigan</w:t>
            </w:r>
            <w:proofErr w:type="spellEnd"/>
            <w:r w:rsidRPr="00931A37">
              <w:rPr>
                <w:sz w:val="20"/>
                <w:lang w:val="fr-CA"/>
              </w:rPr>
              <w:t>)</w:t>
            </w:r>
          </w:p>
          <w:p w:rsidR="00931A37" w:rsidRPr="00931A37" w:rsidRDefault="00345C48" w:rsidP="00931A37">
            <w:pPr>
              <w:jc w:val="both"/>
              <w:rPr>
                <w:sz w:val="20"/>
                <w:lang w:val="fr-CA"/>
              </w:rPr>
            </w:pPr>
            <w:hyperlink r:id="rId22" w:history="1">
              <w:r w:rsidR="00931A37" w:rsidRPr="00931A37">
                <w:rPr>
                  <w:rStyle w:val="Hyperlink"/>
                  <w:sz w:val="20"/>
                  <w:lang w:val="fr-CA"/>
                </w:rPr>
                <w:t>2018 ONCA 681</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 xml:space="preserve">Arrêt rejetant l’appel et accueillant l’appel incident. </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16 octobre 2018</w:t>
            </w:r>
          </w:p>
          <w:p w:rsidR="00931A37" w:rsidRPr="00931A37" w:rsidRDefault="00931A37" w:rsidP="00931A37">
            <w:pPr>
              <w:jc w:val="both"/>
              <w:rPr>
                <w:sz w:val="20"/>
                <w:lang w:val="fr-CA"/>
              </w:rPr>
            </w:pPr>
            <w:r w:rsidRPr="00931A37">
              <w:rPr>
                <w:sz w:val="20"/>
                <w:lang w:val="fr-CA"/>
              </w:rPr>
              <w:t>Cour suprême du Canada</w:t>
            </w:r>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Dépôt de la demande d’autorisation d’appel déposé avec la requête en prorogation du délai de signification et de dépôt.</w:t>
            </w:r>
          </w:p>
        </w:tc>
      </w:tr>
    </w:tbl>
    <w:p w:rsidR="00931A37" w:rsidRPr="00931A37" w:rsidRDefault="00931A37" w:rsidP="00931A37">
      <w:pPr>
        <w:jc w:val="both"/>
        <w:rPr>
          <w:sz w:val="20"/>
          <w:lang w:val="fr-CA"/>
        </w:rPr>
      </w:pPr>
    </w:p>
    <w:p w:rsidR="00931A37" w:rsidRPr="00931A37" w:rsidRDefault="00931A37" w:rsidP="00931A37">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38273</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 xml:space="preserve">Alberta Human Rights Commission (Director), Farhat Amir (on behalf of Sarmad Amir) and </w:t>
            </w:r>
            <w:proofErr w:type="spellStart"/>
            <w:r w:rsidRPr="00925A9A">
              <w:rPr>
                <w:b/>
                <w:sz w:val="20"/>
                <w:szCs w:val="20"/>
                <w:lang w:val="en-US"/>
              </w:rPr>
              <w:t>Shabnam</w:t>
            </w:r>
            <w:proofErr w:type="spellEnd"/>
            <w:r w:rsidRPr="00925A9A">
              <w:rPr>
                <w:b/>
                <w:sz w:val="20"/>
                <w:szCs w:val="20"/>
                <w:lang w:val="en-US"/>
              </w:rPr>
              <w:t xml:space="preserve"> </w:t>
            </w:r>
            <w:proofErr w:type="spellStart"/>
            <w:r w:rsidRPr="00925A9A">
              <w:rPr>
                <w:b/>
                <w:sz w:val="20"/>
                <w:szCs w:val="20"/>
                <w:lang w:val="en-US"/>
              </w:rPr>
              <w:t>Nazar</w:t>
            </w:r>
            <w:proofErr w:type="spellEnd"/>
            <w:r w:rsidRPr="00925A9A">
              <w:rPr>
                <w:b/>
                <w:sz w:val="20"/>
                <w:szCs w:val="20"/>
                <w:lang w:val="en-US"/>
              </w:rPr>
              <w:t xml:space="preserve"> (on behalf of </w:t>
            </w:r>
            <w:proofErr w:type="spellStart"/>
            <w:r w:rsidRPr="00925A9A">
              <w:rPr>
                <w:b/>
                <w:sz w:val="20"/>
                <w:szCs w:val="20"/>
                <w:lang w:val="en-US"/>
              </w:rPr>
              <w:t>Naman</w:t>
            </w:r>
            <w:proofErr w:type="spellEnd"/>
            <w:r w:rsidRPr="00925A9A">
              <w:rPr>
                <w:b/>
                <w:sz w:val="20"/>
                <w:szCs w:val="20"/>
                <w:lang w:val="en-US"/>
              </w:rPr>
              <w:t xml:space="preserve"> Siddique) v. Webber Academy Foundation</w:t>
            </w:r>
          </w:p>
          <w:p w:rsidR="00931A37" w:rsidRPr="00931A37" w:rsidRDefault="00931A37" w:rsidP="00931A37">
            <w:pPr>
              <w:jc w:val="both"/>
              <w:rPr>
                <w:sz w:val="20"/>
              </w:rPr>
            </w:pPr>
            <w:r w:rsidRPr="00931A37">
              <w:rPr>
                <w:sz w:val="20"/>
              </w:rPr>
              <w:t>(Alta.) (Civil) (By Leave)</w:t>
            </w:r>
          </w:p>
        </w:tc>
      </w:tr>
      <w:tr w:rsidR="00931A37" w:rsidRPr="00931A37" w:rsidTr="00931A37">
        <w:tc>
          <w:tcPr>
            <w:tcW w:w="5000" w:type="pct"/>
            <w:gridSpan w:val="4"/>
          </w:tcPr>
          <w:p w:rsidR="00931A37" w:rsidRPr="00931A37" w:rsidRDefault="00931A37" w:rsidP="00931A37">
            <w:pPr>
              <w:jc w:val="both"/>
              <w:rPr>
                <w:sz w:val="20"/>
              </w:rPr>
            </w:pPr>
            <w:r w:rsidRPr="00931A37">
              <w:rPr>
                <w:i/>
                <w:sz w:val="20"/>
              </w:rPr>
              <w:t xml:space="preserve">Charter </w:t>
            </w:r>
            <w:r w:rsidRPr="00931A37">
              <w:rPr>
                <w:sz w:val="20"/>
              </w:rPr>
              <w:t xml:space="preserve">– Freedom of religion – Administrative law – Appeals – Boards and tribunals – Alberta Human Rights Tribunal – Human Rights – Freedom of conscience and religion – What is the standard of exceptional circumstances allowing </w:t>
            </w:r>
            <w:r w:rsidRPr="00931A37">
              <w:rPr>
                <w:i/>
                <w:sz w:val="20"/>
              </w:rPr>
              <w:t xml:space="preserve">Charter </w:t>
            </w:r>
            <w:r w:rsidRPr="00931A37">
              <w:rPr>
                <w:sz w:val="20"/>
              </w:rPr>
              <w:t xml:space="preserve">issues to be raised for first time on appeal? – What are the limits of a Court’s discretion to remit for a </w:t>
            </w:r>
            <w:r w:rsidRPr="00931A37">
              <w:rPr>
                <w:i/>
                <w:sz w:val="20"/>
              </w:rPr>
              <w:t xml:space="preserve">de novo </w:t>
            </w:r>
            <w:r w:rsidRPr="00931A37">
              <w:rPr>
                <w:sz w:val="20"/>
              </w:rPr>
              <w:t>hearing when procedural fairness is not in dispute? – Can issues raised by the reviewing judge form the basis for a Court of Appeal to remit a matter for a fresh hearing? – What is the correct approach to segmentation in administrative review and the application of the reasonableness standard to questions of fact?</w:t>
            </w:r>
          </w:p>
          <w:p w:rsidR="00931A37" w:rsidRPr="00931A37" w:rsidRDefault="00931A37" w:rsidP="00931A37">
            <w:pPr>
              <w:jc w:val="both"/>
              <w:rPr>
                <w:sz w:val="20"/>
              </w:rPr>
            </w:pPr>
          </w:p>
        </w:tc>
      </w:tr>
      <w:tr w:rsidR="00931A37" w:rsidRPr="00931A37" w:rsidTr="00931A37">
        <w:tc>
          <w:tcPr>
            <w:tcW w:w="5000" w:type="pct"/>
            <w:gridSpan w:val="4"/>
          </w:tcPr>
          <w:p w:rsidR="00931A37" w:rsidRPr="00931A37" w:rsidRDefault="00931A37" w:rsidP="00931A37">
            <w:pPr>
              <w:jc w:val="both"/>
              <w:rPr>
                <w:sz w:val="20"/>
              </w:rPr>
            </w:pPr>
            <w:r w:rsidRPr="00931A37">
              <w:rPr>
                <w:sz w:val="20"/>
              </w:rPr>
              <w:t xml:space="preserve">Sarmad Amir and </w:t>
            </w:r>
            <w:proofErr w:type="spellStart"/>
            <w:r w:rsidRPr="00931A37">
              <w:rPr>
                <w:sz w:val="20"/>
              </w:rPr>
              <w:t>Naman</w:t>
            </w:r>
            <w:proofErr w:type="spellEnd"/>
            <w:r w:rsidRPr="00931A37">
              <w:rPr>
                <w:sz w:val="20"/>
              </w:rPr>
              <w:t xml:space="preserve"> Siddique are practicing Sunni Muslims who attended Webber Academy – a non-denominational private school – in 2011 and 2012. After enrollment, the students were informed by Webber Academy that during school hours they must either pray off campus or on campus without saying prayers aloud, bowing or kneeling. Their parents brought a complaint of discrimination on their behalf to the Alberta Human Rights Tribunal. The Tribunal made a </w:t>
            </w:r>
            <w:r w:rsidRPr="00931A37">
              <w:rPr>
                <w:i/>
                <w:sz w:val="20"/>
              </w:rPr>
              <w:t xml:space="preserve">prima facie </w:t>
            </w:r>
            <w:r w:rsidRPr="00931A37">
              <w:rPr>
                <w:sz w:val="20"/>
              </w:rPr>
              <w:t xml:space="preserve">finding of discrimination in favour of the students. Webber Academy </w:t>
            </w:r>
            <w:r w:rsidRPr="00931A37">
              <w:rPr>
                <w:sz w:val="20"/>
              </w:rPr>
              <w:lastRenderedPageBreak/>
              <w:t xml:space="preserve">appealed to the Court of Queen’s Bench which was dismissed. Webber Academy appealed to the Court of Appeal, making </w:t>
            </w:r>
            <w:r w:rsidRPr="00931A37">
              <w:rPr>
                <w:i/>
                <w:sz w:val="20"/>
              </w:rPr>
              <w:t xml:space="preserve">Charter </w:t>
            </w:r>
            <w:r w:rsidRPr="00931A37">
              <w:rPr>
                <w:sz w:val="20"/>
              </w:rPr>
              <w:t xml:space="preserve">arguments for the first time. The Court of Appeal ordered a </w:t>
            </w:r>
            <w:r w:rsidRPr="00931A37">
              <w:rPr>
                <w:i/>
                <w:sz w:val="20"/>
              </w:rPr>
              <w:t>de novo</w:t>
            </w:r>
            <w:r w:rsidRPr="00931A37">
              <w:rPr>
                <w:sz w:val="20"/>
              </w:rPr>
              <w:t xml:space="preserve"> hearing with a new Tribunal panel.</w:t>
            </w:r>
          </w:p>
        </w:tc>
      </w:tr>
      <w:tr w:rsidR="00931A37" w:rsidRPr="00931A37" w:rsidTr="00931A37">
        <w:tc>
          <w:tcPr>
            <w:tcW w:w="5000" w:type="pct"/>
            <w:gridSpan w:val="4"/>
          </w:tcPr>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August 10, 2016</w:t>
            </w:r>
          </w:p>
          <w:p w:rsidR="00931A37" w:rsidRPr="00931A37" w:rsidRDefault="00931A37" w:rsidP="00931A37">
            <w:pPr>
              <w:jc w:val="both"/>
              <w:rPr>
                <w:sz w:val="20"/>
              </w:rPr>
            </w:pPr>
            <w:r w:rsidRPr="00931A37">
              <w:rPr>
                <w:sz w:val="20"/>
              </w:rPr>
              <w:t>Court of Queen’s Bench of Alberta</w:t>
            </w:r>
          </w:p>
          <w:p w:rsidR="00931A37" w:rsidRPr="00931A37" w:rsidRDefault="00931A37" w:rsidP="00931A37">
            <w:pPr>
              <w:jc w:val="both"/>
              <w:rPr>
                <w:sz w:val="20"/>
              </w:rPr>
            </w:pPr>
            <w:r w:rsidRPr="00931A37">
              <w:rPr>
                <w:sz w:val="20"/>
              </w:rPr>
              <w:t>(</w:t>
            </w:r>
            <w:proofErr w:type="spellStart"/>
            <w:r w:rsidRPr="00931A37">
              <w:rPr>
                <w:sz w:val="20"/>
              </w:rPr>
              <w:t>Poelman</w:t>
            </w:r>
            <w:proofErr w:type="spellEnd"/>
            <w:r w:rsidRPr="00931A37">
              <w:rPr>
                <w:sz w:val="20"/>
              </w:rPr>
              <w:t xml:space="preserve"> J.)</w:t>
            </w:r>
          </w:p>
          <w:p w:rsidR="00931A37" w:rsidRPr="00931A37" w:rsidRDefault="00345C48" w:rsidP="00931A37">
            <w:pPr>
              <w:jc w:val="both"/>
              <w:rPr>
                <w:sz w:val="20"/>
              </w:rPr>
            </w:pPr>
            <w:hyperlink r:id="rId23" w:history="1">
              <w:r w:rsidR="00931A37" w:rsidRPr="00931A37">
                <w:rPr>
                  <w:rStyle w:val="Hyperlink"/>
                  <w:sz w:val="20"/>
                </w:rPr>
                <w:t>2016 ABQB 442</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Appeal dismissed</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June 1, 2018</w:t>
            </w:r>
          </w:p>
          <w:p w:rsidR="00931A37" w:rsidRPr="00931A37" w:rsidRDefault="00931A37" w:rsidP="00931A37">
            <w:pPr>
              <w:jc w:val="both"/>
              <w:rPr>
                <w:sz w:val="20"/>
              </w:rPr>
            </w:pPr>
            <w:r w:rsidRPr="00931A37">
              <w:rPr>
                <w:sz w:val="20"/>
              </w:rPr>
              <w:t>Court of Appeal of Alberta (Calgary)</w:t>
            </w:r>
          </w:p>
          <w:p w:rsidR="00931A37" w:rsidRPr="00931A37" w:rsidRDefault="00931A37" w:rsidP="00931A37">
            <w:pPr>
              <w:jc w:val="both"/>
              <w:rPr>
                <w:sz w:val="20"/>
              </w:rPr>
            </w:pPr>
            <w:r w:rsidRPr="00931A37">
              <w:rPr>
                <w:sz w:val="20"/>
              </w:rPr>
              <w:t xml:space="preserve">(Watson, </w:t>
            </w:r>
            <w:proofErr w:type="spellStart"/>
            <w:r w:rsidRPr="00931A37">
              <w:rPr>
                <w:sz w:val="20"/>
              </w:rPr>
              <w:t>Rowbotham</w:t>
            </w:r>
            <w:proofErr w:type="spellEnd"/>
            <w:r w:rsidRPr="00931A37">
              <w:rPr>
                <w:sz w:val="20"/>
              </w:rPr>
              <w:t>, and McDonald JJ.A.)</w:t>
            </w:r>
          </w:p>
          <w:p w:rsidR="00931A37" w:rsidRPr="00931A37" w:rsidRDefault="00345C48" w:rsidP="00931A37">
            <w:pPr>
              <w:jc w:val="both"/>
              <w:rPr>
                <w:sz w:val="20"/>
              </w:rPr>
            </w:pPr>
            <w:hyperlink r:id="rId24" w:history="1">
              <w:r w:rsidR="00931A37" w:rsidRPr="00931A37">
                <w:rPr>
                  <w:rStyle w:val="Hyperlink"/>
                  <w:sz w:val="20"/>
                </w:rPr>
                <w:t>2018 ABCA 207</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 xml:space="preserve">Appeal allowed; </w:t>
            </w:r>
            <w:r w:rsidRPr="00931A37">
              <w:rPr>
                <w:i/>
                <w:sz w:val="20"/>
              </w:rPr>
              <w:t>de novo</w:t>
            </w:r>
            <w:r w:rsidRPr="00931A37">
              <w:rPr>
                <w:sz w:val="20"/>
              </w:rPr>
              <w:t xml:space="preserve"> hearing ordered</w:t>
            </w:r>
          </w:p>
          <w:p w:rsidR="00931A37" w:rsidRPr="00931A37" w:rsidRDefault="00931A37" w:rsidP="00931A37">
            <w:pPr>
              <w:jc w:val="both"/>
              <w:rPr>
                <w:sz w:val="20"/>
              </w:rPr>
            </w:pP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August 31, 2018</w:t>
            </w:r>
          </w:p>
          <w:p w:rsidR="00931A37" w:rsidRPr="00931A37" w:rsidRDefault="00931A37" w:rsidP="00931A37">
            <w:pPr>
              <w:jc w:val="both"/>
              <w:rPr>
                <w:sz w:val="20"/>
              </w:rPr>
            </w:pPr>
            <w:r w:rsidRPr="00931A37">
              <w:rPr>
                <w:sz w:val="20"/>
              </w:rPr>
              <w:t>Supreme Court of Canada</w:t>
            </w: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for leave to appeal filed</w:t>
            </w:r>
          </w:p>
          <w:p w:rsidR="00931A37" w:rsidRPr="00931A37" w:rsidRDefault="00931A37" w:rsidP="00931A37">
            <w:pPr>
              <w:jc w:val="both"/>
              <w:rPr>
                <w:sz w:val="20"/>
              </w:rPr>
            </w:pPr>
          </w:p>
        </w:tc>
      </w:tr>
    </w:tbl>
    <w:p w:rsidR="00931A37" w:rsidRDefault="00931A37" w:rsidP="00931A37">
      <w:pPr>
        <w:jc w:val="both"/>
        <w:rPr>
          <w:sz w:val="20"/>
        </w:rPr>
      </w:pPr>
    </w:p>
    <w:p w:rsidR="00925A9A" w:rsidRPr="00931A37" w:rsidRDefault="00925A9A"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fr-CA"/>
              </w:rPr>
            </w:pPr>
            <w:r w:rsidRPr="00931A37">
              <w:rPr>
                <w:rStyle w:val="SCCFileNumberChar"/>
                <w:sz w:val="20"/>
                <w:szCs w:val="20"/>
                <w:lang w:val="fr-CA"/>
              </w:rPr>
              <w:t>38273</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Alberta Human Rights Commission (</w:t>
            </w:r>
            <w:r w:rsidR="00594B27">
              <w:rPr>
                <w:b/>
                <w:sz w:val="20"/>
                <w:szCs w:val="20"/>
              </w:rPr>
              <w:t>D</w:t>
            </w:r>
            <w:r w:rsidRPr="00925A9A">
              <w:rPr>
                <w:b/>
                <w:sz w:val="20"/>
                <w:szCs w:val="20"/>
              </w:rPr>
              <w:t>irect</w:t>
            </w:r>
            <w:r w:rsidR="00594B27">
              <w:rPr>
                <w:b/>
                <w:sz w:val="20"/>
                <w:szCs w:val="20"/>
              </w:rPr>
              <w:t>o</w:t>
            </w:r>
            <w:r w:rsidRPr="00925A9A">
              <w:rPr>
                <w:b/>
                <w:sz w:val="20"/>
                <w:szCs w:val="20"/>
              </w:rPr>
              <w:t>r), Farhat Amir (au nom de Sarmad Amir) et Shabnam Nazar (au nom de Naman Siddique) c. Webber Academy Foundation</w:t>
            </w:r>
          </w:p>
          <w:p w:rsidR="00931A37" w:rsidRPr="00931A37" w:rsidRDefault="00931A37" w:rsidP="00931A37">
            <w:pPr>
              <w:jc w:val="both"/>
              <w:rPr>
                <w:sz w:val="20"/>
                <w:lang w:val="fr-CA"/>
              </w:rPr>
            </w:pPr>
            <w:r w:rsidRPr="00931A37">
              <w:rPr>
                <w:sz w:val="20"/>
                <w:lang w:val="fr-CA"/>
              </w:rPr>
              <w:t>(Alb.)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i/>
                <w:sz w:val="20"/>
                <w:lang w:val="fr-CA"/>
              </w:rPr>
              <w:t xml:space="preserve">Charte </w:t>
            </w:r>
            <w:r w:rsidRPr="00931A37">
              <w:rPr>
                <w:sz w:val="20"/>
                <w:lang w:val="fr-CA"/>
              </w:rPr>
              <w:t xml:space="preserve">– Liberté de religion – Droit administratif – Appels – Organismes et tribunaux administratifs – Tribunal des droits de la personne de l’Alberta – Droits de la personne – Liberté de conscience et de religion – Quelle est la norme de circonstances exceptionnelles qui permet de soulever des questions relatives à la </w:t>
            </w:r>
            <w:r w:rsidRPr="00931A37">
              <w:rPr>
                <w:i/>
                <w:sz w:val="20"/>
                <w:lang w:val="fr-CA"/>
              </w:rPr>
              <w:t xml:space="preserve">Charte </w:t>
            </w:r>
            <w:r w:rsidRPr="00931A37">
              <w:rPr>
                <w:sz w:val="20"/>
                <w:lang w:val="fr-CA"/>
              </w:rPr>
              <w:t>pour la première fois en appel? – Quelles sont les limites du pouvoir discrétionnaire d’un tribunal de renvoyer une affaire pour être entendue de nouveau lorsque l’équité procédurale n’est pas en cause? – Les questions soulevées par le juge chargé de la révision peuvent-elles servir de fondement au renvoi, par une cour d’appel, d’une affaire pour être entendue de nouveau? – Quelle est la bonne façon de faire la segmentation en contrôle judiciaire et d’appliquer la norme de la décision raisonnable aux questions de fait?</w:t>
            </w:r>
          </w:p>
          <w:p w:rsidR="00931A37" w:rsidRPr="00931A37" w:rsidRDefault="00931A37" w:rsidP="00931A37">
            <w:pPr>
              <w:jc w:val="both"/>
              <w:rPr>
                <w:sz w:val="20"/>
                <w:lang w:val="fr-CA"/>
              </w:rPr>
            </w:pP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 xml:space="preserve">Sarmad Amir et Naman Siddique sont des musulmans sunnites pratiquants qui fréquentaient Webber Academy – une école privée non confessionnelle – en 2011 et 2012. Après leur inscription, Webber Academy a informé les étudiants que pendant les heures de classe, ils devaient soit prier en dehors du campus, soit prier sur le campus, mais sans dire leurs prières à haute voix, sans faire de révérence et sans se mettre à genoux. Leurs parents ont déposé une plainte au Tribunal des droits de la personne de l’Alberta. Le Tribunal a conclu </w:t>
            </w:r>
            <w:r w:rsidRPr="00931A37">
              <w:rPr>
                <w:i/>
                <w:sz w:val="20"/>
                <w:lang w:val="fr-CA"/>
              </w:rPr>
              <w:t xml:space="preserve">prima facie </w:t>
            </w:r>
            <w:r w:rsidRPr="00931A37">
              <w:rPr>
                <w:sz w:val="20"/>
                <w:lang w:val="fr-CA"/>
              </w:rPr>
              <w:t xml:space="preserve">en faveur des étudiants qu’il y avait eu discrimination. Webber Academy a interjeté appel à la Cour du Banc de la Reine, qui a rejeté leur appel. Webber Academy a interjeté appel à la Cour d’appel, invoquant pour la première fois des arguments fondés sur la </w:t>
            </w:r>
            <w:r w:rsidRPr="00931A37">
              <w:rPr>
                <w:i/>
                <w:sz w:val="20"/>
                <w:lang w:val="fr-CA"/>
              </w:rPr>
              <w:t>Charte</w:t>
            </w:r>
            <w:r w:rsidRPr="00931A37">
              <w:rPr>
                <w:sz w:val="20"/>
                <w:lang w:val="fr-CA"/>
              </w:rPr>
              <w:t>. La Cour d’appel a ordonné la tenue d’une nouvelle audience devant une nouvelle formation du Tribunal.</w:t>
            </w:r>
          </w:p>
        </w:tc>
      </w:tr>
      <w:tr w:rsidR="00931A37" w:rsidRPr="008E5DBE" w:rsidTr="00931A37">
        <w:tc>
          <w:tcPr>
            <w:tcW w:w="5000" w:type="pct"/>
            <w:gridSpan w:val="4"/>
          </w:tcPr>
          <w:p w:rsidR="00931A37" w:rsidRPr="00931A37" w:rsidRDefault="00931A37" w:rsidP="00931A37">
            <w:pPr>
              <w:jc w:val="both"/>
              <w:rPr>
                <w:sz w:val="20"/>
                <w:lang w:val="fr-CA"/>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10 août 2016</w:t>
            </w:r>
          </w:p>
          <w:p w:rsidR="00931A37" w:rsidRPr="00931A37" w:rsidRDefault="00931A37" w:rsidP="00931A37">
            <w:pPr>
              <w:jc w:val="both"/>
              <w:rPr>
                <w:sz w:val="20"/>
                <w:lang w:val="fr-CA"/>
              </w:rPr>
            </w:pPr>
            <w:r w:rsidRPr="00931A37">
              <w:rPr>
                <w:sz w:val="20"/>
                <w:lang w:val="fr-CA"/>
              </w:rPr>
              <w:t>Cour du Banc de la Reine de l’Alberta</w:t>
            </w:r>
          </w:p>
          <w:p w:rsidR="00931A37" w:rsidRPr="00931A37" w:rsidRDefault="00931A37" w:rsidP="00931A37">
            <w:pPr>
              <w:jc w:val="both"/>
              <w:rPr>
                <w:sz w:val="20"/>
                <w:lang w:val="fr-CA"/>
              </w:rPr>
            </w:pPr>
            <w:r w:rsidRPr="00931A37">
              <w:rPr>
                <w:sz w:val="20"/>
                <w:lang w:val="fr-CA"/>
              </w:rPr>
              <w:t>(Juge Poelman)</w:t>
            </w:r>
          </w:p>
          <w:p w:rsidR="00931A37" w:rsidRPr="00931A37" w:rsidRDefault="00345C48" w:rsidP="00931A37">
            <w:pPr>
              <w:jc w:val="both"/>
              <w:rPr>
                <w:sz w:val="20"/>
                <w:lang w:val="fr-CA"/>
              </w:rPr>
            </w:pPr>
            <w:hyperlink r:id="rId25" w:history="1">
              <w:r w:rsidR="00931A37" w:rsidRPr="00931A37">
                <w:rPr>
                  <w:rStyle w:val="Hyperlink"/>
                  <w:sz w:val="20"/>
                  <w:lang w:val="fr-CA"/>
                </w:rPr>
                <w:t>2016 ABQB 442</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Rejet de l’appel</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1</w:t>
            </w:r>
            <w:r w:rsidRPr="00931A37">
              <w:rPr>
                <w:sz w:val="20"/>
                <w:vertAlign w:val="superscript"/>
                <w:lang w:val="fr-CA"/>
              </w:rPr>
              <w:t>er</w:t>
            </w:r>
            <w:r w:rsidRPr="00931A37">
              <w:rPr>
                <w:sz w:val="20"/>
                <w:lang w:val="fr-CA"/>
              </w:rPr>
              <w:t xml:space="preserve"> juin 2018</w:t>
            </w:r>
          </w:p>
          <w:p w:rsidR="00931A37" w:rsidRPr="00931A37" w:rsidRDefault="00931A37" w:rsidP="00931A37">
            <w:pPr>
              <w:jc w:val="both"/>
              <w:rPr>
                <w:sz w:val="20"/>
                <w:lang w:val="fr-CA"/>
              </w:rPr>
            </w:pPr>
            <w:r w:rsidRPr="00931A37">
              <w:rPr>
                <w:sz w:val="20"/>
                <w:lang w:val="fr-CA"/>
              </w:rPr>
              <w:t>Cour d’appel de l’Alberta (Calgary)</w:t>
            </w:r>
          </w:p>
          <w:p w:rsidR="00931A37" w:rsidRPr="00931A37" w:rsidRDefault="00931A37" w:rsidP="00931A37">
            <w:pPr>
              <w:jc w:val="both"/>
              <w:rPr>
                <w:sz w:val="20"/>
              </w:rPr>
            </w:pPr>
            <w:r w:rsidRPr="00931A37">
              <w:rPr>
                <w:sz w:val="20"/>
              </w:rPr>
              <w:t>(Juges Watson, Rowbotham et McDonald)</w:t>
            </w:r>
          </w:p>
          <w:p w:rsidR="00931A37" w:rsidRPr="00931A37" w:rsidRDefault="00345C48" w:rsidP="00931A37">
            <w:pPr>
              <w:jc w:val="both"/>
              <w:rPr>
                <w:sz w:val="20"/>
              </w:rPr>
            </w:pPr>
            <w:hyperlink r:id="rId26" w:history="1">
              <w:r w:rsidR="00931A37" w:rsidRPr="00931A37">
                <w:rPr>
                  <w:rStyle w:val="Hyperlink"/>
                  <w:sz w:val="20"/>
                </w:rPr>
                <w:t>2018 ABCA 207</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lang w:val="fr-CA"/>
              </w:rPr>
            </w:pPr>
            <w:r w:rsidRPr="00931A37">
              <w:rPr>
                <w:sz w:val="20"/>
                <w:lang w:val="fr-CA"/>
              </w:rPr>
              <w:t>Arrêt accueillant l’appel et ordonnant la tenue d’une nouvelle audience</w:t>
            </w:r>
          </w:p>
          <w:p w:rsidR="00931A37" w:rsidRPr="00931A37" w:rsidRDefault="00931A37" w:rsidP="00931A37">
            <w:pPr>
              <w:jc w:val="both"/>
              <w:rPr>
                <w:sz w:val="20"/>
                <w:lang w:val="fr-CA"/>
              </w:rPr>
            </w:pP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31 août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Dépôt de la demande d’autorisation d’appel</w:t>
            </w:r>
          </w:p>
          <w:p w:rsidR="00931A37" w:rsidRPr="00931A37" w:rsidRDefault="00931A37" w:rsidP="00931A37">
            <w:pPr>
              <w:jc w:val="both"/>
              <w:rPr>
                <w:sz w:val="20"/>
                <w:lang w:val="fr-CA"/>
              </w:rPr>
            </w:pPr>
          </w:p>
        </w:tc>
      </w:tr>
    </w:tbl>
    <w:p w:rsidR="00931A37" w:rsidRPr="00931A37" w:rsidRDefault="00931A37" w:rsidP="00931A37">
      <w:pPr>
        <w:jc w:val="both"/>
        <w:rPr>
          <w:sz w:val="20"/>
          <w:lang w:val="fr-CA"/>
        </w:rPr>
      </w:pPr>
    </w:p>
    <w:p w:rsidR="00931A37" w:rsidRPr="00931A37" w:rsidRDefault="00931A37" w:rsidP="00931A37">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38356</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Hassan Hashemi v. Christopher Kennelly</w:t>
            </w:r>
            <w:r w:rsidR="00370721">
              <w:rPr>
                <w:b/>
                <w:sz w:val="20"/>
                <w:szCs w:val="20"/>
                <w:lang w:val="en-US"/>
              </w:rPr>
              <w:t xml:space="preserve"> and</w:t>
            </w:r>
            <w:r w:rsidRPr="00925A9A">
              <w:rPr>
                <w:b/>
                <w:sz w:val="20"/>
                <w:szCs w:val="20"/>
                <w:lang w:val="en-US"/>
              </w:rPr>
              <w:t xml:space="preserve"> Jupiter Equities, LLC.</w:t>
            </w:r>
          </w:p>
          <w:p w:rsidR="00931A37" w:rsidRPr="00931A37" w:rsidRDefault="00931A37" w:rsidP="00925A9A">
            <w:pPr>
              <w:jc w:val="both"/>
              <w:rPr>
                <w:sz w:val="20"/>
              </w:rPr>
            </w:pPr>
            <w:r w:rsidRPr="00931A37">
              <w:rPr>
                <w:sz w:val="20"/>
              </w:rPr>
              <w:t>(Ont.) (Civil) (By Leave)</w:t>
            </w:r>
          </w:p>
        </w:tc>
      </w:tr>
      <w:tr w:rsidR="00931A37" w:rsidRPr="00931A37" w:rsidTr="00931A37">
        <w:tc>
          <w:tcPr>
            <w:tcW w:w="5000" w:type="pct"/>
            <w:gridSpan w:val="4"/>
          </w:tcPr>
          <w:p w:rsidR="00931A37" w:rsidRPr="00931A37" w:rsidRDefault="00931A37" w:rsidP="00931A37">
            <w:pPr>
              <w:jc w:val="both"/>
              <w:rPr>
                <w:sz w:val="20"/>
              </w:rPr>
            </w:pPr>
            <w:r w:rsidRPr="00931A37">
              <w:rPr>
                <w:sz w:val="20"/>
              </w:rPr>
              <w:t xml:space="preserve">Property – Real property – Sale of land – Agreement of purchase and sale – Breach – Adjournment – Whether the decision of the Court of Appeal not to adjourn the hearing to allow the vendor to obtain counsel and transcripts of the hearing worked against the case the vendor wished to make – Whether the vendor had a viable </w:t>
            </w:r>
            <w:r w:rsidRPr="00931A37">
              <w:rPr>
                <w:i/>
                <w:sz w:val="20"/>
              </w:rPr>
              <w:t>Charter</w:t>
            </w:r>
            <w:r w:rsidRPr="00931A37">
              <w:rPr>
                <w:sz w:val="20"/>
              </w:rPr>
              <w:t xml:space="preserve"> case had he been allowed to adjourn and obtain the transcript of the hearing – Whether the vendor was able to make out a </w:t>
            </w:r>
            <w:r w:rsidRPr="00931A37">
              <w:rPr>
                <w:i/>
                <w:sz w:val="20"/>
              </w:rPr>
              <w:t>Charter</w:t>
            </w:r>
            <w:r w:rsidRPr="00931A37">
              <w:rPr>
                <w:sz w:val="20"/>
              </w:rPr>
              <w:t xml:space="preserve"> case based upon the conduct of the judge in the original application.</w:t>
            </w:r>
          </w:p>
        </w:tc>
      </w:tr>
      <w:tr w:rsidR="00931A37" w:rsidRPr="00931A37" w:rsidTr="00931A37">
        <w:tc>
          <w:tcPr>
            <w:tcW w:w="5000" w:type="pct"/>
            <w:gridSpan w:val="4"/>
          </w:tcPr>
          <w:p w:rsidR="00931A37" w:rsidRPr="00931A37" w:rsidRDefault="00931A37" w:rsidP="00931A37">
            <w:pPr>
              <w:jc w:val="both"/>
              <w:rPr>
                <w:sz w:val="20"/>
              </w:rPr>
            </w:pPr>
          </w:p>
          <w:p w:rsidR="00931A37" w:rsidRPr="00931A37" w:rsidRDefault="00931A37" w:rsidP="00931A37">
            <w:pPr>
              <w:jc w:val="both"/>
              <w:rPr>
                <w:sz w:val="20"/>
              </w:rPr>
            </w:pPr>
            <w:r w:rsidRPr="00931A37">
              <w:rPr>
                <w:sz w:val="20"/>
              </w:rPr>
              <w:t xml:space="preserve">The respondent, Christopher Kennelly agreed to purchase real estate in Niagara-on-the-Lake from Maryam </w:t>
            </w:r>
            <w:proofErr w:type="spellStart"/>
            <w:r w:rsidRPr="00931A37">
              <w:rPr>
                <w:sz w:val="20"/>
              </w:rPr>
              <w:t>Furney</w:t>
            </w:r>
            <w:proofErr w:type="spellEnd"/>
            <w:r w:rsidRPr="00931A37">
              <w:rPr>
                <w:sz w:val="20"/>
              </w:rPr>
              <w:t>. A deposit of $40,000 was provided to Ms. </w:t>
            </w:r>
            <w:proofErr w:type="spellStart"/>
            <w:r w:rsidRPr="00931A37">
              <w:rPr>
                <w:sz w:val="20"/>
              </w:rPr>
              <w:t>Furney’s</w:t>
            </w:r>
            <w:proofErr w:type="spellEnd"/>
            <w:r w:rsidRPr="00931A37">
              <w:rPr>
                <w:sz w:val="20"/>
              </w:rPr>
              <w:t xml:space="preserve"> lawyer. The respondent, Jupiter Equities LLC, a company Mr. Kennelly controlled, provided the funds for the deposit. When the purchase agreement was entered into, there were a number of encumbrances registered on title. The encumbrances included three mortgages as well as a caution registered by an individual who had previously agreed to purchase the property in a transaction that did not close. The purchase agreement provided that the closing date would be February 14, 2017, but the seller had the option to delay the closing up to two weeks. The purchase agreement also provided that no existing encumbrances would be assumed by the buyer or remain on title after closing, and that the seller would remove the caution.</w:t>
            </w:r>
          </w:p>
          <w:p w:rsidR="00931A37" w:rsidRPr="00931A37" w:rsidRDefault="00931A37" w:rsidP="00931A37">
            <w:pPr>
              <w:jc w:val="both"/>
              <w:rPr>
                <w:sz w:val="20"/>
              </w:rPr>
            </w:pPr>
          </w:p>
          <w:p w:rsidR="00931A37" w:rsidRPr="00931A37" w:rsidRDefault="00931A37" w:rsidP="00931A37">
            <w:pPr>
              <w:jc w:val="both"/>
              <w:rPr>
                <w:sz w:val="20"/>
              </w:rPr>
            </w:pPr>
            <w:r w:rsidRPr="00931A37">
              <w:rPr>
                <w:sz w:val="20"/>
              </w:rPr>
              <w:t xml:space="preserve">Ms. </w:t>
            </w:r>
            <w:proofErr w:type="spellStart"/>
            <w:r w:rsidRPr="00931A37">
              <w:rPr>
                <w:sz w:val="20"/>
              </w:rPr>
              <w:t>Furney</w:t>
            </w:r>
            <w:proofErr w:type="spellEnd"/>
            <w:r w:rsidRPr="00931A37">
              <w:rPr>
                <w:sz w:val="20"/>
              </w:rPr>
              <w:t xml:space="preserve"> later assigned her rights under the purchase agreement to the applicant, Hassan Hashemi. Mr. Hashemi was the tenant in possession of the property. He also assumed the third mortgage by way of transfer from the previous mortgagee. The transfer included assignment of power of sale rights under the mortgage, the assigning mortgagee having previously served a notice of power of sale. The purchase of the property did not close. Ms. </w:t>
            </w:r>
            <w:proofErr w:type="spellStart"/>
            <w:r w:rsidRPr="00931A37">
              <w:rPr>
                <w:sz w:val="20"/>
              </w:rPr>
              <w:t>Furney</w:t>
            </w:r>
            <w:proofErr w:type="spellEnd"/>
            <w:r w:rsidRPr="00931A37">
              <w:rPr>
                <w:sz w:val="20"/>
              </w:rPr>
              <w:t xml:space="preserve"> was not in a position to close on February 14, 2017 and the transaction did not close on the revised closing date of February 24, 2017 which Mr. Hashemi set after the purchase agreement was assigned to him. Mr. </w:t>
            </w:r>
            <w:proofErr w:type="spellStart"/>
            <w:r w:rsidRPr="00931A37">
              <w:rPr>
                <w:sz w:val="20"/>
              </w:rPr>
              <w:t>Kennely</w:t>
            </w:r>
            <w:proofErr w:type="spellEnd"/>
            <w:r w:rsidRPr="00931A37">
              <w:rPr>
                <w:sz w:val="20"/>
              </w:rPr>
              <w:t xml:space="preserve"> would not agree to extend the closing beyond that time.</w:t>
            </w:r>
          </w:p>
          <w:p w:rsidR="00931A37" w:rsidRPr="00931A37" w:rsidRDefault="00931A37" w:rsidP="00931A37">
            <w:pPr>
              <w:jc w:val="both"/>
              <w:rPr>
                <w:sz w:val="20"/>
              </w:rPr>
            </w:pPr>
          </w:p>
          <w:p w:rsidR="00931A37" w:rsidRPr="00931A37" w:rsidRDefault="00931A37" w:rsidP="00931A37">
            <w:pPr>
              <w:jc w:val="both"/>
              <w:rPr>
                <w:sz w:val="20"/>
              </w:rPr>
            </w:pPr>
            <w:r w:rsidRPr="00931A37">
              <w:rPr>
                <w:sz w:val="20"/>
              </w:rPr>
              <w:t>Mr. Hashemi was found to have breached the purchase agreement and the respondents were entitled to the return of the deposit. Mr. </w:t>
            </w:r>
            <w:proofErr w:type="spellStart"/>
            <w:r w:rsidRPr="00931A37">
              <w:rPr>
                <w:sz w:val="20"/>
              </w:rPr>
              <w:t>Hashemi’s</w:t>
            </w:r>
            <w:proofErr w:type="spellEnd"/>
            <w:r w:rsidRPr="00931A37">
              <w:rPr>
                <w:sz w:val="20"/>
              </w:rPr>
              <w:t xml:space="preserve"> appeal was dismissed.</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September 26, 2017</w:t>
            </w:r>
          </w:p>
          <w:p w:rsidR="00931A37" w:rsidRPr="00931A37" w:rsidRDefault="00931A37" w:rsidP="00931A37">
            <w:pPr>
              <w:jc w:val="both"/>
              <w:rPr>
                <w:sz w:val="20"/>
              </w:rPr>
            </w:pPr>
            <w:r w:rsidRPr="00931A37">
              <w:rPr>
                <w:sz w:val="20"/>
              </w:rPr>
              <w:t>Ontario Superior Court of Justice</w:t>
            </w:r>
          </w:p>
          <w:p w:rsidR="00931A37" w:rsidRPr="00931A37" w:rsidRDefault="00931A37" w:rsidP="00931A37">
            <w:pPr>
              <w:jc w:val="both"/>
              <w:rPr>
                <w:sz w:val="20"/>
              </w:rPr>
            </w:pPr>
            <w:r w:rsidRPr="00931A37">
              <w:rPr>
                <w:sz w:val="20"/>
              </w:rPr>
              <w:t>(</w:t>
            </w:r>
            <w:proofErr w:type="spellStart"/>
            <w:r w:rsidRPr="00931A37">
              <w:rPr>
                <w:sz w:val="20"/>
              </w:rPr>
              <w:t>Lococo</w:t>
            </w:r>
            <w:proofErr w:type="spellEnd"/>
            <w:r w:rsidRPr="00931A37">
              <w:rPr>
                <w:sz w:val="20"/>
              </w:rPr>
              <w:t xml:space="preserve"> J.)</w:t>
            </w:r>
          </w:p>
          <w:p w:rsidR="00931A37" w:rsidRPr="00931A37" w:rsidRDefault="00345C48" w:rsidP="00931A37">
            <w:pPr>
              <w:jc w:val="both"/>
              <w:rPr>
                <w:sz w:val="20"/>
              </w:rPr>
            </w:pPr>
            <w:hyperlink r:id="rId27" w:history="1">
              <w:r w:rsidR="00931A37" w:rsidRPr="00931A37">
                <w:rPr>
                  <w:rStyle w:val="Hyperlink"/>
                  <w:sz w:val="20"/>
                </w:rPr>
                <w:t>2017 ONSC 5502</w:t>
              </w:r>
            </w:hyperlink>
            <w:r w:rsidR="00931A37" w:rsidRPr="00931A37">
              <w:rPr>
                <w:sz w:val="20"/>
              </w:rPr>
              <w:t>; 57288/17 and 57532/17</w:t>
            </w:r>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Applicant declared to be in breach of purchase agreement</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June 18, 2018</w:t>
            </w:r>
          </w:p>
          <w:p w:rsidR="00931A37" w:rsidRPr="00931A37" w:rsidRDefault="00931A37" w:rsidP="00931A37">
            <w:pPr>
              <w:jc w:val="both"/>
              <w:rPr>
                <w:sz w:val="20"/>
              </w:rPr>
            </w:pPr>
            <w:r w:rsidRPr="00931A37">
              <w:rPr>
                <w:sz w:val="20"/>
              </w:rPr>
              <w:t xml:space="preserve">Court of Appeal of Ontario </w:t>
            </w:r>
          </w:p>
          <w:p w:rsidR="00931A37" w:rsidRPr="00931A37" w:rsidRDefault="00931A37" w:rsidP="00931A37">
            <w:pPr>
              <w:jc w:val="both"/>
              <w:rPr>
                <w:sz w:val="20"/>
              </w:rPr>
            </w:pPr>
            <w:r w:rsidRPr="00931A37">
              <w:rPr>
                <w:sz w:val="20"/>
              </w:rPr>
              <w:t xml:space="preserve">(Hoy A.C.J.O, Rouleau and </w:t>
            </w:r>
            <w:proofErr w:type="spellStart"/>
            <w:r w:rsidRPr="00931A37">
              <w:rPr>
                <w:sz w:val="20"/>
              </w:rPr>
              <w:t>Benotto</w:t>
            </w:r>
            <w:proofErr w:type="spellEnd"/>
            <w:r w:rsidRPr="00931A37">
              <w:rPr>
                <w:sz w:val="20"/>
              </w:rPr>
              <w:t xml:space="preserve"> JJ.A.)</w:t>
            </w:r>
          </w:p>
          <w:p w:rsidR="00931A37" w:rsidRPr="00931A37" w:rsidRDefault="00345C48" w:rsidP="00931A37">
            <w:pPr>
              <w:jc w:val="both"/>
              <w:rPr>
                <w:sz w:val="20"/>
              </w:rPr>
            </w:pPr>
            <w:hyperlink r:id="rId28" w:history="1">
              <w:r w:rsidR="00931A37" w:rsidRPr="00931A37">
                <w:rPr>
                  <w:rStyle w:val="Hyperlink"/>
                  <w:sz w:val="20"/>
                </w:rPr>
                <w:t>2018 ONCA 558</w:t>
              </w:r>
            </w:hyperlink>
            <w:r w:rsidR="00931A37" w:rsidRPr="00931A37">
              <w:rPr>
                <w:sz w:val="20"/>
              </w:rPr>
              <w:t>; C64513</w:t>
            </w:r>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Appeal dismissed</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September 17, 2018</w:t>
            </w:r>
          </w:p>
          <w:p w:rsidR="00931A37" w:rsidRPr="00931A37" w:rsidRDefault="00931A37" w:rsidP="00931A37">
            <w:pPr>
              <w:jc w:val="both"/>
              <w:rPr>
                <w:sz w:val="20"/>
              </w:rPr>
            </w:pPr>
            <w:r w:rsidRPr="00931A37">
              <w:rPr>
                <w:sz w:val="20"/>
              </w:rPr>
              <w:t>Supreme Court of Canada</w:t>
            </w: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for leave to appeal filed</w:t>
            </w:r>
          </w:p>
        </w:tc>
      </w:tr>
    </w:tbl>
    <w:p w:rsidR="00931A37" w:rsidRDefault="00931A37" w:rsidP="00931A37">
      <w:pPr>
        <w:jc w:val="both"/>
        <w:rPr>
          <w:sz w:val="20"/>
        </w:rPr>
      </w:pPr>
    </w:p>
    <w:p w:rsidR="00925A9A" w:rsidRPr="00931A37" w:rsidRDefault="00925A9A"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fr-CA"/>
              </w:rPr>
            </w:pPr>
            <w:r w:rsidRPr="00931A37">
              <w:rPr>
                <w:rStyle w:val="SCCFileNumberChar"/>
                <w:sz w:val="20"/>
                <w:szCs w:val="20"/>
                <w:lang w:val="fr-CA"/>
              </w:rPr>
              <w:t>38356</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Hassan Hashemi c. Christopher Kennelly</w:t>
            </w:r>
            <w:r w:rsidR="00370721">
              <w:rPr>
                <w:b/>
                <w:sz w:val="20"/>
                <w:szCs w:val="20"/>
                <w:lang w:val="en-US"/>
              </w:rPr>
              <w:t xml:space="preserve"> et</w:t>
            </w:r>
            <w:r w:rsidRPr="00925A9A">
              <w:rPr>
                <w:b/>
                <w:sz w:val="20"/>
                <w:szCs w:val="20"/>
                <w:lang w:val="en-US"/>
              </w:rPr>
              <w:t xml:space="preserve"> Jupiter Equities, LLC.</w:t>
            </w:r>
          </w:p>
          <w:p w:rsidR="00931A37" w:rsidRPr="00931A37" w:rsidRDefault="00931A37" w:rsidP="00925A9A">
            <w:pPr>
              <w:jc w:val="both"/>
              <w:rPr>
                <w:sz w:val="20"/>
                <w:lang w:val="fr-CA"/>
              </w:rPr>
            </w:pPr>
            <w:r w:rsidRPr="00931A37">
              <w:rPr>
                <w:sz w:val="20"/>
                <w:lang w:val="fr-CA"/>
              </w:rPr>
              <w:t>(Ont.)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 xml:space="preserve">Biens – Biens réels – Vente de terrain – Convention d’achat et de vente – Violation – Ajournement – La décision de la Cour d’appel de ne pas ajourner l’audience pour permettre au vendeur de retenir les services d’un avocat et d’obtenir des transcriptions a-t-elle joué contre la cause que le vendeur voulait faire valoir? – Le vendeur avait-il une cause valable fondée sur la </w:t>
            </w:r>
            <w:r w:rsidRPr="00931A37">
              <w:rPr>
                <w:i/>
                <w:sz w:val="20"/>
                <w:lang w:val="fr-CA"/>
              </w:rPr>
              <w:t>Charte</w:t>
            </w:r>
            <w:r w:rsidRPr="00931A37">
              <w:rPr>
                <w:sz w:val="20"/>
                <w:lang w:val="fr-CA"/>
              </w:rPr>
              <w:t xml:space="preserve"> si on lui avait permis d’ajourner et d’obtenir la transcription de l’audience? – Le vendeur pouvait-il faire valoir une cause fondée sur la </w:t>
            </w:r>
            <w:r w:rsidRPr="00931A37">
              <w:rPr>
                <w:i/>
                <w:sz w:val="20"/>
                <w:lang w:val="fr-CA"/>
              </w:rPr>
              <w:t>Charte</w:t>
            </w:r>
            <w:r w:rsidRPr="00931A37">
              <w:rPr>
                <w:sz w:val="20"/>
                <w:lang w:val="fr-CA"/>
              </w:rPr>
              <w:t xml:space="preserve"> compte tenu du comportement du juge dans la demande initiale?</w:t>
            </w:r>
          </w:p>
        </w:tc>
      </w:tr>
      <w:tr w:rsidR="00931A37" w:rsidRPr="00931A37" w:rsidTr="00931A37">
        <w:tc>
          <w:tcPr>
            <w:tcW w:w="5000" w:type="pct"/>
            <w:gridSpan w:val="4"/>
          </w:tcPr>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 xml:space="preserve">L’intimé, Christopher </w:t>
            </w:r>
            <w:proofErr w:type="spellStart"/>
            <w:r w:rsidRPr="00931A37">
              <w:rPr>
                <w:sz w:val="20"/>
                <w:lang w:val="fr-CA"/>
              </w:rPr>
              <w:t>Kennelly</w:t>
            </w:r>
            <w:proofErr w:type="spellEnd"/>
            <w:r w:rsidRPr="00931A37">
              <w:rPr>
                <w:sz w:val="20"/>
                <w:lang w:val="fr-CA"/>
              </w:rPr>
              <w:t xml:space="preserve"> a accepté d’acheter un immeuble dans Niagara-on-the-Lake de </w:t>
            </w:r>
            <w:proofErr w:type="spellStart"/>
            <w:r w:rsidRPr="00931A37">
              <w:rPr>
                <w:sz w:val="20"/>
                <w:lang w:val="fr-CA"/>
              </w:rPr>
              <w:t>Maryam</w:t>
            </w:r>
            <w:proofErr w:type="spellEnd"/>
            <w:r w:rsidRPr="00931A37">
              <w:rPr>
                <w:sz w:val="20"/>
                <w:lang w:val="fr-CA"/>
              </w:rPr>
              <w:t xml:space="preserve"> </w:t>
            </w:r>
            <w:proofErr w:type="spellStart"/>
            <w:r w:rsidRPr="00931A37">
              <w:rPr>
                <w:sz w:val="20"/>
                <w:lang w:val="fr-CA"/>
              </w:rPr>
              <w:t>Furney</w:t>
            </w:r>
            <w:proofErr w:type="spellEnd"/>
            <w:r w:rsidRPr="00931A37">
              <w:rPr>
                <w:sz w:val="20"/>
                <w:lang w:val="fr-CA"/>
              </w:rPr>
              <w:t>. Un acompte de 40 000 $ a été remis à l’avocat de Mme </w:t>
            </w:r>
            <w:proofErr w:type="spellStart"/>
            <w:r w:rsidRPr="00931A37">
              <w:rPr>
                <w:sz w:val="20"/>
                <w:lang w:val="fr-CA"/>
              </w:rPr>
              <w:t>Furney</w:t>
            </w:r>
            <w:proofErr w:type="spellEnd"/>
            <w:r w:rsidRPr="00931A37">
              <w:rPr>
                <w:sz w:val="20"/>
                <w:lang w:val="fr-CA"/>
              </w:rPr>
              <w:t xml:space="preserve">. L’intimée, Jupiter </w:t>
            </w:r>
            <w:proofErr w:type="spellStart"/>
            <w:r w:rsidRPr="00931A37">
              <w:rPr>
                <w:sz w:val="20"/>
                <w:lang w:val="fr-CA"/>
              </w:rPr>
              <w:t>Equities</w:t>
            </w:r>
            <w:proofErr w:type="spellEnd"/>
            <w:r w:rsidRPr="00931A37">
              <w:rPr>
                <w:sz w:val="20"/>
                <w:lang w:val="fr-CA"/>
              </w:rPr>
              <w:t xml:space="preserve"> LLC, une compagnie que M. </w:t>
            </w:r>
            <w:proofErr w:type="spellStart"/>
            <w:r w:rsidRPr="00931A37">
              <w:rPr>
                <w:sz w:val="20"/>
                <w:lang w:val="fr-CA"/>
              </w:rPr>
              <w:t>Kennelly</w:t>
            </w:r>
            <w:proofErr w:type="spellEnd"/>
            <w:r w:rsidRPr="00931A37">
              <w:rPr>
                <w:sz w:val="20"/>
                <w:lang w:val="fr-CA"/>
              </w:rPr>
              <w:t xml:space="preserve"> contrôlait, a avancé les fonds pour l’acompte. Lorsque la convention d’achat a été conclue, plusieurs sûretés étaient enregistrées sur le titre. Les sûretés comprenaient trois hypothèques, ainsi qu’un avertissement enregistré par un particulier qui avait déjà accepté d’acheter le bien dans le cadre d’une transaction qui n’avait pas été close. La convention d’achat prévoyait que la date de clôture serait le 14 février 2017, mais le vendeur avait la possibilité de retarder la clôture jusqu’à deux semaines. La convention d’achat prévoyait en outre qu’aucune sûreté existante ne serait assumée par l’acheteur ni ne subsisterait sur le titre après la clôture et que le vendeur enlèverait l’avertissement.</w:t>
            </w:r>
          </w:p>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 xml:space="preserve">Par la suite, Mme </w:t>
            </w:r>
            <w:proofErr w:type="spellStart"/>
            <w:r w:rsidRPr="00931A37">
              <w:rPr>
                <w:sz w:val="20"/>
                <w:lang w:val="fr-CA"/>
              </w:rPr>
              <w:t>Furney</w:t>
            </w:r>
            <w:proofErr w:type="spellEnd"/>
            <w:r w:rsidRPr="00931A37">
              <w:rPr>
                <w:sz w:val="20"/>
                <w:lang w:val="fr-CA"/>
              </w:rPr>
              <w:t xml:space="preserve"> a cédé ses droits au titre de la convention d’achat au demandeur, Hassan Hashemi. Monsieur Hashemi était le tenant en possession du bien. Il a en outre assumé le troisième emprunt hypothécaire par voie de transfert de l’ancien créancier hypothécaire. Le transfert comprenait la cession de droits conférant le pouvoir de vente en vertu du prêt hypothécaire, le créancier hypothécaire cédant ayant déjà signifié un avis de pouvoir de vente. L’achat du bien ne s’est pas clos. Madame </w:t>
            </w:r>
            <w:proofErr w:type="spellStart"/>
            <w:r w:rsidRPr="00931A37">
              <w:rPr>
                <w:sz w:val="20"/>
                <w:lang w:val="fr-CA"/>
              </w:rPr>
              <w:t>Furney</w:t>
            </w:r>
            <w:proofErr w:type="spellEnd"/>
            <w:r w:rsidRPr="00931A37">
              <w:rPr>
                <w:sz w:val="20"/>
                <w:lang w:val="fr-CA"/>
              </w:rPr>
              <w:t xml:space="preserve"> n’était pas en mesure de clore le 14 février 2017 et la transaction ne s’est pas close à la date de clôture révisée du 24 février 2017, fixée par M. Hashemi après que la convention d’achat lui a été cédée. Monsieur </w:t>
            </w:r>
            <w:proofErr w:type="spellStart"/>
            <w:r w:rsidRPr="00931A37">
              <w:rPr>
                <w:sz w:val="20"/>
                <w:lang w:val="fr-CA"/>
              </w:rPr>
              <w:t>Kennely</w:t>
            </w:r>
            <w:proofErr w:type="spellEnd"/>
            <w:r w:rsidRPr="00931A37">
              <w:rPr>
                <w:sz w:val="20"/>
                <w:lang w:val="fr-CA"/>
              </w:rPr>
              <w:t xml:space="preserve"> n’acceptait pas de proroger de nouveau la date de clôture.</w:t>
            </w:r>
          </w:p>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Le tribunal a conclu que M. Hashemi avait violé la convention d’achat et que les intimés avaient droit au remboursement de l’acompte. L’appel de M. Hashemi a été rejeté.</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26 septembre 2017</w:t>
            </w:r>
          </w:p>
          <w:p w:rsidR="00931A37" w:rsidRPr="00931A37" w:rsidRDefault="00931A37" w:rsidP="00931A37">
            <w:pPr>
              <w:jc w:val="both"/>
              <w:rPr>
                <w:sz w:val="20"/>
                <w:lang w:val="fr-CA"/>
              </w:rPr>
            </w:pPr>
            <w:r w:rsidRPr="00931A37">
              <w:rPr>
                <w:sz w:val="20"/>
                <w:lang w:val="fr-CA"/>
              </w:rPr>
              <w:t>Cour supérieure de justice de l’Ontario</w:t>
            </w:r>
          </w:p>
          <w:p w:rsidR="00931A37" w:rsidRPr="00931A37" w:rsidRDefault="00931A37" w:rsidP="00931A37">
            <w:pPr>
              <w:jc w:val="both"/>
              <w:rPr>
                <w:sz w:val="20"/>
                <w:lang w:val="fr-CA"/>
              </w:rPr>
            </w:pPr>
            <w:r w:rsidRPr="00931A37">
              <w:rPr>
                <w:sz w:val="20"/>
                <w:lang w:val="fr-CA"/>
              </w:rPr>
              <w:t xml:space="preserve">(Juge </w:t>
            </w:r>
            <w:proofErr w:type="spellStart"/>
            <w:r w:rsidRPr="00931A37">
              <w:rPr>
                <w:sz w:val="20"/>
                <w:lang w:val="fr-CA"/>
              </w:rPr>
              <w:t>Lococo</w:t>
            </w:r>
            <w:proofErr w:type="spellEnd"/>
            <w:r w:rsidRPr="00931A37">
              <w:rPr>
                <w:sz w:val="20"/>
                <w:lang w:val="fr-CA"/>
              </w:rPr>
              <w:t>)</w:t>
            </w:r>
          </w:p>
          <w:p w:rsidR="00931A37" w:rsidRPr="00931A37" w:rsidRDefault="00345C48" w:rsidP="00931A37">
            <w:pPr>
              <w:jc w:val="both"/>
              <w:rPr>
                <w:sz w:val="20"/>
                <w:lang w:val="fr-CA"/>
              </w:rPr>
            </w:pPr>
            <w:hyperlink r:id="rId29" w:history="1">
              <w:r w:rsidR="00931A37" w:rsidRPr="00931A37">
                <w:rPr>
                  <w:rStyle w:val="Hyperlink"/>
                  <w:sz w:val="20"/>
                  <w:lang w:val="fr-CA"/>
                </w:rPr>
                <w:t>2017 ONSC 5502</w:t>
              </w:r>
            </w:hyperlink>
            <w:r w:rsidR="00931A37" w:rsidRPr="00931A37">
              <w:rPr>
                <w:sz w:val="20"/>
                <w:lang w:val="fr-CA"/>
              </w:rPr>
              <w:t>; 57288/17 and 57532/17</w:t>
            </w:r>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Jugement déclarant que le demandeur a violé la convention d’achat</w:t>
            </w:r>
          </w:p>
          <w:p w:rsidR="00931A37" w:rsidRPr="00931A37" w:rsidRDefault="00931A37" w:rsidP="00931A37">
            <w:pPr>
              <w:jc w:val="both"/>
              <w:rPr>
                <w:sz w:val="20"/>
                <w:lang w:val="fr-CA"/>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18 juin 2018</w:t>
            </w:r>
          </w:p>
          <w:p w:rsidR="00931A37" w:rsidRPr="00931A37" w:rsidRDefault="00931A37" w:rsidP="00931A37">
            <w:pPr>
              <w:jc w:val="both"/>
              <w:rPr>
                <w:sz w:val="20"/>
                <w:lang w:val="fr-CA"/>
              </w:rPr>
            </w:pPr>
            <w:r w:rsidRPr="00931A37">
              <w:rPr>
                <w:sz w:val="20"/>
                <w:lang w:val="fr-CA"/>
              </w:rPr>
              <w:t xml:space="preserve">Cour d’appel de l’Ontario </w:t>
            </w:r>
          </w:p>
          <w:p w:rsidR="00931A37" w:rsidRPr="00931A37" w:rsidRDefault="00931A37" w:rsidP="00931A37">
            <w:pPr>
              <w:jc w:val="both"/>
              <w:rPr>
                <w:sz w:val="20"/>
                <w:lang w:val="fr-CA"/>
              </w:rPr>
            </w:pPr>
            <w:r w:rsidRPr="00931A37">
              <w:rPr>
                <w:sz w:val="20"/>
                <w:lang w:val="fr-CA"/>
              </w:rPr>
              <w:t xml:space="preserve">(Juge en chef adjointe </w:t>
            </w:r>
            <w:proofErr w:type="spellStart"/>
            <w:r w:rsidRPr="00931A37">
              <w:rPr>
                <w:sz w:val="20"/>
                <w:lang w:val="fr-CA"/>
              </w:rPr>
              <w:t>Hoy</w:t>
            </w:r>
            <w:proofErr w:type="spellEnd"/>
            <w:r w:rsidRPr="00931A37">
              <w:rPr>
                <w:sz w:val="20"/>
                <w:lang w:val="fr-CA"/>
              </w:rPr>
              <w:t xml:space="preserve">, juges Rouleau et </w:t>
            </w:r>
            <w:proofErr w:type="spellStart"/>
            <w:r w:rsidRPr="00931A37">
              <w:rPr>
                <w:sz w:val="20"/>
                <w:lang w:val="fr-CA"/>
              </w:rPr>
              <w:t>Benotto</w:t>
            </w:r>
            <w:proofErr w:type="spellEnd"/>
            <w:r w:rsidRPr="00931A37">
              <w:rPr>
                <w:sz w:val="20"/>
                <w:lang w:val="fr-CA"/>
              </w:rPr>
              <w:t>)</w:t>
            </w:r>
          </w:p>
          <w:p w:rsidR="00931A37" w:rsidRPr="00931A37" w:rsidRDefault="00345C48" w:rsidP="00931A37">
            <w:pPr>
              <w:jc w:val="both"/>
              <w:rPr>
                <w:sz w:val="20"/>
                <w:lang w:val="fr-CA"/>
              </w:rPr>
            </w:pPr>
            <w:hyperlink r:id="rId30" w:history="1">
              <w:r w:rsidR="00931A37" w:rsidRPr="00931A37">
                <w:rPr>
                  <w:rStyle w:val="Hyperlink"/>
                  <w:sz w:val="20"/>
                  <w:lang w:val="fr-CA"/>
                </w:rPr>
                <w:t>2018 ONCA 558</w:t>
              </w:r>
            </w:hyperlink>
            <w:r w:rsidR="00931A37" w:rsidRPr="00931A37">
              <w:rPr>
                <w:sz w:val="20"/>
                <w:lang w:val="fr-CA"/>
              </w:rPr>
              <w:t>; C64513</w:t>
            </w:r>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Rejet de l’appel</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17 septembre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Dépôt de la demande d’autorisation d’appel</w:t>
            </w:r>
          </w:p>
        </w:tc>
      </w:tr>
    </w:tbl>
    <w:p w:rsidR="00931A37" w:rsidRPr="00931A37" w:rsidRDefault="00931A37" w:rsidP="00931A37">
      <w:pPr>
        <w:jc w:val="both"/>
        <w:rPr>
          <w:sz w:val="20"/>
          <w:lang w:val="fr-CA"/>
        </w:rPr>
      </w:pPr>
    </w:p>
    <w:p w:rsidR="00931A37" w:rsidRPr="00931A37" w:rsidRDefault="00931A37" w:rsidP="00931A37">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38181</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E</w:t>
            </w:r>
            <w:r w:rsidR="00CA011C">
              <w:rPr>
                <w:b/>
                <w:sz w:val="20"/>
                <w:szCs w:val="20"/>
                <w:lang w:val="en-US"/>
              </w:rPr>
              <w:t>NMAX</w:t>
            </w:r>
            <w:r w:rsidRPr="00925A9A">
              <w:rPr>
                <w:b/>
                <w:sz w:val="20"/>
                <w:szCs w:val="20"/>
                <w:lang w:val="en-US"/>
              </w:rPr>
              <w:t xml:space="preserve"> Energy Corporation v. Her Majesty the Queen in Right of Alberta</w:t>
            </w:r>
          </w:p>
          <w:p w:rsidR="00931A37" w:rsidRPr="00931A37" w:rsidRDefault="00931A37" w:rsidP="00931A37">
            <w:pPr>
              <w:pStyle w:val="SCCLsocSubfileSeparator"/>
              <w:rPr>
                <w:sz w:val="20"/>
                <w:szCs w:val="20"/>
              </w:rPr>
            </w:pPr>
            <w:r w:rsidRPr="00931A37">
              <w:rPr>
                <w:sz w:val="20"/>
                <w:szCs w:val="20"/>
              </w:rPr>
              <w:t>- and between -</w:t>
            </w:r>
          </w:p>
          <w:p w:rsidR="00931A37" w:rsidRPr="00925A9A" w:rsidRDefault="00931A37" w:rsidP="00931A37">
            <w:pPr>
              <w:pStyle w:val="SCCLsocParty"/>
              <w:jc w:val="both"/>
              <w:rPr>
                <w:b/>
                <w:sz w:val="20"/>
                <w:szCs w:val="20"/>
                <w:lang w:val="en-US"/>
              </w:rPr>
            </w:pPr>
            <w:r w:rsidRPr="00925A9A">
              <w:rPr>
                <w:b/>
                <w:sz w:val="20"/>
                <w:szCs w:val="20"/>
                <w:lang w:val="en-US"/>
              </w:rPr>
              <w:t>E</w:t>
            </w:r>
            <w:r w:rsidR="00CA011C">
              <w:rPr>
                <w:b/>
                <w:sz w:val="20"/>
                <w:szCs w:val="20"/>
                <w:lang w:val="en-US"/>
              </w:rPr>
              <w:t>NMAX</w:t>
            </w:r>
            <w:r w:rsidRPr="00925A9A">
              <w:rPr>
                <w:b/>
                <w:sz w:val="20"/>
                <w:szCs w:val="20"/>
                <w:lang w:val="en-US"/>
              </w:rPr>
              <w:t xml:space="preserve"> PSA Corporation v. Her Majesty the Queen in Right of Alberta</w:t>
            </w:r>
          </w:p>
          <w:p w:rsidR="00931A37" w:rsidRPr="00931A37" w:rsidRDefault="00931A37" w:rsidP="00931A37">
            <w:pPr>
              <w:jc w:val="both"/>
              <w:rPr>
                <w:sz w:val="20"/>
              </w:rPr>
            </w:pPr>
            <w:r w:rsidRPr="00931A37">
              <w:rPr>
                <w:sz w:val="20"/>
              </w:rPr>
              <w:t>(Alta.) (Civil) (By Leave)</w:t>
            </w:r>
          </w:p>
        </w:tc>
      </w:tr>
      <w:tr w:rsidR="00931A37" w:rsidRPr="00931A37" w:rsidTr="00931A37">
        <w:tc>
          <w:tcPr>
            <w:tcW w:w="5000" w:type="pct"/>
            <w:gridSpan w:val="4"/>
          </w:tcPr>
          <w:p w:rsidR="00931A37" w:rsidRPr="00931A37" w:rsidRDefault="00931A37" w:rsidP="00931A37">
            <w:pPr>
              <w:jc w:val="both"/>
              <w:rPr>
                <w:sz w:val="20"/>
              </w:rPr>
            </w:pPr>
            <w:r w:rsidRPr="00931A37">
              <w:rPr>
                <w:sz w:val="20"/>
              </w:rPr>
              <w:t xml:space="preserve">Taxation – Assessment – Legislative scheme requires payment in lieu of tax – Payments calculated by reference to </w:t>
            </w:r>
            <w:r w:rsidRPr="00931A37">
              <w:rPr>
                <w:i/>
                <w:sz w:val="20"/>
              </w:rPr>
              <w:t>Income Tax Act</w:t>
            </w:r>
            <w:r w:rsidRPr="00931A37">
              <w:rPr>
                <w:sz w:val="20"/>
              </w:rPr>
              <w:t>, R.S.C. 1985, c. 1 (5</w:t>
            </w:r>
            <w:r w:rsidRPr="00931A37">
              <w:rPr>
                <w:sz w:val="20"/>
                <w:vertAlign w:val="superscript"/>
              </w:rPr>
              <w:t>th</w:t>
            </w:r>
            <w:r w:rsidRPr="00931A37">
              <w:rPr>
                <w:sz w:val="20"/>
              </w:rPr>
              <w:t xml:space="preserve"> Supp.) – What, if any, modifications to the meaning of the </w:t>
            </w:r>
            <w:r w:rsidRPr="00931A37">
              <w:rPr>
                <w:i/>
                <w:sz w:val="20"/>
              </w:rPr>
              <w:t xml:space="preserve">Income Tax Act </w:t>
            </w:r>
            <w:r w:rsidRPr="00931A37">
              <w:rPr>
                <w:sz w:val="20"/>
              </w:rPr>
              <w:t xml:space="preserve">statutory provisions incorporated by reference are permissible – Whether the test for deduction of interest under the </w:t>
            </w:r>
            <w:r w:rsidRPr="00931A37">
              <w:rPr>
                <w:i/>
                <w:sz w:val="20"/>
              </w:rPr>
              <w:t>Income Tax Act</w:t>
            </w:r>
            <w:r w:rsidRPr="00931A37">
              <w:rPr>
                <w:sz w:val="20"/>
              </w:rPr>
              <w:t xml:space="preserve"> should be ignored or modified in the context of payment in lieu of tax legislation?</w:t>
            </w:r>
          </w:p>
        </w:tc>
      </w:tr>
      <w:tr w:rsidR="00931A37" w:rsidRPr="00931A37" w:rsidTr="00931A37">
        <w:tc>
          <w:tcPr>
            <w:tcW w:w="5000" w:type="pct"/>
            <w:gridSpan w:val="4"/>
          </w:tcPr>
          <w:p w:rsidR="00931A37" w:rsidRPr="00931A37" w:rsidRDefault="00931A37" w:rsidP="00931A37">
            <w:pPr>
              <w:jc w:val="both"/>
              <w:rPr>
                <w:sz w:val="20"/>
              </w:rPr>
            </w:pPr>
          </w:p>
          <w:p w:rsidR="00931A37" w:rsidRPr="00931A37" w:rsidRDefault="00931A37" w:rsidP="00931A37">
            <w:pPr>
              <w:autoSpaceDE w:val="0"/>
              <w:autoSpaceDN w:val="0"/>
              <w:jc w:val="both"/>
              <w:rPr>
                <w:sz w:val="20"/>
              </w:rPr>
            </w:pPr>
            <w:r w:rsidRPr="00931A37">
              <w:rPr>
                <w:sz w:val="20"/>
                <w:lang w:val="en"/>
              </w:rPr>
              <w:t xml:space="preserve">ENMAX Energy Corporation and ENMAX PSA Corporation are required to make payments in lieu of income tax pursuant to the </w:t>
            </w:r>
            <w:r w:rsidRPr="00931A37">
              <w:rPr>
                <w:i/>
                <w:iCs/>
                <w:color w:val="000000" w:themeColor="text1"/>
                <w:sz w:val="20"/>
                <w:lang w:val="en"/>
              </w:rPr>
              <w:t>Electric Utilities Act</w:t>
            </w:r>
            <w:r w:rsidRPr="00931A37">
              <w:rPr>
                <w:color w:val="000000" w:themeColor="text1"/>
                <w:sz w:val="20"/>
                <w:lang w:val="en"/>
              </w:rPr>
              <w:t xml:space="preserve">, SA 2003, c. E-5.1 and </w:t>
            </w:r>
            <w:r w:rsidRPr="00931A37">
              <w:rPr>
                <w:i/>
                <w:iCs/>
                <w:color w:val="000000" w:themeColor="text1"/>
                <w:sz w:val="20"/>
                <w:lang w:val="en"/>
              </w:rPr>
              <w:t>Payment in Lieu of Tax Regulation</w:t>
            </w:r>
            <w:r w:rsidRPr="00931A37">
              <w:rPr>
                <w:color w:val="000000" w:themeColor="text1"/>
                <w:sz w:val="20"/>
                <w:lang w:val="en"/>
              </w:rPr>
              <w:t>, Alta Reg. 112/2003</w:t>
            </w:r>
            <w:r w:rsidRPr="00931A37">
              <w:rPr>
                <w:sz w:val="20"/>
                <w:lang w:val="en"/>
              </w:rPr>
              <w:t xml:space="preserve">. They dispute the amounts owing for their 2006 and 2007 taxation years. At issue is how to treat interest paid on three 10-year loans from their parent company, ENMAX Corporation. In calculating their payments in lieu of tax, ENMAX Energy Corporation and ENMAX PSA Corporation relied upon the interest rates charged on the loans. Prevailing market rates from arm’s length lenders at the times the loans were advanced were lower. Alberta’s Minister of Finance determined that the amounts of interest claimed were unreasonable and reassessed the payments in lieu of </w:t>
            </w:r>
            <w:r w:rsidRPr="00931A37">
              <w:rPr>
                <w:sz w:val="20"/>
                <w:lang w:val="en"/>
              </w:rPr>
              <w:lastRenderedPageBreak/>
              <w:t>tax owing on the basis of lower rates. The Court of Queen’s Bench allowed an appeal and set aside the reassessments. The Court of Appeal allowed an appeal and affirmed the reassessments.</w:t>
            </w:r>
          </w:p>
        </w:tc>
      </w:tr>
      <w:tr w:rsidR="00931A37" w:rsidRPr="00931A37" w:rsidTr="00931A37">
        <w:tc>
          <w:tcPr>
            <w:tcW w:w="5000" w:type="pct"/>
            <w:gridSpan w:val="4"/>
          </w:tcPr>
          <w:p w:rsidR="00931A37" w:rsidRPr="00931A37" w:rsidRDefault="00931A37" w:rsidP="00931A37">
            <w:pPr>
              <w:autoSpaceDE w:val="0"/>
              <w:autoSpaceDN w:val="0"/>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June 17, 2016</w:t>
            </w:r>
          </w:p>
          <w:p w:rsidR="00931A37" w:rsidRPr="00931A37" w:rsidRDefault="00931A37" w:rsidP="00931A37">
            <w:pPr>
              <w:jc w:val="both"/>
              <w:rPr>
                <w:sz w:val="20"/>
              </w:rPr>
            </w:pPr>
            <w:r w:rsidRPr="00931A37">
              <w:rPr>
                <w:sz w:val="20"/>
              </w:rPr>
              <w:t>Court of Queen’s Bench of Alberta</w:t>
            </w:r>
          </w:p>
          <w:p w:rsidR="00931A37" w:rsidRPr="00931A37" w:rsidRDefault="00931A37" w:rsidP="00931A37">
            <w:pPr>
              <w:jc w:val="both"/>
              <w:rPr>
                <w:sz w:val="20"/>
              </w:rPr>
            </w:pPr>
            <w:r w:rsidRPr="00931A37">
              <w:rPr>
                <w:sz w:val="20"/>
              </w:rPr>
              <w:t>(</w:t>
            </w:r>
            <w:proofErr w:type="spellStart"/>
            <w:r w:rsidRPr="00931A37">
              <w:rPr>
                <w:sz w:val="20"/>
              </w:rPr>
              <w:t>Poelman</w:t>
            </w:r>
            <w:proofErr w:type="spellEnd"/>
            <w:r w:rsidRPr="00931A37">
              <w:rPr>
                <w:sz w:val="20"/>
              </w:rPr>
              <w:t xml:space="preserve"> J.)</w:t>
            </w:r>
          </w:p>
          <w:p w:rsidR="00931A37" w:rsidRPr="00931A37" w:rsidRDefault="00345C48" w:rsidP="00931A37">
            <w:pPr>
              <w:jc w:val="both"/>
              <w:rPr>
                <w:sz w:val="20"/>
              </w:rPr>
            </w:pPr>
            <w:hyperlink r:id="rId31" w:history="1">
              <w:r w:rsidR="00931A37" w:rsidRPr="00931A37">
                <w:rPr>
                  <w:rStyle w:val="Hyperlink"/>
                  <w:sz w:val="20"/>
                </w:rPr>
                <w:t>2016 ABQB 334</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 xml:space="preserve">Appeal from reassessments of </w:t>
            </w:r>
            <w:r w:rsidRPr="00931A37">
              <w:rPr>
                <w:sz w:val="20"/>
                <w:lang w:val="en"/>
              </w:rPr>
              <w:t>payments</w:t>
            </w:r>
            <w:r w:rsidRPr="00931A37">
              <w:rPr>
                <w:i/>
                <w:iCs/>
                <w:color w:val="000000" w:themeColor="text1"/>
                <w:sz w:val="20"/>
                <w:lang w:val="en"/>
              </w:rPr>
              <w:t xml:space="preserve"> </w:t>
            </w:r>
            <w:r w:rsidRPr="00931A37">
              <w:rPr>
                <w:iCs/>
                <w:color w:val="000000" w:themeColor="text1"/>
                <w:sz w:val="20"/>
                <w:lang w:val="en"/>
              </w:rPr>
              <w:t xml:space="preserve">due under </w:t>
            </w:r>
            <w:r w:rsidRPr="00931A37">
              <w:rPr>
                <w:i/>
                <w:iCs/>
                <w:color w:val="000000" w:themeColor="text1"/>
                <w:sz w:val="20"/>
                <w:lang w:val="en"/>
              </w:rPr>
              <w:t>Payment in Lieu of Tax Regulation</w:t>
            </w:r>
            <w:r w:rsidRPr="00931A37">
              <w:rPr>
                <w:color w:val="000000" w:themeColor="text1"/>
                <w:sz w:val="20"/>
                <w:lang w:val="en"/>
              </w:rPr>
              <w:t xml:space="preserve">, Alta Reg. 112/200 </w:t>
            </w:r>
            <w:r w:rsidRPr="00931A37">
              <w:rPr>
                <w:sz w:val="20"/>
              </w:rPr>
              <w:t>allowed, reassessments set aside</w:t>
            </w:r>
          </w:p>
        </w:tc>
      </w:tr>
      <w:tr w:rsidR="00931A37" w:rsidRPr="00931A37" w:rsidTr="00931A37">
        <w:tc>
          <w:tcPr>
            <w:tcW w:w="2427" w:type="pct"/>
            <w:gridSpan w:val="2"/>
          </w:tcPr>
          <w:p w:rsidR="00931A37" w:rsidRPr="00931A37" w:rsidRDefault="00931A37" w:rsidP="00931A37">
            <w:pPr>
              <w:jc w:val="both"/>
              <w:rPr>
                <w:sz w:val="20"/>
              </w:rPr>
            </w:pPr>
            <w:r w:rsidRPr="00931A37">
              <w:rPr>
                <w:sz w:val="20"/>
              </w:rPr>
              <w:t>April 26, 2018</w:t>
            </w:r>
          </w:p>
          <w:p w:rsidR="00931A37" w:rsidRPr="00931A37" w:rsidRDefault="00931A37" w:rsidP="00931A37">
            <w:pPr>
              <w:jc w:val="both"/>
              <w:rPr>
                <w:sz w:val="20"/>
              </w:rPr>
            </w:pPr>
            <w:r w:rsidRPr="00931A37">
              <w:rPr>
                <w:sz w:val="20"/>
              </w:rPr>
              <w:t>Court of Appeal of Alberta (Calgary)</w:t>
            </w:r>
          </w:p>
          <w:p w:rsidR="00931A37" w:rsidRPr="00931A37" w:rsidRDefault="00931A37" w:rsidP="00931A37">
            <w:pPr>
              <w:jc w:val="both"/>
              <w:rPr>
                <w:sz w:val="20"/>
              </w:rPr>
            </w:pPr>
            <w:r w:rsidRPr="00931A37">
              <w:rPr>
                <w:sz w:val="20"/>
              </w:rPr>
              <w:t xml:space="preserve">(Fraser, </w:t>
            </w:r>
            <w:proofErr w:type="spellStart"/>
            <w:r w:rsidRPr="00931A37">
              <w:rPr>
                <w:sz w:val="20"/>
              </w:rPr>
              <w:t>Slatter</w:t>
            </w:r>
            <w:proofErr w:type="spellEnd"/>
            <w:r w:rsidRPr="00931A37">
              <w:rPr>
                <w:sz w:val="20"/>
              </w:rPr>
              <w:t>, Schutz JJ.A.)</w:t>
            </w:r>
          </w:p>
          <w:p w:rsidR="00931A37" w:rsidRPr="00931A37" w:rsidRDefault="00931A37" w:rsidP="00931A37">
            <w:pPr>
              <w:jc w:val="both"/>
              <w:rPr>
                <w:sz w:val="20"/>
              </w:rPr>
            </w:pPr>
            <w:r w:rsidRPr="00931A37">
              <w:rPr>
                <w:sz w:val="20"/>
              </w:rPr>
              <w:t xml:space="preserve">1601-0176-AC; </w:t>
            </w:r>
            <w:hyperlink r:id="rId32" w:history="1">
              <w:r w:rsidRPr="00931A37">
                <w:rPr>
                  <w:rStyle w:val="Hyperlink"/>
                  <w:sz w:val="20"/>
                </w:rPr>
                <w:t>2018 ABCA 147</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Appeal allowed, reassessments affirmed</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June 21, 2018</w:t>
            </w:r>
          </w:p>
          <w:p w:rsidR="00931A37" w:rsidRPr="00931A37" w:rsidRDefault="00931A37" w:rsidP="00931A37">
            <w:pPr>
              <w:jc w:val="both"/>
              <w:rPr>
                <w:sz w:val="20"/>
              </w:rPr>
            </w:pPr>
            <w:r w:rsidRPr="00931A37">
              <w:rPr>
                <w:sz w:val="20"/>
              </w:rPr>
              <w:t>Supreme Court of Canada</w:t>
            </w: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for leave to appeal filed</w:t>
            </w:r>
          </w:p>
          <w:p w:rsidR="00931A37" w:rsidRPr="00931A37" w:rsidRDefault="00931A37" w:rsidP="00931A37">
            <w:pPr>
              <w:jc w:val="both"/>
              <w:rPr>
                <w:sz w:val="20"/>
              </w:rPr>
            </w:pPr>
          </w:p>
        </w:tc>
      </w:tr>
    </w:tbl>
    <w:p w:rsidR="00931A37" w:rsidRDefault="00931A37" w:rsidP="00931A37">
      <w:pPr>
        <w:jc w:val="both"/>
        <w:rPr>
          <w:sz w:val="20"/>
        </w:rPr>
      </w:pPr>
    </w:p>
    <w:p w:rsidR="00925A9A" w:rsidRPr="00931A37" w:rsidRDefault="00925A9A"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fr-CA"/>
              </w:rPr>
            </w:pPr>
            <w:r w:rsidRPr="00931A37">
              <w:rPr>
                <w:rStyle w:val="SCCFileNumberChar"/>
                <w:sz w:val="20"/>
                <w:szCs w:val="20"/>
                <w:lang w:val="fr-CA"/>
              </w:rPr>
              <w:t>38181</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E</w:t>
            </w:r>
            <w:r w:rsidR="004565BE">
              <w:rPr>
                <w:b/>
                <w:sz w:val="20"/>
                <w:szCs w:val="20"/>
              </w:rPr>
              <w:t>NMAX</w:t>
            </w:r>
            <w:r w:rsidRPr="00925A9A">
              <w:rPr>
                <w:b/>
                <w:sz w:val="20"/>
                <w:szCs w:val="20"/>
              </w:rPr>
              <w:t xml:space="preserve"> Energy Corporation c. Sa Majesté la Reine du chef de l’Alberta</w:t>
            </w:r>
          </w:p>
          <w:p w:rsidR="00931A37" w:rsidRPr="00931A37" w:rsidRDefault="00931A37" w:rsidP="00931A37">
            <w:pPr>
              <w:pStyle w:val="SCCLsocSubfileSeparator"/>
              <w:rPr>
                <w:sz w:val="20"/>
                <w:szCs w:val="20"/>
                <w:lang w:val="fr-CA"/>
              </w:rPr>
            </w:pPr>
            <w:r w:rsidRPr="00931A37">
              <w:rPr>
                <w:sz w:val="20"/>
                <w:szCs w:val="20"/>
                <w:lang w:val="fr-CA"/>
              </w:rPr>
              <w:t>- et entre -</w:t>
            </w:r>
          </w:p>
          <w:p w:rsidR="00931A37" w:rsidRPr="00925A9A" w:rsidRDefault="00931A37" w:rsidP="00931A37">
            <w:pPr>
              <w:pStyle w:val="SCCLsocParty"/>
              <w:jc w:val="both"/>
              <w:rPr>
                <w:b/>
                <w:sz w:val="20"/>
                <w:szCs w:val="20"/>
              </w:rPr>
            </w:pPr>
            <w:r w:rsidRPr="00925A9A">
              <w:rPr>
                <w:b/>
                <w:sz w:val="20"/>
                <w:szCs w:val="20"/>
              </w:rPr>
              <w:t>E</w:t>
            </w:r>
            <w:r w:rsidR="004565BE">
              <w:rPr>
                <w:b/>
                <w:sz w:val="20"/>
                <w:szCs w:val="20"/>
              </w:rPr>
              <w:t>NMAX</w:t>
            </w:r>
            <w:r w:rsidRPr="00925A9A">
              <w:rPr>
                <w:b/>
                <w:sz w:val="20"/>
                <w:szCs w:val="20"/>
              </w:rPr>
              <w:t xml:space="preserve"> PSA Corporation c. Sa Majesté la Reine du chef de l’Alberta</w:t>
            </w:r>
          </w:p>
          <w:p w:rsidR="00931A37" w:rsidRPr="00931A37" w:rsidRDefault="00931A37" w:rsidP="00931A37">
            <w:pPr>
              <w:jc w:val="both"/>
              <w:rPr>
                <w:sz w:val="20"/>
                <w:lang w:val="fr-CA"/>
              </w:rPr>
            </w:pPr>
            <w:r w:rsidRPr="00931A37">
              <w:rPr>
                <w:sz w:val="20"/>
                <w:lang w:val="fr-CA"/>
              </w:rPr>
              <w:t>(Alb.)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 xml:space="preserve">Droit fiscal – Cotisation – Le régime législatif prescrit un paiement versé en remplacement d’impôts – Paiements calculés par renvoi à la </w:t>
            </w:r>
            <w:r w:rsidRPr="00931A37">
              <w:rPr>
                <w:i/>
                <w:sz w:val="20"/>
                <w:lang w:val="fr-CA"/>
              </w:rPr>
              <w:t>Loi de l’impôt sur le revenu</w:t>
            </w:r>
            <w:r w:rsidRPr="00931A37">
              <w:rPr>
                <w:sz w:val="20"/>
                <w:lang w:val="fr-CA"/>
              </w:rPr>
              <w:t>, L.R.C. 1985, ch. 1 (5</w:t>
            </w:r>
            <w:r w:rsidRPr="00931A37">
              <w:rPr>
                <w:sz w:val="20"/>
                <w:vertAlign w:val="superscript"/>
                <w:lang w:val="fr-CA"/>
              </w:rPr>
              <w:t>e </w:t>
            </w:r>
            <w:r w:rsidRPr="00931A37">
              <w:rPr>
                <w:sz w:val="20"/>
                <w:lang w:val="fr-CA"/>
              </w:rPr>
              <w:t xml:space="preserve">suppl.) – Quelles modifications peut-on apporter, s’il en est, au sens des dispositions de la </w:t>
            </w:r>
            <w:r w:rsidRPr="00931A37">
              <w:rPr>
                <w:i/>
                <w:sz w:val="20"/>
                <w:lang w:val="fr-CA"/>
              </w:rPr>
              <w:t xml:space="preserve">Loi de l’impôt sur le revenu </w:t>
            </w:r>
            <w:r w:rsidRPr="00931A37">
              <w:rPr>
                <w:sz w:val="20"/>
                <w:lang w:val="fr-CA"/>
              </w:rPr>
              <w:t xml:space="preserve">incorporées par renvoi? – Convient-il de faire abstraction du critère relatif à la déduction des intérêts en application de la </w:t>
            </w:r>
            <w:r w:rsidRPr="00931A37">
              <w:rPr>
                <w:i/>
                <w:sz w:val="20"/>
                <w:lang w:val="fr-CA"/>
              </w:rPr>
              <w:t>Loi de l’impôt sur le revenu</w:t>
            </w:r>
            <w:r w:rsidRPr="00931A37">
              <w:rPr>
                <w:sz w:val="20"/>
                <w:lang w:val="fr-CA"/>
              </w:rPr>
              <w:t>, ou de modifier ce critère, dans le contexte de la législation prescrivant le paiement versé en remplacement d’impôts?</w:t>
            </w:r>
          </w:p>
        </w:tc>
      </w:tr>
      <w:tr w:rsidR="00931A37" w:rsidRPr="008E5DBE" w:rsidTr="00931A37">
        <w:tc>
          <w:tcPr>
            <w:tcW w:w="5000" w:type="pct"/>
            <w:gridSpan w:val="4"/>
          </w:tcPr>
          <w:p w:rsidR="00931A37" w:rsidRPr="00931A37" w:rsidRDefault="00931A37" w:rsidP="00931A37">
            <w:pPr>
              <w:jc w:val="both"/>
              <w:rPr>
                <w:sz w:val="20"/>
                <w:lang w:val="fr-CA"/>
              </w:rPr>
            </w:pPr>
          </w:p>
          <w:p w:rsidR="00931A37" w:rsidRPr="00931A37" w:rsidRDefault="00931A37" w:rsidP="00931A37">
            <w:pPr>
              <w:autoSpaceDE w:val="0"/>
              <w:autoSpaceDN w:val="0"/>
              <w:jc w:val="both"/>
              <w:rPr>
                <w:sz w:val="20"/>
                <w:lang w:val="fr-CA"/>
              </w:rPr>
            </w:pPr>
            <w:r w:rsidRPr="00931A37">
              <w:rPr>
                <w:sz w:val="20"/>
                <w:lang w:val="fr-CA"/>
              </w:rPr>
              <w:t>ENMAX Energy Corporation et ENMAX PSA Corporation sont tenues de faire des paiements versés en remplacement d’impôts en application de l’</w:t>
            </w:r>
            <w:r w:rsidRPr="00931A37">
              <w:rPr>
                <w:i/>
                <w:iCs/>
                <w:color w:val="000000" w:themeColor="text1"/>
                <w:sz w:val="20"/>
                <w:lang w:val="fr-CA"/>
              </w:rPr>
              <w:t>Electric Utilities Act</w:t>
            </w:r>
            <w:r w:rsidRPr="00931A37">
              <w:rPr>
                <w:color w:val="000000" w:themeColor="text1"/>
                <w:sz w:val="20"/>
                <w:lang w:val="fr-CA"/>
              </w:rPr>
              <w:t xml:space="preserve">, SA 2003, ch. E-5.1 et du </w:t>
            </w:r>
            <w:r w:rsidRPr="00931A37">
              <w:rPr>
                <w:i/>
                <w:iCs/>
                <w:color w:val="000000" w:themeColor="text1"/>
                <w:sz w:val="20"/>
                <w:lang w:val="fr-CA"/>
              </w:rPr>
              <w:t>Payment in Lieu of Tax Regulation</w:t>
            </w:r>
            <w:r w:rsidRPr="00931A37">
              <w:rPr>
                <w:color w:val="000000" w:themeColor="text1"/>
                <w:sz w:val="20"/>
                <w:lang w:val="fr-CA"/>
              </w:rPr>
              <w:t>, Alta Reg. 112/2003</w:t>
            </w:r>
            <w:r w:rsidRPr="00931A37">
              <w:rPr>
                <w:sz w:val="20"/>
                <w:lang w:val="fr-CA"/>
              </w:rPr>
              <w:t>. Elles contestent les montants dus pour leurs années d’imposition 2006 et 2007. En l’espèce, il s’agit de déterminer comment traiter les intérêts payés sur trois prêts d’une durée de dix ans de leur société mère, ENMAX Corporation. Dans le calcul de leurs paiements versés en remplacement d’impôts, ENMAX Energy Corporation et ENMAX PSA Corporation se sont appuyées sur les taux d’intérêt demandés sur les prêts. Les taux du marché accordés par des prêteurs non liés aux époques où les prêts ont été consentis étaient plus bas. Le ministre des Finances de l’Alberta a déterminé que les montants d’intérêt demandés étaient déraisonnables et a établi une nouvelle cotisation des paiements versés en remplacement des impôts payables sur le fondement des taux plus bas. La Cour du Banc de la Reine a accueilli l’appel et a annulé les nouvelles cotisations. La Cour d’appel a accueilli l’appel et a confirmé les nouvelles cotisations.</w:t>
            </w:r>
          </w:p>
        </w:tc>
      </w:tr>
      <w:tr w:rsidR="00931A37" w:rsidRPr="008E5DBE" w:rsidTr="00931A37">
        <w:tc>
          <w:tcPr>
            <w:tcW w:w="5000" w:type="pct"/>
            <w:gridSpan w:val="4"/>
          </w:tcPr>
          <w:p w:rsidR="00931A37" w:rsidRPr="00931A37" w:rsidRDefault="00931A37" w:rsidP="00931A37">
            <w:pPr>
              <w:autoSpaceDE w:val="0"/>
              <w:autoSpaceDN w:val="0"/>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17 juin 2016</w:t>
            </w:r>
          </w:p>
          <w:p w:rsidR="00931A37" w:rsidRPr="00931A37" w:rsidRDefault="00931A37" w:rsidP="00931A37">
            <w:pPr>
              <w:jc w:val="both"/>
              <w:rPr>
                <w:sz w:val="20"/>
                <w:lang w:val="fr-CA"/>
              </w:rPr>
            </w:pPr>
            <w:r w:rsidRPr="00931A37">
              <w:rPr>
                <w:sz w:val="20"/>
                <w:lang w:val="fr-CA"/>
              </w:rPr>
              <w:t>Cour du Banc de la Reine de l’Alberta</w:t>
            </w:r>
          </w:p>
          <w:p w:rsidR="00931A37" w:rsidRPr="00931A37" w:rsidRDefault="00931A37" w:rsidP="00931A37">
            <w:pPr>
              <w:jc w:val="both"/>
              <w:rPr>
                <w:sz w:val="20"/>
                <w:lang w:val="fr-CA"/>
              </w:rPr>
            </w:pPr>
            <w:r w:rsidRPr="00931A37">
              <w:rPr>
                <w:sz w:val="20"/>
                <w:lang w:val="fr-CA"/>
              </w:rPr>
              <w:t>(Juge Poelman)</w:t>
            </w:r>
          </w:p>
          <w:p w:rsidR="00931A37" w:rsidRPr="00931A37" w:rsidRDefault="00345C48" w:rsidP="00931A37">
            <w:pPr>
              <w:jc w:val="both"/>
              <w:rPr>
                <w:sz w:val="20"/>
                <w:lang w:val="fr-CA"/>
              </w:rPr>
            </w:pPr>
            <w:hyperlink r:id="rId33" w:history="1">
              <w:r w:rsidR="00931A37" w:rsidRPr="00931A37">
                <w:rPr>
                  <w:rStyle w:val="Hyperlink"/>
                  <w:sz w:val="20"/>
                  <w:lang w:val="fr-CA"/>
                </w:rPr>
                <w:t>2016 ABQB 334</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Jugement accueillant l’appel des nouvelles cotisations des paiements dus en application du</w:t>
            </w:r>
            <w:r w:rsidRPr="00931A37">
              <w:rPr>
                <w:iCs/>
                <w:color w:val="000000" w:themeColor="text1"/>
                <w:sz w:val="20"/>
                <w:lang w:val="fr-CA"/>
              </w:rPr>
              <w:t xml:space="preserve"> </w:t>
            </w:r>
            <w:r w:rsidRPr="00931A37">
              <w:rPr>
                <w:i/>
                <w:iCs/>
                <w:color w:val="000000" w:themeColor="text1"/>
                <w:sz w:val="20"/>
                <w:lang w:val="fr-CA"/>
              </w:rPr>
              <w:t>Payment in Lieu of Tax Regulation</w:t>
            </w:r>
            <w:r w:rsidRPr="00931A37">
              <w:rPr>
                <w:color w:val="000000" w:themeColor="text1"/>
                <w:sz w:val="20"/>
                <w:lang w:val="fr-CA"/>
              </w:rPr>
              <w:t xml:space="preserve">, Alta Reg. 112/200 </w:t>
            </w:r>
            <w:r w:rsidRPr="00931A37">
              <w:rPr>
                <w:sz w:val="20"/>
                <w:lang w:val="fr-CA"/>
              </w:rPr>
              <w:t>et annulant les nouvelles cotisations</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26 avril 2018</w:t>
            </w:r>
          </w:p>
          <w:p w:rsidR="00931A37" w:rsidRPr="00931A37" w:rsidRDefault="00931A37" w:rsidP="00931A37">
            <w:pPr>
              <w:jc w:val="both"/>
              <w:rPr>
                <w:sz w:val="20"/>
                <w:lang w:val="fr-CA"/>
              </w:rPr>
            </w:pPr>
            <w:r w:rsidRPr="00931A37">
              <w:rPr>
                <w:sz w:val="20"/>
                <w:lang w:val="fr-CA"/>
              </w:rPr>
              <w:t>Cour d’appel de l’Alberta (Calgary)</w:t>
            </w:r>
          </w:p>
          <w:p w:rsidR="00931A37" w:rsidRPr="00931A37" w:rsidRDefault="00931A37" w:rsidP="00931A37">
            <w:pPr>
              <w:jc w:val="both"/>
              <w:rPr>
                <w:sz w:val="20"/>
                <w:lang w:val="fr-CA"/>
              </w:rPr>
            </w:pPr>
            <w:r w:rsidRPr="00931A37">
              <w:rPr>
                <w:sz w:val="20"/>
                <w:lang w:val="fr-CA"/>
              </w:rPr>
              <w:t>(Juges Fraser, Slatter et Schutz)</w:t>
            </w:r>
          </w:p>
          <w:p w:rsidR="00931A37" w:rsidRPr="00931A37" w:rsidRDefault="00931A37" w:rsidP="00931A37">
            <w:pPr>
              <w:jc w:val="both"/>
              <w:rPr>
                <w:sz w:val="20"/>
                <w:lang w:val="fr-CA"/>
              </w:rPr>
            </w:pPr>
            <w:r w:rsidRPr="00931A37">
              <w:rPr>
                <w:sz w:val="20"/>
                <w:lang w:val="fr-CA"/>
              </w:rPr>
              <w:t xml:space="preserve">1601-0176-AC; </w:t>
            </w:r>
            <w:hyperlink r:id="rId34" w:history="1">
              <w:r w:rsidRPr="00931A37">
                <w:rPr>
                  <w:rStyle w:val="Hyperlink"/>
                  <w:sz w:val="20"/>
                  <w:lang w:val="fr-CA"/>
                </w:rPr>
                <w:t>2018 ABCA 147</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Arrêt accueillant l’appel et confirmant les nouvelles cotisations</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21 juin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Dépôt de la demande d’autorisation d’appel</w:t>
            </w:r>
          </w:p>
          <w:p w:rsidR="00931A37" w:rsidRPr="00931A37" w:rsidRDefault="00931A37" w:rsidP="00931A37">
            <w:pPr>
              <w:jc w:val="both"/>
              <w:rPr>
                <w:sz w:val="20"/>
                <w:lang w:val="fr-CA"/>
              </w:rPr>
            </w:pPr>
          </w:p>
        </w:tc>
      </w:tr>
    </w:tbl>
    <w:p w:rsidR="00931A37" w:rsidRPr="00931A37" w:rsidRDefault="00931A37" w:rsidP="00931A37">
      <w:pPr>
        <w:jc w:val="both"/>
        <w:rPr>
          <w:sz w:val="20"/>
          <w:lang w:val="fr-CA"/>
        </w:rPr>
      </w:pPr>
    </w:p>
    <w:p w:rsidR="00931A37" w:rsidRPr="00931A37" w:rsidRDefault="00931A37" w:rsidP="00931A37">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en-CA"/>
              </w:rPr>
            </w:pPr>
            <w:r w:rsidRPr="00931A37">
              <w:rPr>
                <w:rStyle w:val="SCCFileNumberChar"/>
                <w:sz w:val="20"/>
                <w:szCs w:val="20"/>
              </w:rPr>
              <w:t>38137</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Agence du revenu du Québec v. Wesdome Gold Mines Ltd.</w:t>
            </w:r>
          </w:p>
          <w:p w:rsidR="00931A37" w:rsidRPr="00931A37" w:rsidRDefault="00931A37" w:rsidP="00925A9A">
            <w:pPr>
              <w:jc w:val="both"/>
              <w:rPr>
                <w:sz w:val="20"/>
                <w:lang w:val="en-CA"/>
              </w:rPr>
            </w:pPr>
            <w:r w:rsidRPr="00931A37">
              <w:rPr>
                <w:sz w:val="20"/>
                <w:lang w:val="en-CA"/>
              </w:rPr>
              <w:t>(Que.) (Civil) (By Leave)</w:t>
            </w:r>
          </w:p>
        </w:tc>
      </w:tr>
      <w:tr w:rsidR="00931A37" w:rsidRPr="00931A37" w:rsidTr="00931A37">
        <w:tc>
          <w:tcPr>
            <w:tcW w:w="5000" w:type="pct"/>
            <w:gridSpan w:val="4"/>
          </w:tcPr>
          <w:p w:rsidR="00931A37" w:rsidRPr="00931A37" w:rsidRDefault="00931A37" w:rsidP="00931A37">
            <w:pPr>
              <w:jc w:val="both"/>
              <w:rPr>
                <w:sz w:val="20"/>
                <w:lang w:val="en-CA"/>
              </w:rPr>
            </w:pPr>
            <w:proofErr w:type="gramStart"/>
            <w:r w:rsidRPr="00931A37">
              <w:rPr>
                <w:sz w:val="20"/>
                <w:lang w:val="en-CA"/>
              </w:rPr>
              <w:t xml:space="preserve">Taxation – Tax credit relating to mining resources – Canadian exploration expense – Whether Court of Appeal erred in law in interpreting expression “Canadian exploration expense” in </w:t>
            </w:r>
            <w:r w:rsidRPr="00931A37">
              <w:rPr>
                <w:i/>
                <w:sz w:val="20"/>
                <w:lang w:val="en-CA"/>
              </w:rPr>
              <w:t>Taxation Act</w:t>
            </w:r>
            <w:r w:rsidRPr="00931A37">
              <w:rPr>
                <w:sz w:val="20"/>
                <w:lang w:val="en-CA"/>
              </w:rPr>
              <w:t xml:space="preserve"> by finding that exclusion applies only where exploration expense incurred at same time that mine has come into production in reasonable commercial quantities – Whether Court of Appeal erred in law by failing to discuss federal decisions, including those of this Court, when analyzing exclusion, given that provision concerned is fully harmonized with federal tax legislation – </w:t>
            </w:r>
            <w:r w:rsidRPr="00931A37">
              <w:rPr>
                <w:i/>
                <w:sz w:val="20"/>
                <w:lang w:val="en-CA"/>
              </w:rPr>
              <w:t>Taxation Act</w:t>
            </w:r>
            <w:r w:rsidRPr="00931A37">
              <w:rPr>
                <w:sz w:val="20"/>
                <w:lang w:val="en-CA"/>
              </w:rPr>
              <w:t>,</w:t>
            </w:r>
            <w:r w:rsidRPr="00931A37">
              <w:rPr>
                <w:i/>
                <w:sz w:val="20"/>
                <w:lang w:val="en-CA"/>
              </w:rPr>
              <w:t xml:space="preserve"> </w:t>
            </w:r>
            <w:r w:rsidRPr="00931A37">
              <w:rPr>
                <w:sz w:val="20"/>
                <w:lang w:val="en-CA"/>
              </w:rPr>
              <w:t>CQLR, c. I</w:t>
            </w:r>
            <w:r w:rsidRPr="00931A37">
              <w:rPr>
                <w:sz w:val="20"/>
                <w:lang w:val="en-CA"/>
              </w:rPr>
              <w:noBreakHyphen/>
              <w:t>3, s. 395 (as in force in 2005).</w:t>
            </w:r>
            <w:proofErr w:type="gramEnd"/>
          </w:p>
        </w:tc>
      </w:tr>
      <w:tr w:rsidR="00931A37" w:rsidRPr="00931A37" w:rsidTr="00931A37">
        <w:tc>
          <w:tcPr>
            <w:tcW w:w="5000" w:type="pct"/>
            <w:gridSpan w:val="4"/>
          </w:tcPr>
          <w:p w:rsidR="00931A37" w:rsidRPr="00931A37" w:rsidRDefault="00931A37" w:rsidP="00931A37">
            <w:pPr>
              <w:jc w:val="both"/>
              <w:rPr>
                <w:sz w:val="20"/>
                <w:lang w:val="en-CA"/>
              </w:rPr>
            </w:pPr>
          </w:p>
          <w:p w:rsidR="00931A37" w:rsidRPr="00931A37" w:rsidRDefault="00931A37" w:rsidP="00931A37">
            <w:pPr>
              <w:jc w:val="both"/>
              <w:rPr>
                <w:i/>
                <w:sz w:val="20"/>
                <w:highlight w:val="yellow"/>
                <w:lang w:val="en-CA"/>
              </w:rPr>
            </w:pPr>
            <w:r w:rsidRPr="00931A37">
              <w:rPr>
                <w:sz w:val="20"/>
                <w:lang w:val="en-CA"/>
              </w:rPr>
              <w:t xml:space="preserve">The respondent Wesdome Ltd. is the sole shareholder of Wesdome Gold Mines inc. Following a business tax audit in November 2009, the applicant Agence du revenu du Québec (ARQ) issued four notices of assessment concerning Wesdome Gold Mines inc. </w:t>
            </w:r>
          </w:p>
          <w:p w:rsidR="00931A37" w:rsidRPr="00931A37" w:rsidRDefault="00931A37" w:rsidP="00931A37">
            <w:pPr>
              <w:jc w:val="both"/>
              <w:rPr>
                <w:sz w:val="20"/>
                <w:lang w:val="en-CA"/>
              </w:rPr>
            </w:pPr>
          </w:p>
          <w:p w:rsidR="00931A37" w:rsidRPr="00931A37" w:rsidRDefault="00931A37" w:rsidP="00931A37">
            <w:pPr>
              <w:jc w:val="both"/>
              <w:rPr>
                <w:sz w:val="20"/>
                <w:lang w:val="en-CA"/>
              </w:rPr>
            </w:pPr>
            <w:r w:rsidRPr="00931A37">
              <w:rPr>
                <w:sz w:val="20"/>
                <w:lang w:val="en-CA"/>
              </w:rPr>
              <w:t xml:space="preserve">In 2012, Wesdome Ltd. filed an application to appeal the assessments to the Court of Québec. In 2014, the Court of Québec declared two of the notices of assessment invalid on the basis that they </w:t>
            </w:r>
            <w:proofErr w:type="gramStart"/>
            <w:r w:rsidRPr="00931A37">
              <w:rPr>
                <w:sz w:val="20"/>
                <w:lang w:val="en-CA"/>
              </w:rPr>
              <w:t>were not directed</w:t>
            </w:r>
            <w:proofErr w:type="gramEnd"/>
            <w:r w:rsidRPr="00931A37">
              <w:rPr>
                <w:sz w:val="20"/>
                <w:lang w:val="en-CA"/>
              </w:rPr>
              <w:t xml:space="preserve"> against the proper legal entity. In 2016, the Court of Québec vacated one of the notices of assessment on the ground that Wesdome Gold Mines inc. was entitled to a tax credit for certain exploration expenses. The ARQ appealed those two decisions. The Court of Appeal set aside the Court of Québec’s 2014 judgment and dismissed the appeal from its 2016 judgment because it agreed with the Court of Québec that Wesdome inc. was entitled to the tax credit claimed. </w:t>
            </w:r>
          </w:p>
        </w:tc>
      </w:tr>
      <w:tr w:rsidR="00931A37" w:rsidRPr="00931A37" w:rsidTr="00931A37">
        <w:tc>
          <w:tcPr>
            <w:tcW w:w="5000" w:type="pct"/>
            <w:gridSpan w:val="4"/>
          </w:tcPr>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 xml:space="preserve">August 25, 2014 </w:t>
            </w:r>
          </w:p>
          <w:p w:rsidR="00931A37" w:rsidRPr="00931A37" w:rsidRDefault="00931A37" w:rsidP="00931A37">
            <w:pPr>
              <w:jc w:val="both"/>
              <w:rPr>
                <w:sz w:val="20"/>
                <w:lang w:val="en-CA"/>
              </w:rPr>
            </w:pPr>
            <w:r w:rsidRPr="00931A37">
              <w:rPr>
                <w:sz w:val="20"/>
                <w:lang w:val="en-CA"/>
              </w:rPr>
              <w:t>Court of Québec</w:t>
            </w:r>
          </w:p>
          <w:p w:rsidR="00931A37" w:rsidRPr="00931A37" w:rsidRDefault="00931A37" w:rsidP="00931A37">
            <w:pPr>
              <w:jc w:val="both"/>
              <w:rPr>
                <w:sz w:val="20"/>
                <w:lang w:val="en-CA"/>
              </w:rPr>
            </w:pPr>
            <w:r w:rsidRPr="00931A37">
              <w:rPr>
                <w:sz w:val="20"/>
                <w:lang w:val="en-CA"/>
              </w:rPr>
              <w:t>(Judge Godbout)</w:t>
            </w:r>
          </w:p>
          <w:p w:rsidR="00931A37" w:rsidRPr="00931A37" w:rsidRDefault="00345C48" w:rsidP="00931A37">
            <w:pPr>
              <w:jc w:val="both"/>
              <w:rPr>
                <w:sz w:val="20"/>
                <w:lang w:val="en-CA"/>
              </w:rPr>
            </w:pPr>
            <w:hyperlink r:id="rId35" w:history="1">
              <w:r w:rsidR="00931A37" w:rsidRPr="00931A37">
                <w:rPr>
                  <w:rStyle w:val="Hyperlink"/>
                  <w:sz w:val="20"/>
                  <w:lang w:val="en-CA"/>
                </w:rPr>
                <w:t>2014 QCCQ 8444</w:t>
              </w:r>
            </w:hyperlink>
          </w:p>
          <w:p w:rsidR="00931A37" w:rsidRPr="00931A37" w:rsidRDefault="00931A37" w:rsidP="00931A37">
            <w:pPr>
              <w:jc w:val="both"/>
              <w:rPr>
                <w:sz w:val="20"/>
                <w:lang w:val="en-CA"/>
              </w:rPr>
            </w:pP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 xml:space="preserve">Notices of assessment 1041 and 1082 declared invalid </w:t>
            </w:r>
          </w:p>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March 11, 2016</w:t>
            </w:r>
          </w:p>
          <w:p w:rsidR="00931A37" w:rsidRPr="00931A37" w:rsidRDefault="00931A37" w:rsidP="00931A37">
            <w:pPr>
              <w:jc w:val="both"/>
              <w:rPr>
                <w:sz w:val="20"/>
                <w:lang w:val="en-CA"/>
              </w:rPr>
            </w:pPr>
            <w:r w:rsidRPr="00931A37">
              <w:rPr>
                <w:sz w:val="20"/>
                <w:lang w:val="en-CA"/>
              </w:rPr>
              <w:t>Court of Québec</w:t>
            </w:r>
          </w:p>
          <w:p w:rsidR="00931A37" w:rsidRPr="00931A37" w:rsidRDefault="00931A37" w:rsidP="00931A37">
            <w:pPr>
              <w:jc w:val="both"/>
              <w:rPr>
                <w:sz w:val="20"/>
                <w:lang w:val="en-CA"/>
              </w:rPr>
            </w:pPr>
            <w:r w:rsidRPr="00931A37">
              <w:rPr>
                <w:sz w:val="20"/>
                <w:lang w:val="en-CA"/>
              </w:rPr>
              <w:t>(Judge Godbout)</w:t>
            </w:r>
          </w:p>
          <w:p w:rsidR="00931A37" w:rsidRPr="00931A37" w:rsidRDefault="00345C48" w:rsidP="00931A37">
            <w:pPr>
              <w:jc w:val="both"/>
              <w:rPr>
                <w:sz w:val="20"/>
                <w:lang w:val="en-CA"/>
              </w:rPr>
            </w:pPr>
            <w:hyperlink r:id="rId36" w:history="1">
              <w:r w:rsidR="00931A37" w:rsidRPr="00931A37">
                <w:rPr>
                  <w:rStyle w:val="Hyperlink"/>
                  <w:sz w:val="20"/>
                  <w:lang w:val="en-CA"/>
                </w:rPr>
                <w:t>2016 QCCQ 1504</w:t>
              </w:r>
            </w:hyperlink>
          </w:p>
          <w:p w:rsidR="00931A37" w:rsidRPr="00931A37" w:rsidRDefault="00931A37" w:rsidP="00931A37">
            <w:pPr>
              <w:jc w:val="both"/>
              <w:rPr>
                <w:sz w:val="20"/>
                <w:lang w:val="en-CA"/>
              </w:rPr>
            </w:pP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Notice of assessment 1022 vacated</w:t>
            </w:r>
          </w:p>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March 28, 2018</w:t>
            </w:r>
          </w:p>
          <w:p w:rsidR="00931A37" w:rsidRPr="00931A37" w:rsidRDefault="00931A37" w:rsidP="00931A37">
            <w:pPr>
              <w:jc w:val="both"/>
              <w:rPr>
                <w:sz w:val="20"/>
                <w:lang w:val="en-CA"/>
              </w:rPr>
            </w:pPr>
            <w:r w:rsidRPr="00931A37">
              <w:rPr>
                <w:sz w:val="20"/>
                <w:lang w:val="en-CA"/>
              </w:rPr>
              <w:t>Quebec Court of Appeal (Québec)</w:t>
            </w:r>
          </w:p>
          <w:p w:rsidR="00931A37" w:rsidRPr="00931A37" w:rsidRDefault="00931A37" w:rsidP="00931A37">
            <w:pPr>
              <w:jc w:val="both"/>
              <w:rPr>
                <w:sz w:val="20"/>
                <w:lang w:val="fr-CA"/>
              </w:rPr>
            </w:pPr>
            <w:r w:rsidRPr="00931A37">
              <w:rPr>
                <w:sz w:val="20"/>
                <w:lang w:val="fr-CA"/>
              </w:rPr>
              <w:t>(Rochette, Lévesque and Ruel JJ.A.)</w:t>
            </w:r>
          </w:p>
          <w:p w:rsidR="00931A37" w:rsidRPr="00931A37" w:rsidRDefault="00345C48" w:rsidP="00931A37">
            <w:pPr>
              <w:jc w:val="both"/>
              <w:rPr>
                <w:sz w:val="20"/>
                <w:lang w:val="en-CA"/>
              </w:rPr>
            </w:pPr>
            <w:hyperlink r:id="rId37" w:history="1">
              <w:r w:rsidR="00931A37" w:rsidRPr="00931A37">
                <w:rPr>
                  <w:rStyle w:val="Hyperlink"/>
                  <w:sz w:val="20"/>
                  <w:lang w:val="en-CA"/>
                </w:rPr>
                <w:t>2018 QCCA 518</w:t>
              </w:r>
            </w:hyperlink>
          </w:p>
          <w:p w:rsidR="00931A37" w:rsidRPr="00931A37" w:rsidRDefault="00931A37" w:rsidP="00931A37">
            <w:pPr>
              <w:jc w:val="both"/>
              <w:rPr>
                <w:sz w:val="20"/>
                <w:lang w:val="en-CA"/>
              </w:rPr>
            </w:pP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Appeal from judgment of August 25, 2014 allowed; appeal from judgment of March 11, 2016 dismissed; notices of assessment 1001, 1022, 1041 and 1082 referred to Minister of Revenue for reconsideration</w:t>
            </w:r>
          </w:p>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May 28, 2018</w:t>
            </w:r>
          </w:p>
          <w:p w:rsidR="00931A37" w:rsidRPr="00931A37" w:rsidRDefault="00931A37" w:rsidP="00931A37">
            <w:pPr>
              <w:jc w:val="both"/>
              <w:rPr>
                <w:sz w:val="20"/>
                <w:lang w:val="en-CA"/>
              </w:rPr>
            </w:pPr>
            <w:r w:rsidRPr="00931A37">
              <w:rPr>
                <w:sz w:val="20"/>
                <w:lang w:val="en-CA"/>
              </w:rPr>
              <w:t>Supreme Court of Canada</w:t>
            </w: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Application for leave to appeal filed</w:t>
            </w:r>
          </w:p>
        </w:tc>
      </w:tr>
    </w:tbl>
    <w:p w:rsidR="00931A37" w:rsidRPr="00931A37" w:rsidRDefault="00931A37" w:rsidP="00931A37">
      <w:pPr>
        <w:jc w:val="both"/>
        <w:rPr>
          <w:sz w:val="20"/>
          <w:lang w:val="en-CA"/>
        </w:rPr>
      </w:pPr>
    </w:p>
    <w:p w:rsidR="00931A37" w:rsidRPr="00931A37" w:rsidRDefault="00931A37" w:rsidP="00931A37">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38137</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 xml:space="preserve">Agence du revenu du Québec c. </w:t>
            </w:r>
            <w:r w:rsidR="00BA3F4C">
              <w:rPr>
                <w:b/>
                <w:sz w:val="20"/>
                <w:szCs w:val="20"/>
              </w:rPr>
              <w:t>Mines d’or Wesdome</w:t>
            </w:r>
          </w:p>
          <w:p w:rsidR="00931A37" w:rsidRPr="00931A37" w:rsidRDefault="00931A37" w:rsidP="00925A9A">
            <w:pPr>
              <w:jc w:val="both"/>
              <w:rPr>
                <w:sz w:val="20"/>
              </w:rPr>
            </w:pPr>
            <w:r w:rsidRPr="00931A37">
              <w:rPr>
                <w:sz w:val="20"/>
              </w:rPr>
              <w:t>(Qc)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 xml:space="preserve">Droit fiscal – Crédit d’impôt relatif à des ressources minières – Frais canadiens d’exploration – La Cour d’appel a-t-elle commis une erreur de droit dans son interprétation de l’expression « frais canadiens d’exploration » de la </w:t>
            </w:r>
            <w:r w:rsidRPr="00931A37">
              <w:rPr>
                <w:i/>
                <w:sz w:val="20"/>
                <w:lang w:val="fr-CA"/>
              </w:rPr>
              <w:t>Loi sur les impôts</w:t>
            </w:r>
            <w:r w:rsidRPr="00931A37">
              <w:rPr>
                <w:sz w:val="20"/>
                <w:lang w:val="fr-CA"/>
              </w:rPr>
              <w:t xml:space="preserve">, en exigeant, pour l’application de l’exclusion, une concomitance entre le moment où les dépenses d’exploration sont engagées et l’atteinte du stade de la production en quantité commerciale raisonnable de la mine? – La Cour d’appel a-t-elle commis une erreur de droit en omettant de traiter des décisions fédérales, notamment celles de cette Cour, dans son analyse de l’exclusion, considérant qu’il s’agit d’une disposition entièrement harmonisée avec la législation fiscale fédérale? – </w:t>
            </w:r>
            <w:r w:rsidRPr="00931A37">
              <w:rPr>
                <w:i/>
                <w:sz w:val="20"/>
                <w:lang w:val="fr-CA"/>
              </w:rPr>
              <w:t xml:space="preserve">Loi sur les impôts </w:t>
            </w:r>
            <w:r w:rsidRPr="00931A37">
              <w:rPr>
                <w:sz w:val="20"/>
                <w:lang w:val="fr-CA"/>
              </w:rPr>
              <w:t>(RLRQ, c. I-3), art. 395 (tel qu’en vigueur en 2005).</w:t>
            </w:r>
          </w:p>
        </w:tc>
      </w:tr>
      <w:tr w:rsidR="00931A37" w:rsidRPr="008E5DBE" w:rsidTr="00931A37">
        <w:tc>
          <w:tcPr>
            <w:tcW w:w="5000" w:type="pct"/>
            <w:gridSpan w:val="4"/>
          </w:tcPr>
          <w:p w:rsidR="00931A37" w:rsidRPr="00931A37" w:rsidRDefault="00931A37" w:rsidP="00931A37">
            <w:pPr>
              <w:jc w:val="both"/>
              <w:rPr>
                <w:sz w:val="20"/>
                <w:lang w:val="fr-CA"/>
              </w:rPr>
            </w:pPr>
          </w:p>
          <w:p w:rsidR="00931A37" w:rsidRPr="00931A37" w:rsidRDefault="00931A37" w:rsidP="00931A37">
            <w:pPr>
              <w:jc w:val="both"/>
              <w:rPr>
                <w:i/>
                <w:sz w:val="20"/>
                <w:highlight w:val="yellow"/>
                <w:lang w:val="fr-CA"/>
              </w:rPr>
            </w:pPr>
            <w:r w:rsidRPr="00931A37">
              <w:rPr>
                <w:sz w:val="20"/>
                <w:lang w:val="fr-CA"/>
              </w:rPr>
              <w:lastRenderedPageBreak/>
              <w:t xml:space="preserve">L’intimée Wesdome Ltd. est la seule actionnaire de Mines d’or Wesdome inc. À la suite d’une vérification fiscale d’entreprise en novembre 2009, quatre avis de cotisation sont émis par la demanderesse l’Agence du Revenu du Québec [ARQ] concernant Mines d’or Wesdome inc. </w:t>
            </w:r>
          </w:p>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 xml:space="preserve">En 2012, Wesdome Ltd. inscrit une demande en appel de ces cotisations devant la Cour du Québec. En 2014, la Cour du Québec, déclare invalide deux des avis de cotisations car elle estime que les avis n’ont pas été dirigés contre la bonne entité juridique. En 2016, la Cour du Québec annule un des avis de cotisation car elle estime que Mines d’or Wesdome inc. </w:t>
            </w:r>
            <w:proofErr w:type="gramStart"/>
            <w:r w:rsidRPr="00931A37">
              <w:rPr>
                <w:sz w:val="20"/>
                <w:lang w:val="fr-CA"/>
              </w:rPr>
              <w:t>a</w:t>
            </w:r>
            <w:proofErr w:type="gramEnd"/>
            <w:r w:rsidRPr="00931A37">
              <w:rPr>
                <w:sz w:val="20"/>
                <w:lang w:val="fr-CA"/>
              </w:rPr>
              <w:t xml:space="preserve"> droit à un crédit d’impôt pour certaines dépenses d’exploration. L’ARQ porte ces deux décisions en appel. La Cour d’appel infirme le jugement de la Cour du Québec de 2014 et rejette l’appel du jugement de la Cour du Québec de 2016, étant d’avis, à l’instar de la Cour du Québec, que Wesdome inc. a droit au crédit d’impôt demandé. </w:t>
            </w:r>
          </w:p>
        </w:tc>
      </w:tr>
      <w:tr w:rsidR="00931A37" w:rsidRPr="008E5DBE" w:rsidTr="00931A37">
        <w:tc>
          <w:tcPr>
            <w:tcW w:w="5000" w:type="pct"/>
            <w:gridSpan w:val="4"/>
          </w:tcPr>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 xml:space="preserve">Le 25 août 2014 </w:t>
            </w:r>
          </w:p>
          <w:p w:rsidR="00931A37" w:rsidRPr="00931A37" w:rsidRDefault="00931A37" w:rsidP="00931A37">
            <w:pPr>
              <w:jc w:val="both"/>
              <w:rPr>
                <w:sz w:val="20"/>
                <w:lang w:val="fr-CA"/>
              </w:rPr>
            </w:pPr>
            <w:r w:rsidRPr="00931A37">
              <w:rPr>
                <w:sz w:val="20"/>
                <w:lang w:val="fr-CA"/>
              </w:rPr>
              <w:t>Cour du Québec</w:t>
            </w:r>
          </w:p>
          <w:p w:rsidR="00931A37" w:rsidRPr="00931A37" w:rsidRDefault="00931A37" w:rsidP="00931A37">
            <w:pPr>
              <w:jc w:val="both"/>
              <w:rPr>
                <w:sz w:val="20"/>
                <w:lang w:val="fr-CA"/>
              </w:rPr>
            </w:pPr>
            <w:r w:rsidRPr="00931A37">
              <w:rPr>
                <w:sz w:val="20"/>
                <w:lang w:val="fr-CA"/>
              </w:rPr>
              <w:t>(le juge Godbout)</w:t>
            </w:r>
          </w:p>
          <w:p w:rsidR="00931A37" w:rsidRPr="00931A37" w:rsidRDefault="00345C48" w:rsidP="00931A37">
            <w:pPr>
              <w:jc w:val="both"/>
              <w:rPr>
                <w:sz w:val="20"/>
              </w:rPr>
            </w:pPr>
            <w:hyperlink r:id="rId38" w:history="1">
              <w:r w:rsidR="00931A37" w:rsidRPr="00931A37">
                <w:rPr>
                  <w:rStyle w:val="Hyperlink"/>
                  <w:sz w:val="20"/>
                </w:rPr>
                <w:t>2014 QCCQ 8444</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lang w:val="fr-CA"/>
              </w:rPr>
            </w:pPr>
            <w:r w:rsidRPr="00931A37">
              <w:rPr>
                <w:sz w:val="20"/>
                <w:lang w:val="fr-CA"/>
              </w:rPr>
              <w:t xml:space="preserve">Avis de cotisation 1041 et 1082 déclarés invalides </w:t>
            </w:r>
          </w:p>
          <w:p w:rsidR="00931A37" w:rsidRPr="00931A37" w:rsidRDefault="00931A37" w:rsidP="00931A37">
            <w:pPr>
              <w:jc w:val="both"/>
              <w:rPr>
                <w:sz w:val="20"/>
                <w:lang w:val="fr-CA"/>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Le 11 mars 2016</w:t>
            </w:r>
          </w:p>
          <w:p w:rsidR="00931A37" w:rsidRPr="00931A37" w:rsidRDefault="00931A37" w:rsidP="00931A37">
            <w:pPr>
              <w:jc w:val="both"/>
              <w:rPr>
                <w:sz w:val="20"/>
                <w:lang w:val="fr-CA"/>
              </w:rPr>
            </w:pPr>
            <w:r w:rsidRPr="00931A37">
              <w:rPr>
                <w:sz w:val="20"/>
                <w:lang w:val="fr-CA"/>
              </w:rPr>
              <w:t>Cour du Québec</w:t>
            </w:r>
          </w:p>
          <w:p w:rsidR="00931A37" w:rsidRPr="00931A37" w:rsidRDefault="00931A37" w:rsidP="00931A37">
            <w:pPr>
              <w:jc w:val="both"/>
              <w:rPr>
                <w:sz w:val="20"/>
                <w:lang w:val="fr-CA"/>
              </w:rPr>
            </w:pPr>
            <w:r w:rsidRPr="00931A37">
              <w:rPr>
                <w:sz w:val="20"/>
                <w:lang w:val="fr-CA"/>
              </w:rPr>
              <w:t>(le juge Godbout)</w:t>
            </w:r>
          </w:p>
          <w:p w:rsidR="00931A37" w:rsidRPr="00931A37" w:rsidRDefault="00345C48" w:rsidP="00931A37">
            <w:pPr>
              <w:jc w:val="both"/>
              <w:rPr>
                <w:sz w:val="20"/>
              </w:rPr>
            </w:pPr>
            <w:hyperlink r:id="rId39" w:history="1">
              <w:r w:rsidR="00931A37" w:rsidRPr="00931A37">
                <w:rPr>
                  <w:rStyle w:val="Hyperlink"/>
                  <w:sz w:val="20"/>
                </w:rPr>
                <w:t>2016 QCCQ 1504</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Avis de cotisation 1022 annulé</w:t>
            </w:r>
          </w:p>
          <w:p w:rsidR="00931A37" w:rsidRPr="00931A37" w:rsidRDefault="00931A37" w:rsidP="00931A37">
            <w:pPr>
              <w:jc w:val="both"/>
              <w:rPr>
                <w:sz w:val="20"/>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Le 28 mars 2018</w:t>
            </w:r>
          </w:p>
          <w:p w:rsidR="00931A37" w:rsidRPr="00931A37" w:rsidRDefault="00931A37" w:rsidP="00931A37">
            <w:pPr>
              <w:jc w:val="both"/>
              <w:rPr>
                <w:sz w:val="20"/>
                <w:lang w:val="fr-CA"/>
              </w:rPr>
            </w:pPr>
            <w:r w:rsidRPr="00931A37">
              <w:rPr>
                <w:sz w:val="20"/>
                <w:lang w:val="fr-CA"/>
              </w:rPr>
              <w:t>Cour d’appel du Québec (Québec)</w:t>
            </w:r>
          </w:p>
          <w:p w:rsidR="00931A37" w:rsidRPr="00931A37" w:rsidRDefault="00931A37" w:rsidP="00931A37">
            <w:pPr>
              <w:jc w:val="both"/>
              <w:rPr>
                <w:sz w:val="20"/>
                <w:lang w:val="fr-CA"/>
              </w:rPr>
            </w:pPr>
            <w:r w:rsidRPr="00931A37">
              <w:rPr>
                <w:sz w:val="20"/>
                <w:lang w:val="fr-CA"/>
              </w:rPr>
              <w:t>(les juges Rochette, Lévesque et Ruel)</w:t>
            </w:r>
          </w:p>
          <w:p w:rsidR="00931A37" w:rsidRPr="00931A37" w:rsidRDefault="00345C48" w:rsidP="00931A37">
            <w:pPr>
              <w:jc w:val="both"/>
              <w:rPr>
                <w:sz w:val="20"/>
              </w:rPr>
            </w:pPr>
            <w:hyperlink r:id="rId40" w:history="1">
              <w:r w:rsidR="00931A37" w:rsidRPr="00931A37">
                <w:rPr>
                  <w:rStyle w:val="Hyperlink"/>
                  <w:sz w:val="20"/>
                </w:rPr>
                <w:t>2018 QCCA 518</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lang w:val="fr-CA"/>
              </w:rPr>
            </w:pPr>
            <w:r w:rsidRPr="00931A37">
              <w:rPr>
                <w:sz w:val="20"/>
                <w:lang w:val="fr-CA"/>
              </w:rPr>
              <w:t>Appel du jugement du 25 août 2014 accueilli; appel du jugement du 11 mars 2016 rejeté. Avis de cotisation 1001, 1022, 1041 et 1082 déférés au ministre du Revenu pour nouvel examen</w:t>
            </w:r>
          </w:p>
          <w:p w:rsidR="00931A37" w:rsidRPr="00931A37" w:rsidRDefault="00931A37" w:rsidP="00931A37">
            <w:pPr>
              <w:jc w:val="both"/>
              <w:rPr>
                <w:sz w:val="20"/>
                <w:lang w:val="fr-CA"/>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Le 28 mai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rPr>
            </w:pPr>
            <w:r w:rsidRPr="00931A37">
              <w:rPr>
                <w:sz w:val="20"/>
              </w:rPr>
              <w:t xml:space="preserve">Demande d’autorisation d’appel </w:t>
            </w:r>
            <w:proofErr w:type="spellStart"/>
            <w:r w:rsidRPr="00931A37">
              <w:rPr>
                <w:sz w:val="20"/>
              </w:rPr>
              <w:t>déposée</w:t>
            </w:r>
            <w:proofErr w:type="spellEnd"/>
          </w:p>
        </w:tc>
      </w:tr>
    </w:tbl>
    <w:p w:rsidR="00931A37" w:rsidRPr="00931A37" w:rsidRDefault="00931A37" w:rsidP="00931A37">
      <w:pPr>
        <w:jc w:val="both"/>
        <w:rPr>
          <w:sz w:val="20"/>
        </w:rPr>
      </w:pPr>
    </w:p>
    <w:p w:rsidR="00931A37" w:rsidRPr="00931A37" w:rsidRDefault="00931A37"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38383</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Shella Gardezi v. Positive Living Society of British Columbia, Ross Harvey, Alexandra Regier</w:t>
            </w:r>
            <w:r w:rsidR="00231B14">
              <w:rPr>
                <w:b/>
                <w:sz w:val="20"/>
                <w:szCs w:val="20"/>
                <w:lang w:val="en-US"/>
              </w:rPr>
              <w:t xml:space="preserve"> and </w:t>
            </w:r>
            <w:r w:rsidRPr="00925A9A">
              <w:rPr>
                <w:b/>
                <w:sz w:val="20"/>
                <w:szCs w:val="20"/>
                <w:lang w:val="en-US"/>
              </w:rPr>
              <w:t xml:space="preserve"> Canadian Union of Public Employees, Local 3495</w:t>
            </w:r>
          </w:p>
          <w:p w:rsidR="00931A37" w:rsidRPr="00931A37" w:rsidRDefault="00931A37" w:rsidP="00931A37">
            <w:pPr>
              <w:jc w:val="both"/>
              <w:rPr>
                <w:sz w:val="20"/>
              </w:rPr>
            </w:pPr>
            <w:r w:rsidRPr="00931A37">
              <w:rPr>
                <w:sz w:val="20"/>
              </w:rPr>
              <w:t>(B.C.) (Civil) (By Leave)</w:t>
            </w:r>
          </w:p>
        </w:tc>
      </w:tr>
      <w:tr w:rsidR="00931A37" w:rsidRPr="00931A37" w:rsidTr="00931A37">
        <w:tc>
          <w:tcPr>
            <w:tcW w:w="5000" w:type="pct"/>
            <w:gridSpan w:val="4"/>
          </w:tcPr>
          <w:p w:rsidR="00931A37" w:rsidRPr="00931A37" w:rsidRDefault="00931A37" w:rsidP="00931A37">
            <w:pPr>
              <w:jc w:val="both"/>
              <w:rPr>
                <w:sz w:val="20"/>
              </w:rPr>
            </w:pPr>
            <w:r w:rsidRPr="00931A37">
              <w:rPr>
                <w:i/>
                <w:sz w:val="20"/>
              </w:rPr>
              <w:t>Charter of Rights</w:t>
            </w:r>
            <w:r w:rsidRPr="00931A37">
              <w:rPr>
                <w:sz w:val="20"/>
              </w:rPr>
              <w:t xml:space="preserve"> – Civil Procedure – Costs – Security for costs – Appeal Costs – Applicant ordered to pay security for costs of the appeal – Whether the Order to post security of costs violates the </w:t>
            </w:r>
            <w:r w:rsidRPr="00931A37">
              <w:rPr>
                <w:i/>
                <w:sz w:val="20"/>
              </w:rPr>
              <w:t>Charter</w:t>
            </w:r>
            <w:r w:rsidRPr="00931A37">
              <w:rPr>
                <w:sz w:val="20"/>
              </w:rPr>
              <w:t xml:space="preserve">, the </w:t>
            </w:r>
            <w:r w:rsidRPr="00931A37">
              <w:rPr>
                <w:i/>
                <w:sz w:val="20"/>
              </w:rPr>
              <w:t>Criminal Code</w:t>
            </w:r>
            <w:r w:rsidRPr="00931A37">
              <w:rPr>
                <w:sz w:val="20"/>
              </w:rPr>
              <w:t>, R.S.C., 1985, c. C-46, and the International Convention on the Rights of Persons with Disabilities – Whether the applicant was subjected to discriminatory treatment by the administrative tribunal members and members of the judiciary.</w:t>
            </w:r>
          </w:p>
          <w:p w:rsidR="00931A37" w:rsidRPr="00931A37" w:rsidRDefault="00931A37" w:rsidP="00931A37">
            <w:pPr>
              <w:jc w:val="both"/>
              <w:rPr>
                <w:sz w:val="20"/>
              </w:rPr>
            </w:pPr>
          </w:p>
        </w:tc>
      </w:tr>
      <w:tr w:rsidR="00931A37" w:rsidRPr="00931A37" w:rsidTr="00931A37">
        <w:tc>
          <w:tcPr>
            <w:tcW w:w="5000" w:type="pct"/>
            <w:gridSpan w:val="4"/>
          </w:tcPr>
          <w:p w:rsidR="00931A37" w:rsidRPr="00931A37" w:rsidRDefault="00931A37" w:rsidP="00931A37">
            <w:pPr>
              <w:jc w:val="both"/>
              <w:rPr>
                <w:sz w:val="20"/>
              </w:rPr>
            </w:pPr>
            <w:r w:rsidRPr="00931A37">
              <w:rPr>
                <w:sz w:val="20"/>
              </w:rPr>
              <w:t>On April 22, 2015, the applicant, Ms. Gardezi, filed a complaint with the British Columbia Human Rights Tribunal (the “HRT”) alleging discrimination by the employer, the Canadian Union of Public Employees, Local 3495 (“Union”), and two of the employer’s employees. The HRT dismissed Ms. </w:t>
            </w:r>
            <w:proofErr w:type="spellStart"/>
            <w:r w:rsidRPr="00931A37">
              <w:rPr>
                <w:sz w:val="20"/>
              </w:rPr>
              <w:t>Gardezi’s</w:t>
            </w:r>
            <w:proofErr w:type="spellEnd"/>
            <w:r w:rsidRPr="00931A37">
              <w:rPr>
                <w:sz w:val="20"/>
              </w:rPr>
              <w:t xml:space="preserve"> complaint as well as her request for reconsideration. Ms. Gardezi unsuccessfully sought judicial review of the HRT decisions and then filed an appeal with the Court of Appeal. Garson J.A. ordered Ms. Gardezi to post security for costs of the appeal in the amount of $1,500 in favour of the Union and stayed the underlying appeal pending payment of the security for costs. The Court of Appeal concluded that Garson J.A. set out the correct law and did not misapprehend the merits of her appeal, and dismissed Ms. </w:t>
            </w:r>
            <w:proofErr w:type="spellStart"/>
            <w:r w:rsidRPr="00931A37">
              <w:rPr>
                <w:sz w:val="20"/>
              </w:rPr>
              <w:t>Gardezi’s</w:t>
            </w:r>
            <w:proofErr w:type="spellEnd"/>
            <w:r w:rsidRPr="00931A37">
              <w:rPr>
                <w:sz w:val="20"/>
              </w:rPr>
              <w:t xml:space="preserve"> application for review of that decision.</w:t>
            </w:r>
          </w:p>
        </w:tc>
      </w:tr>
      <w:tr w:rsidR="00931A37" w:rsidRPr="00931A37" w:rsidTr="00931A37">
        <w:tc>
          <w:tcPr>
            <w:tcW w:w="5000" w:type="pct"/>
            <w:gridSpan w:val="4"/>
          </w:tcPr>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October 20, 2017</w:t>
            </w:r>
          </w:p>
          <w:p w:rsidR="00931A37" w:rsidRPr="00931A37" w:rsidRDefault="00931A37" w:rsidP="00931A37">
            <w:pPr>
              <w:jc w:val="both"/>
              <w:rPr>
                <w:sz w:val="20"/>
              </w:rPr>
            </w:pPr>
            <w:r w:rsidRPr="00931A37">
              <w:rPr>
                <w:sz w:val="20"/>
              </w:rPr>
              <w:t>Supreme Court of British Columbia</w:t>
            </w:r>
          </w:p>
          <w:p w:rsidR="00931A37" w:rsidRPr="00931A37" w:rsidRDefault="00931A37" w:rsidP="00931A37">
            <w:pPr>
              <w:jc w:val="both"/>
              <w:rPr>
                <w:sz w:val="20"/>
              </w:rPr>
            </w:pPr>
            <w:r w:rsidRPr="00931A37">
              <w:rPr>
                <w:sz w:val="20"/>
              </w:rPr>
              <w:t>(Burke J.)</w:t>
            </w:r>
          </w:p>
          <w:p w:rsidR="00931A37" w:rsidRPr="00931A37" w:rsidRDefault="00345C48" w:rsidP="00931A37">
            <w:pPr>
              <w:jc w:val="both"/>
              <w:rPr>
                <w:sz w:val="20"/>
              </w:rPr>
            </w:pPr>
            <w:hyperlink r:id="rId41" w:history="1">
              <w:r w:rsidR="00931A37" w:rsidRPr="00931A37">
                <w:rPr>
                  <w:rStyle w:val="Hyperlink"/>
                  <w:sz w:val="20"/>
                </w:rPr>
                <w:t>2017 BCSC 1883</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for judicial review dismissed with costs</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February 23, 2018</w:t>
            </w:r>
          </w:p>
          <w:p w:rsidR="00931A37" w:rsidRPr="00931A37" w:rsidRDefault="00931A37" w:rsidP="00931A37">
            <w:pPr>
              <w:jc w:val="both"/>
              <w:rPr>
                <w:sz w:val="20"/>
              </w:rPr>
            </w:pPr>
            <w:r w:rsidRPr="00931A37">
              <w:rPr>
                <w:sz w:val="20"/>
              </w:rPr>
              <w:t xml:space="preserve">Court of Appeal for British Columbia </w:t>
            </w:r>
          </w:p>
          <w:p w:rsidR="00931A37" w:rsidRPr="00931A37" w:rsidRDefault="00931A37" w:rsidP="00931A37">
            <w:pPr>
              <w:jc w:val="both"/>
              <w:rPr>
                <w:sz w:val="20"/>
                <w:lang w:val="fr-CA"/>
              </w:rPr>
            </w:pPr>
            <w:r w:rsidRPr="00931A37">
              <w:rPr>
                <w:sz w:val="20"/>
                <w:lang w:val="fr-CA"/>
              </w:rPr>
              <w:t>(Vancouver)</w:t>
            </w:r>
          </w:p>
          <w:p w:rsidR="00931A37" w:rsidRPr="00931A37" w:rsidRDefault="00931A37" w:rsidP="00931A37">
            <w:pPr>
              <w:jc w:val="both"/>
              <w:rPr>
                <w:sz w:val="20"/>
                <w:lang w:val="fr-CA"/>
              </w:rPr>
            </w:pPr>
            <w:r w:rsidRPr="00931A37">
              <w:rPr>
                <w:sz w:val="20"/>
                <w:lang w:val="fr-CA"/>
              </w:rPr>
              <w:t>(</w:t>
            </w:r>
            <w:proofErr w:type="spellStart"/>
            <w:r w:rsidRPr="00931A37">
              <w:rPr>
                <w:sz w:val="20"/>
                <w:lang w:val="fr-CA"/>
              </w:rPr>
              <w:t>Garson</w:t>
            </w:r>
            <w:proofErr w:type="spellEnd"/>
            <w:r w:rsidRPr="00931A37">
              <w:rPr>
                <w:sz w:val="20"/>
                <w:lang w:val="fr-CA"/>
              </w:rPr>
              <w:t xml:space="preserve"> J.A.)</w:t>
            </w:r>
          </w:p>
          <w:p w:rsidR="00931A37" w:rsidRPr="00931A37" w:rsidRDefault="00345C48" w:rsidP="00931A37">
            <w:pPr>
              <w:jc w:val="both"/>
              <w:rPr>
                <w:sz w:val="20"/>
                <w:lang w:val="fr-CA"/>
              </w:rPr>
            </w:pPr>
            <w:hyperlink r:id="rId42" w:history="1">
              <w:r w:rsidR="00931A37" w:rsidRPr="00931A37">
                <w:rPr>
                  <w:rStyle w:val="Hyperlink"/>
                  <w:sz w:val="20"/>
                  <w:lang w:val="fr-CA"/>
                </w:rPr>
                <w:t>2018 BCCA 84</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rPr>
            </w:pPr>
            <w:r w:rsidRPr="00931A37">
              <w:rPr>
                <w:sz w:val="20"/>
              </w:rPr>
              <w:t>Applicant ordered to post security for costs of the appeal in the amount of $1,500 in favour of the respondent Union; underlying appeal stayed pending payment of security</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May 31, 2018</w:t>
            </w:r>
          </w:p>
          <w:p w:rsidR="00931A37" w:rsidRPr="00931A37" w:rsidRDefault="00931A37" w:rsidP="00931A37">
            <w:pPr>
              <w:jc w:val="both"/>
              <w:rPr>
                <w:sz w:val="20"/>
              </w:rPr>
            </w:pPr>
            <w:r w:rsidRPr="00931A37">
              <w:rPr>
                <w:sz w:val="20"/>
              </w:rPr>
              <w:t xml:space="preserve">Court of Appeal for British Columbia </w:t>
            </w:r>
          </w:p>
          <w:p w:rsidR="00931A37" w:rsidRPr="00931A37" w:rsidRDefault="00931A37" w:rsidP="00931A37">
            <w:pPr>
              <w:jc w:val="both"/>
              <w:rPr>
                <w:sz w:val="20"/>
              </w:rPr>
            </w:pPr>
            <w:r w:rsidRPr="00931A37">
              <w:rPr>
                <w:sz w:val="20"/>
              </w:rPr>
              <w:t>(Vancouver)</w:t>
            </w:r>
          </w:p>
          <w:p w:rsidR="00931A37" w:rsidRPr="00931A37" w:rsidRDefault="00931A37" w:rsidP="00931A37">
            <w:pPr>
              <w:jc w:val="both"/>
              <w:rPr>
                <w:sz w:val="20"/>
              </w:rPr>
            </w:pPr>
            <w:r w:rsidRPr="00931A37">
              <w:rPr>
                <w:sz w:val="20"/>
              </w:rPr>
              <w:t xml:space="preserve">(Newbury, </w:t>
            </w:r>
            <w:proofErr w:type="spellStart"/>
            <w:r w:rsidRPr="00931A37">
              <w:rPr>
                <w:sz w:val="20"/>
              </w:rPr>
              <w:t>MacKenzie</w:t>
            </w:r>
            <w:proofErr w:type="spellEnd"/>
            <w:r w:rsidRPr="00931A37">
              <w:rPr>
                <w:sz w:val="20"/>
              </w:rPr>
              <w:t>, Harris JJ.A.)</w:t>
            </w:r>
          </w:p>
          <w:p w:rsidR="00931A37" w:rsidRPr="00931A37" w:rsidRDefault="00345C48" w:rsidP="00931A37">
            <w:pPr>
              <w:jc w:val="both"/>
              <w:rPr>
                <w:sz w:val="20"/>
              </w:rPr>
            </w:pPr>
            <w:hyperlink r:id="rId43" w:history="1">
              <w:r w:rsidR="00931A37" w:rsidRPr="00931A37">
                <w:rPr>
                  <w:rStyle w:val="Hyperlink"/>
                  <w:sz w:val="20"/>
                </w:rPr>
                <w:t>2018 BCCA 231</w:t>
              </w:r>
            </w:hyperlink>
            <w:r w:rsidR="00931A37" w:rsidRPr="00931A37">
              <w:rPr>
                <w:sz w:val="20"/>
              </w:rPr>
              <w:t>;CA44894</w:t>
            </w:r>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to vary the order of Garson J.A. dismissed</w:t>
            </w:r>
          </w:p>
        </w:tc>
      </w:tr>
      <w:tr w:rsidR="00931A37" w:rsidRPr="00931A37" w:rsidTr="00931A37">
        <w:tc>
          <w:tcPr>
            <w:tcW w:w="2427" w:type="pct"/>
            <w:gridSpan w:val="2"/>
          </w:tcPr>
          <w:p w:rsidR="00931A37" w:rsidRPr="00931A37" w:rsidRDefault="00931A37" w:rsidP="00931A37">
            <w:pPr>
              <w:jc w:val="both"/>
              <w:rPr>
                <w:sz w:val="20"/>
              </w:rPr>
            </w:pPr>
            <w:r w:rsidRPr="00931A37">
              <w:rPr>
                <w:sz w:val="20"/>
              </w:rPr>
              <w:t>August 27, 2018</w:t>
            </w:r>
          </w:p>
          <w:p w:rsidR="00931A37" w:rsidRPr="00931A37" w:rsidRDefault="00931A37" w:rsidP="00931A37">
            <w:pPr>
              <w:jc w:val="both"/>
              <w:rPr>
                <w:sz w:val="20"/>
              </w:rPr>
            </w:pPr>
            <w:r w:rsidRPr="00931A37">
              <w:rPr>
                <w:sz w:val="20"/>
              </w:rPr>
              <w:t>Supreme Court of Canada</w:t>
            </w: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for leave to appeal filed</w:t>
            </w:r>
          </w:p>
          <w:p w:rsidR="00931A37" w:rsidRPr="00931A37" w:rsidRDefault="00931A37" w:rsidP="00931A37">
            <w:pPr>
              <w:jc w:val="both"/>
              <w:rPr>
                <w:sz w:val="20"/>
              </w:rPr>
            </w:pPr>
          </w:p>
        </w:tc>
      </w:tr>
    </w:tbl>
    <w:p w:rsidR="00931A37" w:rsidRDefault="00931A37" w:rsidP="00931A37">
      <w:pPr>
        <w:jc w:val="both"/>
        <w:rPr>
          <w:sz w:val="20"/>
        </w:rPr>
      </w:pPr>
    </w:p>
    <w:p w:rsidR="00925A9A" w:rsidRPr="00931A37" w:rsidRDefault="00925A9A"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fr-CA"/>
              </w:rPr>
            </w:pPr>
            <w:r w:rsidRPr="00931A37">
              <w:rPr>
                <w:rStyle w:val="SCCFileNumberChar"/>
                <w:sz w:val="20"/>
                <w:szCs w:val="20"/>
                <w:lang w:val="fr-CA"/>
              </w:rPr>
              <w:t>38383</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Shella Gardezi c. Positive Living Society of British Columbia, Ross Harvey, Alexandra Regier</w:t>
            </w:r>
            <w:r w:rsidR="00231B14">
              <w:rPr>
                <w:b/>
                <w:sz w:val="20"/>
                <w:szCs w:val="20"/>
              </w:rPr>
              <w:t xml:space="preserve"> et </w:t>
            </w:r>
            <w:r w:rsidRPr="00925A9A">
              <w:rPr>
                <w:b/>
                <w:sz w:val="20"/>
                <w:szCs w:val="20"/>
              </w:rPr>
              <w:t xml:space="preserve"> Syndicat canadien de la fonction publique, section locale 3495</w:t>
            </w:r>
          </w:p>
          <w:p w:rsidR="00931A37" w:rsidRPr="00931A37" w:rsidRDefault="00931A37" w:rsidP="00931A37">
            <w:pPr>
              <w:jc w:val="both"/>
              <w:rPr>
                <w:sz w:val="20"/>
                <w:lang w:val="fr-CA"/>
              </w:rPr>
            </w:pPr>
            <w:r w:rsidRPr="00931A37">
              <w:rPr>
                <w:sz w:val="20"/>
                <w:lang w:val="fr-CA"/>
              </w:rPr>
              <w:t>(C.-B.)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i/>
                <w:sz w:val="20"/>
                <w:lang w:val="fr-CA"/>
              </w:rPr>
              <w:t>Charte des droits</w:t>
            </w:r>
            <w:r w:rsidRPr="00931A37">
              <w:rPr>
                <w:sz w:val="20"/>
                <w:lang w:val="fr-CA"/>
              </w:rPr>
              <w:t xml:space="preserve"> – Procédure civile – Dépens – Cautionnement pour dépens – Dépens en appel – La demanderesse a été condamnée à verser un cautionnement pour dépens en appel – L’ordonnance de déposer un cautionnement pour dépens viole-t-elle la </w:t>
            </w:r>
            <w:r w:rsidRPr="00931A37">
              <w:rPr>
                <w:i/>
                <w:sz w:val="20"/>
                <w:lang w:val="fr-CA"/>
              </w:rPr>
              <w:t>Charte</w:t>
            </w:r>
            <w:r w:rsidRPr="00931A37">
              <w:rPr>
                <w:sz w:val="20"/>
                <w:lang w:val="fr-CA"/>
              </w:rPr>
              <w:t xml:space="preserve">, le </w:t>
            </w:r>
            <w:r w:rsidRPr="00931A37">
              <w:rPr>
                <w:i/>
                <w:sz w:val="20"/>
                <w:lang w:val="fr-CA"/>
              </w:rPr>
              <w:t>Code criminel</w:t>
            </w:r>
            <w:r w:rsidRPr="00931A37">
              <w:rPr>
                <w:sz w:val="20"/>
                <w:lang w:val="fr-CA"/>
              </w:rPr>
              <w:t>, L.R.C., 1985, ch. C-46, et la Convention relative aux droits des personnes handicapées? – La demanderesse a-t-elle été soumise à un traitement discriminatoire de la part de membres du tribunal administratif et de membres de la magistrature?</w:t>
            </w:r>
          </w:p>
          <w:p w:rsidR="00931A37" w:rsidRPr="00931A37" w:rsidRDefault="00931A37" w:rsidP="00931A37">
            <w:pPr>
              <w:jc w:val="both"/>
              <w:rPr>
                <w:sz w:val="20"/>
                <w:lang w:val="fr-CA"/>
              </w:rPr>
            </w:pP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Le 22 avril 2015, la demanderesse, Mme Gardezi, a déposé une plainte au Tribunal des droits de la personne de la Colombie-Britannique (le « Tribunal ») alléguant avoir été l’objet de discrimination de la part de l’employeur, le Syndicat canadien de la fonction publique, section locale 3495 (le « syndicat »), et de deux employés de l’employeur. Le Tribunal a rejeté la plainte de  Mme Gardezi et sa requête en réexamen. Madame Gardezi a demandé sans succès le contrôle judiciaire des décisions du Tribunal, puis a déposé un appel à la Cour d’appel. La juge Garson a ordonné à Mme Gardezi de déposer un cautionnement pour dépens en appel d’un montant de 1 500 $ en faveur du syndicat et a suspendu l’appel sous-jacent en attendant le versement de ce cautionnement. La Cour d’appel a conclu que la juge Garson avait appliqué les bons principes de droit et qu’elle n’avait pas mal apprécié le bien-fondé de son appel et a rejeté la demande de Mme Gardezi de contrôle de cette décision.</w:t>
            </w:r>
          </w:p>
        </w:tc>
      </w:tr>
      <w:tr w:rsidR="00931A37" w:rsidRPr="008E5DBE" w:rsidTr="00931A37">
        <w:tc>
          <w:tcPr>
            <w:tcW w:w="5000" w:type="pct"/>
            <w:gridSpan w:val="4"/>
          </w:tcPr>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20 octobre 2017</w:t>
            </w:r>
          </w:p>
          <w:p w:rsidR="00931A37" w:rsidRPr="00931A37" w:rsidRDefault="00931A37" w:rsidP="00931A37">
            <w:pPr>
              <w:jc w:val="both"/>
              <w:rPr>
                <w:sz w:val="20"/>
                <w:lang w:val="fr-CA"/>
              </w:rPr>
            </w:pPr>
            <w:r w:rsidRPr="00931A37">
              <w:rPr>
                <w:sz w:val="20"/>
                <w:lang w:val="fr-CA"/>
              </w:rPr>
              <w:t>Cour suprême de la Colombie-Britannique</w:t>
            </w:r>
          </w:p>
          <w:p w:rsidR="00931A37" w:rsidRPr="00931A37" w:rsidRDefault="00931A37" w:rsidP="00931A37">
            <w:pPr>
              <w:jc w:val="both"/>
              <w:rPr>
                <w:sz w:val="20"/>
                <w:lang w:val="fr-CA"/>
              </w:rPr>
            </w:pPr>
            <w:r w:rsidRPr="00931A37">
              <w:rPr>
                <w:sz w:val="20"/>
                <w:lang w:val="fr-CA"/>
              </w:rPr>
              <w:t>(Juge Burke)</w:t>
            </w:r>
          </w:p>
          <w:p w:rsidR="00931A37" w:rsidRPr="00931A37" w:rsidRDefault="00345C48" w:rsidP="00931A37">
            <w:pPr>
              <w:jc w:val="both"/>
              <w:rPr>
                <w:sz w:val="20"/>
                <w:lang w:val="fr-CA"/>
              </w:rPr>
            </w:pPr>
            <w:hyperlink r:id="rId44" w:history="1">
              <w:r w:rsidR="00931A37" w:rsidRPr="00931A37">
                <w:rPr>
                  <w:rStyle w:val="Hyperlink"/>
                  <w:sz w:val="20"/>
                  <w:lang w:val="fr-CA"/>
                </w:rPr>
                <w:t>2017 BCSC 1883</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Rejet de la demande de contrôle judiciaire, avec dépens</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23 février 2018</w:t>
            </w:r>
          </w:p>
          <w:p w:rsidR="00931A37" w:rsidRPr="00931A37" w:rsidRDefault="00931A37" w:rsidP="00931A37">
            <w:pPr>
              <w:jc w:val="both"/>
              <w:rPr>
                <w:sz w:val="20"/>
                <w:lang w:val="fr-CA"/>
              </w:rPr>
            </w:pPr>
            <w:r w:rsidRPr="00931A37">
              <w:rPr>
                <w:sz w:val="20"/>
                <w:lang w:val="fr-CA"/>
              </w:rPr>
              <w:t xml:space="preserve">Cour d’appel de la Colombie-Britannique </w:t>
            </w:r>
          </w:p>
          <w:p w:rsidR="00931A37" w:rsidRPr="00931A37" w:rsidRDefault="00931A37" w:rsidP="00931A37">
            <w:pPr>
              <w:jc w:val="both"/>
              <w:rPr>
                <w:sz w:val="20"/>
                <w:lang w:val="fr-CA"/>
              </w:rPr>
            </w:pPr>
            <w:r w:rsidRPr="00931A37">
              <w:rPr>
                <w:sz w:val="20"/>
                <w:lang w:val="fr-CA"/>
              </w:rPr>
              <w:t>(Vancouver)</w:t>
            </w:r>
          </w:p>
          <w:p w:rsidR="00931A37" w:rsidRPr="00931A37" w:rsidRDefault="00931A37" w:rsidP="00931A37">
            <w:pPr>
              <w:jc w:val="both"/>
              <w:rPr>
                <w:sz w:val="20"/>
                <w:lang w:val="fr-CA"/>
              </w:rPr>
            </w:pPr>
            <w:r w:rsidRPr="00931A37">
              <w:rPr>
                <w:sz w:val="20"/>
                <w:lang w:val="fr-CA"/>
              </w:rPr>
              <w:t>(Juge Garson)</w:t>
            </w:r>
          </w:p>
          <w:p w:rsidR="00931A37" w:rsidRPr="00931A37" w:rsidRDefault="00345C48" w:rsidP="00931A37">
            <w:pPr>
              <w:jc w:val="both"/>
              <w:rPr>
                <w:sz w:val="20"/>
                <w:lang w:val="fr-CA"/>
              </w:rPr>
            </w:pPr>
            <w:hyperlink r:id="rId45" w:history="1">
              <w:r w:rsidR="00931A37" w:rsidRPr="00931A37">
                <w:rPr>
                  <w:rStyle w:val="Hyperlink"/>
                  <w:sz w:val="20"/>
                  <w:lang w:val="fr-CA"/>
                </w:rPr>
                <w:t>2018 BCCA 84</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Jugement ordonnant à la demanderesse de déposer un cautionnement pour dépens d’un montant de 1 500 $ en faveur du syndicat intimé et suspendant l’appel sous-jacent en attendant le versement du cautionnement</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31 mai 2018</w:t>
            </w:r>
          </w:p>
          <w:p w:rsidR="00931A37" w:rsidRPr="00931A37" w:rsidRDefault="00931A37" w:rsidP="00931A37">
            <w:pPr>
              <w:jc w:val="both"/>
              <w:rPr>
                <w:sz w:val="20"/>
                <w:lang w:val="fr-CA"/>
              </w:rPr>
            </w:pPr>
            <w:r w:rsidRPr="00931A37">
              <w:rPr>
                <w:sz w:val="20"/>
                <w:lang w:val="fr-CA"/>
              </w:rPr>
              <w:t xml:space="preserve">Cour d’appel de la Colombie-Britannique </w:t>
            </w:r>
          </w:p>
          <w:p w:rsidR="00931A37" w:rsidRPr="00931A37" w:rsidRDefault="00931A37" w:rsidP="00931A37">
            <w:pPr>
              <w:jc w:val="both"/>
              <w:rPr>
                <w:sz w:val="20"/>
                <w:lang w:val="fr-CA"/>
              </w:rPr>
            </w:pPr>
            <w:r w:rsidRPr="00931A37">
              <w:rPr>
                <w:sz w:val="20"/>
                <w:lang w:val="fr-CA"/>
              </w:rPr>
              <w:t>(Vancouver)</w:t>
            </w:r>
          </w:p>
          <w:p w:rsidR="00931A37" w:rsidRPr="00931A37" w:rsidRDefault="00931A37" w:rsidP="00931A37">
            <w:pPr>
              <w:jc w:val="both"/>
              <w:rPr>
                <w:sz w:val="20"/>
                <w:lang w:val="fr-CA"/>
              </w:rPr>
            </w:pPr>
            <w:r w:rsidRPr="00931A37">
              <w:rPr>
                <w:sz w:val="20"/>
                <w:lang w:val="fr-CA"/>
              </w:rPr>
              <w:lastRenderedPageBreak/>
              <w:t>(Juges Newbury, MacKenzie et Harris)</w:t>
            </w:r>
          </w:p>
          <w:p w:rsidR="00931A37" w:rsidRPr="00931A37" w:rsidRDefault="00345C48" w:rsidP="00931A37">
            <w:pPr>
              <w:jc w:val="both"/>
              <w:rPr>
                <w:sz w:val="20"/>
                <w:lang w:val="fr-CA"/>
              </w:rPr>
            </w:pPr>
            <w:hyperlink r:id="rId46" w:history="1">
              <w:r w:rsidR="00931A37" w:rsidRPr="00931A37">
                <w:rPr>
                  <w:rStyle w:val="Hyperlink"/>
                  <w:sz w:val="20"/>
                  <w:lang w:val="fr-CA"/>
                </w:rPr>
                <w:t>2018 BCCA 231</w:t>
              </w:r>
            </w:hyperlink>
            <w:r w:rsidR="00931A37" w:rsidRPr="00931A37">
              <w:rPr>
                <w:sz w:val="20"/>
                <w:lang w:val="fr-CA"/>
              </w:rPr>
              <w:t>;CA44894</w:t>
            </w:r>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Rejet de la demande de modification de l’ordonnance de la juge Garson</w:t>
            </w: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27 août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Dépôt de la demande d’autorisation d’appel</w:t>
            </w:r>
          </w:p>
          <w:p w:rsidR="00931A37" w:rsidRPr="00931A37" w:rsidRDefault="00931A37" w:rsidP="00931A37">
            <w:pPr>
              <w:jc w:val="both"/>
              <w:rPr>
                <w:sz w:val="20"/>
                <w:lang w:val="fr-CA"/>
              </w:rPr>
            </w:pPr>
          </w:p>
        </w:tc>
      </w:tr>
    </w:tbl>
    <w:p w:rsidR="00931A37" w:rsidRPr="00931A37" w:rsidRDefault="00931A37" w:rsidP="00931A37">
      <w:pPr>
        <w:jc w:val="both"/>
        <w:rPr>
          <w:sz w:val="20"/>
          <w:lang w:val="fr-CA"/>
        </w:rPr>
      </w:pPr>
    </w:p>
    <w:p w:rsidR="00931A37" w:rsidRPr="00931A37" w:rsidRDefault="00931A37" w:rsidP="00931A37">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38250</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Abella Ezra Kasheke v. Attorney General of Canada</w:t>
            </w:r>
            <w:r w:rsidR="007701E9">
              <w:rPr>
                <w:b/>
                <w:sz w:val="20"/>
                <w:szCs w:val="20"/>
                <w:lang w:val="en-US"/>
              </w:rPr>
              <w:t xml:space="preserve"> and</w:t>
            </w:r>
            <w:r w:rsidRPr="00925A9A">
              <w:rPr>
                <w:b/>
                <w:sz w:val="20"/>
                <w:szCs w:val="20"/>
                <w:lang w:val="en-US"/>
              </w:rPr>
              <w:t xml:space="preserve"> John Baird, Minister of Foreign Affairs</w:t>
            </w:r>
          </w:p>
          <w:p w:rsidR="00931A37" w:rsidRPr="00931A37" w:rsidRDefault="00931A37" w:rsidP="00931A37">
            <w:pPr>
              <w:jc w:val="both"/>
              <w:rPr>
                <w:sz w:val="20"/>
              </w:rPr>
            </w:pPr>
            <w:r w:rsidRPr="00931A37">
              <w:rPr>
                <w:sz w:val="20"/>
              </w:rPr>
              <w:t>(N.S.) (Civil) (By Leave)</w:t>
            </w:r>
          </w:p>
        </w:tc>
      </w:tr>
      <w:tr w:rsidR="00931A37" w:rsidRPr="00931A37" w:rsidTr="00931A37">
        <w:tc>
          <w:tcPr>
            <w:tcW w:w="5000" w:type="pct"/>
            <w:gridSpan w:val="4"/>
          </w:tcPr>
          <w:p w:rsidR="00931A37" w:rsidRPr="00931A37" w:rsidRDefault="00931A37" w:rsidP="00931A37">
            <w:pPr>
              <w:jc w:val="both"/>
              <w:rPr>
                <w:sz w:val="20"/>
              </w:rPr>
            </w:pPr>
            <w:r w:rsidRPr="00931A37">
              <w:rPr>
                <w:sz w:val="20"/>
              </w:rPr>
              <w:t xml:space="preserve">Constitutional law — Civil procedure — Appeals — Whether the application raises an issue of public or national importance. </w:t>
            </w:r>
          </w:p>
        </w:tc>
      </w:tr>
      <w:tr w:rsidR="00931A37" w:rsidRPr="00931A37" w:rsidTr="00931A37">
        <w:tc>
          <w:tcPr>
            <w:tcW w:w="5000" w:type="pct"/>
            <w:gridSpan w:val="4"/>
          </w:tcPr>
          <w:p w:rsidR="00931A37" w:rsidRPr="00931A37" w:rsidRDefault="00931A37" w:rsidP="00931A37">
            <w:pPr>
              <w:jc w:val="both"/>
              <w:rPr>
                <w:sz w:val="20"/>
              </w:rPr>
            </w:pPr>
          </w:p>
          <w:p w:rsidR="00931A37" w:rsidRPr="00931A37" w:rsidRDefault="00931A37" w:rsidP="00931A37">
            <w:pPr>
              <w:jc w:val="both"/>
              <w:rPr>
                <w:sz w:val="20"/>
              </w:rPr>
            </w:pPr>
            <w:r w:rsidRPr="00931A37">
              <w:rPr>
                <w:sz w:val="20"/>
              </w:rPr>
              <w:t>In 2014, Rev. Dr. Kasheke filed a statement of claim alleging that, when he was in Tanzania between 2010 and 2013, Canadian government officials failed to assist him and, as a result, he was injured.</w:t>
            </w:r>
          </w:p>
          <w:p w:rsidR="00931A37" w:rsidRPr="00931A37" w:rsidRDefault="00931A37" w:rsidP="00931A37">
            <w:pPr>
              <w:jc w:val="both"/>
              <w:rPr>
                <w:sz w:val="20"/>
              </w:rPr>
            </w:pPr>
          </w:p>
          <w:p w:rsidR="00931A37" w:rsidRPr="00931A37" w:rsidRDefault="00931A37" w:rsidP="00931A37">
            <w:pPr>
              <w:jc w:val="both"/>
              <w:rPr>
                <w:sz w:val="20"/>
              </w:rPr>
            </w:pPr>
            <w:r w:rsidRPr="00931A37">
              <w:rPr>
                <w:sz w:val="20"/>
              </w:rPr>
              <w:t>In March 2017, having found that the statement of claim failed to disclose any cause of action, LeBlanc J. granted the respondents’ motion for summary judgment and struck the statement of claim without leave to amend.</w:t>
            </w:r>
          </w:p>
          <w:p w:rsidR="00931A37" w:rsidRPr="00931A37" w:rsidRDefault="00931A37" w:rsidP="00931A37">
            <w:pPr>
              <w:jc w:val="both"/>
              <w:rPr>
                <w:sz w:val="20"/>
              </w:rPr>
            </w:pPr>
          </w:p>
          <w:p w:rsidR="00931A37" w:rsidRPr="00931A37" w:rsidRDefault="00931A37" w:rsidP="00931A37">
            <w:pPr>
              <w:jc w:val="both"/>
              <w:rPr>
                <w:sz w:val="20"/>
              </w:rPr>
            </w:pPr>
            <w:r w:rsidRPr="00931A37">
              <w:rPr>
                <w:sz w:val="20"/>
              </w:rPr>
              <w:t>Rev. Dr. Kasheke appealed. The respondents brought an interlocutory motion to set aside the notice of appeal on the basis that it disclosed no sustainable grounds of appeal. The motion was heard over two days by Derrick J.A., in chambers. The respondents’ motion was granted, the appeal was dismissed, and the scheduled appeal date was vacated.</w:t>
            </w:r>
          </w:p>
        </w:tc>
      </w:tr>
      <w:tr w:rsidR="00931A37" w:rsidRPr="00931A37" w:rsidTr="00931A37">
        <w:tc>
          <w:tcPr>
            <w:tcW w:w="5000" w:type="pct"/>
            <w:gridSpan w:val="4"/>
          </w:tcPr>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March 8, 2017</w:t>
            </w:r>
          </w:p>
          <w:p w:rsidR="00931A37" w:rsidRPr="00931A37" w:rsidRDefault="00931A37" w:rsidP="00931A37">
            <w:pPr>
              <w:jc w:val="both"/>
              <w:rPr>
                <w:sz w:val="20"/>
              </w:rPr>
            </w:pPr>
            <w:r w:rsidRPr="00931A37">
              <w:rPr>
                <w:sz w:val="20"/>
              </w:rPr>
              <w:t>Nova Scotia Supreme Court</w:t>
            </w:r>
          </w:p>
          <w:p w:rsidR="00931A37" w:rsidRPr="00931A37" w:rsidRDefault="00931A37" w:rsidP="00931A37">
            <w:pPr>
              <w:jc w:val="both"/>
              <w:rPr>
                <w:sz w:val="20"/>
              </w:rPr>
            </w:pPr>
            <w:r w:rsidRPr="00931A37">
              <w:rPr>
                <w:sz w:val="20"/>
              </w:rPr>
              <w:t>LeBlanc J.</w:t>
            </w:r>
          </w:p>
          <w:p w:rsidR="00931A37" w:rsidRPr="00931A37" w:rsidRDefault="00345C48" w:rsidP="00931A37">
            <w:pPr>
              <w:jc w:val="both"/>
              <w:rPr>
                <w:rStyle w:val="Hyperlink"/>
                <w:sz w:val="20"/>
              </w:rPr>
            </w:pPr>
            <w:hyperlink r:id="rId47" w:history="1">
              <w:r w:rsidR="00931A37" w:rsidRPr="00931A37">
                <w:rPr>
                  <w:rStyle w:val="Hyperlink"/>
                  <w:sz w:val="20"/>
                </w:rPr>
                <w:t>2017 NSSC 61</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Summary judgment granted; claim struck without leave to amend</w:t>
            </w:r>
          </w:p>
        </w:tc>
      </w:tr>
      <w:tr w:rsidR="00931A37" w:rsidRPr="00931A37" w:rsidTr="00931A37">
        <w:tc>
          <w:tcPr>
            <w:tcW w:w="2427" w:type="pct"/>
            <w:gridSpan w:val="2"/>
          </w:tcPr>
          <w:p w:rsidR="00931A37" w:rsidRPr="00931A37" w:rsidRDefault="00931A37" w:rsidP="00931A37">
            <w:pPr>
              <w:jc w:val="both"/>
              <w:rPr>
                <w:sz w:val="20"/>
              </w:rPr>
            </w:pPr>
            <w:r w:rsidRPr="00931A37">
              <w:rPr>
                <w:sz w:val="20"/>
              </w:rPr>
              <w:t>January 3, 2018</w:t>
            </w:r>
          </w:p>
          <w:p w:rsidR="00931A37" w:rsidRPr="00931A37" w:rsidRDefault="00931A37" w:rsidP="00931A37">
            <w:pPr>
              <w:jc w:val="both"/>
              <w:rPr>
                <w:sz w:val="20"/>
              </w:rPr>
            </w:pPr>
            <w:r w:rsidRPr="00931A37">
              <w:rPr>
                <w:sz w:val="20"/>
              </w:rPr>
              <w:t>Nova Scotia Court of Appeal</w:t>
            </w:r>
          </w:p>
          <w:p w:rsidR="00931A37" w:rsidRPr="00931A37" w:rsidRDefault="00931A37" w:rsidP="00931A37">
            <w:pPr>
              <w:jc w:val="both"/>
              <w:rPr>
                <w:sz w:val="20"/>
              </w:rPr>
            </w:pPr>
            <w:r w:rsidRPr="00931A37">
              <w:rPr>
                <w:sz w:val="20"/>
              </w:rPr>
              <w:t>(Derrick J.A.)</w:t>
            </w:r>
          </w:p>
          <w:p w:rsidR="00931A37" w:rsidRPr="00931A37" w:rsidRDefault="00345C48" w:rsidP="00931A37">
            <w:pPr>
              <w:jc w:val="both"/>
              <w:rPr>
                <w:sz w:val="20"/>
              </w:rPr>
            </w:pPr>
            <w:hyperlink r:id="rId48" w:history="1">
              <w:r w:rsidR="00931A37" w:rsidRPr="00931A37">
                <w:rPr>
                  <w:rStyle w:val="Hyperlink"/>
                  <w:sz w:val="20"/>
                </w:rPr>
                <w:t>2018 NSCA 2</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Appeal dismissed</w:t>
            </w:r>
          </w:p>
        </w:tc>
      </w:tr>
      <w:tr w:rsidR="00931A37" w:rsidRPr="00931A37" w:rsidTr="00931A37">
        <w:tc>
          <w:tcPr>
            <w:tcW w:w="2427" w:type="pct"/>
            <w:gridSpan w:val="2"/>
          </w:tcPr>
          <w:p w:rsidR="00931A37" w:rsidRPr="00931A37" w:rsidRDefault="00931A37" w:rsidP="00931A37">
            <w:pPr>
              <w:jc w:val="both"/>
              <w:rPr>
                <w:sz w:val="20"/>
              </w:rPr>
            </w:pPr>
            <w:r w:rsidRPr="00931A37">
              <w:rPr>
                <w:sz w:val="20"/>
              </w:rPr>
              <w:t>March 27, 2018</w:t>
            </w:r>
          </w:p>
          <w:p w:rsidR="00931A37" w:rsidRPr="00931A37" w:rsidRDefault="00931A37" w:rsidP="00931A37">
            <w:pPr>
              <w:jc w:val="both"/>
              <w:rPr>
                <w:sz w:val="20"/>
              </w:rPr>
            </w:pPr>
            <w:r w:rsidRPr="00931A37">
              <w:rPr>
                <w:sz w:val="20"/>
              </w:rPr>
              <w:t>Supreme Court of Canada</w:t>
            </w: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for leave to appeal filed</w:t>
            </w:r>
          </w:p>
        </w:tc>
      </w:tr>
    </w:tbl>
    <w:p w:rsidR="00931A37" w:rsidRDefault="00931A37" w:rsidP="00931A37">
      <w:pPr>
        <w:jc w:val="both"/>
        <w:rPr>
          <w:sz w:val="20"/>
        </w:rPr>
      </w:pPr>
    </w:p>
    <w:p w:rsidR="00925A9A" w:rsidRPr="00931A37" w:rsidRDefault="00925A9A"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fr-CA"/>
              </w:rPr>
            </w:pPr>
            <w:r w:rsidRPr="00931A37">
              <w:rPr>
                <w:rStyle w:val="SCCFileNumberChar"/>
                <w:sz w:val="20"/>
                <w:szCs w:val="20"/>
                <w:lang w:val="fr-CA"/>
              </w:rPr>
              <w:t>38250</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Abella Ezra Kasheke c. Procureur général du Canada</w:t>
            </w:r>
            <w:r w:rsidR="007701E9">
              <w:rPr>
                <w:b/>
                <w:sz w:val="20"/>
                <w:szCs w:val="20"/>
              </w:rPr>
              <w:t xml:space="preserve"> et</w:t>
            </w:r>
            <w:r w:rsidRPr="00925A9A">
              <w:rPr>
                <w:b/>
                <w:sz w:val="20"/>
                <w:szCs w:val="20"/>
              </w:rPr>
              <w:t xml:space="preserve"> John Baird, </w:t>
            </w:r>
            <w:r w:rsidR="0011077A">
              <w:rPr>
                <w:b/>
                <w:sz w:val="20"/>
                <w:szCs w:val="20"/>
              </w:rPr>
              <w:t>M</w:t>
            </w:r>
            <w:r w:rsidRPr="00925A9A">
              <w:rPr>
                <w:b/>
                <w:sz w:val="20"/>
                <w:szCs w:val="20"/>
              </w:rPr>
              <w:t>inistre des Affaires étrangères</w:t>
            </w:r>
          </w:p>
          <w:p w:rsidR="00931A37" w:rsidRPr="00931A37" w:rsidRDefault="00931A37" w:rsidP="00931A37">
            <w:pPr>
              <w:jc w:val="both"/>
              <w:rPr>
                <w:sz w:val="20"/>
                <w:lang w:val="fr-CA"/>
              </w:rPr>
            </w:pPr>
            <w:r w:rsidRPr="00931A37">
              <w:rPr>
                <w:sz w:val="20"/>
                <w:lang w:val="fr-CA"/>
              </w:rPr>
              <w:t>(N.-É.)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 xml:space="preserve">Droit constitutionnel — Procédure civile — Appels — La demande soulève-t-elle une question d’importance pour le public ou une question d’importance nationale? </w:t>
            </w:r>
          </w:p>
        </w:tc>
      </w:tr>
      <w:tr w:rsidR="00931A37" w:rsidRPr="008E5DBE" w:rsidTr="00931A37">
        <w:tc>
          <w:tcPr>
            <w:tcW w:w="5000" w:type="pct"/>
            <w:gridSpan w:val="4"/>
          </w:tcPr>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En 2014, le révérend Kasheke a déposé une déclaration alléguant que lorsqu’il se trouvait en Tanzanie, entre 2010 et 2013, des fonctionnaires du gouvernement canadiens ne l’ont pas aidé et qu’en conséquence, il a été blessé.</w:t>
            </w:r>
          </w:p>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 xml:space="preserve">En mars 2017, ayant conclu que la déclaration ne révélait aucune cause d’action, le juge </w:t>
            </w:r>
            <w:proofErr w:type="spellStart"/>
            <w:r w:rsidRPr="00931A37">
              <w:rPr>
                <w:sz w:val="20"/>
                <w:lang w:val="fr-CA"/>
              </w:rPr>
              <w:t>LeBlanc</w:t>
            </w:r>
            <w:proofErr w:type="spellEnd"/>
            <w:r w:rsidRPr="00931A37">
              <w:rPr>
                <w:sz w:val="20"/>
                <w:lang w:val="fr-CA"/>
              </w:rPr>
              <w:t xml:space="preserve"> a accueilli la requête des intimés en jugement sommaire et a radié la déclaration sans autorisation de la modifier.</w:t>
            </w:r>
          </w:p>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 xml:space="preserve">Le révérend Kasheke a interjeté appel. Les intimés ont présenté une requête interlocutoire en annulation de l’avis d’appel, plaidant qu’il ne révélait aucun moyen d’appel viable. La juge Derrick, en son cabinet, a entendu la requête </w:t>
            </w:r>
            <w:r w:rsidRPr="00931A37">
              <w:rPr>
                <w:sz w:val="20"/>
                <w:lang w:val="fr-CA"/>
              </w:rPr>
              <w:lastRenderedPageBreak/>
              <w:t>sur une période de deux jours. La requête des intimés a été accueillie, l’appel a été rejeté et la date fixée pour l’appel a été annulée.</w:t>
            </w:r>
          </w:p>
        </w:tc>
      </w:tr>
      <w:tr w:rsidR="00931A37" w:rsidRPr="008E5DBE" w:rsidTr="00931A37">
        <w:tc>
          <w:tcPr>
            <w:tcW w:w="5000" w:type="pct"/>
            <w:gridSpan w:val="4"/>
          </w:tcPr>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8 mars 2017</w:t>
            </w:r>
          </w:p>
          <w:p w:rsidR="00931A37" w:rsidRPr="00931A37" w:rsidRDefault="00931A37" w:rsidP="00931A37">
            <w:pPr>
              <w:jc w:val="both"/>
              <w:rPr>
                <w:sz w:val="20"/>
                <w:lang w:val="fr-CA"/>
              </w:rPr>
            </w:pPr>
            <w:r w:rsidRPr="00931A37">
              <w:rPr>
                <w:sz w:val="20"/>
                <w:lang w:val="fr-CA"/>
              </w:rPr>
              <w:t>Cour suprême de la Nouvelle-Écosse</w:t>
            </w:r>
          </w:p>
          <w:p w:rsidR="00931A37" w:rsidRPr="00931A37" w:rsidRDefault="00931A37" w:rsidP="00931A37">
            <w:pPr>
              <w:jc w:val="both"/>
              <w:rPr>
                <w:sz w:val="20"/>
                <w:lang w:val="fr-CA"/>
              </w:rPr>
            </w:pPr>
            <w:r w:rsidRPr="00931A37">
              <w:rPr>
                <w:sz w:val="20"/>
                <w:lang w:val="fr-CA"/>
              </w:rPr>
              <w:t>Juge LeBlanc</w:t>
            </w:r>
          </w:p>
          <w:p w:rsidR="00931A37" w:rsidRPr="00931A37" w:rsidRDefault="00345C48" w:rsidP="00931A37">
            <w:pPr>
              <w:jc w:val="both"/>
              <w:rPr>
                <w:rStyle w:val="Hyperlink"/>
                <w:sz w:val="20"/>
                <w:lang w:val="fr-CA"/>
              </w:rPr>
            </w:pPr>
            <w:hyperlink r:id="rId49" w:history="1">
              <w:r w:rsidR="00931A37" w:rsidRPr="00931A37">
                <w:rPr>
                  <w:rStyle w:val="Hyperlink"/>
                  <w:sz w:val="20"/>
                  <w:lang w:val="fr-CA"/>
                </w:rPr>
                <w:t>2017 NSSC 61</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Jugement sommaire radiant la demande sans autorisation de la modifier</w:t>
            </w: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3 janvier 2018</w:t>
            </w:r>
          </w:p>
          <w:p w:rsidR="00931A37" w:rsidRPr="00931A37" w:rsidRDefault="00931A37" w:rsidP="00931A37">
            <w:pPr>
              <w:jc w:val="both"/>
              <w:rPr>
                <w:sz w:val="20"/>
                <w:lang w:val="fr-CA"/>
              </w:rPr>
            </w:pPr>
            <w:r w:rsidRPr="00931A37">
              <w:rPr>
                <w:sz w:val="20"/>
                <w:lang w:val="fr-CA"/>
              </w:rPr>
              <w:t>Cour d’appel de la Nouvelle-Écosse</w:t>
            </w:r>
          </w:p>
          <w:p w:rsidR="00931A37" w:rsidRPr="00931A37" w:rsidRDefault="00931A37" w:rsidP="00931A37">
            <w:pPr>
              <w:jc w:val="both"/>
              <w:rPr>
                <w:sz w:val="20"/>
                <w:lang w:val="fr-CA"/>
              </w:rPr>
            </w:pPr>
            <w:r w:rsidRPr="00931A37">
              <w:rPr>
                <w:sz w:val="20"/>
                <w:lang w:val="fr-CA"/>
              </w:rPr>
              <w:t>(Juge Derrick)</w:t>
            </w:r>
          </w:p>
          <w:p w:rsidR="00931A37" w:rsidRPr="00931A37" w:rsidRDefault="00345C48" w:rsidP="00931A37">
            <w:pPr>
              <w:jc w:val="both"/>
              <w:rPr>
                <w:sz w:val="20"/>
                <w:lang w:val="fr-CA"/>
              </w:rPr>
            </w:pPr>
            <w:hyperlink r:id="rId50" w:history="1">
              <w:r w:rsidR="00931A37" w:rsidRPr="00931A37">
                <w:rPr>
                  <w:rStyle w:val="Hyperlink"/>
                  <w:sz w:val="20"/>
                  <w:lang w:val="fr-CA"/>
                </w:rPr>
                <w:t>2018 NSCA 2</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Rejet de l’appel</w:t>
            </w: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27 mars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Dépôt de la demande d’autorisation d’appel</w:t>
            </w:r>
          </w:p>
        </w:tc>
      </w:tr>
    </w:tbl>
    <w:p w:rsidR="00931A37" w:rsidRPr="00931A37" w:rsidRDefault="00931A37" w:rsidP="00931A37">
      <w:pPr>
        <w:jc w:val="both"/>
        <w:rPr>
          <w:sz w:val="20"/>
          <w:lang w:val="fr-CA"/>
        </w:rPr>
      </w:pPr>
    </w:p>
    <w:p w:rsidR="00931A37" w:rsidRPr="00931A37" w:rsidRDefault="00931A37" w:rsidP="00931A37">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en-CA"/>
              </w:rPr>
            </w:pPr>
            <w:r w:rsidRPr="00931A37">
              <w:rPr>
                <w:rStyle w:val="SCCFileNumberChar"/>
                <w:sz w:val="20"/>
                <w:szCs w:val="20"/>
              </w:rPr>
              <w:t>38377</w:t>
            </w:r>
          </w:p>
        </w:tc>
        <w:tc>
          <w:tcPr>
            <w:tcW w:w="4457" w:type="pct"/>
            <w:gridSpan w:val="3"/>
          </w:tcPr>
          <w:p w:rsidR="00931A37" w:rsidRPr="00925A9A" w:rsidRDefault="00931A37" w:rsidP="00931A37">
            <w:pPr>
              <w:pStyle w:val="SCCLsocParty"/>
              <w:jc w:val="both"/>
              <w:rPr>
                <w:b/>
                <w:sz w:val="20"/>
                <w:szCs w:val="20"/>
                <w:lang w:val="en-CA"/>
              </w:rPr>
            </w:pPr>
            <w:r w:rsidRPr="00925A9A">
              <w:rPr>
                <w:b/>
                <w:sz w:val="20"/>
                <w:szCs w:val="20"/>
                <w:lang w:val="en-CA"/>
              </w:rPr>
              <w:t>M.P. v. E.L.</w:t>
            </w:r>
          </w:p>
          <w:p w:rsidR="00931A37" w:rsidRPr="00931A37" w:rsidRDefault="00931A37" w:rsidP="00931A37">
            <w:pPr>
              <w:jc w:val="both"/>
              <w:rPr>
                <w:sz w:val="20"/>
                <w:lang w:val="en-CA"/>
              </w:rPr>
            </w:pPr>
            <w:r w:rsidRPr="00931A37">
              <w:rPr>
                <w:sz w:val="20"/>
                <w:lang w:val="en-CA"/>
              </w:rPr>
              <w:t>(Que.) (Civil) (By Leave)</w:t>
            </w:r>
          </w:p>
        </w:tc>
      </w:tr>
      <w:tr w:rsidR="00931A37" w:rsidRPr="00931A37" w:rsidTr="00931A37">
        <w:tc>
          <w:tcPr>
            <w:tcW w:w="5000" w:type="pct"/>
            <w:gridSpan w:val="4"/>
          </w:tcPr>
          <w:p w:rsidR="00931A37" w:rsidRPr="00931A37" w:rsidRDefault="00931A37" w:rsidP="00931A37">
            <w:pPr>
              <w:pStyle w:val="SCCBanSummary"/>
              <w:rPr>
                <w:sz w:val="20"/>
                <w:szCs w:val="20"/>
              </w:rPr>
            </w:pPr>
            <w:r w:rsidRPr="00931A37">
              <w:rPr>
                <w:sz w:val="20"/>
                <w:szCs w:val="20"/>
              </w:rPr>
              <w:t>(Publication ban in case) (Publication ban on party) (Certain information not available to the public)</w:t>
            </w:r>
          </w:p>
          <w:p w:rsidR="00931A37" w:rsidRPr="00931A37" w:rsidRDefault="00931A37" w:rsidP="00931A37">
            <w:pPr>
              <w:pStyle w:val="SCCBanSummary"/>
              <w:rPr>
                <w:sz w:val="20"/>
                <w:szCs w:val="20"/>
              </w:rPr>
            </w:pPr>
          </w:p>
          <w:p w:rsidR="00931A37" w:rsidRPr="00931A37" w:rsidRDefault="00931A37" w:rsidP="00931A37">
            <w:pPr>
              <w:jc w:val="both"/>
              <w:rPr>
                <w:sz w:val="20"/>
                <w:lang w:val="en-CA"/>
              </w:rPr>
            </w:pPr>
            <w:proofErr w:type="gramStart"/>
            <w:r w:rsidRPr="00931A37">
              <w:rPr>
                <w:sz w:val="20"/>
                <w:lang w:val="en-CA"/>
              </w:rPr>
              <w:t>Family law – Custody – Parental authority – Child support – Whether joint custody of child is appropriate where two parents live within reasonable distance and were presumed to be competent as of first hearing so that child will spend as much time as possible with each of his or her parents and, in this case, with child’s half-sister, as required by charters and studies on subject, until hearing on merits, if any – Whether, where court of appeal has ruled as well as trial judge, judge who has shown unequivocal bias against applicant, as well as sexism in context of bathroom incident, should unilaterally suspend father’s access rights on interim basis – Whether it should be possible to cancel support – Whether fees of counsel for child should be paid by government and cronyism should be prohibited – Ability to attend meetings about child when applicant is not present.</w:t>
            </w:r>
            <w:proofErr w:type="gramEnd"/>
          </w:p>
        </w:tc>
      </w:tr>
      <w:tr w:rsidR="00931A37" w:rsidRPr="00931A37" w:rsidTr="00931A37">
        <w:tc>
          <w:tcPr>
            <w:tcW w:w="5000" w:type="pct"/>
            <w:gridSpan w:val="4"/>
          </w:tcPr>
          <w:p w:rsidR="00931A37" w:rsidRPr="00931A37" w:rsidRDefault="00931A37" w:rsidP="00931A37">
            <w:pPr>
              <w:jc w:val="both"/>
              <w:rPr>
                <w:sz w:val="20"/>
                <w:lang w:val="en-CA"/>
              </w:rPr>
            </w:pPr>
          </w:p>
        </w:tc>
      </w:tr>
      <w:tr w:rsidR="00931A37" w:rsidRPr="00931A37" w:rsidTr="00931A37">
        <w:tc>
          <w:tcPr>
            <w:tcW w:w="5000" w:type="pct"/>
            <w:gridSpan w:val="4"/>
          </w:tcPr>
          <w:p w:rsidR="00931A37" w:rsidRPr="00931A37" w:rsidRDefault="00931A37" w:rsidP="00931A37">
            <w:pPr>
              <w:jc w:val="both"/>
              <w:rPr>
                <w:sz w:val="20"/>
                <w:lang w:val="en-CA"/>
              </w:rPr>
            </w:pPr>
            <w:r w:rsidRPr="00931A37">
              <w:rPr>
                <w:sz w:val="20"/>
                <w:lang w:val="en-CA"/>
              </w:rPr>
              <w:t xml:space="preserve">The parties ceased living together in 2013. They have a minor child. In June 2015, a judgment on the merits </w:t>
            </w:r>
            <w:proofErr w:type="gramStart"/>
            <w:r w:rsidRPr="00931A37">
              <w:rPr>
                <w:sz w:val="20"/>
                <w:lang w:val="en-CA"/>
              </w:rPr>
              <w:t>was rendered</w:t>
            </w:r>
            <w:proofErr w:type="gramEnd"/>
            <w:r w:rsidRPr="00931A37">
              <w:rPr>
                <w:sz w:val="20"/>
                <w:lang w:val="en-CA"/>
              </w:rPr>
              <w:t xml:space="preserve"> in relation to parental authority, custody, access and child support. The parties applied to the Superior Court to vary those conditions.</w:t>
            </w:r>
          </w:p>
          <w:p w:rsidR="00931A37" w:rsidRPr="00931A37" w:rsidRDefault="00931A37" w:rsidP="00931A37">
            <w:pPr>
              <w:jc w:val="both"/>
              <w:rPr>
                <w:sz w:val="20"/>
                <w:lang w:val="en-CA"/>
              </w:rPr>
            </w:pPr>
          </w:p>
          <w:p w:rsidR="00931A37" w:rsidRPr="00931A37" w:rsidRDefault="00931A37" w:rsidP="00931A37">
            <w:pPr>
              <w:jc w:val="both"/>
              <w:rPr>
                <w:sz w:val="20"/>
                <w:lang w:val="en-CA"/>
              </w:rPr>
            </w:pPr>
            <w:r w:rsidRPr="00931A37">
              <w:rPr>
                <w:sz w:val="20"/>
                <w:lang w:val="en-CA"/>
              </w:rPr>
              <w:t xml:space="preserve">The Superior Court </w:t>
            </w:r>
            <w:proofErr w:type="gramStart"/>
            <w:r w:rsidRPr="00931A37">
              <w:rPr>
                <w:sz w:val="20"/>
                <w:lang w:val="en-CA"/>
              </w:rPr>
              <w:t>was of the opinion that there had been no material change in the child’s circumstances that would justify conducting</w:t>
            </w:r>
            <w:proofErr w:type="gramEnd"/>
            <w:r w:rsidRPr="00931A37">
              <w:rPr>
                <w:sz w:val="20"/>
                <w:lang w:val="en-CA"/>
              </w:rPr>
              <w:t xml:space="preserve"> a custody analysis, that child support should be restored, and that there was no change that justified its intervening on the issue of access. Orders </w:t>
            </w:r>
            <w:proofErr w:type="gramStart"/>
            <w:r w:rsidRPr="00931A37">
              <w:rPr>
                <w:sz w:val="20"/>
                <w:lang w:val="en-CA"/>
              </w:rPr>
              <w:t>were also made</w:t>
            </w:r>
            <w:proofErr w:type="gramEnd"/>
            <w:r w:rsidRPr="00931A37">
              <w:rPr>
                <w:sz w:val="20"/>
                <w:lang w:val="en-CA"/>
              </w:rPr>
              <w:t xml:space="preserve"> in relation, in particular, to the exercise of parental authority. The Court of Appeal identified no error that would justify its intervention and dismissed the appeal. </w:t>
            </w:r>
          </w:p>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November 24, 2017</w:t>
            </w:r>
          </w:p>
          <w:p w:rsidR="00931A37" w:rsidRPr="00931A37" w:rsidRDefault="00931A37" w:rsidP="00931A37">
            <w:pPr>
              <w:jc w:val="both"/>
              <w:rPr>
                <w:sz w:val="20"/>
                <w:lang w:val="en-CA"/>
              </w:rPr>
            </w:pPr>
            <w:r w:rsidRPr="00931A37">
              <w:rPr>
                <w:sz w:val="20"/>
                <w:lang w:val="en-CA"/>
              </w:rPr>
              <w:t>Quebec Superior Court</w:t>
            </w:r>
          </w:p>
          <w:p w:rsidR="00931A37" w:rsidRPr="00931A37" w:rsidRDefault="00931A37" w:rsidP="00931A37">
            <w:pPr>
              <w:jc w:val="both"/>
              <w:rPr>
                <w:sz w:val="20"/>
                <w:lang w:val="en-CA"/>
              </w:rPr>
            </w:pPr>
            <w:r w:rsidRPr="00931A37">
              <w:rPr>
                <w:sz w:val="20"/>
                <w:lang w:val="en-CA"/>
              </w:rPr>
              <w:t>(Morrison J.)</w:t>
            </w:r>
          </w:p>
          <w:p w:rsidR="00931A37" w:rsidRPr="00931A37" w:rsidRDefault="00345C48" w:rsidP="00931A37">
            <w:pPr>
              <w:jc w:val="both"/>
              <w:rPr>
                <w:sz w:val="20"/>
                <w:lang w:val="en-CA"/>
              </w:rPr>
            </w:pPr>
            <w:hyperlink r:id="rId51" w:history="1">
              <w:r w:rsidR="00931A37" w:rsidRPr="00931A37">
                <w:rPr>
                  <w:rStyle w:val="Hyperlink"/>
                  <w:sz w:val="20"/>
                  <w:lang w:val="en-CA"/>
                </w:rPr>
                <w:t>2017 QCCS 6085</w:t>
              </w:r>
            </w:hyperlink>
          </w:p>
          <w:p w:rsidR="00931A37" w:rsidRPr="00931A37" w:rsidRDefault="00931A37" w:rsidP="00931A37">
            <w:pPr>
              <w:jc w:val="both"/>
              <w:rPr>
                <w:sz w:val="20"/>
                <w:lang w:val="en-CA"/>
              </w:rPr>
            </w:pP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M.P.’s application to vary corollary relief with respect to child dismissed; E.L.’s application to cancel child support and suspend M.P.’s access rights dismissed; child support restored; various orders made</w:t>
            </w:r>
          </w:p>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July 25, 2018</w:t>
            </w:r>
          </w:p>
          <w:p w:rsidR="00931A37" w:rsidRPr="00931A37" w:rsidRDefault="00931A37" w:rsidP="00931A37">
            <w:pPr>
              <w:jc w:val="both"/>
              <w:rPr>
                <w:sz w:val="20"/>
                <w:lang w:val="en-CA"/>
              </w:rPr>
            </w:pPr>
            <w:r w:rsidRPr="00931A37">
              <w:rPr>
                <w:sz w:val="20"/>
                <w:lang w:val="en-CA"/>
              </w:rPr>
              <w:t>Quebec Court of Appeal (Montréal)</w:t>
            </w:r>
          </w:p>
          <w:p w:rsidR="00931A37" w:rsidRPr="00931A37" w:rsidRDefault="00931A37" w:rsidP="00931A37">
            <w:pPr>
              <w:jc w:val="both"/>
              <w:rPr>
                <w:sz w:val="20"/>
                <w:lang w:val="en-CA"/>
              </w:rPr>
            </w:pPr>
            <w:r w:rsidRPr="00931A37">
              <w:rPr>
                <w:sz w:val="20"/>
                <w:lang w:val="en-CA"/>
              </w:rPr>
              <w:t>(Hogue, Healy and Roy JJ.A.)</w:t>
            </w:r>
          </w:p>
          <w:p w:rsidR="00931A37" w:rsidRPr="00931A37" w:rsidRDefault="00345C48" w:rsidP="00931A37">
            <w:pPr>
              <w:jc w:val="both"/>
              <w:rPr>
                <w:sz w:val="20"/>
                <w:lang w:val="en-CA"/>
              </w:rPr>
            </w:pPr>
            <w:hyperlink r:id="rId52" w:history="1">
              <w:r w:rsidR="00931A37" w:rsidRPr="00931A37">
                <w:rPr>
                  <w:rStyle w:val="Hyperlink"/>
                  <w:sz w:val="20"/>
                  <w:lang w:val="en-CA"/>
                </w:rPr>
                <w:t>2018 QCCA 1235</w:t>
              </w:r>
            </w:hyperlink>
          </w:p>
          <w:p w:rsidR="00931A37" w:rsidRPr="00931A37" w:rsidRDefault="00931A37" w:rsidP="00931A37">
            <w:pPr>
              <w:jc w:val="both"/>
              <w:rPr>
                <w:sz w:val="20"/>
                <w:lang w:val="en-CA"/>
              </w:rPr>
            </w:pP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M.P.’s appeal dismissed</w:t>
            </w:r>
          </w:p>
          <w:p w:rsidR="00931A37" w:rsidRPr="00931A37" w:rsidRDefault="00931A37" w:rsidP="00931A37">
            <w:pPr>
              <w:jc w:val="both"/>
              <w:rPr>
                <w:sz w:val="20"/>
                <w:lang w:val="en-CA"/>
              </w:rPr>
            </w:pPr>
          </w:p>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September 28, 2018</w:t>
            </w:r>
          </w:p>
          <w:p w:rsidR="00931A37" w:rsidRPr="00931A37" w:rsidRDefault="00931A37" w:rsidP="00931A37">
            <w:pPr>
              <w:jc w:val="both"/>
              <w:rPr>
                <w:sz w:val="20"/>
                <w:lang w:val="en-CA"/>
              </w:rPr>
            </w:pPr>
            <w:r w:rsidRPr="00931A37">
              <w:rPr>
                <w:sz w:val="20"/>
                <w:lang w:val="en-CA"/>
              </w:rPr>
              <w:t>Supreme Court of Canada</w:t>
            </w: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Application for leave to appeal filed</w:t>
            </w:r>
          </w:p>
          <w:p w:rsidR="00931A37" w:rsidRPr="00931A37" w:rsidRDefault="00931A37" w:rsidP="00931A37">
            <w:pPr>
              <w:jc w:val="both"/>
              <w:rPr>
                <w:sz w:val="20"/>
                <w:lang w:val="en-CA"/>
              </w:rPr>
            </w:pPr>
          </w:p>
        </w:tc>
      </w:tr>
    </w:tbl>
    <w:p w:rsidR="00931A37" w:rsidRPr="00931A37" w:rsidRDefault="00931A37" w:rsidP="00931A37">
      <w:pPr>
        <w:jc w:val="both"/>
        <w:rPr>
          <w:sz w:val="20"/>
          <w:lang w:val="en-CA"/>
        </w:rPr>
      </w:pPr>
    </w:p>
    <w:p w:rsidR="00931A37" w:rsidRPr="00931A37" w:rsidRDefault="00931A37" w:rsidP="00931A37">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8E5DBE" w:rsidTr="00931A37">
        <w:tc>
          <w:tcPr>
            <w:tcW w:w="543" w:type="pct"/>
          </w:tcPr>
          <w:p w:rsidR="00931A37" w:rsidRPr="00931A37" w:rsidRDefault="00931A37" w:rsidP="00931A37">
            <w:pPr>
              <w:jc w:val="both"/>
              <w:rPr>
                <w:sz w:val="20"/>
              </w:rPr>
            </w:pPr>
            <w:r w:rsidRPr="00931A37">
              <w:rPr>
                <w:rStyle w:val="SCCFileNumberChar"/>
                <w:sz w:val="20"/>
                <w:szCs w:val="20"/>
              </w:rPr>
              <w:t>38377</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M.P. c. E.L.</w:t>
            </w:r>
          </w:p>
          <w:p w:rsidR="00931A37" w:rsidRPr="00931A37" w:rsidRDefault="00931A37" w:rsidP="00931A37">
            <w:pPr>
              <w:jc w:val="both"/>
              <w:rPr>
                <w:sz w:val="20"/>
                <w:lang w:val="fr-CA"/>
              </w:rPr>
            </w:pPr>
            <w:r w:rsidRPr="00931A37">
              <w:rPr>
                <w:sz w:val="20"/>
                <w:lang w:val="fr-CA"/>
              </w:rPr>
              <w:t>(Qc) (Civile) (Autorisation)</w:t>
            </w:r>
          </w:p>
        </w:tc>
      </w:tr>
      <w:tr w:rsidR="00931A37" w:rsidRPr="008E5DBE" w:rsidTr="00931A37">
        <w:tc>
          <w:tcPr>
            <w:tcW w:w="5000" w:type="pct"/>
            <w:gridSpan w:val="4"/>
          </w:tcPr>
          <w:p w:rsidR="00931A37" w:rsidRPr="00931A37" w:rsidRDefault="00931A37" w:rsidP="00931A37">
            <w:pPr>
              <w:pStyle w:val="SCCBanSummary"/>
              <w:rPr>
                <w:sz w:val="20"/>
                <w:szCs w:val="20"/>
                <w:lang w:val="fr-CA"/>
              </w:rPr>
            </w:pPr>
            <w:r w:rsidRPr="00931A37">
              <w:rPr>
                <w:sz w:val="20"/>
                <w:szCs w:val="20"/>
                <w:lang w:val="fr-CA"/>
              </w:rPr>
              <w:t>(Ordonnance de non-publication dans le dossier) (Ordonnance de non-publication visant une partie) (Le dossier de la Cour renferme des données que le public n'est pas autorisé à consulter)</w:t>
            </w:r>
          </w:p>
          <w:p w:rsidR="00931A37" w:rsidRPr="00931A37" w:rsidRDefault="00931A37" w:rsidP="00931A37">
            <w:pPr>
              <w:pStyle w:val="SCCBanSummary"/>
              <w:rPr>
                <w:sz w:val="20"/>
                <w:szCs w:val="20"/>
                <w:lang w:val="fr-CA"/>
              </w:rPr>
            </w:pPr>
          </w:p>
          <w:p w:rsidR="00931A37" w:rsidRPr="00931A37" w:rsidRDefault="00931A37" w:rsidP="00931A37">
            <w:pPr>
              <w:jc w:val="both"/>
              <w:rPr>
                <w:sz w:val="20"/>
                <w:lang w:val="fr-CA"/>
              </w:rPr>
            </w:pPr>
            <w:r w:rsidRPr="00931A37">
              <w:rPr>
                <w:sz w:val="20"/>
                <w:lang w:val="fr-CA"/>
              </w:rPr>
              <w:t>Droit de la famille – Garde – Autorité parentale – Pension alimentaire pour enfant – La garde de l’enfant devrait-elle être partagée pour deux parents qui habitent à distance raisonnable et que l’on présume compétents dès la première audience pour que l’enfant passe le maximum de temps avec chacun de ses parents et dans le cas présent avec sa demi-sœur, tel que le dicte les chartes et les études sur le sujet, et ce jusqu’à l’audition au mérite le cas échéant? – Lorsqu’une cour d’appel se prononce ainsi qu’un juge sur le fond, un juge qui a démontré sans équivoque son parti pris contre le demandeur ainsi que son sexisme avec l’histoire des salles de bain devrait-il unilatéralement, en intérimaire, suspendre les droits d’accès à un père? – La pension alimentaire devrait-elle être annulable? – Les frais de procureur à l’enfant devraient-ils être payés par l’État et le copinage interdit? – Qu’en est-il du pouvoir d’assister aux réunions concernant l’enfant quand il n’est pas présent?</w:t>
            </w:r>
          </w:p>
        </w:tc>
      </w:tr>
      <w:tr w:rsidR="00931A37" w:rsidRPr="008E5DBE" w:rsidTr="00931A37">
        <w:tc>
          <w:tcPr>
            <w:tcW w:w="5000" w:type="pct"/>
            <w:gridSpan w:val="4"/>
          </w:tcPr>
          <w:p w:rsidR="00931A37" w:rsidRPr="00931A37" w:rsidRDefault="00931A37" w:rsidP="00931A37">
            <w:pPr>
              <w:jc w:val="both"/>
              <w:rPr>
                <w:sz w:val="20"/>
                <w:lang w:val="fr-CA"/>
              </w:rPr>
            </w:pP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Les parties ont cessé de faire vie commune en 2013. Elles ont un enfant mineur. En juin 2015, un jugement au fond a été rendu concernant l’autorité parentale, la garde, les droits d’accès et la pension alimentaire pour l’enfant. En Cour supérieure, les parties demandent des modifications de ces conditions.</w:t>
            </w:r>
          </w:p>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 xml:space="preserve">La Cour supérieure est d’avis qu’aucun changement important dans la situation de l’enfant ne permettrait de procéder à une analyse de la garde, qu’il y a lieu de restaurer la pension alimentaire pour enfant et qu’aucun changement ne justifie son intervention par rapport aux droits d’accès. Des ordonnances sont par ailleurs rendues, notamment concernant l’exercice de l’autorité parentale. La Cour d’appel n’identifie aucune erreur qui ne justifierait son intervention et rejette l’appel. </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Le 24 novembre 2017</w:t>
            </w:r>
          </w:p>
          <w:p w:rsidR="00931A37" w:rsidRPr="00931A37" w:rsidRDefault="00931A37" w:rsidP="00931A37">
            <w:pPr>
              <w:jc w:val="both"/>
              <w:rPr>
                <w:sz w:val="20"/>
                <w:lang w:val="fr-CA"/>
              </w:rPr>
            </w:pPr>
            <w:r w:rsidRPr="00931A37">
              <w:rPr>
                <w:sz w:val="20"/>
                <w:lang w:val="fr-CA"/>
              </w:rPr>
              <w:t>Cour supérieure du Québec</w:t>
            </w:r>
          </w:p>
          <w:p w:rsidR="00931A37" w:rsidRPr="00931A37" w:rsidRDefault="00931A37" w:rsidP="00931A37">
            <w:pPr>
              <w:jc w:val="both"/>
              <w:rPr>
                <w:sz w:val="20"/>
              </w:rPr>
            </w:pPr>
            <w:r w:rsidRPr="00931A37">
              <w:rPr>
                <w:sz w:val="20"/>
              </w:rPr>
              <w:t>(le juge Morrison)</w:t>
            </w:r>
          </w:p>
          <w:p w:rsidR="00931A37" w:rsidRPr="00931A37" w:rsidRDefault="00345C48" w:rsidP="00931A37">
            <w:pPr>
              <w:jc w:val="both"/>
              <w:rPr>
                <w:sz w:val="20"/>
              </w:rPr>
            </w:pPr>
            <w:hyperlink r:id="rId53" w:history="1">
              <w:r w:rsidR="00931A37" w:rsidRPr="00931A37">
                <w:rPr>
                  <w:rStyle w:val="Hyperlink"/>
                  <w:sz w:val="20"/>
                </w:rPr>
                <w:t>2017 QCCS 6085</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lang w:val="fr-CA"/>
              </w:rPr>
            </w:pPr>
            <w:r w:rsidRPr="00931A37">
              <w:rPr>
                <w:sz w:val="20"/>
                <w:lang w:val="fr-CA"/>
              </w:rPr>
              <w:t>Demande de M.P. en modification des mesures accessoires concernant l’enfant rejetée; demande de E.L. en annulation de la pension alimentaire pour enfant et en suspension des droits d’accès de M.P. rejetée; pension alimentaire réinstaurée; ordonnances diverses rendues</w:t>
            </w:r>
          </w:p>
          <w:p w:rsidR="00931A37" w:rsidRPr="00931A37" w:rsidRDefault="00931A37" w:rsidP="00931A37">
            <w:pPr>
              <w:jc w:val="both"/>
              <w:rPr>
                <w:sz w:val="20"/>
                <w:lang w:val="fr-CA"/>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Le 25 juillet 2018</w:t>
            </w:r>
          </w:p>
          <w:p w:rsidR="00931A37" w:rsidRPr="00931A37" w:rsidRDefault="00931A37" w:rsidP="00931A37">
            <w:pPr>
              <w:jc w:val="both"/>
              <w:rPr>
                <w:sz w:val="20"/>
                <w:lang w:val="fr-CA"/>
              </w:rPr>
            </w:pPr>
            <w:r w:rsidRPr="00931A37">
              <w:rPr>
                <w:sz w:val="20"/>
                <w:lang w:val="fr-CA"/>
              </w:rPr>
              <w:t>Cour d’appel du Québec (Montréal)</w:t>
            </w:r>
          </w:p>
          <w:p w:rsidR="00931A37" w:rsidRPr="00931A37" w:rsidRDefault="00931A37" w:rsidP="00931A37">
            <w:pPr>
              <w:jc w:val="both"/>
              <w:rPr>
                <w:sz w:val="20"/>
                <w:lang w:val="fr-CA"/>
              </w:rPr>
            </w:pPr>
            <w:r w:rsidRPr="00931A37">
              <w:rPr>
                <w:sz w:val="20"/>
                <w:lang w:val="fr-CA"/>
              </w:rPr>
              <w:t xml:space="preserve">(les juges </w:t>
            </w:r>
            <w:proofErr w:type="spellStart"/>
            <w:r w:rsidRPr="00931A37">
              <w:rPr>
                <w:sz w:val="20"/>
                <w:lang w:val="fr-CA"/>
              </w:rPr>
              <w:t>Hogue</w:t>
            </w:r>
            <w:proofErr w:type="spellEnd"/>
            <w:r w:rsidRPr="00931A37">
              <w:rPr>
                <w:sz w:val="20"/>
                <w:lang w:val="fr-CA"/>
              </w:rPr>
              <w:t xml:space="preserve">, </w:t>
            </w:r>
            <w:proofErr w:type="spellStart"/>
            <w:r w:rsidRPr="00931A37">
              <w:rPr>
                <w:sz w:val="20"/>
                <w:lang w:val="fr-CA"/>
              </w:rPr>
              <w:t>Healy</w:t>
            </w:r>
            <w:proofErr w:type="spellEnd"/>
            <w:r w:rsidRPr="00931A37">
              <w:rPr>
                <w:sz w:val="20"/>
                <w:lang w:val="fr-CA"/>
              </w:rPr>
              <w:t xml:space="preserve"> et Roy)</w:t>
            </w:r>
          </w:p>
          <w:p w:rsidR="00931A37" w:rsidRPr="00931A37" w:rsidRDefault="00345C48" w:rsidP="00931A37">
            <w:pPr>
              <w:jc w:val="both"/>
              <w:rPr>
                <w:sz w:val="20"/>
              </w:rPr>
            </w:pPr>
            <w:hyperlink r:id="rId54" w:history="1">
              <w:r w:rsidR="00931A37" w:rsidRPr="00931A37">
                <w:rPr>
                  <w:rStyle w:val="Hyperlink"/>
                  <w:sz w:val="20"/>
                </w:rPr>
                <w:t>2018 QCCA 1235</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Appel de M.P. rejeté</w:t>
            </w:r>
          </w:p>
          <w:p w:rsidR="00931A37" w:rsidRPr="00931A37" w:rsidRDefault="00931A37" w:rsidP="00931A37">
            <w:pPr>
              <w:jc w:val="both"/>
              <w:rPr>
                <w:sz w:val="20"/>
              </w:rPr>
            </w:pP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Le 28 septembre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rPr>
            </w:pPr>
            <w:r w:rsidRPr="00931A37">
              <w:rPr>
                <w:sz w:val="20"/>
              </w:rPr>
              <w:t xml:space="preserve">Demande d’autorisation d’appel </w:t>
            </w:r>
            <w:proofErr w:type="spellStart"/>
            <w:r w:rsidRPr="00931A37">
              <w:rPr>
                <w:sz w:val="20"/>
              </w:rPr>
              <w:t>déposée</w:t>
            </w:r>
            <w:proofErr w:type="spellEnd"/>
          </w:p>
          <w:p w:rsidR="00931A37" w:rsidRPr="00931A37" w:rsidRDefault="00931A37" w:rsidP="00931A37">
            <w:pPr>
              <w:jc w:val="both"/>
              <w:rPr>
                <w:sz w:val="20"/>
              </w:rPr>
            </w:pPr>
          </w:p>
        </w:tc>
      </w:tr>
    </w:tbl>
    <w:p w:rsidR="00931A37" w:rsidRPr="00931A37" w:rsidRDefault="00931A37" w:rsidP="00931A37">
      <w:pPr>
        <w:jc w:val="both"/>
        <w:rPr>
          <w:sz w:val="20"/>
        </w:rPr>
      </w:pPr>
    </w:p>
    <w:p w:rsidR="00931A37" w:rsidRPr="00931A37" w:rsidRDefault="00931A37"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en-CA"/>
              </w:rPr>
            </w:pPr>
            <w:r w:rsidRPr="00931A37">
              <w:rPr>
                <w:rStyle w:val="SCCFileNumberChar"/>
                <w:sz w:val="20"/>
                <w:szCs w:val="20"/>
              </w:rPr>
              <w:t>38249</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9280-1331 Québec inc. v. Ville de Montréal</w:t>
            </w:r>
            <w:r w:rsidR="003A7808">
              <w:rPr>
                <w:b/>
                <w:sz w:val="20"/>
                <w:szCs w:val="20"/>
              </w:rPr>
              <w:t xml:space="preserve"> - and - ‘Louise Ste-Croix</w:t>
            </w:r>
          </w:p>
          <w:p w:rsidR="00931A37" w:rsidRPr="00931A37" w:rsidRDefault="00931A37" w:rsidP="00931A37">
            <w:pPr>
              <w:jc w:val="both"/>
              <w:rPr>
                <w:sz w:val="20"/>
                <w:lang w:val="en-CA"/>
              </w:rPr>
            </w:pPr>
            <w:r w:rsidRPr="00931A37">
              <w:rPr>
                <w:sz w:val="20"/>
                <w:lang w:val="en-CA"/>
              </w:rPr>
              <w:t>(Que.) (Civil) (By Leave)</w:t>
            </w:r>
          </w:p>
        </w:tc>
      </w:tr>
      <w:tr w:rsidR="00931A37" w:rsidRPr="00931A37" w:rsidTr="00931A37">
        <w:tc>
          <w:tcPr>
            <w:tcW w:w="5000" w:type="pct"/>
            <w:gridSpan w:val="4"/>
          </w:tcPr>
          <w:p w:rsidR="00931A37" w:rsidRPr="00931A37" w:rsidRDefault="00931A37" w:rsidP="00931A37">
            <w:pPr>
              <w:jc w:val="both"/>
              <w:rPr>
                <w:sz w:val="20"/>
                <w:lang w:val="en-CA"/>
              </w:rPr>
            </w:pPr>
            <w:proofErr w:type="gramStart"/>
            <w:r w:rsidRPr="00931A37">
              <w:rPr>
                <w:sz w:val="20"/>
                <w:lang w:val="en-CA"/>
              </w:rPr>
              <w:t xml:space="preserve">Municipal law – </w:t>
            </w:r>
            <w:r w:rsidRPr="00931A37">
              <w:rPr>
                <w:i/>
                <w:sz w:val="20"/>
                <w:lang w:val="en-CA"/>
              </w:rPr>
              <w:t>Act respecting land use planning and development</w:t>
            </w:r>
            <w:r w:rsidRPr="00931A37">
              <w:rPr>
                <w:sz w:val="20"/>
                <w:lang w:val="en-CA"/>
              </w:rPr>
              <w:t>, CQLR, c. A</w:t>
            </w:r>
            <w:r w:rsidRPr="00931A37">
              <w:rPr>
                <w:sz w:val="20"/>
                <w:lang w:val="en-CA"/>
              </w:rPr>
              <w:noBreakHyphen/>
              <w:t>19.1 – Application for cessation of non</w:t>
            </w:r>
            <w:r w:rsidRPr="00931A37">
              <w:rPr>
                <w:sz w:val="20"/>
                <w:lang w:val="en-CA"/>
              </w:rPr>
              <w:noBreakHyphen/>
              <w:t>conforming use – Promissory estoppel – Whether doctrine of promissory estoppel can be relied on where city tolerated non</w:t>
            </w:r>
            <w:r w:rsidRPr="00931A37">
              <w:rPr>
                <w:sz w:val="20"/>
                <w:lang w:val="en-CA"/>
              </w:rPr>
              <w:noBreakHyphen/>
              <w:t>conforming use under zoning by</w:t>
            </w:r>
            <w:r w:rsidRPr="00931A37">
              <w:rPr>
                <w:sz w:val="20"/>
                <w:lang w:val="en-CA"/>
              </w:rPr>
              <w:noBreakHyphen/>
              <w:t>law for long period of time – Whether Court of Appeal erred in finding that trial judge’s withdrawal of three issues relating to doctrine of promissory estoppel had not prevented applicant from defending itself.</w:t>
            </w:r>
            <w:proofErr w:type="gramEnd"/>
          </w:p>
        </w:tc>
      </w:tr>
      <w:tr w:rsidR="00931A37" w:rsidRPr="00931A37" w:rsidTr="00931A37">
        <w:tc>
          <w:tcPr>
            <w:tcW w:w="5000" w:type="pct"/>
            <w:gridSpan w:val="4"/>
          </w:tcPr>
          <w:p w:rsidR="00931A37" w:rsidRPr="00931A37" w:rsidRDefault="00931A37" w:rsidP="00931A37">
            <w:pPr>
              <w:jc w:val="both"/>
              <w:rPr>
                <w:sz w:val="20"/>
                <w:lang w:val="en-CA"/>
              </w:rPr>
            </w:pPr>
          </w:p>
          <w:p w:rsidR="00931A37" w:rsidRPr="00931A37" w:rsidRDefault="00931A37" w:rsidP="00931A37">
            <w:pPr>
              <w:jc w:val="both"/>
              <w:rPr>
                <w:sz w:val="20"/>
                <w:lang w:val="en-CA"/>
              </w:rPr>
            </w:pPr>
            <w:r w:rsidRPr="00931A37">
              <w:rPr>
                <w:sz w:val="20"/>
                <w:lang w:val="en-CA"/>
              </w:rPr>
              <w:lastRenderedPageBreak/>
              <w:t xml:space="preserve">In 2016, the respondent Ville de Montréal (City) served the applicant with an originating application under s. 227 of the </w:t>
            </w:r>
            <w:r w:rsidRPr="00931A37">
              <w:rPr>
                <w:i/>
                <w:sz w:val="20"/>
                <w:lang w:val="en-CA"/>
              </w:rPr>
              <w:t>Act respecting land use planning and development</w:t>
            </w:r>
            <w:r w:rsidRPr="00931A37">
              <w:rPr>
                <w:sz w:val="20"/>
                <w:lang w:val="en-CA"/>
              </w:rPr>
              <w:t>, CQLR, c. A</w:t>
            </w:r>
            <w:r w:rsidRPr="00931A37">
              <w:rPr>
                <w:sz w:val="20"/>
                <w:lang w:val="en-CA"/>
              </w:rPr>
              <w:noBreakHyphen/>
              <w:t xml:space="preserve">19.1, in which it asked that the applicant cease operating its erotic massage establishment. During case management, Duprat J. rendered a judgment in which, among other things, he eliminated the issues proposed by the applicant with respect to the allegation that the City had acted improperly and that it </w:t>
            </w:r>
            <w:proofErr w:type="gramStart"/>
            <w:r w:rsidRPr="00931A37">
              <w:rPr>
                <w:sz w:val="20"/>
                <w:lang w:val="en-CA"/>
              </w:rPr>
              <w:t>was precluded</w:t>
            </w:r>
            <w:proofErr w:type="gramEnd"/>
            <w:r w:rsidRPr="00931A37">
              <w:rPr>
                <w:sz w:val="20"/>
                <w:lang w:val="en-CA"/>
              </w:rPr>
              <w:t xml:space="preserve"> because it had tolerated the applicant’s use. The Court of Appeal refused leave to appeal from that decision. In its view, [</w:t>
            </w:r>
            <w:r w:rsidRPr="00931A37">
              <w:rPr>
                <w:smallCaps/>
                <w:sz w:val="20"/>
                <w:lang w:val="en-CA"/>
              </w:rPr>
              <w:t>translation</w:t>
            </w:r>
            <w:r w:rsidRPr="00931A37">
              <w:rPr>
                <w:rFonts w:asciiTheme="minorBidi" w:hAnsiTheme="minorBidi"/>
                <w:sz w:val="20"/>
                <w:lang w:val="en-CA"/>
              </w:rPr>
              <w:t>] “it is well established in the case law that a city’s non</w:t>
            </w:r>
            <w:r w:rsidRPr="00931A37">
              <w:rPr>
                <w:rFonts w:asciiTheme="minorBidi" w:hAnsiTheme="minorBidi"/>
                <w:sz w:val="20"/>
                <w:lang w:val="en-CA"/>
              </w:rPr>
              <w:noBreakHyphen/>
              <w:t>enforcement of a zoning by</w:t>
            </w:r>
            <w:r w:rsidRPr="00931A37">
              <w:rPr>
                <w:rFonts w:asciiTheme="minorBidi" w:hAnsiTheme="minorBidi"/>
                <w:sz w:val="20"/>
                <w:lang w:val="en-CA"/>
              </w:rPr>
              <w:noBreakHyphen/>
              <w:t>law in the past is not a defence</w:t>
            </w:r>
            <w:r w:rsidRPr="00931A37">
              <w:rPr>
                <w:sz w:val="20"/>
                <w:lang w:val="en-CA"/>
              </w:rPr>
              <w:t xml:space="preserve"> (</w:t>
            </w:r>
            <w:r w:rsidRPr="00931A37">
              <w:rPr>
                <w:i/>
                <w:sz w:val="20"/>
                <w:lang w:val="en-CA"/>
              </w:rPr>
              <w:t>Polai v. City of Toronto</w:t>
            </w:r>
            <w:r w:rsidRPr="00931A37">
              <w:rPr>
                <w:sz w:val="20"/>
                <w:lang w:val="en-CA"/>
              </w:rPr>
              <w:t>, [1973] S.C.R. 38)” (para. 4). The Court of Appeal also found that the trial judge’s elimination of those issues had not prevented the applicant from defending itself, since a trial judge “always has the power and discretion to consider any legal argument arising from the evidence of the facts before the judge” (para. 5).</w:t>
            </w:r>
          </w:p>
        </w:tc>
      </w:tr>
      <w:tr w:rsidR="00931A37" w:rsidRPr="00931A37" w:rsidTr="00931A37">
        <w:tc>
          <w:tcPr>
            <w:tcW w:w="5000" w:type="pct"/>
            <w:gridSpan w:val="4"/>
          </w:tcPr>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February 14, 2018</w:t>
            </w:r>
          </w:p>
          <w:p w:rsidR="00931A37" w:rsidRPr="00931A37" w:rsidRDefault="00931A37" w:rsidP="00931A37">
            <w:pPr>
              <w:jc w:val="both"/>
              <w:rPr>
                <w:sz w:val="20"/>
                <w:lang w:val="en-CA"/>
              </w:rPr>
            </w:pPr>
            <w:r w:rsidRPr="00931A37">
              <w:rPr>
                <w:sz w:val="20"/>
                <w:lang w:val="en-CA"/>
              </w:rPr>
              <w:t>Quebec Superior Court</w:t>
            </w:r>
          </w:p>
          <w:p w:rsidR="00931A37" w:rsidRPr="00931A37" w:rsidRDefault="00931A37" w:rsidP="00931A37">
            <w:pPr>
              <w:jc w:val="both"/>
              <w:rPr>
                <w:sz w:val="20"/>
                <w:lang w:val="en-CA"/>
              </w:rPr>
            </w:pPr>
            <w:r w:rsidRPr="00931A37">
              <w:rPr>
                <w:sz w:val="20"/>
                <w:lang w:val="en-CA"/>
              </w:rPr>
              <w:t>(Duprat J.)</w:t>
            </w:r>
          </w:p>
          <w:p w:rsidR="00931A37" w:rsidRPr="00931A37" w:rsidRDefault="00931A37" w:rsidP="00931A37">
            <w:pPr>
              <w:jc w:val="both"/>
              <w:rPr>
                <w:sz w:val="20"/>
                <w:lang w:val="en-CA"/>
              </w:rPr>
            </w:pP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Judgment rendered on case management minutes; some issues proposed by applicant eliminated</w:t>
            </w:r>
          </w:p>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May 17, 2018</w:t>
            </w:r>
          </w:p>
          <w:p w:rsidR="00931A37" w:rsidRPr="00931A37" w:rsidRDefault="00931A37" w:rsidP="00931A37">
            <w:pPr>
              <w:jc w:val="both"/>
              <w:rPr>
                <w:sz w:val="20"/>
                <w:lang w:val="en-CA"/>
              </w:rPr>
            </w:pPr>
            <w:r w:rsidRPr="00931A37">
              <w:rPr>
                <w:sz w:val="20"/>
                <w:lang w:val="en-CA"/>
              </w:rPr>
              <w:t>Quebec Court of Appeal (Montréal)</w:t>
            </w:r>
          </w:p>
          <w:p w:rsidR="00931A37" w:rsidRPr="00931A37" w:rsidRDefault="00931A37" w:rsidP="00931A37">
            <w:pPr>
              <w:jc w:val="both"/>
              <w:rPr>
                <w:sz w:val="20"/>
                <w:lang w:val="en-CA"/>
              </w:rPr>
            </w:pPr>
            <w:r w:rsidRPr="00931A37">
              <w:rPr>
                <w:sz w:val="20"/>
                <w:lang w:val="en-CA"/>
              </w:rPr>
              <w:t>(Schrager J.A.)</w:t>
            </w:r>
          </w:p>
          <w:p w:rsidR="00931A37" w:rsidRPr="00931A37" w:rsidRDefault="00345C48" w:rsidP="00931A37">
            <w:pPr>
              <w:jc w:val="both"/>
              <w:rPr>
                <w:sz w:val="20"/>
                <w:lang w:val="en-CA"/>
              </w:rPr>
            </w:pPr>
            <w:hyperlink r:id="rId55" w:history="1">
              <w:r w:rsidR="00931A37" w:rsidRPr="00931A37">
                <w:rPr>
                  <w:rStyle w:val="Hyperlink"/>
                  <w:sz w:val="20"/>
                  <w:lang w:val="en-CA"/>
                </w:rPr>
                <w:t>2018 QCCA 812</w:t>
              </w:r>
            </w:hyperlink>
          </w:p>
          <w:p w:rsidR="00931A37" w:rsidRPr="00931A37" w:rsidRDefault="00931A37" w:rsidP="00931A37">
            <w:pPr>
              <w:jc w:val="both"/>
              <w:rPr>
                <w:sz w:val="20"/>
                <w:lang w:val="en-CA"/>
              </w:rPr>
            </w:pP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Motion for leave to appeal from judgment rendered in course of proceeding dismissed</w:t>
            </w:r>
          </w:p>
          <w:p w:rsidR="00931A37" w:rsidRPr="00931A37" w:rsidRDefault="00931A37" w:rsidP="00931A37">
            <w:pPr>
              <w:jc w:val="both"/>
              <w:rPr>
                <w:sz w:val="20"/>
                <w:lang w:val="en-CA"/>
              </w:rPr>
            </w:pPr>
          </w:p>
        </w:tc>
      </w:tr>
      <w:tr w:rsidR="00931A37" w:rsidRPr="00931A37" w:rsidTr="00931A37">
        <w:tc>
          <w:tcPr>
            <w:tcW w:w="2427" w:type="pct"/>
            <w:gridSpan w:val="2"/>
          </w:tcPr>
          <w:p w:rsidR="00931A37" w:rsidRPr="00931A37" w:rsidRDefault="00931A37" w:rsidP="00931A37">
            <w:pPr>
              <w:jc w:val="both"/>
              <w:rPr>
                <w:sz w:val="20"/>
                <w:lang w:val="en-CA"/>
              </w:rPr>
            </w:pPr>
            <w:r w:rsidRPr="00931A37">
              <w:rPr>
                <w:sz w:val="20"/>
                <w:lang w:val="en-CA"/>
              </w:rPr>
              <w:t>August 16, 2018</w:t>
            </w:r>
          </w:p>
          <w:p w:rsidR="00931A37" w:rsidRPr="00931A37" w:rsidRDefault="00931A37" w:rsidP="00931A37">
            <w:pPr>
              <w:jc w:val="both"/>
              <w:rPr>
                <w:sz w:val="20"/>
                <w:lang w:val="en-CA"/>
              </w:rPr>
            </w:pPr>
            <w:r w:rsidRPr="00931A37">
              <w:rPr>
                <w:sz w:val="20"/>
                <w:lang w:val="en-CA"/>
              </w:rPr>
              <w:t>Supreme Court of Canada</w:t>
            </w:r>
          </w:p>
        </w:tc>
        <w:tc>
          <w:tcPr>
            <w:tcW w:w="243" w:type="pct"/>
          </w:tcPr>
          <w:p w:rsidR="00931A37" w:rsidRPr="00931A37" w:rsidRDefault="00931A37" w:rsidP="00931A37">
            <w:pPr>
              <w:jc w:val="both"/>
              <w:rPr>
                <w:sz w:val="20"/>
                <w:lang w:val="en-CA"/>
              </w:rPr>
            </w:pPr>
          </w:p>
        </w:tc>
        <w:tc>
          <w:tcPr>
            <w:tcW w:w="2330" w:type="pct"/>
          </w:tcPr>
          <w:p w:rsidR="00931A37" w:rsidRPr="00931A37" w:rsidRDefault="00931A37" w:rsidP="00931A37">
            <w:pPr>
              <w:jc w:val="both"/>
              <w:rPr>
                <w:sz w:val="20"/>
                <w:lang w:val="en-CA"/>
              </w:rPr>
            </w:pPr>
            <w:r w:rsidRPr="00931A37">
              <w:rPr>
                <w:sz w:val="20"/>
                <w:lang w:val="en-CA"/>
              </w:rPr>
              <w:t>Application for leave to appeal filed</w:t>
            </w:r>
          </w:p>
          <w:p w:rsidR="00931A37" w:rsidRPr="00931A37" w:rsidRDefault="00931A37" w:rsidP="00931A37">
            <w:pPr>
              <w:jc w:val="both"/>
              <w:rPr>
                <w:sz w:val="20"/>
                <w:lang w:val="en-CA"/>
              </w:rPr>
            </w:pPr>
          </w:p>
        </w:tc>
      </w:tr>
    </w:tbl>
    <w:p w:rsidR="00931A37" w:rsidRDefault="00931A37" w:rsidP="00931A37">
      <w:pPr>
        <w:jc w:val="both"/>
        <w:rPr>
          <w:sz w:val="20"/>
          <w:lang w:val="en-CA"/>
        </w:rPr>
      </w:pPr>
    </w:p>
    <w:p w:rsidR="00925A9A" w:rsidRPr="00931A37" w:rsidRDefault="00925A9A" w:rsidP="00931A37">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38249</w:t>
            </w:r>
          </w:p>
        </w:tc>
        <w:tc>
          <w:tcPr>
            <w:tcW w:w="4457" w:type="pct"/>
            <w:gridSpan w:val="3"/>
          </w:tcPr>
          <w:p w:rsidR="00931A37" w:rsidRPr="00925A9A" w:rsidRDefault="00931A37" w:rsidP="00931A37">
            <w:pPr>
              <w:pStyle w:val="SCCLsocParty"/>
              <w:jc w:val="both"/>
              <w:rPr>
                <w:b/>
                <w:sz w:val="20"/>
                <w:szCs w:val="20"/>
              </w:rPr>
            </w:pPr>
            <w:r w:rsidRPr="00925A9A">
              <w:rPr>
                <w:b/>
                <w:sz w:val="20"/>
                <w:szCs w:val="20"/>
              </w:rPr>
              <w:t>9280-1331 Québec Inc. c. Ville de Montréal</w:t>
            </w:r>
            <w:r w:rsidR="00345C48">
              <w:rPr>
                <w:b/>
                <w:sz w:val="20"/>
                <w:szCs w:val="20"/>
              </w:rPr>
              <w:t xml:space="preserve"> - et -</w:t>
            </w:r>
            <w:bookmarkStart w:id="0" w:name="_GoBack"/>
            <w:bookmarkEnd w:id="0"/>
            <w:r w:rsidR="00345C48">
              <w:rPr>
                <w:b/>
                <w:sz w:val="20"/>
                <w:szCs w:val="20"/>
              </w:rPr>
              <w:t xml:space="preserve"> Louise Ste-Croix</w:t>
            </w:r>
          </w:p>
          <w:p w:rsidR="00931A37" w:rsidRPr="00931A37" w:rsidRDefault="00931A37" w:rsidP="00931A37">
            <w:pPr>
              <w:jc w:val="both"/>
              <w:rPr>
                <w:sz w:val="20"/>
              </w:rPr>
            </w:pPr>
            <w:r w:rsidRPr="00931A37">
              <w:rPr>
                <w:sz w:val="20"/>
              </w:rPr>
              <w:t>(Qc)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 xml:space="preserve">Droit municipal – </w:t>
            </w:r>
            <w:r w:rsidRPr="00931A37">
              <w:rPr>
                <w:i/>
                <w:sz w:val="20"/>
                <w:lang w:val="fr-FR"/>
              </w:rPr>
              <w:t>Loi sur l’aménagement et l’urbanisme</w:t>
            </w:r>
            <w:r w:rsidRPr="00931A37">
              <w:rPr>
                <w:sz w:val="20"/>
                <w:lang w:val="fr-FR"/>
              </w:rPr>
              <w:t xml:space="preserve">, RLRQ c A-19.1 – Recours en cessation d’usage dérogatoire – </w:t>
            </w:r>
            <w:proofErr w:type="spellStart"/>
            <w:r w:rsidRPr="00931A37">
              <w:rPr>
                <w:sz w:val="20"/>
                <w:lang w:val="fr-FR"/>
              </w:rPr>
              <w:t>Préclusion</w:t>
            </w:r>
            <w:proofErr w:type="spellEnd"/>
            <w:r w:rsidRPr="00931A37">
              <w:rPr>
                <w:sz w:val="20"/>
                <w:lang w:val="fr-FR"/>
              </w:rPr>
              <w:t xml:space="preserve"> </w:t>
            </w:r>
            <w:proofErr w:type="spellStart"/>
            <w:r w:rsidRPr="00931A37">
              <w:rPr>
                <w:sz w:val="20"/>
                <w:lang w:val="fr-FR"/>
              </w:rPr>
              <w:t>promissoire</w:t>
            </w:r>
            <w:proofErr w:type="spellEnd"/>
            <w:r w:rsidRPr="00931A37">
              <w:rPr>
                <w:sz w:val="20"/>
                <w:lang w:val="fr-FR"/>
              </w:rPr>
              <w:t xml:space="preserve"> – La doctrine de la </w:t>
            </w:r>
            <w:proofErr w:type="spellStart"/>
            <w:r w:rsidRPr="00931A37">
              <w:rPr>
                <w:sz w:val="20"/>
                <w:lang w:val="fr-FR"/>
              </w:rPr>
              <w:t>préclusion</w:t>
            </w:r>
            <w:proofErr w:type="spellEnd"/>
            <w:r w:rsidRPr="00931A37">
              <w:rPr>
                <w:sz w:val="20"/>
                <w:lang w:val="fr-FR"/>
              </w:rPr>
              <w:t xml:space="preserve"> </w:t>
            </w:r>
            <w:proofErr w:type="spellStart"/>
            <w:r w:rsidRPr="00931A37">
              <w:rPr>
                <w:sz w:val="20"/>
                <w:lang w:val="fr-FR"/>
              </w:rPr>
              <w:t>promissoire</w:t>
            </w:r>
            <w:proofErr w:type="spellEnd"/>
            <w:r w:rsidRPr="00931A37">
              <w:rPr>
                <w:sz w:val="20"/>
                <w:lang w:val="fr-FR"/>
              </w:rPr>
              <w:t xml:space="preserve"> peut-elle être invoquée dans le cas où une ville a toléré, pour une longue période de temps, un usage dérogatoire à un règlement de zonage? – La Cour d’appel a-t-elle fait erreur en concluant que le premier juge, en retirant les trois questions en litige relatives à la doctrine de la </w:t>
            </w:r>
            <w:proofErr w:type="spellStart"/>
            <w:r w:rsidRPr="00931A37">
              <w:rPr>
                <w:sz w:val="20"/>
                <w:lang w:val="fr-FR"/>
              </w:rPr>
              <w:t>préclusion</w:t>
            </w:r>
            <w:proofErr w:type="spellEnd"/>
            <w:r w:rsidRPr="00931A37">
              <w:rPr>
                <w:sz w:val="20"/>
                <w:lang w:val="fr-FR"/>
              </w:rPr>
              <w:t xml:space="preserve"> </w:t>
            </w:r>
            <w:proofErr w:type="spellStart"/>
            <w:r w:rsidRPr="00931A37">
              <w:rPr>
                <w:sz w:val="20"/>
                <w:lang w:val="fr-FR"/>
              </w:rPr>
              <w:t>promissoire</w:t>
            </w:r>
            <w:proofErr w:type="spellEnd"/>
            <w:r w:rsidRPr="00931A37">
              <w:rPr>
                <w:sz w:val="20"/>
                <w:lang w:val="fr-FR"/>
              </w:rPr>
              <w:t>, n’a pas empêché la demanderesse de se défendre?</w:t>
            </w:r>
          </w:p>
        </w:tc>
      </w:tr>
      <w:tr w:rsidR="00931A37" w:rsidRPr="008E5DBE" w:rsidTr="00931A37">
        <w:tc>
          <w:tcPr>
            <w:tcW w:w="5000" w:type="pct"/>
            <w:gridSpan w:val="4"/>
          </w:tcPr>
          <w:p w:rsidR="00931A37" w:rsidRPr="00931A37" w:rsidRDefault="00931A37" w:rsidP="00931A37">
            <w:pPr>
              <w:jc w:val="both"/>
              <w:rPr>
                <w:sz w:val="20"/>
                <w:lang w:val="fr-CA"/>
              </w:rPr>
            </w:pPr>
          </w:p>
          <w:p w:rsidR="00931A37" w:rsidRPr="00931A37" w:rsidRDefault="00931A37" w:rsidP="00931A37">
            <w:pPr>
              <w:jc w:val="both"/>
              <w:rPr>
                <w:sz w:val="20"/>
                <w:lang w:val="fr-CA"/>
              </w:rPr>
            </w:pPr>
            <w:r w:rsidRPr="00931A37">
              <w:rPr>
                <w:sz w:val="20"/>
                <w:lang w:val="fr-CA"/>
              </w:rPr>
              <w:t xml:space="preserve">En 2016, la Ville de Montréal, intimée, a signifié à la demanderesse une demande introductive d’instance fondée sur l’art. 227 de la </w:t>
            </w:r>
            <w:r w:rsidRPr="00931A37">
              <w:rPr>
                <w:i/>
                <w:sz w:val="20"/>
                <w:lang w:val="fr-FR"/>
              </w:rPr>
              <w:t>Loi sur l’aménagement et l’urbanisme</w:t>
            </w:r>
            <w:r w:rsidRPr="00931A37">
              <w:rPr>
                <w:sz w:val="20"/>
                <w:lang w:val="fr-FR"/>
              </w:rPr>
              <w:t>, RLRQ c A-19.1,</w:t>
            </w:r>
            <w:r w:rsidRPr="00931A37">
              <w:rPr>
                <w:sz w:val="20"/>
                <w:lang w:val="fr-CA"/>
              </w:rPr>
              <w:t xml:space="preserve"> dans laquelle elle a demandé à cette dernière de cesser d’opérer son établissement de massage érotique. Lors de la gestion de l’instance, le juge Duprat a rendu jugement dans lequel il a, entre autres, éliminé les questions en litige proposées par la demanderesse concernant l’allégation que la Ville a agi abusivement et qu’elle était forclose vu sa tolérance de l’usage de la demanderesse. La Cour d’appel a refusé la permission d’appeler de cette décision. Selon elle, « la jurisprudence est bien établie que l’absence de l’application d’un règlement de zonage par une ville dans le passé n’est pas un moyen de défense (</w:t>
            </w:r>
            <w:proofErr w:type="spellStart"/>
            <w:r w:rsidRPr="00931A37">
              <w:rPr>
                <w:i/>
                <w:sz w:val="20"/>
                <w:lang w:val="fr-CA"/>
              </w:rPr>
              <w:t>Polai</w:t>
            </w:r>
            <w:proofErr w:type="spellEnd"/>
            <w:r w:rsidRPr="00931A37">
              <w:rPr>
                <w:i/>
                <w:sz w:val="20"/>
                <w:lang w:val="fr-CA"/>
              </w:rPr>
              <w:t xml:space="preserve"> c. Ville de Toronto</w:t>
            </w:r>
            <w:r w:rsidRPr="00931A37">
              <w:rPr>
                <w:sz w:val="20"/>
                <w:lang w:val="fr-CA"/>
              </w:rPr>
              <w:t>, [1973] R.C.S. 38) » (par. 4). La cour a également conclu qu’en éliminant ces questions, le premier juge n’a pas empêché que la demanderesse puisse se défendre, le juge du procès ayant « toujours le pouvoir et la discrétion de considérer tout argument de droit qui découle de la preuve des faits administrés devant lui » (par. 5).</w:t>
            </w:r>
          </w:p>
        </w:tc>
      </w:tr>
      <w:tr w:rsidR="00931A37" w:rsidRPr="008E5DBE" w:rsidTr="00931A37">
        <w:tc>
          <w:tcPr>
            <w:tcW w:w="5000" w:type="pct"/>
            <w:gridSpan w:val="4"/>
          </w:tcPr>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Le 14 février 2018</w:t>
            </w:r>
          </w:p>
          <w:p w:rsidR="00931A37" w:rsidRPr="00931A37" w:rsidRDefault="00931A37" w:rsidP="00931A37">
            <w:pPr>
              <w:jc w:val="both"/>
              <w:rPr>
                <w:sz w:val="20"/>
                <w:lang w:val="fr-CA"/>
              </w:rPr>
            </w:pPr>
            <w:r w:rsidRPr="00931A37">
              <w:rPr>
                <w:sz w:val="20"/>
                <w:lang w:val="fr-CA"/>
              </w:rPr>
              <w:t>Cour supérieure du Québec</w:t>
            </w:r>
          </w:p>
          <w:p w:rsidR="00931A37" w:rsidRPr="00931A37" w:rsidRDefault="00931A37" w:rsidP="00931A37">
            <w:pPr>
              <w:jc w:val="both"/>
              <w:rPr>
                <w:sz w:val="20"/>
              </w:rPr>
            </w:pPr>
            <w:r w:rsidRPr="00931A37">
              <w:rPr>
                <w:sz w:val="20"/>
              </w:rPr>
              <w:t xml:space="preserve">(Le juge </w:t>
            </w:r>
            <w:proofErr w:type="spellStart"/>
            <w:r w:rsidRPr="00931A37">
              <w:rPr>
                <w:sz w:val="20"/>
              </w:rPr>
              <w:t>Duprat</w:t>
            </w:r>
            <w:proofErr w:type="spellEnd"/>
            <w:r w:rsidRPr="00931A37">
              <w:rPr>
                <w:sz w:val="20"/>
              </w:rPr>
              <w:t>)</w:t>
            </w:r>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lang w:val="fr-CA"/>
              </w:rPr>
            </w:pPr>
            <w:r w:rsidRPr="00931A37">
              <w:rPr>
                <w:sz w:val="20"/>
                <w:lang w:val="fr-CA"/>
              </w:rPr>
              <w:t>Jugement sur procès-verbal en matière de gestion de l’instance; certaines questions en litige proposées par la demanderesse éliminées</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Le 17 mai 2018</w:t>
            </w:r>
          </w:p>
          <w:p w:rsidR="00931A37" w:rsidRPr="00931A37" w:rsidRDefault="00931A37" w:rsidP="00931A37">
            <w:pPr>
              <w:jc w:val="both"/>
              <w:rPr>
                <w:sz w:val="20"/>
                <w:lang w:val="fr-CA"/>
              </w:rPr>
            </w:pPr>
            <w:r w:rsidRPr="00931A37">
              <w:rPr>
                <w:sz w:val="20"/>
                <w:lang w:val="fr-CA"/>
              </w:rPr>
              <w:t>Cour d’appel du Québec (Montréal)</w:t>
            </w:r>
          </w:p>
          <w:p w:rsidR="00931A37" w:rsidRPr="00931A37" w:rsidRDefault="00931A37" w:rsidP="00931A37">
            <w:pPr>
              <w:jc w:val="both"/>
              <w:rPr>
                <w:sz w:val="20"/>
              </w:rPr>
            </w:pPr>
            <w:r w:rsidRPr="00931A37">
              <w:rPr>
                <w:sz w:val="20"/>
              </w:rPr>
              <w:t>(Le juge Schrager)</w:t>
            </w:r>
          </w:p>
          <w:p w:rsidR="00931A37" w:rsidRPr="00931A37" w:rsidRDefault="00345C48" w:rsidP="00931A37">
            <w:pPr>
              <w:jc w:val="both"/>
              <w:rPr>
                <w:sz w:val="20"/>
              </w:rPr>
            </w:pPr>
            <w:hyperlink r:id="rId56" w:history="1">
              <w:r w:rsidR="00931A37" w:rsidRPr="00931A37">
                <w:rPr>
                  <w:rStyle w:val="Hyperlink"/>
                  <w:sz w:val="20"/>
                </w:rPr>
                <w:t>2018 QCCA 812</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lang w:val="fr-CA"/>
              </w:rPr>
            </w:pPr>
            <w:r w:rsidRPr="00931A37">
              <w:rPr>
                <w:sz w:val="20"/>
                <w:lang w:val="fr-CA"/>
              </w:rPr>
              <w:t>Requête pour permission d’appeler d’un jugement rendu en cours d’instance rejetée</w:t>
            </w:r>
          </w:p>
          <w:p w:rsidR="00931A37" w:rsidRPr="00931A37" w:rsidRDefault="00931A37" w:rsidP="00931A37">
            <w:pPr>
              <w:jc w:val="both"/>
              <w:rPr>
                <w:sz w:val="20"/>
                <w:lang w:val="fr-CA"/>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Le 16 août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rPr>
            </w:pPr>
            <w:r w:rsidRPr="00931A37">
              <w:rPr>
                <w:sz w:val="20"/>
              </w:rPr>
              <w:t xml:space="preserve">Demande d’autorisation d’appel </w:t>
            </w:r>
            <w:proofErr w:type="spellStart"/>
            <w:r w:rsidRPr="00931A37">
              <w:rPr>
                <w:sz w:val="20"/>
              </w:rPr>
              <w:t>déposée</w:t>
            </w:r>
            <w:proofErr w:type="spellEnd"/>
          </w:p>
          <w:p w:rsidR="00931A37" w:rsidRPr="00931A37" w:rsidRDefault="00931A37" w:rsidP="00931A37">
            <w:pPr>
              <w:jc w:val="both"/>
              <w:rPr>
                <w:sz w:val="20"/>
              </w:rPr>
            </w:pPr>
          </w:p>
        </w:tc>
      </w:tr>
    </w:tbl>
    <w:p w:rsidR="00931A37" w:rsidRPr="00931A37" w:rsidRDefault="00931A37" w:rsidP="00931A37">
      <w:pPr>
        <w:jc w:val="both"/>
        <w:rPr>
          <w:sz w:val="20"/>
        </w:rPr>
      </w:pPr>
    </w:p>
    <w:p w:rsidR="00931A37" w:rsidRPr="00931A37" w:rsidRDefault="00931A37" w:rsidP="00931A37">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38228</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Gordon Aylward v. Law Society of Newfoundland and Labrador</w:t>
            </w:r>
          </w:p>
          <w:p w:rsidR="00931A37" w:rsidRPr="00931A37" w:rsidRDefault="00931A37" w:rsidP="00931A37">
            <w:pPr>
              <w:jc w:val="both"/>
              <w:rPr>
                <w:sz w:val="20"/>
              </w:rPr>
            </w:pPr>
            <w:r w:rsidRPr="00931A37">
              <w:rPr>
                <w:sz w:val="20"/>
              </w:rPr>
              <w:t>(N.L.) (Civil) (By Leave)</w:t>
            </w:r>
          </w:p>
        </w:tc>
      </w:tr>
      <w:tr w:rsidR="00931A37" w:rsidRPr="00931A37" w:rsidTr="00931A37">
        <w:tc>
          <w:tcPr>
            <w:tcW w:w="5000" w:type="pct"/>
            <w:gridSpan w:val="4"/>
          </w:tcPr>
          <w:p w:rsidR="00931A37" w:rsidRPr="00931A37" w:rsidRDefault="00931A37" w:rsidP="00931A37">
            <w:pPr>
              <w:jc w:val="both"/>
              <w:rPr>
                <w:sz w:val="20"/>
              </w:rPr>
            </w:pPr>
            <w:r w:rsidRPr="00931A37">
              <w:rPr>
                <w:sz w:val="20"/>
              </w:rPr>
              <w:t>Administrative law – Appeals – Standard of review – Law of professions – Barristers and solicitors – Applicant’s complaint against Law Society employees dismissed at investigatory stage of proceedings – Whether trial court judge ignored, misstated and manufactured evidence – What is standard of review for matters of procedural fairness? – Whether reasons for decisions of Complaints Authorization Committee of Law Society of Newfoundland and Labrador should be required.</w:t>
            </w:r>
          </w:p>
          <w:p w:rsidR="00931A37" w:rsidRPr="00931A37" w:rsidRDefault="00931A37" w:rsidP="00931A37">
            <w:pPr>
              <w:jc w:val="both"/>
              <w:rPr>
                <w:sz w:val="20"/>
              </w:rPr>
            </w:pPr>
          </w:p>
        </w:tc>
      </w:tr>
      <w:tr w:rsidR="00931A37" w:rsidRPr="00931A37" w:rsidTr="00931A37">
        <w:tc>
          <w:tcPr>
            <w:tcW w:w="5000" w:type="pct"/>
            <w:gridSpan w:val="4"/>
          </w:tcPr>
          <w:p w:rsidR="00931A37" w:rsidRPr="00931A37" w:rsidRDefault="00931A37" w:rsidP="00931A37">
            <w:pPr>
              <w:jc w:val="both"/>
              <w:rPr>
                <w:sz w:val="20"/>
              </w:rPr>
            </w:pPr>
            <w:r w:rsidRPr="00931A37">
              <w:rPr>
                <w:sz w:val="20"/>
              </w:rPr>
              <w:t xml:space="preserve">In 2015, Mr. Aylward filed a complaint of professional misconduct against the Legal Director and Executive Director of the Law Society of Newfoundland and Labrador, alleging </w:t>
            </w:r>
            <w:r w:rsidRPr="00931A37">
              <w:rPr>
                <w:i/>
                <w:sz w:val="20"/>
              </w:rPr>
              <w:t>inter alia</w:t>
            </w:r>
            <w:r w:rsidRPr="00931A37">
              <w:rPr>
                <w:sz w:val="20"/>
              </w:rPr>
              <w:t>, that they had breached their fiduciary duty to deal honestly and fairly with him. The Complaints Authorization Committee investigated Mr. </w:t>
            </w:r>
            <w:proofErr w:type="spellStart"/>
            <w:r w:rsidRPr="00931A37">
              <w:rPr>
                <w:sz w:val="20"/>
              </w:rPr>
              <w:t>Aylward’s</w:t>
            </w:r>
            <w:proofErr w:type="spellEnd"/>
            <w:r w:rsidRPr="00931A37">
              <w:rPr>
                <w:sz w:val="20"/>
              </w:rPr>
              <w:t xml:space="preserve"> complaint and then dismissed it. Mr. Aylward appealed on the grounds that there had been a denial of procedural fairness and natural justice and that the Committee had displayed actual bias or a reasonable apprehension of bias. His appeal was dismissed. The Court of Appeal dismissed his appeal from that decision.</w:t>
            </w:r>
          </w:p>
        </w:tc>
      </w:tr>
      <w:tr w:rsidR="00931A37" w:rsidRPr="00931A37" w:rsidTr="00931A37">
        <w:tc>
          <w:tcPr>
            <w:tcW w:w="5000" w:type="pct"/>
            <w:gridSpan w:val="4"/>
          </w:tcPr>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September 21, 2017</w:t>
            </w:r>
          </w:p>
          <w:p w:rsidR="00931A37" w:rsidRPr="00931A37" w:rsidRDefault="00931A37" w:rsidP="00931A37">
            <w:pPr>
              <w:jc w:val="both"/>
              <w:rPr>
                <w:sz w:val="20"/>
              </w:rPr>
            </w:pPr>
            <w:r w:rsidRPr="00931A37">
              <w:rPr>
                <w:sz w:val="20"/>
              </w:rPr>
              <w:t>Supreme Court of Newfoundland &amp; Labrador</w:t>
            </w:r>
          </w:p>
          <w:p w:rsidR="00931A37" w:rsidRPr="00931A37" w:rsidRDefault="00931A37" w:rsidP="00931A37">
            <w:pPr>
              <w:jc w:val="both"/>
              <w:rPr>
                <w:sz w:val="20"/>
              </w:rPr>
            </w:pPr>
            <w:r w:rsidRPr="00931A37">
              <w:rPr>
                <w:sz w:val="20"/>
              </w:rPr>
              <w:t>Trial Division</w:t>
            </w:r>
          </w:p>
          <w:p w:rsidR="00931A37" w:rsidRPr="00931A37" w:rsidRDefault="00931A37" w:rsidP="00931A37">
            <w:pPr>
              <w:jc w:val="both"/>
              <w:rPr>
                <w:sz w:val="20"/>
              </w:rPr>
            </w:pPr>
            <w:r w:rsidRPr="00931A37">
              <w:rPr>
                <w:sz w:val="20"/>
              </w:rPr>
              <w:t>(</w:t>
            </w:r>
            <w:proofErr w:type="spellStart"/>
            <w:r w:rsidRPr="00931A37">
              <w:rPr>
                <w:sz w:val="20"/>
              </w:rPr>
              <w:t>Dymond</w:t>
            </w:r>
            <w:proofErr w:type="spellEnd"/>
            <w:r w:rsidRPr="00931A37">
              <w:rPr>
                <w:sz w:val="20"/>
              </w:rPr>
              <w:t xml:space="preserve"> J.)</w:t>
            </w:r>
          </w:p>
          <w:p w:rsidR="00931A37" w:rsidRPr="00931A37" w:rsidRDefault="00931A37" w:rsidP="00931A37">
            <w:pPr>
              <w:jc w:val="both"/>
              <w:rPr>
                <w:sz w:val="20"/>
              </w:rPr>
            </w:pPr>
            <w:r w:rsidRPr="00931A37">
              <w:rPr>
                <w:sz w:val="20"/>
              </w:rPr>
              <w:t>2017 NLTD(G) 159</w:t>
            </w:r>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Applicant’s appeal from dismissal of his complaint to Law Society of Newfoundland and Labrador dismissed</w:t>
            </w:r>
          </w:p>
          <w:p w:rsidR="00931A37" w:rsidRPr="00931A37" w:rsidRDefault="00931A37" w:rsidP="00931A37">
            <w:pPr>
              <w:jc w:val="both"/>
              <w:rPr>
                <w:sz w:val="20"/>
              </w:rPr>
            </w:pP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April 13, 2018</w:t>
            </w:r>
          </w:p>
          <w:p w:rsidR="00931A37" w:rsidRPr="00931A37" w:rsidRDefault="00931A37" w:rsidP="00931A37">
            <w:pPr>
              <w:jc w:val="both"/>
              <w:rPr>
                <w:sz w:val="20"/>
              </w:rPr>
            </w:pPr>
            <w:r w:rsidRPr="00931A37">
              <w:rPr>
                <w:sz w:val="20"/>
              </w:rPr>
              <w:t xml:space="preserve">Court of Appeal of Newfoundland and </w:t>
            </w:r>
          </w:p>
          <w:p w:rsidR="00931A37" w:rsidRPr="00931A37" w:rsidRDefault="00931A37" w:rsidP="00931A37">
            <w:pPr>
              <w:jc w:val="both"/>
              <w:rPr>
                <w:sz w:val="20"/>
              </w:rPr>
            </w:pPr>
            <w:r w:rsidRPr="00931A37">
              <w:rPr>
                <w:sz w:val="20"/>
              </w:rPr>
              <w:t>Labrador</w:t>
            </w:r>
          </w:p>
          <w:p w:rsidR="00931A37" w:rsidRPr="00931A37" w:rsidRDefault="00931A37" w:rsidP="00931A37">
            <w:pPr>
              <w:jc w:val="both"/>
              <w:rPr>
                <w:sz w:val="20"/>
              </w:rPr>
            </w:pPr>
            <w:r w:rsidRPr="00931A37">
              <w:rPr>
                <w:sz w:val="20"/>
              </w:rPr>
              <w:t xml:space="preserve">(Welsh, White and </w:t>
            </w:r>
            <w:proofErr w:type="spellStart"/>
            <w:r w:rsidRPr="00931A37">
              <w:rPr>
                <w:sz w:val="20"/>
              </w:rPr>
              <w:t>Goodridge</w:t>
            </w:r>
            <w:proofErr w:type="spellEnd"/>
            <w:r w:rsidRPr="00931A37">
              <w:rPr>
                <w:sz w:val="20"/>
              </w:rPr>
              <w:t xml:space="preserve"> JJ.A.)</w:t>
            </w:r>
          </w:p>
          <w:p w:rsidR="00931A37" w:rsidRPr="00931A37" w:rsidRDefault="00345C48" w:rsidP="00931A37">
            <w:pPr>
              <w:jc w:val="both"/>
              <w:rPr>
                <w:sz w:val="20"/>
              </w:rPr>
            </w:pPr>
            <w:hyperlink r:id="rId57" w:history="1">
              <w:r w:rsidR="00931A37" w:rsidRPr="00931A37">
                <w:rPr>
                  <w:rStyle w:val="Hyperlink"/>
                  <w:sz w:val="20"/>
                </w:rPr>
                <w:t>2018 NLCA 20</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Applicant’s appeal dismissed</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July 23, 2018</w:t>
            </w:r>
          </w:p>
          <w:p w:rsidR="00931A37" w:rsidRPr="00931A37" w:rsidRDefault="00931A37" w:rsidP="00925A9A">
            <w:pPr>
              <w:jc w:val="both"/>
              <w:rPr>
                <w:sz w:val="20"/>
              </w:rPr>
            </w:pPr>
            <w:r w:rsidRPr="00931A37">
              <w:rPr>
                <w:sz w:val="20"/>
              </w:rPr>
              <w:t>Supreme Court of Canada</w:t>
            </w: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Motion for extension of time in which to serve and file application for leave to appeal and application for leave to appeal filed</w:t>
            </w:r>
          </w:p>
        </w:tc>
      </w:tr>
    </w:tbl>
    <w:p w:rsidR="00931A37" w:rsidRDefault="00931A37" w:rsidP="00931A37">
      <w:pPr>
        <w:jc w:val="both"/>
        <w:rPr>
          <w:sz w:val="20"/>
        </w:rPr>
      </w:pPr>
    </w:p>
    <w:p w:rsidR="00925A9A" w:rsidRPr="00931A37" w:rsidRDefault="00925A9A"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8E5DBE" w:rsidTr="00931A37">
        <w:tc>
          <w:tcPr>
            <w:tcW w:w="543" w:type="pct"/>
          </w:tcPr>
          <w:p w:rsidR="00931A37" w:rsidRPr="00931A37" w:rsidRDefault="00931A37" w:rsidP="00931A37">
            <w:pPr>
              <w:jc w:val="both"/>
              <w:rPr>
                <w:sz w:val="20"/>
                <w:lang w:val="fr-CA"/>
              </w:rPr>
            </w:pPr>
            <w:r w:rsidRPr="00931A37">
              <w:rPr>
                <w:rStyle w:val="SCCFileNumberChar"/>
                <w:sz w:val="20"/>
                <w:szCs w:val="20"/>
                <w:lang w:val="fr-CA"/>
              </w:rPr>
              <w:t>38228</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Gordon Aylward c. Law Society of Newfoundland and Labrador</w:t>
            </w:r>
          </w:p>
          <w:p w:rsidR="00931A37" w:rsidRPr="00931A37" w:rsidRDefault="00931A37" w:rsidP="00931A37">
            <w:pPr>
              <w:jc w:val="both"/>
              <w:rPr>
                <w:sz w:val="20"/>
                <w:lang w:val="fr-CA"/>
              </w:rPr>
            </w:pPr>
            <w:r w:rsidRPr="00931A37">
              <w:rPr>
                <w:sz w:val="20"/>
                <w:lang w:val="fr-CA"/>
              </w:rPr>
              <w:t>(T.-N.-L.)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Droit administratif – Appels – Norme de contrôle – Droit des professions – Avocats et procureurs – La plainte du demandeur contre les employés du Barreau a été rejetée à l’étape de l’enquête – Le juge de première instance a-t-il fait abstraction de la preuve, ou l’a-t-il mal énoncée ou fabriquée? – Quelle est la norme de contrôle relative aux questions d’équité procédurale? – Les décisions du Complaints Authorization Committee du Barreau de Terre-Neuve-et-Labrador doivent-elles être motivées?</w:t>
            </w:r>
          </w:p>
          <w:p w:rsidR="00931A37" w:rsidRPr="00931A37" w:rsidRDefault="00931A37" w:rsidP="00931A37">
            <w:pPr>
              <w:jc w:val="both"/>
              <w:rPr>
                <w:sz w:val="20"/>
                <w:lang w:val="fr-CA"/>
              </w:rPr>
            </w:pP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t>En 2015, M</w:t>
            </w:r>
            <w:r w:rsidRPr="00931A37">
              <w:rPr>
                <w:sz w:val="20"/>
                <w:vertAlign w:val="superscript"/>
                <w:lang w:val="fr-CA"/>
              </w:rPr>
              <w:t>e</w:t>
            </w:r>
            <w:r w:rsidRPr="00931A37">
              <w:rPr>
                <w:sz w:val="20"/>
                <w:lang w:val="fr-CA"/>
              </w:rPr>
              <w:t> Aylward a déposé une plainte d’inconduite professionnelle contre le directeur juridique et le directeur administratif du Barreau de Terre-Neuve-et-Labrador, alléguant notamment qu’ils avaient manqué à leur obligation fiduciaire de le traiter honnêtement et équitablement. Le Complaints Authorization Committee a enquêté sur la plainte de M</w:t>
            </w:r>
            <w:r w:rsidRPr="00931A37">
              <w:rPr>
                <w:sz w:val="20"/>
                <w:vertAlign w:val="superscript"/>
                <w:lang w:val="fr-CA"/>
              </w:rPr>
              <w:t>e</w:t>
            </w:r>
            <w:r w:rsidRPr="00931A37">
              <w:rPr>
                <w:sz w:val="20"/>
                <w:lang w:val="fr-CA"/>
              </w:rPr>
              <w:t> Aylward, puis l’a rejetée. Maître Aylward a interjeté appel, plaidant qu’il y avait eu déni d’équité procédurale et de justice naturelle et que le comité avait fait preuve de partialité ou avait suscité une crainte raisonnable de partialité. Son appel a été rejeté. La Cour d’appel a rejeté son appel de cette décision.</w:t>
            </w:r>
          </w:p>
        </w:tc>
      </w:tr>
      <w:tr w:rsidR="00931A37" w:rsidRPr="008E5DBE" w:rsidTr="00931A37">
        <w:tc>
          <w:tcPr>
            <w:tcW w:w="5000" w:type="pct"/>
            <w:gridSpan w:val="4"/>
          </w:tcPr>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21 septembre 2017</w:t>
            </w:r>
          </w:p>
          <w:p w:rsidR="00931A37" w:rsidRPr="00931A37" w:rsidRDefault="00931A37" w:rsidP="00931A37">
            <w:pPr>
              <w:jc w:val="both"/>
              <w:rPr>
                <w:sz w:val="20"/>
                <w:lang w:val="fr-CA"/>
              </w:rPr>
            </w:pPr>
            <w:r w:rsidRPr="00931A37">
              <w:rPr>
                <w:sz w:val="20"/>
                <w:lang w:val="fr-CA"/>
              </w:rPr>
              <w:t>Cour suprême de Terre-Neuve-et-Labrador</w:t>
            </w:r>
          </w:p>
          <w:p w:rsidR="00931A37" w:rsidRPr="00931A37" w:rsidRDefault="00931A37" w:rsidP="00931A37">
            <w:pPr>
              <w:jc w:val="both"/>
              <w:rPr>
                <w:sz w:val="20"/>
                <w:lang w:val="fr-CA"/>
              </w:rPr>
            </w:pPr>
            <w:r w:rsidRPr="00931A37">
              <w:rPr>
                <w:sz w:val="20"/>
                <w:lang w:val="fr-CA"/>
              </w:rPr>
              <w:t>Section de première instance</w:t>
            </w:r>
          </w:p>
          <w:p w:rsidR="00931A37" w:rsidRPr="00931A37" w:rsidRDefault="00931A37" w:rsidP="00931A37">
            <w:pPr>
              <w:jc w:val="both"/>
              <w:rPr>
                <w:sz w:val="20"/>
                <w:lang w:val="fr-CA"/>
              </w:rPr>
            </w:pPr>
            <w:r w:rsidRPr="00931A37">
              <w:rPr>
                <w:sz w:val="20"/>
                <w:lang w:val="fr-CA"/>
              </w:rPr>
              <w:t>(Juge Dymond)</w:t>
            </w:r>
          </w:p>
          <w:p w:rsidR="00931A37" w:rsidRPr="00931A37" w:rsidRDefault="00931A37" w:rsidP="00931A37">
            <w:pPr>
              <w:jc w:val="both"/>
              <w:rPr>
                <w:sz w:val="20"/>
                <w:lang w:val="fr-CA"/>
              </w:rPr>
            </w:pPr>
            <w:r w:rsidRPr="00931A37">
              <w:rPr>
                <w:sz w:val="20"/>
                <w:lang w:val="fr-CA"/>
              </w:rPr>
              <w:t>2017 NLTD(G) 159</w:t>
            </w:r>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Rejet de l’appel du demandeur du rejet de sa plainte au Barreau de Terre-Neuve-et-Labrador</w:t>
            </w:r>
          </w:p>
          <w:p w:rsidR="00931A37" w:rsidRPr="00931A37" w:rsidRDefault="00931A37" w:rsidP="00931A37">
            <w:pPr>
              <w:jc w:val="both"/>
              <w:rPr>
                <w:sz w:val="20"/>
                <w:lang w:val="fr-CA"/>
              </w:rPr>
            </w:pPr>
          </w:p>
          <w:p w:rsidR="00931A37" w:rsidRPr="00931A37" w:rsidRDefault="00931A37" w:rsidP="00931A37">
            <w:pPr>
              <w:jc w:val="both"/>
              <w:rPr>
                <w:sz w:val="20"/>
                <w:lang w:val="fr-CA"/>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13 avril 2018</w:t>
            </w:r>
          </w:p>
          <w:p w:rsidR="00931A37" w:rsidRPr="00931A37" w:rsidRDefault="00931A37" w:rsidP="00931A37">
            <w:pPr>
              <w:jc w:val="both"/>
              <w:rPr>
                <w:sz w:val="20"/>
                <w:lang w:val="fr-CA"/>
              </w:rPr>
            </w:pPr>
            <w:r w:rsidRPr="00931A37">
              <w:rPr>
                <w:sz w:val="20"/>
                <w:lang w:val="fr-CA"/>
              </w:rPr>
              <w:t>Cour d’appel de Terre-Neuve-et-Labrador</w:t>
            </w:r>
          </w:p>
          <w:p w:rsidR="00931A37" w:rsidRPr="00931A37" w:rsidRDefault="00931A37" w:rsidP="00931A37">
            <w:pPr>
              <w:jc w:val="both"/>
              <w:rPr>
                <w:sz w:val="20"/>
              </w:rPr>
            </w:pPr>
            <w:r w:rsidRPr="00931A37">
              <w:rPr>
                <w:sz w:val="20"/>
              </w:rPr>
              <w:t xml:space="preserve">(Juges Welsh, White et </w:t>
            </w:r>
            <w:proofErr w:type="spellStart"/>
            <w:r w:rsidRPr="00931A37">
              <w:rPr>
                <w:sz w:val="20"/>
              </w:rPr>
              <w:t>Goodridge</w:t>
            </w:r>
            <w:proofErr w:type="spellEnd"/>
            <w:r w:rsidRPr="00931A37">
              <w:rPr>
                <w:sz w:val="20"/>
              </w:rPr>
              <w:t>)</w:t>
            </w:r>
          </w:p>
          <w:p w:rsidR="00931A37" w:rsidRPr="00931A37" w:rsidRDefault="00345C48" w:rsidP="00931A37">
            <w:pPr>
              <w:jc w:val="both"/>
              <w:rPr>
                <w:sz w:val="20"/>
                <w:lang w:val="fr-CA"/>
              </w:rPr>
            </w:pPr>
            <w:hyperlink r:id="rId58" w:history="1">
              <w:r w:rsidR="00931A37" w:rsidRPr="00931A37">
                <w:rPr>
                  <w:rStyle w:val="Hyperlink"/>
                  <w:sz w:val="20"/>
                  <w:lang w:val="fr-CA"/>
                </w:rPr>
                <w:t>2018 NLCA 20</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Rejet de l’appel du demandeur</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23 juillet 2018</w:t>
            </w:r>
          </w:p>
          <w:p w:rsidR="00931A37" w:rsidRPr="00931A37" w:rsidRDefault="00931A37" w:rsidP="00931A37">
            <w:pPr>
              <w:jc w:val="both"/>
              <w:rPr>
                <w:sz w:val="20"/>
                <w:lang w:val="fr-CA"/>
              </w:rPr>
            </w:pPr>
            <w:r w:rsidRPr="00931A37">
              <w:rPr>
                <w:sz w:val="20"/>
                <w:lang w:val="fr-CA"/>
              </w:rPr>
              <w:t>Cour suprême du Canada</w:t>
            </w:r>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Dépôt de la requête en prorogation du délai de signification et de dépôt de la demande d’autorisation d’appel et de la demande d’autorisation d’appel</w:t>
            </w:r>
          </w:p>
        </w:tc>
      </w:tr>
    </w:tbl>
    <w:p w:rsidR="00931A37" w:rsidRPr="00931A37" w:rsidRDefault="00931A37" w:rsidP="00931A37">
      <w:pPr>
        <w:jc w:val="both"/>
        <w:rPr>
          <w:sz w:val="20"/>
          <w:lang w:val="fr-CA"/>
        </w:rPr>
      </w:pPr>
    </w:p>
    <w:p w:rsidR="00931A37" w:rsidRPr="00931A37" w:rsidRDefault="00931A37" w:rsidP="00931A37">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rPr>
            </w:pPr>
            <w:r w:rsidRPr="00931A37">
              <w:rPr>
                <w:rStyle w:val="SCCFileNumberChar"/>
                <w:sz w:val="20"/>
                <w:szCs w:val="20"/>
              </w:rPr>
              <w:t>38260</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Robin James Goertz v. Owners Condominium Plan No. 98SA12401</w:t>
            </w:r>
          </w:p>
          <w:p w:rsidR="00931A37" w:rsidRPr="00931A37" w:rsidRDefault="00931A37" w:rsidP="00931A37">
            <w:pPr>
              <w:jc w:val="both"/>
              <w:rPr>
                <w:sz w:val="20"/>
              </w:rPr>
            </w:pPr>
            <w:r w:rsidRPr="00931A37">
              <w:rPr>
                <w:sz w:val="20"/>
              </w:rPr>
              <w:t>(Sask.) (Civil) (By Leave)</w:t>
            </w:r>
          </w:p>
        </w:tc>
      </w:tr>
      <w:tr w:rsidR="00931A37" w:rsidRPr="00931A37" w:rsidTr="00931A37">
        <w:tc>
          <w:tcPr>
            <w:tcW w:w="5000" w:type="pct"/>
            <w:gridSpan w:val="4"/>
          </w:tcPr>
          <w:p w:rsidR="00931A37" w:rsidRPr="00931A37" w:rsidRDefault="00931A37" w:rsidP="00931A37">
            <w:pPr>
              <w:jc w:val="both"/>
              <w:rPr>
                <w:sz w:val="20"/>
              </w:rPr>
            </w:pPr>
            <w:r w:rsidRPr="00931A37">
              <w:rPr>
                <w:sz w:val="20"/>
              </w:rPr>
              <w:t xml:space="preserve">Property – Condominiums – Civil Procedure – Costs – Bias – Condominium voting rights – What is a “contribution” to a condominium? – Interpretation of </w:t>
            </w:r>
            <w:r w:rsidRPr="00931A37">
              <w:rPr>
                <w:i/>
                <w:sz w:val="20"/>
              </w:rPr>
              <w:t>The Condominium Property Act</w:t>
            </w:r>
            <w:r w:rsidRPr="00931A37">
              <w:rPr>
                <w:sz w:val="20"/>
              </w:rPr>
              <w:t>, SS 1993, c C-23 – Condominium rental units – Failure to pay deposit and other fees – Enforcement by condominium corporation for non-payment – Do security deposits (in respect of rented units) constitute a “contribution” for which non-payment curtails the voting and participation rights of condominium unit owners?</w:t>
            </w:r>
          </w:p>
          <w:p w:rsidR="00931A37" w:rsidRPr="00931A37" w:rsidRDefault="00931A37" w:rsidP="00931A37">
            <w:pPr>
              <w:jc w:val="both"/>
              <w:rPr>
                <w:sz w:val="20"/>
              </w:rPr>
            </w:pPr>
          </w:p>
        </w:tc>
      </w:tr>
      <w:tr w:rsidR="00931A37" w:rsidRPr="00931A37" w:rsidTr="00931A37">
        <w:tc>
          <w:tcPr>
            <w:tcW w:w="5000" w:type="pct"/>
            <w:gridSpan w:val="4"/>
          </w:tcPr>
          <w:p w:rsidR="00931A37" w:rsidRPr="00931A37" w:rsidRDefault="00931A37" w:rsidP="00931A37">
            <w:pPr>
              <w:jc w:val="both"/>
              <w:rPr>
                <w:sz w:val="20"/>
              </w:rPr>
            </w:pPr>
            <w:r w:rsidRPr="00931A37">
              <w:rPr>
                <w:sz w:val="20"/>
              </w:rPr>
              <w:t xml:space="preserve">The applicant, Mr. Goertz, was the developer of land and condominium units that became registered as Plan No. 98SA12401. Mr. Goertz owns 11 of the 44 units, 10 of which he rents and one he lives in himself. The condominium corporation board passed a resolution requiring each owner to pay a deposit of one month’s rent on each unit rented by the owner. Mr. Goertz declined to pay the deposit for each of his rented units or provide the names of his tenants. Subsequently, Mr. Goertz was not allowed to vote at the Annual General Meeting. The condominium corporation commenced an action in small claims court for Mr. </w:t>
            </w:r>
            <w:proofErr w:type="spellStart"/>
            <w:r w:rsidRPr="00931A37">
              <w:rPr>
                <w:sz w:val="20"/>
              </w:rPr>
              <w:t>Goertz’s</w:t>
            </w:r>
            <w:proofErr w:type="spellEnd"/>
            <w:r w:rsidRPr="00931A37">
              <w:rPr>
                <w:sz w:val="20"/>
              </w:rPr>
              <w:t xml:space="preserve"> unpaid contributions. In response Mr. Goertz filed an originating application in the Court of Queen’s Bench. In March 2017 the action in small claims was joined with the action in the Court of Queen’s Bench. The Court of Queen’s Bench dismissed the action with costs to the condominium corporation. The Court of Appeal dismissed the subsequent appeal.</w:t>
            </w:r>
          </w:p>
        </w:tc>
      </w:tr>
      <w:tr w:rsidR="00931A37" w:rsidRPr="00931A37" w:rsidTr="00931A37">
        <w:tc>
          <w:tcPr>
            <w:tcW w:w="5000" w:type="pct"/>
            <w:gridSpan w:val="4"/>
          </w:tcPr>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May 12, 2017</w:t>
            </w:r>
          </w:p>
          <w:p w:rsidR="00931A37" w:rsidRPr="00931A37" w:rsidRDefault="00931A37" w:rsidP="00931A37">
            <w:pPr>
              <w:jc w:val="both"/>
              <w:rPr>
                <w:sz w:val="20"/>
              </w:rPr>
            </w:pPr>
            <w:r w:rsidRPr="00931A37">
              <w:rPr>
                <w:sz w:val="20"/>
              </w:rPr>
              <w:t>Court of Queen’s Bench of Saskatchewan</w:t>
            </w:r>
          </w:p>
          <w:p w:rsidR="00931A37" w:rsidRPr="00931A37" w:rsidRDefault="00931A37" w:rsidP="00931A37">
            <w:pPr>
              <w:jc w:val="both"/>
              <w:rPr>
                <w:sz w:val="20"/>
              </w:rPr>
            </w:pPr>
            <w:r w:rsidRPr="00931A37">
              <w:rPr>
                <w:sz w:val="20"/>
              </w:rPr>
              <w:t>(</w:t>
            </w:r>
            <w:proofErr w:type="spellStart"/>
            <w:r w:rsidRPr="00931A37">
              <w:rPr>
                <w:sz w:val="20"/>
              </w:rPr>
              <w:t>Scherman</w:t>
            </w:r>
            <w:proofErr w:type="spellEnd"/>
            <w:r w:rsidRPr="00931A37">
              <w:rPr>
                <w:sz w:val="20"/>
              </w:rPr>
              <w:t xml:space="preserve"> J.)</w:t>
            </w:r>
          </w:p>
          <w:p w:rsidR="00931A37" w:rsidRPr="00931A37" w:rsidRDefault="00345C48" w:rsidP="00931A37">
            <w:pPr>
              <w:jc w:val="both"/>
              <w:rPr>
                <w:sz w:val="20"/>
              </w:rPr>
            </w:pPr>
            <w:hyperlink r:id="rId59" w:history="1">
              <w:r w:rsidR="00931A37" w:rsidRPr="00931A37">
                <w:rPr>
                  <w:rStyle w:val="Hyperlink"/>
                  <w:sz w:val="20"/>
                </w:rPr>
                <w:t>2017 SKQB 135</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Action dismissed with solicitor-client costs to the respondent.</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May 29, 2018</w:t>
            </w:r>
          </w:p>
          <w:p w:rsidR="00931A37" w:rsidRPr="00931A37" w:rsidRDefault="00931A37" w:rsidP="00931A37">
            <w:pPr>
              <w:jc w:val="both"/>
              <w:rPr>
                <w:sz w:val="20"/>
              </w:rPr>
            </w:pPr>
            <w:r w:rsidRPr="00931A37">
              <w:rPr>
                <w:sz w:val="20"/>
              </w:rPr>
              <w:t>Court of Appeal for Saskatchewan</w:t>
            </w:r>
          </w:p>
          <w:p w:rsidR="00931A37" w:rsidRPr="00931A37" w:rsidRDefault="00931A37" w:rsidP="00931A37">
            <w:pPr>
              <w:jc w:val="both"/>
              <w:rPr>
                <w:sz w:val="20"/>
              </w:rPr>
            </w:pPr>
            <w:r w:rsidRPr="00931A37">
              <w:rPr>
                <w:sz w:val="20"/>
              </w:rPr>
              <w:t>(</w:t>
            </w:r>
            <w:proofErr w:type="spellStart"/>
            <w:r w:rsidRPr="00931A37">
              <w:rPr>
                <w:sz w:val="20"/>
              </w:rPr>
              <w:t>Ottenbreit</w:t>
            </w:r>
            <w:proofErr w:type="spellEnd"/>
            <w:r w:rsidRPr="00931A37">
              <w:rPr>
                <w:sz w:val="20"/>
              </w:rPr>
              <w:t>, Whitmore, and Schwann JJ.A.)</w:t>
            </w:r>
          </w:p>
          <w:p w:rsidR="00931A37" w:rsidRPr="00931A37" w:rsidRDefault="00345C48" w:rsidP="00931A37">
            <w:pPr>
              <w:jc w:val="both"/>
              <w:rPr>
                <w:sz w:val="20"/>
              </w:rPr>
            </w:pPr>
            <w:hyperlink r:id="rId60" w:history="1">
              <w:r w:rsidR="00931A37" w:rsidRPr="00931A37">
                <w:rPr>
                  <w:rStyle w:val="Hyperlink"/>
                  <w:sz w:val="20"/>
                </w:rPr>
                <w:t>2018 SKCA 41</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Appeal dismissed.</w:t>
            </w:r>
          </w:p>
          <w:p w:rsidR="00931A37" w:rsidRPr="00931A37" w:rsidRDefault="00931A37" w:rsidP="00931A37">
            <w:pPr>
              <w:jc w:val="both"/>
              <w:rPr>
                <w:sz w:val="20"/>
              </w:rPr>
            </w:pPr>
          </w:p>
        </w:tc>
      </w:tr>
      <w:tr w:rsidR="00931A37" w:rsidRPr="00931A37" w:rsidTr="00931A37">
        <w:tc>
          <w:tcPr>
            <w:tcW w:w="2427" w:type="pct"/>
            <w:gridSpan w:val="2"/>
          </w:tcPr>
          <w:p w:rsidR="00931A37" w:rsidRPr="00931A37" w:rsidRDefault="00931A37" w:rsidP="00931A37">
            <w:pPr>
              <w:jc w:val="both"/>
              <w:rPr>
                <w:sz w:val="20"/>
              </w:rPr>
            </w:pPr>
            <w:r w:rsidRPr="00931A37">
              <w:rPr>
                <w:sz w:val="20"/>
              </w:rPr>
              <w:t>August 27, 2018</w:t>
            </w:r>
          </w:p>
          <w:p w:rsidR="00931A37" w:rsidRPr="00931A37" w:rsidRDefault="00931A37" w:rsidP="00931A37">
            <w:pPr>
              <w:jc w:val="both"/>
              <w:rPr>
                <w:sz w:val="20"/>
              </w:rPr>
            </w:pPr>
            <w:r w:rsidRPr="00931A37">
              <w:rPr>
                <w:sz w:val="20"/>
              </w:rPr>
              <w:t>Supreme Court of Canada</w:t>
            </w: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rPr>
            </w:pPr>
            <w:r w:rsidRPr="00931A37">
              <w:rPr>
                <w:sz w:val="20"/>
              </w:rPr>
              <w:t>Application for leave to appeal filed.</w:t>
            </w:r>
          </w:p>
          <w:p w:rsidR="00931A37" w:rsidRPr="00931A37" w:rsidRDefault="00931A37" w:rsidP="00931A37">
            <w:pPr>
              <w:jc w:val="both"/>
              <w:rPr>
                <w:sz w:val="20"/>
              </w:rPr>
            </w:pPr>
          </w:p>
        </w:tc>
      </w:tr>
    </w:tbl>
    <w:p w:rsidR="00931A37" w:rsidRDefault="00931A37" w:rsidP="00931A37">
      <w:pPr>
        <w:jc w:val="both"/>
        <w:rPr>
          <w:sz w:val="20"/>
        </w:rPr>
      </w:pPr>
    </w:p>
    <w:p w:rsidR="00925A9A" w:rsidRPr="00931A37" w:rsidRDefault="00925A9A" w:rsidP="00931A37">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931A37" w:rsidRPr="00931A37" w:rsidTr="00931A37">
        <w:tc>
          <w:tcPr>
            <w:tcW w:w="543" w:type="pct"/>
          </w:tcPr>
          <w:p w:rsidR="00931A37" w:rsidRPr="00931A37" w:rsidRDefault="00931A37" w:rsidP="00931A37">
            <w:pPr>
              <w:jc w:val="both"/>
              <w:rPr>
                <w:sz w:val="20"/>
                <w:lang w:val="fr-CA"/>
              </w:rPr>
            </w:pPr>
            <w:r w:rsidRPr="00931A37">
              <w:rPr>
                <w:rStyle w:val="SCCFileNumberChar"/>
                <w:sz w:val="20"/>
                <w:szCs w:val="20"/>
                <w:lang w:val="fr-CA"/>
              </w:rPr>
              <w:t>38260</w:t>
            </w:r>
          </w:p>
        </w:tc>
        <w:tc>
          <w:tcPr>
            <w:tcW w:w="4457" w:type="pct"/>
            <w:gridSpan w:val="3"/>
          </w:tcPr>
          <w:p w:rsidR="00931A37" w:rsidRPr="00925A9A" w:rsidRDefault="00931A37" w:rsidP="00931A37">
            <w:pPr>
              <w:pStyle w:val="SCCLsocParty"/>
              <w:jc w:val="both"/>
              <w:rPr>
                <w:b/>
                <w:sz w:val="20"/>
                <w:szCs w:val="20"/>
                <w:lang w:val="en-US"/>
              </w:rPr>
            </w:pPr>
            <w:r w:rsidRPr="00925A9A">
              <w:rPr>
                <w:b/>
                <w:sz w:val="20"/>
                <w:szCs w:val="20"/>
                <w:lang w:val="en-US"/>
              </w:rPr>
              <w:t>Robin James Goertz c. Owners Condominium Plan No. 98SA12401</w:t>
            </w:r>
          </w:p>
          <w:p w:rsidR="00931A37" w:rsidRPr="00931A37" w:rsidRDefault="00931A37" w:rsidP="00931A37">
            <w:pPr>
              <w:jc w:val="both"/>
              <w:rPr>
                <w:sz w:val="20"/>
                <w:lang w:val="fr-CA"/>
              </w:rPr>
            </w:pPr>
            <w:r w:rsidRPr="00931A37">
              <w:rPr>
                <w:sz w:val="20"/>
                <w:lang w:val="fr-CA"/>
              </w:rPr>
              <w:t>(Sask.) (Civile) (Autorisation)</w:t>
            </w:r>
          </w:p>
        </w:tc>
      </w:tr>
      <w:tr w:rsidR="00931A37" w:rsidRPr="008E5DBE" w:rsidTr="00931A37">
        <w:tc>
          <w:tcPr>
            <w:tcW w:w="5000" w:type="pct"/>
            <w:gridSpan w:val="4"/>
          </w:tcPr>
          <w:p w:rsidR="00931A37" w:rsidRPr="00931A37" w:rsidRDefault="00931A37" w:rsidP="00931A37">
            <w:pPr>
              <w:jc w:val="both"/>
              <w:rPr>
                <w:sz w:val="20"/>
                <w:lang w:val="fr-CA"/>
              </w:rPr>
            </w:pPr>
            <w:r w:rsidRPr="00931A37">
              <w:rPr>
                <w:sz w:val="20"/>
                <w:lang w:val="fr-CA"/>
              </w:rPr>
              <w:lastRenderedPageBreak/>
              <w:t>Biens – Condominiums – Procédure civile – Dépens – Partialité – Droits de vote dans un condominium – Qu’est-ce qu’un « apport » (</w:t>
            </w:r>
            <w:r w:rsidRPr="00931A37">
              <w:rPr>
                <w:i/>
                <w:sz w:val="20"/>
                <w:lang w:val="fr-CA"/>
              </w:rPr>
              <w:t>contribution</w:t>
            </w:r>
            <w:r w:rsidRPr="00931A37">
              <w:rPr>
                <w:sz w:val="20"/>
                <w:lang w:val="fr-CA"/>
              </w:rPr>
              <w:t xml:space="preserve">) à un condominium? – Interprétation de </w:t>
            </w:r>
            <w:r w:rsidRPr="00931A37">
              <w:rPr>
                <w:i/>
                <w:sz w:val="20"/>
                <w:lang w:val="fr-CA"/>
              </w:rPr>
              <w:t>The Condominium Property Act</w:t>
            </w:r>
            <w:r w:rsidRPr="00931A37">
              <w:rPr>
                <w:sz w:val="20"/>
                <w:lang w:val="fr-CA"/>
              </w:rPr>
              <w:t>, SS 1993, ch. C-23 – Unités condominiales locatives – Défaut de verser un dépôt et d’autres droits – Exécution par une société condominiale pour non-paiement – Les dépôts de garantie (à l’égard des unités louées) constituent-ils un « apport » (</w:t>
            </w:r>
            <w:r w:rsidRPr="00931A37">
              <w:rPr>
                <w:i/>
                <w:sz w:val="20"/>
                <w:lang w:val="fr-CA"/>
              </w:rPr>
              <w:t>contribution</w:t>
            </w:r>
            <w:r w:rsidRPr="00931A37">
              <w:rPr>
                <w:sz w:val="20"/>
                <w:lang w:val="fr-CA"/>
              </w:rPr>
              <w:t>) dont le non-paiement prive les propriétaires d’unité condominiales du droit de vote et de participation?</w:t>
            </w:r>
          </w:p>
          <w:p w:rsidR="00931A37" w:rsidRPr="00931A37" w:rsidRDefault="00931A37" w:rsidP="00931A37">
            <w:pPr>
              <w:jc w:val="both"/>
              <w:rPr>
                <w:sz w:val="20"/>
                <w:lang w:val="fr-CA"/>
              </w:rPr>
            </w:pPr>
          </w:p>
        </w:tc>
      </w:tr>
      <w:tr w:rsidR="00931A37" w:rsidRPr="00931A37" w:rsidTr="00931A37">
        <w:tc>
          <w:tcPr>
            <w:tcW w:w="5000" w:type="pct"/>
            <w:gridSpan w:val="4"/>
          </w:tcPr>
          <w:p w:rsidR="00931A37" w:rsidRPr="00931A37" w:rsidRDefault="00931A37" w:rsidP="00931A37">
            <w:pPr>
              <w:jc w:val="both"/>
              <w:rPr>
                <w:sz w:val="20"/>
                <w:lang w:val="fr-CA"/>
              </w:rPr>
            </w:pPr>
            <w:r w:rsidRPr="00931A37">
              <w:rPr>
                <w:sz w:val="20"/>
                <w:lang w:val="fr-CA"/>
              </w:rPr>
              <w:t>Le demandeur, M. Goertz, a été le promoteur qui a mis en valeur des terrains et des unités condominiales qui ont été inscrits comme Plan No. 98SA12401. Monsieur Goertz est propriétaire de onze unités des quarante-quatre unités, louant dix d’entre elles et occupant lui-même la onzième. Le conseil de la société condominiale a adopté une résolution obligeant chaque propriétaire à verser un dépôt d’un mois de loyer sur chaque unité louée par le propriétaire. Monsieur Goertz a refusé de verser le dépôt pour chacune de ses unités louées ou de fournir les noms de ses locataires. Subséquemment, M. Goertz n’a pas été autorisé à voter à l’assemblée générale annuelle. La société condominiale a intenté une action à la cour des petites créances pour réclamer les apports impayés de M. Goertz. En guise de réponse, M. Goertz a déposé une demande introductive en Cour du Banc de la Reine. En mars 2017, l’action aux petites créances a été jointe à l’action en Cour du Banc de la Reine. La Cour du Banc de la Reine a rejeté l’action avec dépens en faveur de la société condominiale. La Cour d’appel a rejeté l’appel subséquent.</w:t>
            </w:r>
          </w:p>
        </w:tc>
      </w:tr>
      <w:tr w:rsidR="00931A37" w:rsidRPr="00931A37" w:rsidTr="00931A37">
        <w:tc>
          <w:tcPr>
            <w:tcW w:w="5000" w:type="pct"/>
            <w:gridSpan w:val="4"/>
          </w:tcPr>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12 mai 2017</w:t>
            </w:r>
          </w:p>
          <w:p w:rsidR="00931A37" w:rsidRPr="00931A37" w:rsidRDefault="00931A37" w:rsidP="00931A37">
            <w:pPr>
              <w:jc w:val="both"/>
              <w:rPr>
                <w:sz w:val="20"/>
                <w:lang w:val="fr-CA"/>
              </w:rPr>
            </w:pPr>
            <w:r w:rsidRPr="00931A37">
              <w:rPr>
                <w:sz w:val="20"/>
                <w:lang w:val="fr-CA"/>
              </w:rPr>
              <w:t>Cour du Banc de la Reine de la Saskatchewan</w:t>
            </w:r>
          </w:p>
          <w:p w:rsidR="00931A37" w:rsidRPr="00931A37" w:rsidRDefault="00931A37" w:rsidP="00931A37">
            <w:pPr>
              <w:jc w:val="both"/>
              <w:rPr>
                <w:sz w:val="20"/>
                <w:lang w:val="fr-CA"/>
              </w:rPr>
            </w:pPr>
            <w:r w:rsidRPr="00931A37">
              <w:rPr>
                <w:sz w:val="20"/>
                <w:lang w:val="fr-CA"/>
              </w:rPr>
              <w:t>(Juge Scherman)</w:t>
            </w:r>
          </w:p>
          <w:p w:rsidR="00931A37" w:rsidRPr="00931A37" w:rsidRDefault="00345C48" w:rsidP="00931A37">
            <w:pPr>
              <w:jc w:val="both"/>
              <w:rPr>
                <w:sz w:val="20"/>
                <w:lang w:val="fr-CA"/>
              </w:rPr>
            </w:pPr>
            <w:hyperlink r:id="rId61" w:history="1">
              <w:r w:rsidR="00931A37" w:rsidRPr="00931A37">
                <w:rPr>
                  <w:rStyle w:val="Hyperlink"/>
                  <w:sz w:val="20"/>
                  <w:lang w:val="fr-CA"/>
                </w:rPr>
                <w:t>2017 SKQB 135</w:t>
              </w:r>
            </w:hyperlink>
          </w:p>
          <w:p w:rsidR="00931A37" w:rsidRPr="00931A37" w:rsidRDefault="00931A37" w:rsidP="00931A37">
            <w:pPr>
              <w:jc w:val="both"/>
              <w:rPr>
                <w:sz w:val="20"/>
                <w:lang w:val="fr-CA"/>
              </w:rPr>
            </w:pP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Rejet de l’action avec dépens procureur-client à l’intimée.</w:t>
            </w:r>
          </w:p>
          <w:p w:rsidR="00931A37" w:rsidRPr="00931A37" w:rsidRDefault="00931A37" w:rsidP="00931A37">
            <w:pPr>
              <w:jc w:val="both"/>
              <w:rPr>
                <w:sz w:val="20"/>
                <w:lang w:val="fr-CA"/>
              </w:rPr>
            </w:pPr>
          </w:p>
        </w:tc>
      </w:tr>
      <w:tr w:rsidR="00931A37" w:rsidRPr="00931A37" w:rsidTr="00931A37">
        <w:tc>
          <w:tcPr>
            <w:tcW w:w="2427" w:type="pct"/>
            <w:gridSpan w:val="2"/>
          </w:tcPr>
          <w:p w:rsidR="00931A37" w:rsidRPr="00931A37" w:rsidRDefault="00931A37" w:rsidP="00931A37">
            <w:pPr>
              <w:jc w:val="both"/>
              <w:rPr>
                <w:sz w:val="20"/>
                <w:lang w:val="fr-CA"/>
              </w:rPr>
            </w:pPr>
            <w:r w:rsidRPr="00931A37">
              <w:rPr>
                <w:sz w:val="20"/>
                <w:lang w:val="fr-CA"/>
              </w:rPr>
              <w:t>29 mai 2018</w:t>
            </w:r>
          </w:p>
          <w:p w:rsidR="00931A37" w:rsidRPr="00931A37" w:rsidRDefault="00931A37" w:rsidP="00931A37">
            <w:pPr>
              <w:jc w:val="both"/>
              <w:rPr>
                <w:sz w:val="20"/>
                <w:lang w:val="fr-CA"/>
              </w:rPr>
            </w:pPr>
            <w:r w:rsidRPr="00931A37">
              <w:rPr>
                <w:sz w:val="20"/>
                <w:lang w:val="fr-CA"/>
              </w:rPr>
              <w:t>Cour d’appel de la Saskatchewan</w:t>
            </w:r>
          </w:p>
          <w:p w:rsidR="00931A37" w:rsidRPr="00931A37" w:rsidRDefault="00931A37" w:rsidP="00931A37">
            <w:pPr>
              <w:jc w:val="both"/>
              <w:rPr>
                <w:sz w:val="20"/>
              </w:rPr>
            </w:pPr>
            <w:r w:rsidRPr="00931A37">
              <w:rPr>
                <w:sz w:val="20"/>
              </w:rPr>
              <w:t xml:space="preserve">(Juges </w:t>
            </w:r>
            <w:proofErr w:type="spellStart"/>
            <w:r w:rsidRPr="00931A37">
              <w:rPr>
                <w:sz w:val="20"/>
              </w:rPr>
              <w:t>Ottenbreit</w:t>
            </w:r>
            <w:proofErr w:type="spellEnd"/>
            <w:r w:rsidRPr="00931A37">
              <w:rPr>
                <w:sz w:val="20"/>
              </w:rPr>
              <w:t>, Whitmore et Schwann)</w:t>
            </w:r>
          </w:p>
          <w:p w:rsidR="00931A37" w:rsidRPr="00931A37" w:rsidRDefault="00345C48" w:rsidP="00931A37">
            <w:pPr>
              <w:jc w:val="both"/>
              <w:rPr>
                <w:sz w:val="20"/>
              </w:rPr>
            </w:pPr>
            <w:hyperlink r:id="rId62" w:history="1">
              <w:r w:rsidR="00931A37" w:rsidRPr="00931A37">
                <w:rPr>
                  <w:rStyle w:val="Hyperlink"/>
                  <w:sz w:val="20"/>
                </w:rPr>
                <w:t>2018 SKCA 41</w:t>
              </w:r>
            </w:hyperlink>
          </w:p>
          <w:p w:rsidR="00931A37" w:rsidRPr="00931A37" w:rsidRDefault="00931A37" w:rsidP="00931A37">
            <w:pPr>
              <w:jc w:val="both"/>
              <w:rPr>
                <w:sz w:val="20"/>
              </w:rPr>
            </w:pPr>
          </w:p>
        </w:tc>
        <w:tc>
          <w:tcPr>
            <w:tcW w:w="243" w:type="pct"/>
          </w:tcPr>
          <w:p w:rsidR="00931A37" w:rsidRPr="00931A37" w:rsidRDefault="00931A37" w:rsidP="00931A37">
            <w:pPr>
              <w:jc w:val="both"/>
              <w:rPr>
                <w:sz w:val="20"/>
              </w:rPr>
            </w:pPr>
          </w:p>
        </w:tc>
        <w:tc>
          <w:tcPr>
            <w:tcW w:w="2330" w:type="pct"/>
          </w:tcPr>
          <w:p w:rsidR="00931A37" w:rsidRPr="00931A37" w:rsidRDefault="00931A37" w:rsidP="00931A37">
            <w:pPr>
              <w:jc w:val="both"/>
              <w:rPr>
                <w:sz w:val="20"/>
                <w:lang w:val="fr-CA"/>
              </w:rPr>
            </w:pPr>
            <w:r w:rsidRPr="00931A37">
              <w:rPr>
                <w:sz w:val="20"/>
                <w:lang w:val="fr-CA"/>
              </w:rPr>
              <w:t>Rejet de l’appel.</w:t>
            </w:r>
          </w:p>
          <w:p w:rsidR="00931A37" w:rsidRPr="00931A37" w:rsidRDefault="00931A37" w:rsidP="00931A37">
            <w:pPr>
              <w:jc w:val="both"/>
              <w:rPr>
                <w:sz w:val="20"/>
                <w:lang w:val="fr-CA"/>
              </w:rPr>
            </w:pPr>
          </w:p>
        </w:tc>
      </w:tr>
      <w:tr w:rsidR="00931A37" w:rsidRPr="008E5DBE" w:rsidTr="00931A37">
        <w:tc>
          <w:tcPr>
            <w:tcW w:w="2427" w:type="pct"/>
            <w:gridSpan w:val="2"/>
          </w:tcPr>
          <w:p w:rsidR="00931A37" w:rsidRPr="00931A37" w:rsidRDefault="00931A37" w:rsidP="00931A37">
            <w:pPr>
              <w:jc w:val="both"/>
              <w:rPr>
                <w:sz w:val="20"/>
                <w:lang w:val="fr-CA"/>
              </w:rPr>
            </w:pPr>
            <w:r w:rsidRPr="00931A37">
              <w:rPr>
                <w:sz w:val="20"/>
                <w:lang w:val="fr-CA"/>
              </w:rPr>
              <w:t>27 août 2018</w:t>
            </w:r>
          </w:p>
          <w:p w:rsidR="00931A37" w:rsidRPr="00931A37" w:rsidRDefault="00931A37" w:rsidP="00931A37">
            <w:pPr>
              <w:jc w:val="both"/>
              <w:rPr>
                <w:sz w:val="20"/>
                <w:lang w:val="fr-CA"/>
              </w:rPr>
            </w:pPr>
            <w:r w:rsidRPr="00931A37">
              <w:rPr>
                <w:sz w:val="20"/>
                <w:lang w:val="fr-CA"/>
              </w:rPr>
              <w:t>Cour suprême du Canada</w:t>
            </w:r>
          </w:p>
        </w:tc>
        <w:tc>
          <w:tcPr>
            <w:tcW w:w="243" w:type="pct"/>
          </w:tcPr>
          <w:p w:rsidR="00931A37" w:rsidRPr="00931A37" w:rsidRDefault="00931A37" w:rsidP="00931A37">
            <w:pPr>
              <w:jc w:val="both"/>
              <w:rPr>
                <w:sz w:val="20"/>
                <w:lang w:val="fr-CA"/>
              </w:rPr>
            </w:pPr>
          </w:p>
        </w:tc>
        <w:tc>
          <w:tcPr>
            <w:tcW w:w="2330" w:type="pct"/>
          </w:tcPr>
          <w:p w:rsidR="00931A37" w:rsidRPr="00931A37" w:rsidRDefault="00931A37" w:rsidP="00931A37">
            <w:pPr>
              <w:jc w:val="both"/>
              <w:rPr>
                <w:sz w:val="20"/>
                <w:lang w:val="fr-CA"/>
              </w:rPr>
            </w:pPr>
            <w:r w:rsidRPr="00931A37">
              <w:rPr>
                <w:sz w:val="20"/>
                <w:lang w:val="fr-CA"/>
              </w:rPr>
              <w:t>Dépôt de la demande d’autorisation d’appel.</w:t>
            </w:r>
          </w:p>
          <w:p w:rsidR="00931A37" w:rsidRPr="00931A37" w:rsidRDefault="00931A37" w:rsidP="00931A37">
            <w:pPr>
              <w:jc w:val="both"/>
              <w:rPr>
                <w:sz w:val="20"/>
                <w:lang w:val="fr-CA"/>
              </w:rPr>
            </w:pPr>
          </w:p>
        </w:tc>
      </w:tr>
    </w:tbl>
    <w:p w:rsidR="00931A37" w:rsidRPr="00931A37" w:rsidRDefault="00931A37" w:rsidP="006A22CA">
      <w:pPr>
        <w:ind w:left="142" w:hanging="142"/>
        <w:jc w:val="both"/>
        <w:rPr>
          <w:sz w:val="20"/>
          <w:lang w:val="fr-CA"/>
        </w:rPr>
      </w:pPr>
    </w:p>
    <w:p w:rsidR="00931A37" w:rsidRPr="00931A37" w:rsidRDefault="00931A37" w:rsidP="006A22CA">
      <w:pPr>
        <w:ind w:left="142" w:hanging="142"/>
        <w:jc w:val="both"/>
        <w:rPr>
          <w:sz w:val="20"/>
          <w:lang w:val="fr-CA"/>
        </w:rPr>
      </w:pPr>
    </w:p>
    <w:p w:rsidR="00FD3FA0" w:rsidRPr="00931A37" w:rsidRDefault="00FD3FA0" w:rsidP="006A22CA">
      <w:pPr>
        <w:ind w:left="142" w:hanging="142"/>
        <w:jc w:val="both"/>
        <w:rPr>
          <w:sz w:val="20"/>
          <w:lang w:val="fr-CA"/>
        </w:rPr>
      </w:pPr>
    </w:p>
    <w:p w:rsidR="00D3344A" w:rsidRPr="004E0745" w:rsidRDefault="00D3344A" w:rsidP="00D3344A">
      <w:pPr>
        <w:widowControl w:val="0"/>
        <w:outlineLvl w:val="0"/>
      </w:pPr>
      <w:r w:rsidRPr="004E0745">
        <w:t xml:space="preserve">Supreme Court of Canada / Cour suprême du </w:t>
      </w:r>
      <w:proofErr w:type="gramStart"/>
      <w:r w:rsidRPr="004E0745">
        <w:t>Canad</w:t>
      </w:r>
      <w:r w:rsidR="00EE289F" w:rsidRPr="004E0745">
        <w:t>a</w:t>
      </w:r>
      <w:r w:rsidRPr="004E0745">
        <w:t xml:space="preserve"> :</w:t>
      </w:r>
      <w:proofErr w:type="gramEnd"/>
    </w:p>
    <w:p w:rsidR="00D3344A" w:rsidRPr="004E0745" w:rsidRDefault="00345C48" w:rsidP="00D3344A">
      <w:pPr>
        <w:widowControl w:val="0"/>
        <w:outlineLvl w:val="0"/>
        <w:rPr>
          <w:u w:val="single"/>
        </w:rPr>
      </w:pPr>
      <w:hyperlink r:id="rId63" w:history="1">
        <w:r w:rsidR="009B7391" w:rsidRPr="004E0745">
          <w:rPr>
            <w:rStyle w:val="Hyperlink"/>
          </w:rPr>
          <w:t>comments-commentaires@scc-csc.ca</w:t>
        </w:r>
      </w:hyperlink>
    </w:p>
    <w:p w:rsidR="00D3344A" w:rsidRPr="004E0745" w:rsidRDefault="0065588C" w:rsidP="00D3344A">
      <w:pPr>
        <w:widowControl w:val="0"/>
        <w:outlineLvl w:val="0"/>
      </w:pPr>
      <w:r w:rsidRPr="004E0745">
        <w:t>613-</w:t>
      </w:r>
      <w:r w:rsidR="00D3344A" w:rsidRPr="004E0745">
        <w:t>995-4330</w:t>
      </w:r>
    </w:p>
    <w:p w:rsidR="00497B5E" w:rsidRPr="004E0745" w:rsidRDefault="00497B5E" w:rsidP="00497B5E">
      <w:pPr>
        <w:widowControl w:val="0"/>
        <w:rPr>
          <w:sz w:val="20"/>
        </w:rPr>
      </w:pPr>
    </w:p>
    <w:p w:rsidR="00F6251B" w:rsidRPr="006E558B" w:rsidRDefault="003F43E6" w:rsidP="00F6251B">
      <w:pPr>
        <w:pStyle w:val="Footer"/>
        <w:jc w:val="center"/>
      </w:pPr>
      <w:r w:rsidRPr="004E0745">
        <w:t>- 30 -</w:t>
      </w:r>
    </w:p>
    <w:sectPr w:rsidR="00F6251B" w:rsidRPr="006E558B" w:rsidSect="00524822">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37" w:rsidRDefault="00931A37" w:rsidP="0034178A">
      <w:r>
        <w:separator/>
      </w:r>
    </w:p>
  </w:endnote>
  <w:endnote w:type="continuationSeparator" w:id="0">
    <w:p w:rsidR="00931A37" w:rsidRDefault="00931A37"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7" w:rsidRDefault="00931A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7" w:rsidRPr="009F77F0" w:rsidRDefault="00931A37"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7" w:rsidRDefault="00931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37" w:rsidRDefault="00931A37" w:rsidP="0034178A">
      <w:r>
        <w:separator/>
      </w:r>
    </w:p>
  </w:footnote>
  <w:footnote w:type="continuationSeparator" w:id="0">
    <w:p w:rsidR="00931A37" w:rsidRDefault="00931A37"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7" w:rsidRDefault="00931A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7" w:rsidRDefault="00931A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7" w:rsidRDefault="00931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E80"/>
    <w:multiLevelType w:val="hybridMultilevel"/>
    <w:tmpl w:val="070CB784"/>
    <w:lvl w:ilvl="0" w:tplc="BBAC64E8">
      <w:start w:val="1"/>
      <w:numFmt w:val="decimal"/>
      <w:lvlText w:val="%1."/>
      <w:lvlJc w:val="left"/>
      <w:pPr>
        <w:ind w:left="81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AA311B"/>
    <w:multiLevelType w:val="hybridMultilevel"/>
    <w:tmpl w:val="0F88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F790B"/>
    <w:multiLevelType w:val="hybridMultilevel"/>
    <w:tmpl w:val="E6F60DE4"/>
    <w:lvl w:ilvl="0" w:tplc="DEAE5608">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87A29"/>
    <w:multiLevelType w:val="hybridMultilevel"/>
    <w:tmpl w:val="70EE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0FB4"/>
    <w:multiLevelType w:val="hybridMultilevel"/>
    <w:tmpl w:val="AE5CAC76"/>
    <w:lvl w:ilvl="0" w:tplc="AABA56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30EA2"/>
    <w:multiLevelType w:val="hybridMultilevel"/>
    <w:tmpl w:val="0180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74A62"/>
    <w:multiLevelType w:val="hybridMultilevel"/>
    <w:tmpl w:val="B100F314"/>
    <w:lvl w:ilvl="0" w:tplc="F47CFA88">
      <w:start w:val="6"/>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72F72"/>
    <w:multiLevelType w:val="hybridMultilevel"/>
    <w:tmpl w:val="E8B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B2092"/>
    <w:multiLevelType w:val="hybridMultilevel"/>
    <w:tmpl w:val="65A25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7"/>
  </w:num>
  <w:num w:numId="5">
    <w:abstractNumId w:val="0"/>
  </w:num>
  <w:num w:numId="6">
    <w:abstractNumId w:val="8"/>
  </w:num>
  <w:num w:numId="7">
    <w:abstractNumId w:val="5"/>
  </w:num>
  <w:num w:numId="8">
    <w:abstractNumId w:val="4"/>
  </w:num>
  <w:num w:numId="9">
    <w:abstractNumId w:val="3"/>
  </w:num>
  <w:num w:numId="10">
    <w:abstractNumId w:val="2"/>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049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36CC"/>
    <w:rsid w:val="0001374A"/>
    <w:rsid w:val="00014C19"/>
    <w:rsid w:val="00015958"/>
    <w:rsid w:val="000164DB"/>
    <w:rsid w:val="00016932"/>
    <w:rsid w:val="00016D65"/>
    <w:rsid w:val="00016D95"/>
    <w:rsid w:val="0001736B"/>
    <w:rsid w:val="000176FB"/>
    <w:rsid w:val="00017D08"/>
    <w:rsid w:val="00020797"/>
    <w:rsid w:val="00020816"/>
    <w:rsid w:val="00020DAE"/>
    <w:rsid w:val="00021515"/>
    <w:rsid w:val="0002267C"/>
    <w:rsid w:val="00022EFE"/>
    <w:rsid w:val="000238E0"/>
    <w:rsid w:val="00024962"/>
    <w:rsid w:val="000250B7"/>
    <w:rsid w:val="00025F42"/>
    <w:rsid w:val="00027443"/>
    <w:rsid w:val="000276EE"/>
    <w:rsid w:val="00027781"/>
    <w:rsid w:val="000277E1"/>
    <w:rsid w:val="00030233"/>
    <w:rsid w:val="00030382"/>
    <w:rsid w:val="00032189"/>
    <w:rsid w:val="00032BD3"/>
    <w:rsid w:val="00032CDB"/>
    <w:rsid w:val="00032E02"/>
    <w:rsid w:val="00033257"/>
    <w:rsid w:val="00033935"/>
    <w:rsid w:val="00033D1E"/>
    <w:rsid w:val="00033D28"/>
    <w:rsid w:val="00034387"/>
    <w:rsid w:val="000343B3"/>
    <w:rsid w:val="0003496D"/>
    <w:rsid w:val="00034A7F"/>
    <w:rsid w:val="000352F8"/>
    <w:rsid w:val="00035790"/>
    <w:rsid w:val="000368C3"/>
    <w:rsid w:val="00036DC6"/>
    <w:rsid w:val="0003725B"/>
    <w:rsid w:val="000374DA"/>
    <w:rsid w:val="00040247"/>
    <w:rsid w:val="00040C48"/>
    <w:rsid w:val="00041302"/>
    <w:rsid w:val="0004159F"/>
    <w:rsid w:val="00041650"/>
    <w:rsid w:val="00041B58"/>
    <w:rsid w:val="00042069"/>
    <w:rsid w:val="00042390"/>
    <w:rsid w:val="0004298B"/>
    <w:rsid w:val="000437B4"/>
    <w:rsid w:val="00043D20"/>
    <w:rsid w:val="00043FDE"/>
    <w:rsid w:val="000467DE"/>
    <w:rsid w:val="00046CB2"/>
    <w:rsid w:val="00046DF1"/>
    <w:rsid w:val="00047188"/>
    <w:rsid w:val="00047941"/>
    <w:rsid w:val="00047CD6"/>
    <w:rsid w:val="00051DE6"/>
    <w:rsid w:val="00053B2B"/>
    <w:rsid w:val="00053BAF"/>
    <w:rsid w:val="00054353"/>
    <w:rsid w:val="0005486A"/>
    <w:rsid w:val="00054A01"/>
    <w:rsid w:val="00054F8E"/>
    <w:rsid w:val="00055DB2"/>
    <w:rsid w:val="0005719F"/>
    <w:rsid w:val="000577D9"/>
    <w:rsid w:val="000579A0"/>
    <w:rsid w:val="00060753"/>
    <w:rsid w:val="00060981"/>
    <w:rsid w:val="00060B62"/>
    <w:rsid w:val="00061283"/>
    <w:rsid w:val="00062012"/>
    <w:rsid w:val="0006231F"/>
    <w:rsid w:val="000627A2"/>
    <w:rsid w:val="000629D7"/>
    <w:rsid w:val="0006325B"/>
    <w:rsid w:val="00063A81"/>
    <w:rsid w:val="0006417A"/>
    <w:rsid w:val="000645F4"/>
    <w:rsid w:val="00064D3D"/>
    <w:rsid w:val="000657E8"/>
    <w:rsid w:val="00065F8F"/>
    <w:rsid w:val="0006649C"/>
    <w:rsid w:val="00066B80"/>
    <w:rsid w:val="00067F50"/>
    <w:rsid w:val="00070830"/>
    <w:rsid w:val="00070B2E"/>
    <w:rsid w:val="0007424A"/>
    <w:rsid w:val="00074E6D"/>
    <w:rsid w:val="00074EB7"/>
    <w:rsid w:val="000770D5"/>
    <w:rsid w:val="00077C71"/>
    <w:rsid w:val="00077CCC"/>
    <w:rsid w:val="00077E16"/>
    <w:rsid w:val="00080523"/>
    <w:rsid w:val="00080675"/>
    <w:rsid w:val="000809B3"/>
    <w:rsid w:val="000809F1"/>
    <w:rsid w:val="00080EAB"/>
    <w:rsid w:val="00081348"/>
    <w:rsid w:val="00081C6A"/>
    <w:rsid w:val="00082444"/>
    <w:rsid w:val="000825A5"/>
    <w:rsid w:val="00082885"/>
    <w:rsid w:val="00082D8D"/>
    <w:rsid w:val="00082E05"/>
    <w:rsid w:val="00083162"/>
    <w:rsid w:val="0008327A"/>
    <w:rsid w:val="000841F9"/>
    <w:rsid w:val="000843DB"/>
    <w:rsid w:val="000845AF"/>
    <w:rsid w:val="00084C8D"/>
    <w:rsid w:val="00085BE8"/>
    <w:rsid w:val="00085D13"/>
    <w:rsid w:val="00086629"/>
    <w:rsid w:val="00087808"/>
    <w:rsid w:val="000879BA"/>
    <w:rsid w:val="00090151"/>
    <w:rsid w:val="0009046F"/>
    <w:rsid w:val="00091FFC"/>
    <w:rsid w:val="00093693"/>
    <w:rsid w:val="00093B7C"/>
    <w:rsid w:val="00093FF5"/>
    <w:rsid w:val="00094C56"/>
    <w:rsid w:val="00095627"/>
    <w:rsid w:val="00096BDC"/>
    <w:rsid w:val="00096F2F"/>
    <w:rsid w:val="000975EC"/>
    <w:rsid w:val="00097C55"/>
    <w:rsid w:val="000A0444"/>
    <w:rsid w:val="000A0472"/>
    <w:rsid w:val="000A0F64"/>
    <w:rsid w:val="000A152E"/>
    <w:rsid w:val="000A1691"/>
    <w:rsid w:val="000A20B0"/>
    <w:rsid w:val="000A245A"/>
    <w:rsid w:val="000A397A"/>
    <w:rsid w:val="000A4311"/>
    <w:rsid w:val="000A43F5"/>
    <w:rsid w:val="000A4D7E"/>
    <w:rsid w:val="000A50F9"/>
    <w:rsid w:val="000A6C60"/>
    <w:rsid w:val="000A6F64"/>
    <w:rsid w:val="000A76D7"/>
    <w:rsid w:val="000A7798"/>
    <w:rsid w:val="000A78FC"/>
    <w:rsid w:val="000A7978"/>
    <w:rsid w:val="000A7C00"/>
    <w:rsid w:val="000A7E1F"/>
    <w:rsid w:val="000B07FB"/>
    <w:rsid w:val="000B10DF"/>
    <w:rsid w:val="000B163F"/>
    <w:rsid w:val="000B2CB2"/>
    <w:rsid w:val="000B38C9"/>
    <w:rsid w:val="000B46A2"/>
    <w:rsid w:val="000B503B"/>
    <w:rsid w:val="000B6193"/>
    <w:rsid w:val="000B7258"/>
    <w:rsid w:val="000B754A"/>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61C7"/>
    <w:rsid w:val="000C6AA2"/>
    <w:rsid w:val="000C6C97"/>
    <w:rsid w:val="000C7179"/>
    <w:rsid w:val="000C7BD5"/>
    <w:rsid w:val="000D002C"/>
    <w:rsid w:val="000D070B"/>
    <w:rsid w:val="000D1DDF"/>
    <w:rsid w:val="000D262B"/>
    <w:rsid w:val="000D2F5C"/>
    <w:rsid w:val="000D2F8A"/>
    <w:rsid w:val="000D3129"/>
    <w:rsid w:val="000D3C7E"/>
    <w:rsid w:val="000D4BBF"/>
    <w:rsid w:val="000D556A"/>
    <w:rsid w:val="000D6416"/>
    <w:rsid w:val="000D66BD"/>
    <w:rsid w:val="000D6FB8"/>
    <w:rsid w:val="000E0D38"/>
    <w:rsid w:val="000E1AEC"/>
    <w:rsid w:val="000E1B37"/>
    <w:rsid w:val="000E1FB7"/>
    <w:rsid w:val="000E3195"/>
    <w:rsid w:val="000E35CD"/>
    <w:rsid w:val="000E4801"/>
    <w:rsid w:val="000E4F1E"/>
    <w:rsid w:val="000E50F2"/>
    <w:rsid w:val="000E514D"/>
    <w:rsid w:val="000E51E9"/>
    <w:rsid w:val="000E5407"/>
    <w:rsid w:val="000E5979"/>
    <w:rsid w:val="000E6310"/>
    <w:rsid w:val="000E68D3"/>
    <w:rsid w:val="000F03FB"/>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3C6"/>
    <w:rsid w:val="00105612"/>
    <w:rsid w:val="00105EA6"/>
    <w:rsid w:val="0010618E"/>
    <w:rsid w:val="001068F5"/>
    <w:rsid w:val="00106D48"/>
    <w:rsid w:val="00107219"/>
    <w:rsid w:val="00107DAF"/>
    <w:rsid w:val="001101BB"/>
    <w:rsid w:val="0011077A"/>
    <w:rsid w:val="00110FE1"/>
    <w:rsid w:val="001120A0"/>
    <w:rsid w:val="0011219D"/>
    <w:rsid w:val="00113F0C"/>
    <w:rsid w:val="0011442D"/>
    <w:rsid w:val="001147A4"/>
    <w:rsid w:val="00114929"/>
    <w:rsid w:val="00115CF1"/>
    <w:rsid w:val="001170C6"/>
    <w:rsid w:val="00117137"/>
    <w:rsid w:val="00117AF3"/>
    <w:rsid w:val="00117C0F"/>
    <w:rsid w:val="001200D6"/>
    <w:rsid w:val="00120360"/>
    <w:rsid w:val="0012068C"/>
    <w:rsid w:val="001207F9"/>
    <w:rsid w:val="00120BC7"/>
    <w:rsid w:val="00120CA0"/>
    <w:rsid w:val="00121008"/>
    <w:rsid w:val="0012101A"/>
    <w:rsid w:val="001215D6"/>
    <w:rsid w:val="0012202C"/>
    <w:rsid w:val="00122CE1"/>
    <w:rsid w:val="00122E2B"/>
    <w:rsid w:val="00123976"/>
    <w:rsid w:val="00124629"/>
    <w:rsid w:val="00124DEC"/>
    <w:rsid w:val="00124EFD"/>
    <w:rsid w:val="0012577E"/>
    <w:rsid w:val="0012596E"/>
    <w:rsid w:val="001260C8"/>
    <w:rsid w:val="001262EF"/>
    <w:rsid w:val="0012655D"/>
    <w:rsid w:val="00126583"/>
    <w:rsid w:val="0012732F"/>
    <w:rsid w:val="001307C5"/>
    <w:rsid w:val="00131433"/>
    <w:rsid w:val="0013159F"/>
    <w:rsid w:val="00131EB1"/>
    <w:rsid w:val="00132635"/>
    <w:rsid w:val="0013283A"/>
    <w:rsid w:val="00134190"/>
    <w:rsid w:val="00134A11"/>
    <w:rsid w:val="00134F05"/>
    <w:rsid w:val="001354E7"/>
    <w:rsid w:val="00135A54"/>
    <w:rsid w:val="00136710"/>
    <w:rsid w:val="0013672B"/>
    <w:rsid w:val="00137F05"/>
    <w:rsid w:val="001400A0"/>
    <w:rsid w:val="00140982"/>
    <w:rsid w:val="00140CFB"/>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4111"/>
    <w:rsid w:val="00144A29"/>
    <w:rsid w:val="00147BE4"/>
    <w:rsid w:val="00147CDB"/>
    <w:rsid w:val="00147DDC"/>
    <w:rsid w:val="00147DE3"/>
    <w:rsid w:val="00150453"/>
    <w:rsid w:val="00150A0F"/>
    <w:rsid w:val="00150C10"/>
    <w:rsid w:val="00150D1B"/>
    <w:rsid w:val="00151336"/>
    <w:rsid w:val="00152366"/>
    <w:rsid w:val="00152EC0"/>
    <w:rsid w:val="00153B85"/>
    <w:rsid w:val="001553A8"/>
    <w:rsid w:val="001554CE"/>
    <w:rsid w:val="00155FD8"/>
    <w:rsid w:val="0015605D"/>
    <w:rsid w:val="001560EC"/>
    <w:rsid w:val="001561DC"/>
    <w:rsid w:val="00156508"/>
    <w:rsid w:val="0015754D"/>
    <w:rsid w:val="00157B04"/>
    <w:rsid w:val="0016057A"/>
    <w:rsid w:val="00160866"/>
    <w:rsid w:val="0016091C"/>
    <w:rsid w:val="00160E97"/>
    <w:rsid w:val="00161774"/>
    <w:rsid w:val="00161E40"/>
    <w:rsid w:val="00161F83"/>
    <w:rsid w:val="00163837"/>
    <w:rsid w:val="00163A54"/>
    <w:rsid w:val="00164791"/>
    <w:rsid w:val="00165EAA"/>
    <w:rsid w:val="001665EA"/>
    <w:rsid w:val="00166949"/>
    <w:rsid w:val="00167721"/>
    <w:rsid w:val="00170788"/>
    <w:rsid w:val="001708BE"/>
    <w:rsid w:val="0017098A"/>
    <w:rsid w:val="001716F7"/>
    <w:rsid w:val="00172993"/>
    <w:rsid w:val="001732B2"/>
    <w:rsid w:val="001739C2"/>
    <w:rsid w:val="00173B3A"/>
    <w:rsid w:val="00173FCF"/>
    <w:rsid w:val="00174655"/>
    <w:rsid w:val="00174D90"/>
    <w:rsid w:val="00175977"/>
    <w:rsid w:val="0017605B"/>
    <w:rsid w:val="001761EF"/>
    <w:rsid w:val="0017656E"/>
    <w:rsid w:val="00176790"/>
    <w:rsid w:val="00176D8B"/>
    <w:rsid w:val="0017751F"/>
    <w:rsid w:val="001809E0"/>
    <w:rsid w:val="00181375"/>
    <w:rsid w:val="001813C3"/>
    <w:rsid w:val="00181855"/>
    <w:rsid w:val="001819DA"/>
    <w:rsid w:val="00181FCF"/>
    <w:rsid w:val="00182693"/>
    <w:rsid w:val="001826A0"/>
    <w:rsid w:val="00182705"/>
    <w:rsid w:val="00182DFB"/>
    <w:rsid w:val="00182E38"/>
    <w:rsid w:val="001838E0"/>
    <w:rsid w:val="00183A15"/>
    <w:rsid w:val="00185355"/>
    <w:rsid w:val="00185483"/>
    <w:rsid w:val="00185D52"/>
    <w:rsid w:val="0018628A"/>
    <w:rsid w:val="001866BF"/>
    <w:rsid w:val="00186884"/>
    <w:rsid w:val="00187102"/>
    <w:rsid w:val="00187119"/>
    <w:rsid w:val="001878EB"/>
    <w:rsid w:val="0019000C"/>
    <w:rsid w:val="0019030D"/>
    <w:rsid w:val="0019092C"/>
    <w:rsid w:val="00190C7A"/>
    <w:rsid w:val="00190E9E"/>
    <w:rsid w:val="00190F7F"/>
    <w:rsid w:val="0019269B"/>
    <w:rsid w:val="001929EF"/>
    <w:rsid w:val="00192F7F"/>
    <w:rsid w:val="001939CB"/>
    <w:rsid w:val="00193F5B"/>
    <w:rsid w:val="00194559"/>
    <w:rsid w:val="001947C1"/>
    <w:rsid w:val="001948EC"/>
    <w:rsid w:val="00194F2A"/>
    <w:rsid w:val="0019508F"/>
    <w:rsid w:val="001953F2"/>
    <w:rsid w:val="0019547E"/>
    <w:rsid w:val="00195688"/>
    <w:rsid w:val="0019734C"/>
    <w:rsid w:val="0019776A"/>
    <w:rsid w:val="001A0137"/>
    <w:rsid w:val="001A06DE"/>
    <w:rsid w:val="001A08FF"/>
    <w:rsid w:val="001A17B1"/>
    <w:rsid w:val="001A1AE7"/>
    <w:rsid w:val="001A2314"/>
    <w:rsid w:val="001A3100"/>
    <w:rsid w:val="001A3A22"/>
    <w:rsid w:val="001A3AA1"/>
    <w:rsid w:val="001A3F98"/>
    <w:rsid w:val="001A4109"/>
    <w:rsid w:val="001A4547"/>
    <w:rsid w:val="001A48FB"/>
    <w:rsid w:val="001A4C89"/>
    <w:rsid w:val="001A562F"/>
    <w:rsid w:val="001A646C"/>
    <w:rsid w:val="001A66AF"/>
    <w:rsid w:val="001B09DF"/>
    <w:rsid w:val="001B1019"/>
    <w:rsid w:val="001B1B0D"/>
    <w:rsid w:val="001B2704"/>
    <w:rsid w:val="001B2C82"/>
    <w:rsid w:val="001B2F6B"/>
    <w:rsid w:val="001B3657"/>
    <w:rsid w:val="001B3EDD"/>
    <w:rsid w:val="001B3EE2"/>
    <w:rsid w:val="001B43FF"/>
    <w:rsid w:val="001B4478"/>
    <w:rsid w:val="001B4569"/>
    <w:rsid w:val="001B4B99"/>
    <w:rsid w:val="001B5B2D"/>
    <w:rsid w:val="001B5EB4"/>
    <w:rsid w:val="001B68D3"/>
    <w:rsid w:val="001B6F65"/>
    <w:rsid w:val="001B72AE"/>
    <w:rsid w:val="001B76EB"/>
    <w:rsid w:val="001B7B29"/>
    <w:rsid w:val="001C0B1F"/>
    <w:rsid w:val="001C0C39"/>
    <w:rsid w:val="001C0E0C"/>
    <w:rsid w:val="001C1A1F"/>
    <w:rsid w:val="001C1B4B"/>
    <w:rsid w:val="001C2F21"/>
    <w:rsid w:val="001C321B"/>
    <w:rsid w:val="001C3C19"/>
    <w:rsid w:val="001C3E96"/>
    <w:rsid w:val="001C3ED4"/>
    <w:rsid w:val="001C567B"/>
    <w:rsid w:val="001C5E6C"/>
    <w:rsid w:val="001C6815"/>
    <w:rsid w:val="001C6B3A"/>
    <w:rsid w:val="001C7591"/>
    <w:rsid w:val="001D006E"/>
    <w:rsid w:val="001D0423"/>
    <w:rsid w:val="001D073F"/>
    <w:rsid w:val="001D1020"/>
    <w:rsid w:val="001D15CF"/>
    <w:rsid w:val="001D1E16"/>
    <w:rsid w:val="001D235D"/>
    <w:rsid w:val="001D2555"/>
    <w:rsid w:val="001D337C"/>
    <w:rsid w:val="001D380D"/>
    <w:rsid w:val="001D41F0"/>
    <w:rsid w:val="001D65C6"/>
    <w:rsid w:val="001D6CED"/>
    <w:rsid w:val="001E04E8"/>
    <w:rsid w:val="001E184B"/>
    <w:rsid w:val="001E1EE3"/>
    <w:rsid w:val="001E1F20"/>
    <w:rsid w:val="001E26B5"/>
    <w:rsid w:val="001E386F"/>
    <w:rsid w:val="001E394B"/>
    <w:rsid w:val="001E3BCD"/>
    <w:rsid w:val="001E4E84"/>
    <w:rsid w:val="001E4EBC"/>
    <w:rsid w:val="001E55D4"/>
    <w:rsid w:val="001E71B5"/>
    <w:rsid w:val="001E7B18"/>
    <w:rsid w:val="001F15CD"/>
    <w:rsid w:val="001F1A6D"/>
    <w:rsid w:val="001F1F3F"/>
    <w:rsid w:val="001F27B1"/>
    <w:rsid w:val="001F2F00"/>
    <w:rsid w:val="001F348D"/>
    <w:rsid w:val="001F3AE7"/>
    <w:rsid w:val="001F47D0"/>
    <w:rsid w:val="001F5B11"/>
    <w:rsid w:val="001F6550"/>
    <w:rsid w:val="001F69E8"/>
    <w:rsid w:val="001F7038"/>
    <w:rsid w:val="001F7320"/>
    <w:rsid w:val="00200F31"/>
    <w:rsid w:val="00201B26"/>
    <w:rsid w:val="0020221F"/>
    <w:rsid w:val="00202E67"/>
    <w:rsid w:val="00203AEA"/>
    <w:rsid w:val="00203D33"/>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15A"/>
    <w:rsid w:val="002169FE"/>
    <w:rsid w:val="00216F58"/>
    <w:rsid w:val="00217135"/>
    <w:rsid w:val="0022132D"/>
    <w:rsid w:val="00221D16"/>
    <w:rsid w:val="00221D27"/>
    <w:rsid w:val="00222064"/>
    <w:rsid w:val="00222CAE"/>
    <w:rsid w:val="00223622"/>
    <w:rsid w:val="00223B83"/>
    <w:rsid w:val="00223DAB"/>
    <w:rsid w:val="0022536E"/>
    <w:rsid w:val="00225A53"/>
    <w:rsid w:val="00225C88"/>
    <w:rsid w:val="002262C4"/>
    <w:rsid w:val="002264F4"/>
    <w:rsid w:val="00227A81"/>
    <w:rsid w:val="00230A52"/>
    <w:rsid w:val="00231427"/>
    <w:rsid w:val="00231B14"/>
    <w:rsid w:val="00231B27"/>
    <w:rsid w:val="002326CA"/>
    <w:rsid w:val="00232934"/>
    <w:rsid w:val="00232BAB"/>
    <w:rsid w:val="00233057"/>
    <w:rsid w:val="002331EC"/>
    <w:rsid w:val="00233ABC"/>
    <w:rsid w:val="00234906"/>
    <w:rsid w:val="00234A3D"/>
    <w:rsid w:val="00235ACB"/>
    <w:rsid w:val="00235DEC"/>
    <w:rsid w:val="00236B10"/>
    <w:rsid w:val="00236EEA"/>
    <w:rsid w:val="002372B2"/>
    <w:rsid w:val="002401C8"/>
    <w:rsid w:val="002407C6"/>
    <w:rsid w:val="00240AF3"/>
    <w:rsid w:val="00240DEB"/>
    <w:rsid w:val="0024142D"/>
    <w:rsid w:val="00241714"/>
    <w:rsid w:val="00241F1E"/>
    <w:rsid w:val="0024354E"/>
    <w:rsid w:val="00243D06"/>
    <w:rsid w:val="002442D3"/>
    <w:rsid w:val="00244CDD"/>
    <w:rsid w:val="00245302"/>
    <w:rsid w:val="0024568B"/>
    <w:rsid w:val="00245D73"/>
    <w:rsid w:val="002460F2"/>
    <w:rsid w:val="002472FE"/>
    <w:rsid w:val="0025030E"/>
    <w:rsid w:val="00250F72"/>
    <w:rsid w:val="002514CA"/>
    <w:rsid w:val="00252675"/>
    <w:rsid w:val="00252803"/>
    <w:rsid w:val="00252FDB"/>
    <w:rsid w:val="0025369C"/>
    <w:rsid w:val="00254AAA"/>
    <w:rsid w:val="00255E07"/>
    <w:rsid w:val="002567CD"/>
    <w:rsid w:val="00257287"/>
    <w:rsid w:val="00257322"/>
    <w:rsid w:val="002574ED"/>
    <w:rsid w:val="002576B5"/>
    <w:rsid w:val="0025785E"/>
    <w:rsid w:val="00260B9A"/>
    <w:rsid w:val="002612BE"/>
    <w:rsid w:val="002613AC"/>
    <w:rsid w:val="0026148A"/>
    <w:rsid w:val="002614AF"/>
    <w:rsid w:val="00261D3C"/>
    <w:rsid w:val="00262C42"/>
    <w:rsid w:val="0026349D"/>
    <w:rsid w:val="00265174"/>
    <w:rsid w:val="00266503"/>
    <w:rsid w:val="00266E0E"/>
    <w:rsid w:val="00266FD4"/>
    <w:rsid w:val="002671CC"/>
    <w:rsid w:val="00267241"/>
    <w:rsid w:val="002676FA"/>
    <w:rsid w:val="00267CA4"/>
    <w:rsid w:val="00270135"/>
    <w:rsid w:val="0027099E"/>
    <w:rsid w:val="002709E7"/>
    <w:rsid w:val="00271222"/>
    <w:rsid w:val="002728FA"/>
    <w:rsid w:val="0027369C"/>
    <w:rsid w:val="00273706"/>
    <w:rsid w:val="00274B8F"/>
    <w:rsid w:val="00274D9D"/>
    <w:rsid w:val="002769B7"/>
    <w:rsid w:val="00276C42"/>
    <w:rsid w:val="002775A0"/>
    <w:rsid w:val="0027764C"/>
    <w:rsid w:val="00280C4C"/>
    <w:rsid w:val="00280E55"/>
    <w:rsid w:val="0028141B"/>
    <w:rsid w:val="00281E59"/>
    <w:rsid w:val="00282FEC"/>
    <w:rsid w:val="00282FF3"/>
    <w:rsid w:val="0028364E"/>
    <w:rsid w:val="00284655"/>
    <w:rsid w:val="002848CB"/>
    <w:rsid w:val="00284D72"/>
    <w:rsid w:val="00285776"/>
    <w:rsid w:val="002858BA"/>
    <w:rsid w:val="0028661B"/>
    <w:rsid w:val="002866D9"/>
    <w:rsid w:val="0028686B"/>
    <w:rsid w:val="002912A0"/>
    <w:rsid w:val="0029235D"/>
    <w:rsid w:val="00292574"/>
    <w:rsid w:val="002926A4"/>
    <w:rsid w:val="00292F35"/>
    <w:rsid w:val="00292F9A"/>
    <w:rsid w:val="0029396A"/>
    <w:rsid w:val="00293DE2"/>
    <w:rsid w:val="00295E8C"/>
    <w:rsid w:val="00296148"/>
    <w:rsid w:val="0029649C"/>
    <w:rsid w:val="0029771E"/>
    <w:rsid w:val="002A0621"/>
    <w:rsid w:val="002A07B1"/>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F51"/>
    <w:rsid w:val="002B15AC"/>
    <w:rsid w:val="002B193B"/>
    <w:rsid w:val="002B19FB"/>
    <w:rsid w:val="002B36C3"/>
    <w:rsid w:val="002B532E"/>
    <w:rsid w:val="002B543A"/>
    <w:rsid w:val="002B5525"/>
    <w:rsid w:val="002B5A2E"/>
    <w:rsid w:val="002B5A4B"/>
    <w:rsid w:val="002B61A8"/>
    <w:rsid w:val="002B678E"/>
    <w:rsid w:val="002B68FE"/>
    <w:rsid w:val="002C0717"/>
    <w:rsid w:val="002C0BC3"/>
    <w:rsid w:val="002C0D00"/>
    <w:rsid w:val="002C10D1"/>
    <w:rsid w:val="002C1CFA"/>
    <w:rsid w:val="002C239C"/>
    <w:rsid w:val="002C2F4E"/>
    <w:rsid w:val="002C30B8"/>
    <w:rsid w:val="002C356F"/>
    <w:rsid w:val="002C3A5F"/>
    <w:rsid w:val="002C3CEB"/>
    <w:rsid w:val="002C433A"/>
    <w:rsid w:val="002C4DD7"/>
    <w:rsid w:val="002C5754"/>
    <w:rsid w:val="002C6BF5"/>
    <w:rsid w:val="002C6D79"/>
    <w:rsid w:val="002C765A"/>
    <w:rsid w:val="002D0C49"/>
    <w:rsid w:val="002D0F70"/>
    <w:rsid w:val="002D1469"/>
    <w:rsid w:val="002D2333"/>
    <w:rsid w:val="002D2553"/>
    <w:rsid w:val="002D43A1"/>
    <w:rsid w:val="002D6310"/>
    <w:rsid w:val="002D63D6"/>
    <w:rsid w:val="002D6680"/>
    <w:rsid w:val="002D6EFA"/>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E710B"/>
    <w:rsid w:val="002F06D0"/>
    <w:rsid w:val="002F15AD"/>
    <w:rsid w:val="002F2CF2"/>
    <w:rsid w:val="002F369F"/>
    <w:rsid w:val="002F3830"/>
    <w:rsid w:val="002F38D7"/>
    <w:rsid w:val="002F3EFA"/>
    <w:rsid w:val="002F42D9"/>
    <w:rsid w:val="002F4929"/>
    <w:rsid w:val="002F5989"/>
    <w:rsid w:val="002F694D"/>
    <w:rsid w:val="002F73F4"/>
    <w:rsid w:val="002F7DD0"/>
    <w:rsid w:val="002F7DDE"/>
    <w:rsid w:val="002F7E97"/>
    <w:rsid w:val="003000FF"/>
    <w:rsid w:val="003006A1"/>
    <w:rsid w:val="003012A2"/>
    <w:rsid w:val="00301499"/>
    <w:rsid w:val="003018B7"/>
    <w:rsid w:val="0030204B"/>
    <w:rsid w:val="003020C6"/>
    <w:rsid w:val="0030280A"/>
    <w:rsid w:val="00304ACA"/>
    <w:rsid w:val="00304F2A"/>
    <w:rsid w:val="003062D8"/>
    <w:rsid w:val="0030704A"/>
    <w:rsid w:val="003070B7"/>
    <w:rsid w:val="003075BC"/>
    <w:rsid w:val="00307E7E"/>
    <w:rsid w:val="003101EC"/>
    <w:rsid w:val="003106DE"/>
    <w:rsid w:val="00311663"/>
    <w:rsid w:val="00311B59"/>
    <w:rsid w:val="003127F4"/>
    <w:rsid w:val="003133C7"/>
    <w:rsid w:val="00313652"/>
    <w:rsid w:val="0031376D"/>
    <w:rsid w:val="00313D36"/>
    <w:rsid w:val="003151B5"/>
    <w:rsid w:val="00315AF8"/>
    <w:rsid w:val="00315C91"/>
    <w:rsid w:val="003168A7"/>
    <w:rsid w:val="003175F3"/>
    <w:rsid w:val="00317835"/>
    <w:rsid w:val="00317A71"/>
    <w:rsid w:val="00317C72"/>
    <w:rsid w:val="00320ED9"/>
    <w:rsid w:val="00321DAA"/>
    <w:rsid w:val="003225D9"/>
    <w:rsid w:val="00322AF3"/>
    <w:rsid w:val="0032306C"/>
    <w:rsid w:val="00323146"/>
    <w:rsid w:val="003235CC"/>
    <w:rsid w:val="00324EC4"/>
    <w:rsid w:val="00325427"/>
    <w:rsid w:val="00325668"/>
    <w:rsid w:val="00325823"/>
    <w:rsid w:val="00325E60"/>
    <w:rsid w:val="0032752E"/>
    <w:rsid w:val="00327705"/>
    <w:rsid w:val="0033097A"/>
    <w:rsid w:val="00330C51"/>
    <w:rsid w:val="00330DCC"/>
    <w:rsid w:val="003310D4"/>
    <w:rsid w:val="0033199D"/>
    <w:rsid w:val="00331CFC"/>
    <w:rsid w:val="0033241A"/>
    <w:rsid w:val="00332627"/>
    <w:rsid w:val="00332A87"/>
    <w:rsid w:val="00332E97"/>
    <w:rsid w:val="00332F1F"/>
    <w:rsid w:val="00333196"/>
    <w:rsid w:val="00334EB2"/>
    <w:rsid w:val="003351CE"/>
    <w:rsid w:val="0033535C"/>
    <w:rsid w:val="0033559C"/>
    <w:rsid w:val="0033625F"/>
    <w:rsid w:val="003362C9"/>
    <w:rsid w:val="003379DC"/>
    <w:rsid w:val="00337C8D"/>
    <w:rsid w:val="00340D7B"/>
    <w:rsid w:val="00341556"/>
    <w:rsid w:val="0034178A"/>
    <w:rsid w:val="003429E0"/>
    <w:rsid w:val="003436C7"/>
    <w:rsid w:val="00343A3B"/>
    <w:rsid w:val="00343B7B"/>
    <w:rsid w:val="00343C1E"/>
    <w:rsid w:val="003441F0"/>
    <w:rsid w:val="00345C48"/>
    <w:rsid w:val="00346021"/>
    <w:rsid w:val="00346127"/>
    <w:rsid w:val="00346B36"/>
    <w:rsid w:val="0034796D"/>
    <w:rsid w:val="00347CC0"/>
    <w:rsid w:val="0035093A"/>
    <w:rsid w:val="003509E6"/>
    <w:rsid w:val="00351237"/>
    <w:rsid w:val="00351946"/>
    <w:rsid w:val="00351B53"/>
    <w:rsid w:val="00351FF0"/>
    <w:rsid w:val="0035210E"/>
    <w:rsid w:val="003521FD"/>
    <w:rsid w:val="00352802"/>
    <w:rsid w:val="00352C0E"/>
    <w:rsid w:val="00353085"/>
    <w:rsid w:val="003535EF"/>
    <w:rsid w:val="003538EF"/>
    <w:rsid w:val="0035515E"/>
    <w:rsid w:val="00355868"/>
    <w:rsid w:val="00355E2C"/>
    <w:rsid w:val="00355EAC"/>
    <w:rsid w:val="003575B9"/>
    <w:rsid w:val="00357828"/>
    <w:rsid w:val="00357895"/>
    <w:rsid w:val="00357916"/>
    <w:rsid w:val="00357B15"/>
    <w:rsid w:val="00360937"/>
    <w:rsid w:val="00360B19"/>
    <w:rsid w:val="00360FCE"/>
    <w:rsid w:val="0036193E"/>
    <w:rsid w:val="003626D8"/>
    <w:rsid w:val="00362D25"/>
    <w:rsid w:val="00362DF3"/>
    <w:rsid w:val="00362E82"/>
    <w:rsid w:val="00364001"/>
    <w:rsid w:val="00365B5F"/>
    <w:rsid w:val="00365DC3"/>
    <w:rsid w:val="0036633C"/>
    <w:rsid w:val="00366CA4"/>
    <w:rsid w:val="00366CC9"/>
    <w:rsid w:val="0036763E"/>
    <w:rsid w:val="00367C14"/>
    <w:rsid w:val="00367E02"/>
    <w:rsid w:val="0037013D"/>
    <w:rsid w:val="00370721"/>
    <w:rsid w:val="0037078A"/>
    <w:rsid w:val="00370DA4"/>
    <w:rsid w:val="003710CD"/>
    <w:rsid w:val="00372673"/>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17A9"/>
    <w:rsid w:val="00382BFE"/>
    <w:rsid w:val="00383057"/>
    <w:rsid w:val="00383AFB"/>
    <w:rsid w:val="00383B9B"/>
    <w:rsid w:val="0038431A"/>
    <w:rsid w:val="0038547C"/>
    <w:rsid w:val="003857D3"/>
    <w:rsid w:val="00385A88"/>
    <w:rsid w:val="00385BA5"/>
    <w:rsid w:val="00386E93"/>
    <w:rsid w:val="00387900"/>
    <w:rsid w:val="00387AF8"/>
    <w:rsid w:val="00387BE8"/>
    <w:rsid w:val="00390065"/>
    <w:rsid w:val="00390A1E"/>
    <w:rsid w:val="00393383"/>
    <w:rsid w:val="00393660"/>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47E8"/>
    <w:rsid w:val="003A4AB7"/>
    <w:rsid w:val="003A58BA"/>
    <w:rsid w:val="003A7124"/>
    <w:rsid w:val="003A7808"/>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61F0"/>
    <w:rsid w:val="003B6357"/>
    <w:rsid w:val="003B64B3"/>
    <w:rsid w:val="003B693A"/>
    <w:rsid w:val="003B6AB8"/>
    <w:rsid w:val="003B6E18"/>
    <w:rsid w:val="003B7053"/>
    <w:rsid w:val="003B7102"/>
    <w:rsid w:val="003B774F"/>
    <w:rsid w:val="003B7D49"/>
    <w:rsid w:val="003B7E00"/>
    <w:rsid w:val="003B7EA2"/>
    <w:rsid w:val="003C02CC"/>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A1E"/>
    <w:rsid w:val="003C6BB7"/>
    <w:rsid w:val="003C7603"/>
    <w:rsid w:val="003D0A88"/>
    <w:rsid w:val="003D0DC8"/>
    <w:rsid w:val="003D12C2"/>
    <w:rsid w:val="003D19A0"/>
    <w:rsid w:val="003D265F"/>
    <w:rsid w:val="003D27BD"/>
    <w:rsid w:val="003D3202"/>
    <w:rsid w:val="003D353C"/>
    <w:rsid w:val="003D63C8"/>
    <w:rsid w:val="003D6472"/>
    <w:rsid w:val="003D6A4E"/>
    <w:rsid w:val="003D7756"/>
    <w:rsid w:val="003E19E7"/>
    <w:rsid w:val="003E29B3"/>
    <w:rsid w:val="003E36C0"/>
    <w:rsid w:val="003E3724"/>
    <w:rsid w:val="003E3957"/>
    <w:rsid w:val="003E398D"/>
    <w:rsid w:val="003E4289"/>
    <w:rsid w:val="003E4800"/>
    <w:rsid w:val="003E487B"/>
    <w:rsid w:val="003E55E5"/>
    <w:rsid w:val="003E57F9"/>
    <w:rsid w:val="003E5DFE"/>
    <w:rsid w:val="003E5F4F"/>
    <w:rsid w:val="003E6144"/>
    <w:rsid w:val="003E6395"/>
    <w:rsid w:val="003E6A80"/>
    <w:rsid w:val="003E6EF7"/>
    <w:rsid w:val="003E7F59"/>
    <w:rsid w:val="003F0D8B"/>
    <w:rsid w:val="003F1E6F"/>
    <w:rsid w:val="003F1F9E"/>
    <w:rsid w:val="003F2A93"/>
    <w:rsid w:val="003F3BC1"/>
    <w:rsid w:val="003F3D76"/>
    <w:rsid w:val="003F43E6"/>
    <w:rsid w:val="003F4894"/>
    <w:rsid w:val="003F490D"/>
    <w:rsid w:val="003F4DDB"/>
    <w:rsid w:val="003F5542"/>
    <w:rsid w:val="003F5842"/>
    <w:rsid w:val="003F61E1"/>
    <w:rsid w:val="003F704D"/>
    <w:rsid w:val="003F77FC"/>
    <w:rsid w:val="004000BE"/>
    <w:rsid w:val="00400122"/>
    <w:rsid w:val="004015C7"/>
    <w:rsid w:val="00401D3D"/>
    <w:rsid w:val="004020AB"/>
    <w:rsid w:val="004026BA"/>
    <w:rsid w:val="00403038"/>
    <w:rsid w:val="004030D5"/>
    <w:rsid w:val="0040388F"/>
    <w:rsid w:val="00404249"/>
    <w:rsid w:val="004050B4"/>
    <w:rsid w:val="00405746"/>
    <w:rsid w:val="004062EC"/>
    <w:rsid w:val="00406755"/>
    <w:rsid w:val="004067DB"/>
    <w:rsid w:val="004069C5"/>
    <w:rsid w:val="0040709C"/>
    <w:rsid w:val="00407F30"/>
    <w:rsid w:val="00410ECC"/>
    <w:rsid w:val="004116DA"/>
    <w:rsid w:val="004117D6"/>
    <w:rsid w:val="00411834"/>
    <w:rsid w:val="00411963"/>
    <w:rsid w:val="00411B1C"/>
    <w:rsid w:val="00412A23"/>
    <w:rsid w:val="004149DA"/>
    <w:rsid w:val="00414A2E"/>
    <w:rsid w:val="00415755"/>
    <w:rsid w:val="004161DE"/>
    <w:rsid w:val="00416211"/>
    <w:rsid w:val="004162D1"/>
    <w:rsid w:val="004167B1"/>
    <w:rsid w:val="0042035D"/>
    <w:rsid w:val="00420604"/>
    <w:rsid w:val="00420841"/>
    <w:rsid w:val="004226AA"/>
    <w:rsid w:val="00422793"/>
    <w:rsid w:val="00423732"/>
    <w:rsid w:val="0042396F"/>
    <w:rsid w:val="00423FCE"/>
    <w:rsid w:val="004249C4"/>
    <w:rsid w:val="004259F9"/>
    <w:rsid w:val="00425B31"/>
    <w:rsid w:val="00425BAA"/>
    <w:rsid w:val="0042648D"/>
    <w:rsid w:val="00426957"/>
    <w:rsid w:val="00426976"/>
    <w:rsid w:val="00426BBE"/>
    <w:rsid w:val="00426D02"/>
    <w:rsid w:val="00427722"/>
    <w:rsid w:val="00427A13"/>
    <w:rsid w:val="00427F4F"/>
    <w:rsid w:val="00430027"/>
    <w:rsid w:val="00430E76"/>
    <w:rsid w:val="00431731"/>
    <w:rsid w:val="00431779"/>
    <w:rsid w:val="00431A2A"/>
    <w:rsid w:val="00431CE6"/>
    <w:rsid w:val="00431F2E"/>
    <w:rsid w:val="0043240F"/>
    <w:rsid w:val="00433C39"/>
    <w:rsid w:val="00433C3E"/>
    <w:rsid w:val="00433DA2"/>
    <w:rsid w:val="004343BC"/>
    <w:rsid w:val="00434AC5"/>
    <w:rsid w:val="00435A31"/>
    <w:rsid w:val="00436DA8"/>
    <w:rsid w:val="00437108"/>
    <w:rsid w:val="00437D2F"/>
    <w:rsid w:val="00440246"/>
    <w:rsid w:val="00440912"/>
    <w:rsid w:val="00441588"/>
    <w:rsid w:val="00441CF2"/>
    <w:rsid w:val="00442540"/>
    <w:rsid w:val="0044307B"/>
    <w:rsid w:val="00443B1B"/>
    <w:rsid w:val="00444072"/>
    <w:rsid w:val="004441C7"/>
    <w:rsid w:val="00444204"/>
    <w:rsid w:val="00446A46"/>
    <w:rsid w:val="00446BAE"/>
    <w:rsid w:val="004473E9"/>
    <w:rsid w:val="0045044A"/>
    <w:rsid w:val="004504BB"/>
    <w:rsid w:val="004511AB"/>
    <w:rsid w:val="004511FA"/>
    <w:rsid w:val="004514DB"/>
    <w:rsid w:val="0045235F"/>
    <w:rsid w:val="004533F1"/>
    <w:rsid w:val="00453797"/>
    <w:rsid w:val="00453ABE"/>
    <w:rsid w:val="004542A8"/>
    <w:rsid w:val="004546CE"/>
    <w:rsid w:val="00455912"/>
    <w:rsid w:val="004560D2"/>
    <w:rsid w:val="004565BE"/>
    <w:rsid w:val="004576E8"/>
    <w:rsid w:val="00457CEE"/>
    <w:rsid w:val="00460794"/>
    <w:rsid w:val="00461DF1"/>
    <w:rsid w:val="00462BA8"/>
    <w:rsid w:val="00463731"/>
    <w:rsid w:val="00463A9F"/>
    <w:rsid w:val="00463CEF"/>
    <w:rsid w:val="00463DEF"/>
    <w:rsid w:val="00464FEE"/>
    <w:rsid w:val="004672B7"/>
    <w:rsid w:val="00467391"/>
    <w:rsid w:val="004706A0"/>
    <w:rsid w:val="00471318"/>
    <w:rsid w:val="004715A8"/>
    <w:rsid w:val="00471789"/>
    <w:rsid w:val="00472190"/>
    <w:rsid w:val="004724BF"/>
    <w:rsid w:val="00472695"/>
    <w:rsid w:val="004729E0"/>
    <w:rsid w:val="00473E9C"/>
    <w:rsid w:val="004744D7"/>
    <w:rsid w:val="00474AAA"/>
    <w:rsid w:val="00474BF7"/>
    <w:rsid w:val="00474D9B"/>
    <w:rsid w:val="00474E5C"/>
    <w:rsid w:val="00474F62"/>
    <w:rsid w:val="00475824"/>
    <w:rsid w:val="00475E1A"/>
    <w:rsid w:val="004762ED"/>
    <w:rsid w:val="00476F6F"/>
    <w:rsid w:val="00477469"/>
    <w:rsid w:val="004774B6"/>
    <w:rsid w:val="004775E8"/>
    <w:rsid w:val="00477A87"/>
    <w:rsid w:val="0048052E"/>
    <w:rsid w:val="00481888"/>
    <w:rsid w:val="00482BE4"/>
    <w:rsid w:val="004831E5"/>
    <w:rsid w:val="0048370B"/>
    <w:rsid w:val="00483C2E"/>
    <w:rsid w:val="00483E9A"/>
    <w:rsid w:val="004848D1"/>
    <w:rsid w:val="00486750"/>
    <w:rsid w:val="00487EBC"/>
    <w:rsid w:val="00490DDC"/>
    <w:rsid w:val="00490E33"/>
    <w:rsid w:val="00491D56"/>
    <w:rsid w:val="00491D60"/>
    <w:rsid w:val="004947D5"/>
    <w:rsid w:val="0049492A"/>
    <w:rsid w:val="00494CD1"/>
    <w:rsid w:val="00494CDA"/>
    <w:rsid w:val="00495713"/>
    <w:rsid w:val="004957BA"/>
    <w:rsid w:val="0049590A"/>
    <w:rsid w:val="00495CE9"/>
    <w:rsid w:val="004962C7"/>
    <w:rsid w:val="004963CC"/>
    <w:rsid w:val="004970C9"/>
    <w:rsid w:val="00497428"/>
    <w:rsid w:val="00497574"/>
    <w:rsid w:val="004978DC"/>
    <w:rsid w:val="00497B5E"/>
    <w:rsid w:val="004A0C7E"/>
    <w:rsid w:val="004A224A"/>
    <w:rsid w:val="004A275E"/>
    <w:rsid w:val="004A28DD"/>
    <w:rsid w:val="004A2F02"/>
    <w:rsid w:val="004A3074"/>
    <w:rsid w:val="004A32DD"/>
    <w:rsid w:val="004A570E"/>
    <w:rsid w:val="004A59B2"/>
    <w:rsid w:val="004A74F3"/>
    <w:rsid w:val="004A7CEC"/>
    <w:rsid w:val="004B06E1"/>
    <w:rsid w:val="004B129A"/>
    <w:rsid w:val="004B24A3"/>
    <w:rsid w:val="004B24F7"/>
    <w:rsid w:val="004B26C7"/>
    <w:rsid w:val="004B28AF"/>
    <w:rsid w:val="004B2A91"/>
    <w:rsid w:val="004B2F98"/>
    <w:rsid w:val="004B31C7"/>
    <w:rsid w:val="004B4BDC"/>
    <w:rsid w:val="004B4D42"/>
    <w:rsid w:val="004B4E10"/>
    <w:rsid w:val="004B60AB"/>
    <w:rsid w:val="004B612C"/>
    <w:rsid w:val="004B62A5"/>
    <w:rsid w:val="004B7E3E"/>
    <w:rsid w:val="004C0544"/>
    <w:rsid w:val="004C07ED"/>
    <w:rsid w:val="004C1AF9"/>
    <w:rsid w:val="004C228F"/>
    <w:rsid w:val="004C2469"/>
    <w:rsid w:val="004C2585"/>
    <w:rsid w:val="004C279B"/>
    <w:rsid w:val="004C281D"/>
    <w:rsid w:val="004C2E9D"/>
    <w:rsid w:val="004C4513"/>
    <w:rsid w:val="004C4BEC"/>
    <w:rsid w:val="004C5A9B"/>
    <w:rsid w:val="004C7022"/>
    <w:rsid w:val="004C7663"/>
    <w:rsid w:val="004C7FC6"/>
    <w:rsid w:val="004D055D"/>
    <w:rsid w:val="004D08E0"/>
    <w:rsid w:val="004D129E"/>
    <w:rsid w:val="004D25B5"/>
    <w:rsid w:val="004D47B9"/>
    <w:rsid w:val="004D489C"/>
    <w:rsid w:val="004D49C8"/>
    <w:rsid w:val="004D5428"/>
    <w:rsid w:val="004D5D5C"/>
    <w:rsid w:val="004D5FBA"/>
    <w:rsid w:val="004D6E67"/>
    <w:rsid w:val="004D752E"/>
    <w:rsid w:val="004E00B4"/>
    <w:rsid w:val="004E0745"/>
    <w:rsid w:val="004E0963"/>
    <w:rsid w:val="004E0B2F"/>
    <w:rsid w:val="004E0CCF"/>
    <w:rsid w:val="004E1B3F"/>
    <w:rsid w:val="004E21ED"/>
    <w:rsid w:val="004E2A8E"/>
    <w:rsid w:val="004E4559"/>
    <w:rsid w:val="004E458C"/>
    <w:rsid w:val="004E70F1"/>
    <w:rsid w:val="004E714B"/>
    <w:rsid w:val="004F000D"/>
    <w:rsid w:val="004F0EC9"/>
    <w:rsid w:val="004F0F77"/>
    <w:rsid w:val="004F27DD"/>
    <w:rsid w:val="004F40AB"/>
    <w:rsid w:val="004F47F7"/>
    <w:rsid w:val="004F5AD4"/>
    <w:rsid w:val="004F5E74"/>
    <w:rsid w:val="004F5ED2"/>
    <w:rsid w:val="004F7CCB"/>
    <w:rsid w:val="0050050B"/>
    <w:rsid w:val="00500DC6"/>
    <w:rsid w:val="0050132A"/>
    <w:rsid w:val="00502F3E"/>
    <w:rsid w:val="00503196"/>
    <w:rsid w:val="00503672"/>
    <w:rsid w:val="00503967"/>
    <w:rsid w:val="00503ADE"/>
    <w:rsid w:val="005044E0"/>
    <w:rsid w:val="0050467F"/>
    <w:rsid w:val="00504706"/>
    <w:rsid w:val="00504E60"/>
    <w:rsid w:val="0050553B"/>
    <w:rsid w:val="00505D13"/>
    <w:rsid w:val="005066F9"/>
    <w:rsid w:val="0050674F"/>
    <w:rsid w:val="00506767"/>
    <w:rsid w:val="00506A2E"/>
    <w:rsid w:val="00510478"/>
    <w:rsid w:val="00510BE0"/>
    <w:rsid w:val="00510C5C"/>
    <w:rsid w:val="00511E62"/>
    <w:rsid w:val="00515EAB"/>
    <w:rsid w:val="00517065"/>
    <w:rsid w:val="005178CD"/>
    <w:rsid w:val="005208AC"/>
    <w:rsid w:val="00520B14"/>
    <w:rsid w:val="00520BF3"/>
    <w:rsid w:val="005219BF"/>
    <w:rsid w:val="00521DC2"/>
    <w:rsid w:val="00521EFA"/>
    <w:rsid w:val="0052230A"/>
    <w:rsid w:val="00522BED"/>
    <w:rsid w:val="00522D01"/>
    <w:rsid w:val="00523237"/>
    <w:rsid w:val="00523A16"/>
    <w:rsid w:val="00523D2D"/>
    <w:rsid w:val="00524432"/>
    <w:rsid w:val="00524822"/>
    <w:rsid w:val="005256BB"/>
    <w:rsid w:val="005256DB"/>
    <w:rsid w:val="00525AC4"/>
    <w:rsid w:val="00525B79"/>
    <w:rsid w:val="005264A5"/>
    <w:rsid w:val="00526A8A"/>
    <w:rsid w:val="00526D01"/>
    <w:rsid w:val="00530860"/>
    <w:rsid w:val="00531932"/>
    <w:rsid w:val="00531C3D"/>
    <w:rsid w:val="0053277C"/>
    <w:rsid w:val="00532EB0"/>
    <w:rsid w:val="005335BC"/>
    <w:rsid w:val="005336CE"/>
    <w:rsid w:val="00533CD5"/>
    <w:rsid w:val="00534621"/>
    <w:rsid w:val="00534871"/>
    <w:rsid w:val="00534F33"/>
    <w:rsid w:val="00535069"/>
    <w:rsid w:val="00535A60"/>
    <w:rsid w:val="005368AB"/>
    <w:rsid w:val="005372AF"/>
    <w:rsid w:val="00540D5C"/>
    <w:rsid w:val="00540EBB"/>
    <w:rsid w:val="00541971"/>
    <w:rsid w:val="00541FF9"/>
    <w:rsid w:val="00544481"/>
    <w:rsid w:val="005444FD"/>
    <w:rsid w:val="00544C2E"/>
    <w:rsid w:val="0054689F"/>
    <w:rsid w:val="00546DAD"/>
    <w:rsid w:val="0054701C"/>
    <w:rsid w:val="0055024A"/>
    <w:rsid w:val="0055040D"/>
    <w:rsid w:val="00550D90"/>
    <w:rsid w:val="0055248D"/>
    <w:rsid w:val="00552EC6"/>
    <w:rsid w:val="005538CF"/>
    <w:rsid w:val="005542A1"/>
    <w:rsid w:val="005549AB"/>
    <w:rsid w:val="005557FE"/>
    <w:rsid w:val="00555A0C"/>
    <w:rsid w:val="00555A17"/>
    <w:rsid w:val="00555EC7"/>
    <w:rsid w:val="005570AD"/>
    <w:rsid w:val="00557DCC"/>
    <w:rsid w:val="00561169"/>
    <w:rsid w:val="005615B9"/>
    <w:rsid w:val="005617DA"/>
    <w:rsid w:val="00561AAC"/>
    <w:rsid w:val="00561B18"/>
    <w:rsid w:val="00561C21"/>
    <w:rsid w:val="00561F0C"/>
    <w:rsid w:val="005623E3"/>
    <w:rsid w:val="005624E0"/>
    <w:rsid w:val="005629EE"/>
    <w:rsid w:val="0056329F"/>
    <w:rsid w:val="0056339B"/>
    <w:rsid w:val="00563DF3"/>
    <w:rsid w:val="00564EBB"/>
    <w:rsid w:val="0056580C"/>
    <w:rsid w:val="00565B20"/>
    <w:rsid w:val="00566C79"/>
    <w:rsid w:val="00567966"/>
    <w:rsid w:val="00570169"/>
    <w:rsid w:val="00571DC3"/>
    <w:rsid w:val="00571DD3"/>
    <w:rsid w:val="00571FF4"/>
    <w:rsid w:val="005720B2"/>
    <w:rsid w:val="00572D19"/>
    <w:rsid w:val="00573C76"/>
    <w:rsid w:val="005748A1"/>
    <w:rsid w:val="00575001"/>
    <w:rsid w:val="005757C3"/>
    <w:rsid w:val="0057720B"/>
    <w:rsid w:val="00577800"/>
    <w:rsid w:val="00580185"/>
    <w:rsid w:val="005809B5"/>
    <w:rsid w:val="005812EF"/>
    <w:rsid w:val="00582010"/>
    <w:rsid w:val="0058254B"/>
    <w:rsid w:val="0058351E"/>
    <w:rsid w:val="00584064"/>
    <w:rsid w:val="00584584"/>
    <w:rsid w:val="00584922"/>
    <w:rsid w:val="005854E3"/>
    <w:rsid w:val="005858C5"/>
    <w:rsid w:val="00587914"/>
    <w:rsid w:val="005900F4"/>
    <w:rsid w:val="0059181C"/>
    <w:rsid w:val="005921B3"/>
    <w:rsid w:val="005925EC"/>
    <w:rsid w:val="00594B27"/>
    <w:rsid w:val="00594F57"/>
    <w:rsid w:val="00595265"/>
    <w:rsid w:val="0059611F"/>
    <w:rsid w:val="005964F5"/>
    <w:rsid w:val="00597224"/>
    <w:rsid w:val="005A0727"/>
    <w:rsid w:val="005A1B7D"/>
    <w:rsid w:val="005A1FB5"/>
    <w:rsid w:val="005A21F0"/>
    <w:rsid w:val="005A3592"/>
    <w:rsid w:val="005A4082"/>
    <w:rsid w:val="005A46DD"/>
    <w:rsid w:val="005A64FE"/>
    <w:rsid w:val="005A6C46"/>
    <w:rsid w:val="005B0AAB"/>
    <w:rsid w:val="005B2FBF"/>
    <w:rsid w:val="005B3F91"/>
    <w:rsid w:val="005B409A"/>
    <w:rsid w:val="005B4285"/>
    <w:rsid w:val="005B4EB8"/>
    <w:rsid w:val="005B5497"/>
    <w:rsid w:val="005B5790"/>
    <w:rsid w:val="005B5E9D"/>
    <w:rsid w:val="005B5FA3"/>
    <w:rsid w:val="005B5FD3"/>
    <w:rsid w:val="005B633B"/>
    <w:rsid w:val="005B66C5"/>
    <w:rsid w:val="005B6C43"/>
    <w:rsid w:val="005B6F1B"/>
    <w:rsid w:val="005B711B"/>
    <w:rsid w:val="005B72C0"/>
    <w:rsid w:val="005C1453"/>
    <w:rsid w:val="005C196C"/>
    <w:rsid w:val="005C1C71"/>
    <w:rsid w:val="005C205B"/>
    <w:rsid w:val="005C2CA2"/>
    <w:rsid w:val="005C3064"/>
    <w:rsid w:val="005C3191"/>
    <w:rsid w:val="005C3464"/>
    <w:rsid w:val="005C3C86"/>
    <w:rsid w:val="005C4651"/>
    <w:rsid w:val="005C725E"/>
    <w:rsid w:val="005C7653"/>
    <w:rsid w:val="005C7BBF"/>
    <w:rsid w:val="005D0057"/>
    <w:rsid w:val="005D019B"/>
    <w:rsid w:val="005D22E9"/>
    <w:rsid w:val="005D3069"/>
    <w:rsid w:val="005D31CB"/>
    <w:rsid w:val="005D370F"/>
    <w:rsid w:val="005D3730"/>
    <w:rsid w:val="005D3BD1"/>
    <w:rsid w:val="005D40A5"/>
    <w:rsid w:val="005D57F3"/>
    <w:rsid w:val="005D5940"/>
    <w:rsid w:val="005D5A15"/>
    <w:rsid w:val="005D5D26"/>
    <w:rsid w:val="005D5EBA"/>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73A1"/>
    <w:rsid w:val="005E7458"/>
    <w:rsid w:val="005E76FD"/>
    <w:rsid w:val="005F013F"/>
    <w:rsid w:val="005F0547"/>
    <w:rsid w:val="005F06EC"/>
    <w:rsid w:val="005F19C6"/>
    <w:rsid w:val="005F3F86"/>
    <w:rsid w:val="005F4197"/>
    <w:rsid w:val="005F4B38"/>
    <w:rsid w:val="005F4C67"/>
    <w:rsid w:val="005F4F12"/>
    <w:rsid w:val="005F5163"/>
    <w:rsid w:val="005F52C6"/>
    <w:rsid w:val="005F541C"/>
    <w:rsid w:val="005F5A77"/>
    <w:rsid w:val="005F6596"/>
    <w:rsid w:val="005F6751"/>
    <w:rsid w:val="005F7D76"/>
    <w:rsid w:val="00601639"/>
    <w:rsid w:val="006024F3"/>
    <w:rsid w:val="006028B7"/>
    <w:rsid w:val="00603543"/>
    <w:rsid w:val="00603572"/>
    <w:rsid w:val="00604ACB"/>
    <w:rsid w:val="006055FE"/>
    <w:rsid w:val="006067DB"/>
    <w:rsid w:val="006073F9"/>
    <w:rsid w:val="00607F86"/>
    <w:rsid w:val="0061009A"/>
    <w:rsid w:val="006104F9"/>
    <w:rsid w:val="00610669"/>
    <w:rsid w:val="00610BC0"/>
    <w:rsid w:val="00611335"/>
    <w:rsid w:val="006114ED"/>
    <w:rsid w:val="0061157C"/>
    <w:rsid w:val="0061282A"/>
    <w:rsid w:val="00612C9E"/>
    <w:rsid w:val="006131E5"/>
    <w:rsid w:val="006132AE"/>
    <w:rsid w:val="00615427"/>
    <w:rsid w:val="00615E96"/>
    <w:rsid w:val="006167B8"/>
    <w:rsid w:val="00617C22"/>
    <w:rsid w:val="00620A9C"/>
    <w:rsid w:val="00620D7C"/>
    <w:rsid w:val="00621A6D"/>
    <w:rsid w:val="00621DB3"/>
    <w:rsid w:val="00621F03"/>
    <w:rsid w:val="00621FED"/>
    <w:rsid w:val="0062265E"/>
    <w:rsid w:val="00622F11"/>
    <w:rsid w:val="00623213"/>
    <w:rsid w:val="006246E4"/>
    <w:rsid w:val="00624BC2"/>
    <w:rsid w:val="006251DE"/>
    <w:rsid w:val="006254EE"/>
    <w:rsid w:val="00625B63"/>
    <w:rsid w:val="00626190"/>
    <w:rsid w:val="00627517"/>
    <w:rsid w:val="00630B1A"/>
    <w:rsid w:val="00632281"/>
    <w:rsid w:val="00632364"/>
    <w:rsid w:val="006324C1"/>
    <w:rsid w:val="006327BE"/>
    <w:rsid w:val="00632A4A"/>
    <w:rsid w:val="00634573"/>
    <w:rsid w:val="00635A24"/>
    <w:rsid w:val="00635DDF"/>
    <w:rsid w:val="00636818"/>
    <w:rsid w:val="00636ADD"/>
    <w:rsid w:val="00636C79"/>
    <w:rsid w:val="006373D4"/>
    <w:rsid w:val="00640221"/>
    <w:rsid w:val="006406E5"/>
    <w:rsid w:val="00640B24"/>
    <w:rsid w:val="0064110A"/>
    <w:rsid w:val="006417BC"/>
    <w:rsid w:val="0064185B"/>
    <w:rsid w:val="00641C9C"/>
    <w:rsid w:val="00641EE6"/>
    <w:rsid w:val="00641F0C"/>
    <w:rsid w:val="00642EB3"/>
    <w:rsid w:val="006441AD"/>
    <w:rsid w:val="006442C8"/>
    <w:rsid w:val="0064464F"/>
    <w:rsid w:val="006446B7"/>
    <w:rsid w:val="0064476C"/>
    <w:rsid w:val="00644B90"/>
    <w:rsid w:val="00646E32"/>
    <w:rsid w:val="00646E56"/>
    <w:rsid w:val="00647687"/>
    <w:rsid w:val="00647768"/>
    <w:rsid w:val="006505E5"/>
    <w:rsid w:val="00651AD8"/>
    <w:rsid w:val="0065230F"/>
    <w:rsid w:val="0065353F"/>
    <w:rsid w:val="00653F72"/>
    <w:rsid w:val="006546B9"/>
    <w:rsid w:val="00654B60"/>
    <w:rsid w:val="00655090"/>
    <w:rsid w:val="0065588C"/>
    <w:rsid w:val="00656F58"/>
    <w:rsid w:val="00657727"/>
    <w:rsid w:val="00660969"/>
    <w:rsid w:val="00660B48"/>
    <w:rsid w:val="00662650"/>
    <w:rsid w:val="0066366C"/>
    <w:rsid w:val="006648D1"/>
    <w:rsid w:val="00664E1D"/>
    <w:rsid w:val="00666BA1"/>
    <w:rsid w:val="0066772B"/>
    <w:rsid w:val="00667D20"/>
    <w:rsid w:val="006700CB"/>
    <w:rsid w:val="0067011A"/>
    <w:rsid w:val="00670428"/>
    <w:rsid w:val="00670786"/>
    <w:rsid w:val="006708BC"/>
    <w:rsid w:val="00670BF6"/>
    <w:rsid w:val="00671FD0"/>
    <w:rsid w:val="006721DF"/>
    <w:rsid w:val="006727A0"/>
    <w:rsid w:val="00672956"/>
    <w:rsid w:val="00672A20"/>
    <w:rsid w:val="0067345B"/>
    <w:rsid w:val="006734ED"/>
    <w:rsid w:val="00674329"/>
    <w:rsid w:val="00674808"/>
    <w:rsid w:val="00674CE6"/>
    <w:rsid w:val="00674F39"/>
    <w:rsid w:val="00675D53"/>
    <w:rsid w:val="006767DB"/>
    <w:rsid w:val="00676BB6"/>
    <w:rsid w:val="00676FCA"/>
    <w:rsid w:val="00677279"/>
    <w:rsid w:val="00677979"/>
    <w:rsid w:val="00680232"/>
    <w:rsid w:val="00680316"/>
    <w:rsid w:val="006803A0"/>
    <w:rsid w:val="0068141A"/>
    <w:rsid w:val="00681809"/>
    <w:rsid w:val="00681B55"/>
    <w:rsid w:val="00682088"/>
    <w:rsid w:val="0068303F"/>
    <w:rsid w:val="006830FC"/>
    <w:rsid w:val="00683770"/>
    <w:rsid w:val="00683926"/>
    <w:rsid w:val="00683B58"/>
    <w:rsid w:val="006842C0"/>
    <w:rsid w:val="006849D2"/>
    <w:rsid w:val="00685F7C"/>
    <w:rsid w:val="00686775"/>
    <w:rsid w:val="00686A7E"/>
    <w:rsid w:val="00686C41"/>
    <w:rsid w:val="00686CAE"/>
    <w:rsid w:val="00690509"/>
    <w:rsid w:val="00690963"/>
    <w:rsid w:val="00690B95"/>
    <w:rsid w:val="00691156"/>
    <w:rsid w:val="00691601"/>
    <w:rsid w:val="00691998"/>
    <w:rsid w:val="00691CD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97BFC"/>
    <w:rsid w:val="006A0169"/>
    <w:rsid w:val="006A09A4"/>
    <w:rsid w:val="006A134B"/>
    <w:rsid w:val="006A1957"/>
    <w:rsid w:val="006A21CC"/>
    <w:rsid w:val="006A22CA"/>
    <w:rsid w:val="006A291A"/>
    <w:rsid w:val="006A3856"/>
    <w:rsid w:val="006A438F"/>
    <w:rsid w:val="006A503A"/>
    <w:rsid w:val="006A65A6"/>
    <w:rsid w:val="006A6750"/>
    <w:rsid w:val="006A7601"/>
    <w:rsid w:val="006A7D6E"/>
    <w:rsid w:val="006A7FA7"/>
    <w:rsid w:val="006B0634"/>
    <w:rsid w:val="006B0F9B"/>
    <w:rsid w:val="006B1837"/>
    <w:rsid w:val="006B1C34"/>
    <w:rsid w:val="006B1FF1"/>
    <w:rsid w:val="006B293F"/>
    <w:rsid w:val="006B34DE"/>
    <w:rsid w:val="006B35F3"/>
    <w:rsid w:val="006B40C1"/>
    <w:rsid w:val="006B5F49"/>
    <w:rsid w:val="006B60A2"/>
    <w:rsid w:val="006B6A20"/>
    <w:rsid w:val="006C078D"/>
    <w:rsid w:val="006C0D6F"/>
    <w:rsid w:val="006C164E"/>
    <w:rsid w:val="006C1EDD"/>
    <w:rsid w:val="006C2188"/>
    <w:rsid w:val="006C22E4"/>
    <w:rsid w:val="006C25AD"/>
    <w:rsid w:val="006C2F5C"/>
    <w:rsid w:val="006C319D"/>
    <w:rsid w:val="006C3573"/>
    <w:rsid w:val="006C3593"/>
    <w:rsid w:val="006C4010"/>
    <w:rsid w:val="006C477E"/>
    <w:rsid w:val="006C4EC2"/>
    <w:rsid w:val="006C50D1"/>
    <w:rsid w:val="006C5AD3"/>
    <w:rsid w:val="006C6599"/>
    <w:rsid w:val="006C6D7A"/>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4C04"/>
    <w:rsid w:val="006D5DCC"/>
    <w:rsid w:val="006D5E38"/>
    <w:rsid w:val="006D614A"/>
    <w:rsid w:val="006D61AF"/>
    <w:rsid w:val="006D65EC"/>
    <w:rsid w:val="006D6B5E"/>
    <w:rsid w:val="006D6CA1"/>
    <w:rsid w:val="006D712E"/>
    <w:rsid w:val="006D7DA7"/>
    <w:rsid w:val="006E08F5"/>
    <w:rsid w:val="006E0EE2"/>
    <w:rsid w:val="006E0FAD"/>
    <w:rsid w:val="006E2715"/>
    <w:rsid w:val="006E27D1"/>
    <w:rsid w:val="006E2953"/>
    <w:rsid w:val="006E2CD8"/>
    <w:rsid w:val="006E43D2"/>
    <w:rsid w:val="006E4462"/>
    <w:rsid w:val="006E465C"/>
    <w:rsid w:val="006E4B08"/>
    <w:rsid w:val="006E4EB7"/>
    <w:rsid w:val="006E558B"/>
    <w:rsid w:val="006E753A"/>
    <w:rsid w:val="006E7A5E"/>
    <w:rsid w:val="006E7D59"/>
    <w:rsid w:val="006E7F4D"/>
    <w:rsid w:val="006E7F81"/>
    <w:rsid w:val="006F12A6"/>
    <w:rsid w:val="006F1443"/>
    <w:rsid w:val="006F17DA"/>
    <w:rsid w:val="006F1C69"/>
    <w:rsid w:val="006F2579"/>
    <w:rsid w:val="006F2855"/>
    <w:rsid w:val="006F2887"/>
    <w:rsid w:val="006F2958"/>
    <w:rsid w:val="006F2DD6"/>
    <w:rsid w:val="006F5439"/>
    <w:rsid w:val="006F69AA"/>
    <w:rsid w:val="006F713E"/>
    <w:rsid w:val="006F750C"/>
    <w:rsid w:val="006F7EB1"/>
    <w:rsid w:val="00700A36"/>
    <w:rsid w:val="00700AD5"/>
    <w:rsid w:val="00701834"/>
    <w:rsid w:val="0070199E"/>
    <w:rsid w:val="007019C6"/>
    <w:rsid w:val="00701BDD"/>
    <w:rsid w:val="00701E8E"/>
    <w:rsid w:val="00702B93"/>
    <w:rsid w:val="00702D4F"/>
    <w:rsid w:val="00703943"/>
    <w:rsid w:val="00703D5F"/>
    <w:rsid w:val="007045FC"/>
    <w:rsid w:val="0070488F"/>
    <w:rsid w:val="00704CDE"/>
    <w:rsid w:val="00704CF9"/>
    <w:rsid w:val="00704ECD"/>
    <w:rsid w:val="00705075"/>
    <w:rsid w:val="00705199"/>
    <w:rsid w:val="00705711"/>
    <w:rsid w:val="0070582E"/>
    <w:rsid w:val="00706AAB"/>
    <w:rsid w:val="007073E2"/>
    <w:rsid w:val="0070772C"/>
    <w:rsid w:val="00707EED"/>
    <w:rsid w:val="00710713"/>
    <w:rsid w:val="00710A96"/>
    <w:rsid w:val="00711B38"/>
    <w:rsid w:val="00711F83"/>
    <w:rsid w:val="007122C3"/>
    <w:rsid w:val="007123C3"/>
    <w:rsid w:val="0071266E"/>
    <w:rsid w:val="00712C38"/>
    <w:rsid w:val="00712E25"/>
    <w:rsid w:val="007130F7"/>
    <w:rsid w:val="00714183"/>
    <w:rsid w:val="00714B95"/>
    <w:rsid w:val="00715CA4"/>
    <w:rsid w:val="00715E75"/>
    <w:rsid w:val="0071643E"/>
    <w:rsid w:val="0071691D"/>
    <w:rsid w:val="0071695A"/>
    <w:rsid w:val="007172B6"/>
    <w:rsid w:val="00717CD9"/>
    <w:rsid w:val="00720C6C"/>
    <w:rsid w:val="00720D93"/>
    <w:rsid w:val="00721EC2"/>
    <w:rsid w:val="007225C9"/>
    <w:rsid w:val="00722634"/>
    <w:rsid w:val="007226F3"/>
    <w:rsid w:val="0072344E"/>
    <w:rsid w:val="007237EE"/>
    <w:rsid w:val="007240C3"/>
    <w:rsid w:val="007243CC"/>
    <w:rsid w:val="0072530B"/>
    <w:rsid w:val="007263B7"/>
    <w:rsid w:val="0072677C"/>
    <w:rsid w:val="00727471"/>
    <w:rsid w:val="00727632"/>
    <w:rsid w:val="007301CB"/>
    <w:rsid w:val="0073087D"/>
    <w:rsid w:val="00731957"/>
    <w:rsid w:val="007323E0"/>
    <w:rsid w:val="00732744"/>
    <w:rsid w:val="0073288D"/>
    <w:rsid w:val="00732974"/>
    <w:rsid w:val="00732BB6"/>
    <w:rsid w:val="00733697"/>
    <w:rsid w:val="00733C12"/>
    <w:rsid w:val="00733C2F"/>
    <w:rsid w:val="00733EF3"/>
    <w:rsid w:val="007356BB"/>
    <w:rsid w:val="00735B0B"/>
    <w:rsid w:val="00735BED"/>
    <w:rsid w:val="0073666D"/>
    <w:rsid w:val="0073669E"/>
    <w:rsid w:val="00736799"/>
    <w:rsid w:val="0073707B"/>
    <w:rsid w:val="00737C67"/>
    <w:rsid w:val="00737D1D"/>
    <w:rsid w:val="00737F76"/>
    <w:rsid w:val="007404A0"/>
    <w:rsid w:val="007406D2"/>
    <w:rsid w:val="00741002"/>
    <w:rsid w:val="00741637"/>
    <w:rsid w:val="007418D4"/>
    <w:rsid w:val="00741E81"/>
    <w:rsid w:val="00742121"/>
    <w:rsid w:val="00742CE6"/>
    <w:rsid w:val="00743353"/>
    <w:rsid w:val="00743655"/>
    <w:rsid w:val="0074467F"/>
    <w:rsid w:val="00744F24"/>
    <w:rsid w:val="0074501E"/>
    <w:rsid w:val="00745868"/>
    <w:rsid w:val="00746472"/>
    <w:rsid w:val="00746CD0"/>
    <w:rsid w:val="00746F76"/>
    <w:rsid w:val="007471B6"/>
    <w:rsid w:val="00747C5A"/>
    <w:rsid w:val="00747CD0"/>
    <w:rsid w:val="007500B9"/>
    <w:rsid w:val="00750846"/>
    <w:rsid w:val="007516D1"/>
    <w:rsid w:val="00751ADF"/>
    <w:rsid w:val="00751DE7"/>
    <w:rsid w:val="00752CE8"/>
    <w:rsid w:val="00753790"/>
    <w:rsid w:val="0075428A"/>
    <w:rsid w:val="0075561B"/>
    <w:rsid w:val="007575BC"/>
    <w:rsid w:val="00760A78"/>
    <w:rsid w:val="007620C8"/>
    <w:rsid w:val="00763C94"/>
    <w:rsid w:val="00764725"/>
    <w:rsid w:val="0076472C"/>
    <w:rsid w:val="00764B6B"/>
    <w:rsid w:val="00764F0C"/>
    <w:rsid w:val="007659EF"/>
    <w:rsid w:val="00766029"/>
    <w:rsid w:val="00766432"/>
    <w:rsid w:val="00766983"/>
    <w:rsid w:val="00767A28"/>
    <w:rsid w:val="007701E9"/>
    <w:rsid w:val="00770893"/>
    <w:rsid w:val="007712C3"/>
    <w:rsid w:val="00771D33"/>
    <w:rsid w:val="00771F1C"/>
    <w:rsid w:val="007724C4"/>
    <w:rsid w:val="007725DF"/>
    <w:rsid w:val="00772E14"/>
    <w:rsid w:val="00772E1A"/>
    <w:rsid w:val="007736D0"/>
    <w:rsid w:val="00773A11"/>
    <w:rsid w:val="00773D01"/>
    <w:rsid w:val="0077411F"/>
    <w:rsid w:val="007754D1"/>
    <w:rsid w:val="007758B8"/>
    <w:rsid w:val="007758CF"/>
    <w:rsid w:val="00775FEC"/>
    <w:rsid w:val="00776317"/>
    <w:rsid w:val="00776B10"/>
    <w:rsid w:val="00776D06"/>
    <w:rsid w:val="00780317"/>
    <w:rsid w:val="00780E1B"/>
    <w:rsid w:val="007810BC"/>
    <w:rsid w:val="00781EB4"/>
    <w:rsid w:val="007823D7"/>
    <w:rsid w:val="00782941"/>
    <w:rsid w:val="00782E96"/>
    <w:rsid w:val="007844DE"/>
    <w:rsid w:val="007848DA"/>
    <w:rsid w:val="00784A3D"/>
    <w:rsid w:val="00785A39"/>
    <w:rsid w:val="007861AA"/>
    <w:rsid w:val="00787447"/>
    <w:rsid w:val="0078776F"/>
    <w:rsid w:val="007900EA"/>
    <w:rsid w:val="00790BDA"/>
    <w:rsid w:val="00790CD2"/>
    <w:rsid w:val="0079103F"/>
    <w:rsid w:val="007918A1"/>
    <w:rsid w:val="00792169"/>
    <w:rsid w:val="00793091"/>
    <w:rsid w:val="00793F12"/>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20A0"/>
    <w:rsid w:val="007A2AD1"/>
    <w:rsid w:val="007A2B71"/>
    <w:rsid w:val="007A2BE6"/>
    <w:rsid w:val="007A2C5D"/>
    <w:rsid w:val="007A340C"/>
    <w:rsid w:val="007A36E5"/>
    <w:rsid w:val="007A4A3D"/>
    <w:rsid w:val="007A5A11"/>
    <w:rsid w:val="007A5AB8"/>
    <w:rsid w:val="007A6F16"/>
    <w:rsid w:val="007A7512"/>
    <w:rsid w:val="007A752A"/>
    <w:rsid w:val="007A7B6E"/>
    <w:rsid w:val="007A7E3D"/>
    <w:rsid w:val="007A7F7F"/>
    <w:rsid w:val="007A7FD6"/>
    <w:rsid w:val="007B028F"/>
    <w:rsid w:val="007B09DF"/>
    <w:rsid w:val="007B16A1"/>
    <w:rsid w:val="007B217C"/>
    <w:rsid w:val="007B2DB6"/>
    <w:rsid w:val="007B300E"/>
    <w:rsid w:val="007B30CA"/>
    <w:rsid w:val="007B3A11"/>
    <w:rsid w:val="007B3AFD"/>
    <w:rsid w:val="007B4DDD"/>
    <w:rsid w:val="007B530F"/>
    <w:rsid w:val="007B567F"/>
    <w:rsid w:val="007B57E8"/>
    <w:rsid w:val="007B58BF"/>
    <w:rsid w:val="007B5D4F"/>
    <w:rsid w:val="007B65D4"/>
    <w:rsid w:val="007B67FE"/>
    <w:rsid w:val="007B7B2B"/>
    <w:rsid w:val="007B7B34"/>
    <w:rsid w:val="007C0BE9"/>
    <w:rsid w:val="007C1D91"/>
    <w:rsid w:val="007C204B"/>
    <w:rsid w:val="007C398B"/>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41C2"/>
    <w:rsid w:val="007D42D5"/>
    <w:rsid w:val="007D467D"/>
    <w:rsid w:val="007D4BFC"/>
    <w:rsid w:val="007D5080"/>
    <w:rsid w:val="007D6193"/>
    <w:rsid w:val="007D6B1C"/>
    <w:rsid w:val="007D78EE"/>
    <w:rsid w:val="007D7A92"/>
    <w:rsid w:val="007E01C5"/>
    <w:rsid w:val="007E0750"/>
    <w:rsid w:val="007E0A49"/>
    <w:rsid w:val="007E0F2C"/>
    <w:rsid w:val="007E0FAF"/>
    <w:rsid w:val="007E112F"/>
    <w:rsid w:val="007E1356"/>
    <w:rsid w:val="007E1C60"/>
    <w:rsid w:val="007E3CC5"/>
    <w:rsid w:val="007E441D"/>
    <w:rsid w:val="007E450C"/>
    <w:rsid w:val="007E4A09"/>
    <w:rsid w:val="007E4C9C"/>
    <w:rsid w:val="007E5486"/>
    <w:rsid w:val="007E5B1C"/>
    <w:rsid w:val="007E5F2E"/>
    <w:rsid w:val="007E5FB5"/>
    <w:rsid w:val="007E6196"/>
    <w:rsid w:val="007E6656"/>
    <w:rsid w:val="007E6E12"/>
    <w:rsid w:val="007E70BF"/>
    <w:rsid w:val="007E717D"/>
    <w:rsid w:val="007E724E"/>
    <w:rsid w:val="007E735A"/>
    <w:rsid w:val="007E7432"/>
    <w:rsid w:val="007F0085"/>
    <w:rsid w:val="007F080F"/>
    <w:rsid w:val="007F0F01"/>
    <w:rsid w:val="007F155F"/>
    <w:rsid w:val="007F1A99"/>
    <w:rsid w:val="007F1C4A"/>
    <w:rsid w:val="007F22A7"/>
    <w:rsid w:val="007F22ED"/>
    <w:rsid w:val="007F24DA"/>
    <w:rsid w:val="007F2ED8"/>
    <w:rsid w:val="007F3253"/>
    <w:rsid w:val="007F4457"/>
    <w:rsid w:val="007F4DE5"/>
    <w:rsid w:val="007F4F42"/>
    <w:rsid w:val="007F536B"/>
    <w:rsid w:val="007F59CD"/>
    <w:rsid w:val="007F5E48"/>
    <w:rsid w:val="007F67DD"/>
    <w:rsid w:val="007F67F0"/>
    <w:rsid w:val="007F6BC7"/>
    <w:rsid w:val="007F7F32"/>
    <w:rsid w:val="00800A70"/>
    <w:rsid w:val="00800DF8"/>
    <w:rsid w:val="008017C2"/>
    <w:rsid w:val="00801E32"/>
    <w:rsid w:val="00801FB7"/>
    <w:rsid w:val="008021FD"/>
    <w:rsid w:val="00802554"/>
    <w:rsid w:val="008026FA"/>
    <w:rsid w:val="00802B21"/>
    <w:rsid w:val="00802DB4"/>
    <w:rsid w:val="008036BE"/>
    <w:rsid w:val="00803B18"/>
    <w:rsid w:val="00803B2E"/>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DCA"/>
    <w:rsid w:val="0081539C"/>
    <w:rsid w:val="008154EA"/>
    <w:rsid w:val="00815822"/>
    <w:rsid w:val="00815D1B"/>
    <w:rsid w:val="008164A8"/>
    <w:rsid w:val="00816C1F"/>
    <w:rsid w:val="008174AD"/>
    <w:rsid w:val="00820876"/>
    <w:rsid w:val="0082143F"/>
    <w:rsid w:val="0082159A"/>
    <w:rsid w:val="00821718"/>
    <w:rsid w:val="00822064"/>
    <w:rsid w:val="008220AD"/>
    <w:rsid w:val="00822969"/>
    <w:rsid w:val="00823196"/>
    <w:rsid w:val="00823610"/>
    <w:rsid w:val="008237DE"/>
    <w:rsid w:val="00824ABF"/>
    <w:rsid w:val="00824E32"/>
    <w:rsid w:val="00825B9C"/>
    <w:rsid w:val="00827EFF"/>
    <w:rsid w:val="008301C6"/>
    <w:rsid w:val="0083049A"/>
    <w:rsid w:val="008319DA"/>
    <w:rsid w:val="00831D1D"/>
    <w:rsid w:val="008321A6"/>
    <w:rsid w:val="00833393"/>
    <w:rsid w:val="0083380F"/>
    <w:rsid w:val="00835CF4"/>
    <w:rsid w:val="00835FCE"/>
    <w:rsid w:val="008368DE"/>
    <w:rsid w:val="00840BCC"/>
    <w:rsid w:val="00840E25"/>
    <w:rsid w:val="0084161A"/>
    <w:rsid w:val="00841962"/>
    <w:rsid w:val="008424BB"/>
    <w:rsid w:val="00842B3A"/>
    <w:rsid w:val="0084383C"/>
    <w:rsid w:val="0084456D"/>
    <w:rsid w:val="00844729"/>
    <w:rsid w:val="008461B4"/>
    <w:rsid w:val="008465CB"/>
    <w:rsid w:val="00846A62"/>
    <w:rsid w:val="0085127E"/>
    <w:rsid w:val="008515CC"/>
    <w:rsid w:val="008517C6"/>
    <w:rsid w:val="00852898"/>
    <w:rsid w:val="00852F4F"/>
    <w:rsid w:val="00853308"/>
    <w:rsid w:val="008534CC"/>
    <w:rsid w:val="00853C98"/>
    <w:rsid w:val="00854103"/>
    <w:rsid w:val="008549B1"/>
    <w:rsid w:val="008550BA"/>
    <w:rsid w:val="0085543E"/>
    <w:rsid w:val="008568B0"/>
    <w:rsid w:val="008578F2"/>
    <w:rsid w:val="00857A16"/>
    <w:rsid w:val="00857DB6"/>
    <w:rsid w:val="008600ED"/>
    <w:rsid w:val="00860366"/>
    <w:rsid w:val="008614BF"/>
    <w:rsid w:val="00861CAB"/>
    <w:rsid w:val="008623CA"/>
    <w:rsid w:val="008627A8"/>
    <w:rsid w:val="00862B21"/>
    <w:rsid w:val="008636D6"/>
    <w:rsid w:val="00863E02"/>
    <w:rsid w:val="0086489A"/>
    <w:rsid w:val="00865274"/>
    <w:rsid w:val="00865301"/>
    <w:rsid w:val="00865940"/>
    <w:rsid w:val="00865A0D"/>
    <w:rsid w:val="00865EEC"/>
    <w:rsid w:val="00866416"/>
    <w:rsid w:val="00866A27"/>
    <w:rsid w:val="00866C88"/>
    <w:rsid w:val="008701DC"/>
    <w:rsid w:val="00870234"/>
    <w:rsid w:val="0087081B"/>
    <w:rsid w:val="008714CD"/>
    <w:rsid w:val="00872A6E"/>
    <w:rsid w:val="008739F1"/>
    <w:rsid w:val="00873F33"/>
    <w:rsid w:val="00874197"/>
    <w:rsid w:val="00874308"/>
    <w:rsid w:val="00874882"/>
    <w:rsid w:val="00875375"/>
    <w:rsid w:val="008753E4"/>
    <w:rsid w:val="00875827"/>
    <w:rsid w:val="008764DF"/>
    <w:rsid w:val="00876C7F"/>
    <w:rsid w:val="00876DA9"/>
    <w:rsid w:val="00877B13"/>
    <w:rsid w:val="00880AB5"/>
    <w:rsid w:val="00880AD5"/>
    <w:rsid w:val="00880C01"/>
    <w:rsid w:val="00881095"/>
    <w:rsid w:val="00881457"/>
    <w:rsid w:val="00881918"/>
    <w:rsid w:val="00882802"/>
    <w:rsid w:val="00882B0F"/>
    <w:rsid w:val="008836A7"/>
    <w:rsid w:val="00883749"/>
    <w:rsid w:val="008837DA"/>
    <w:rsid w:val="00884467"/>
    <w:rsid w:val="0088452E"/>
    <w:rsid w:val="00884AB6"/>
    <w:rsid w:val="008872D7"/>
    <w:rsid w:val="00887E8C"/>
    <w:rsid w:val="00887F03"/>
    <w:rsid w:val="0089055E"/>
    <w:rsid w:val="008914A2"/>
    <w:rsid w:val="00891FBA"/>
    <w:rsid w:val="008923EA"/>
    <w:rsid w:val="00893B95"/>
    <w:rsid w:val="008941B2"/>
    <w:rsid w:val="0089486E"/>
    <w:rsid w:val="00894DEA"/>
    <w:rsid w:val="00896875"/>
    <w:rsid w:val="008A0D44"/>
    <w:rsid w:val="008A1084"/>
    <w:rsid w:val="008A1C2F"/>
    <w:rsid w:val="008A1DA7"/>
    <w:rsid w:val="008A29BC"/>
    <w:rsid w:val="008A3884"/>
    <w:rsid w:val="008A3A4B"/>
    <w:rsid w:val="008A41DE"/>
    <w:rsid w:val="008A49EA"/>
    <w:rsid w:val="008A4ABF"/>
    <w:rsid w:val="008A6614"/>
    <w:rsid w:val="008A739F"/>
    <w:rsid w:val="008A7517"/>
    <w:rsid w:val="008A790C"/>
    <w:rsid w:val="008B0108"/>
    <w:rsid w:val="008B1123"/>
    <w:rsid w:val="008B18E3"/>
    <w:rsid w:val="008B3670"/>
    <w:rsid w:val="008B392A"/>
    <w:rsid w:val="008B3E82"/>
    <w:rsid w:val="008B4157"/>
    <w:rsid w:val="008B4A24"/>
    <w:rsid w:val="008B51DE"/>
    <w:rsid w:val="008B5AFF"/>
    <w:rsid w:val="008B5E0B"/>
    <w:rsid w:val="008B758A"/>
    <w:rsid w:val="008B7C72"/>
    <w:rsid w:val="008B7CD2"/>
    <w:rsid w:val="008C053C"/>
    <w:rsid w:val="008C0C4F"/>
    <w:rsid w:val="008C0F75"/>
    <w:rsid w:val="008C12F3"/>
    <w:rsid w:val="008C1433"/>
    <w:rsid w:val="008C1D8B"/>
    <w:rsid w:val="008C21EC"/>
    <w:rsid w:val="008C277A"/>
    <w:rsid w:val="008C561D"/>
    <w:rsid w:val="008C62EC"/>
    <w:rsid w:val="008C6316"/>
    <w:rsid w:val="008C7911"/>
    <w:rsid w:val="008C7FAF"/>
    <w:rsid w:val="008D0BE4"/>
    <w:rsid w:val="008D1475"/>
    <w:rsid w:val="008D151E"/>
    <w:rsid w:val="008D19DB"/>
    <w:rsid w:val="008D35E2"/>
    <w:rsid w:val="008D41B5"/>
    <w:rsid w:val="008D52D5"/>
    <w:rsid w:val="008D5BE0"/>
    <w:rsid w:val="008D72C3"/>
    <w:rsid w:val="008D7537"/>
    <w:rsid w:val="008D7689"/>
    <w:rsid w:val="008D7B10"/>
    <w:rsid w:val="008E041A"/>
    <w:rsid w:val="008E04F6"/>
    <w:rsid w:val="008E0FD3"/>
    <w:rsid w:val="008E154C"/>
    <w:rsid w:val="008E1B76"/>
    <w:rsid w:val="008E1DCB"/>
    <w:rsid w:val="008E2248"/>
    <w:rsid w:val="008E2CD5"/>
    <w:rsid w:val="008E2DF1"/>
    <w:rsid w:val="008E3BD0"/>
    <w:rsid w:val="008E53E7"/>
    <w:rsid w:val="008E5B3B"/>
    <w:rsid w:val="008E5DBE"/>
    <w:rsid w:val="008E63EA"/>
    <w:rsid w:val="008E7537"/>
    <w:rsid w:val="008E7558"/>
    <w:rsid w:val="008E7C23"/>
    <w:rsid w:val="008E7F8D"/>
    <w:rsid w:val="008F06E9"/>
    <w:rsid w:val="008F11C4"/>
    <w:rsid w:val="008F2850"/>
    <w:rsid w:val="008F2FC2"/>
    <w:rsid w:val="008F302C"/>
    <w:rsid w:val="008F327F"/>
    <w:rsid w:val="008F3305"/>
    <w:rsid w:val="008F3A1B"/>
    <w:rsid w:val="008F3C46"/>
    <w:rsid w:val="008F3E18"/>
    <w:rsid w:val="008F4C45"/>
    <w:rsid w:val="008F5D1E"/>
    <w:rsid w:val="008F7242"/>
    <w:rsid w:val="008F75F1"/>
    <w:rsid w:val="008F7D34"/>
    <w:rsid w:val="00901457"/>
    <w:rsid w:val="00901C77"/>
    <w:rsid w:val="0090233F"/>
    <w:rsid w:val="009026E8"/>
    <w:rsid w:val="009030B0"/>
    <w:rsid w:val="009031E3"/>
    <w:rsid w:val="009035A2"/>
    <w:rsid w:val="0090368C"/>
    <w:rsid w:val="00903C20"/>
    <w:rsid w:val="00904674"/>
    <w:rsid w:val="00904BC9"/>
    <w:rsid w:val="009056C1"/>
    <w:rsid w:val="009056CA"/>
    <w:rsid w:val="009057C5"/>
    <w:rsid w:val="00905F4A"/>
    <w:rsid w:val="009062BB"/>
    <w:rsid w:val="0090688C"/>
    <w:rsid w:val="0090766E"/>
    <w:rsid w:val="0091038B"/>
    <w:rsid w:val="009119D3"/>
    <w:rsid w:val="00911F66"/>
    <w:rsid w:val="00913377"/>
    <w:rsid w:val="0091344B"/>
    <w:rsid w:val="009136AF"/>
    <w:rsid w:val="00913DCC"/>
    <w:rsid w:val="0091409A"/>
    <w:rsid w:val="00914378"/>
    <w:rsid w:val="00914F27"/>
    <w:rsid w:val="00916333"/>
    <w:rsid w:val="00917B21"/>
    <w:rsid w:val="00921E03"/>
    <w:rsid w:val="00922101"/>
    <w:rsid w:val="00922A4B"/>
    <w:rsid w:val="009236F3"/>
    <w:rsid w:val="009241BB"/>
    <w:rsid w:val="009244F7"/>
    <w:rsid w:val="00924C0D"/>
    <w:rsid w:val="00924D94"/>
    <w:rsid w:val="0092501B"/>
    <w:rsid w:val="0092587F"/>
    <w:rsid w:val="00925A9A"/>
    <w:rsid w:val="00925AA4"/>
    <w:rsid w:val="009272CD"/>
    <w:rsid w:val="00930FA6"/>
    <w:rsid w:val="009313BE"/>
    <w:rsid w:val="009318B0"/>
    <w:rsid w:val="00931A37"/>
    <w:rsid w:val="00932FE2"/>
    <w:rsid w:val="00933907"/>
    <w:rsid w:val="00933DCB"/>
    <w:rsid w:val="0093405E"/>
    <w:rsid w:val="009340AB"/>
    <w:rsid w:val="00934498"/>
    <w:rsid w:val="00936192"/>
    <w:rsid w:val="00937516"/>
    <w:rsid w:val="0094066E"/>
    <w:rsid w:val="0094182D"/>
    <w:rsid w:val="00942004"/>
    <w:rsid w:val="0094245B"/>
    <w:rsid w:val="00942913"/>
    <w:rsid w:val="00942A08"/>
    <w:rsid w:val="00942CAD"/>
    <w:rsid w:val="00943363"/>
    <w:rsid w:val="009434CF"/>
    <w:rsid w:val="009434EA"/>
    <w:rsid w:val="009442EB"/>
    <w:rsid w:val="00944491"/>
    <w:rsid w:val="009447D8"/>
    <w:rsid w:val="00945752"/>
    <w:rsid w:val="0094624F"/>
    <w:rsid w:val="009463C5"/>
    <w:rsid w:val="009468E9"/>
    <w:rsid w:val="00946910"/>
    <w:rsid w:val="00946D18"/>
    <w:rsid w:val="00947C38"/>
    <w:rsid w:val="00947E63"/>
    <w:rsid w:val="00951718"/>
    <w:rsid w:val="00952CCB"/>
    <w:rsid w:val="00953BFE"/>
    <w:rsid w:val="009550BB"/>
    <w:rsid w:val="0095545C"/>
    <w:rsid w:val="00955935"/>
    <w:rsid w:val="00955992"/>
    <w:rsid w:val="00956067"/>
    <w:rsid w:val="00956115"/>
    <w:rsid w:val="00956244"/>
    <w:rsid w:val="00956304"/>
    <w:rsid w:val="009566DC"/>
    <w:rsid w:val="00957342"/>
    <w:rsid w:val="009574F2"/>
    <w:rsid w:val="00957921"/>
    <w:rsid w:val="00957A1E"/>
    <w:rsid w:val="00957A76"/>
    <w:rsid w:val="00957C00"/>
    <w:rsid w:val="00960719"/>
    <w:rsid w:val="00960F89"/>
    <w:rsid w:val="009616B6"/>
    <w:rsid w:val="009619CF"/>
    <w:rsid w:val="00962255"/>
    <w:rsid w:val="00962B2A"/>
    <w:rsid w:val="00963502"/>
    <w:rsid w:val="00963C96"/>
    <w:rsid w:val="009648EF"/>
    <w:rsid w:val="009649FF"/>
    <w:rsid w:val="00966B53"/>
    <w:rsid w:val="00970584"/>
    <w:rsid w:val="00970F04"/>
    <w:rsid w:val="0097114B"/>
    <w:rsid w:val="00971224"/>
    <w:rsid w:val="00971F36"/>
    <w:rsid w:val="0097358B"/>
    <w:rsid w:val="00973730"/>
    <w:rsid w:val="00973A12"/>
    <w:rsid w:val="00973AFE"/>
    <w:rsid w:val="00974614"/>
    <w:rsid w:val="00975084"/>
    <w:rsid w:val="00975243"/>
    <w:rsid w:val="009754BC"/>
    <w:rsid w:val="0097588C"/>
    <w:rsid w:val="00975C3B"/>
    <w:rsid w:val="0097620F"/>
    <w:rsid w:val="00976FE8"/>
    <w:rsid w:val="009771A0"/>
    <w:rsid w:val="0097799A"/>
    <w:rsid w:val="00977C25"/>
    <w:rsid w:val="009807C9"/>
    <w:rsid w:val="00980CAF"/>
    <w:rsid w:val="00980DB8"/>
    <w:rsid w:val="0098122A"/>
    <w:rsid w:val="009816C8"/>
    <w:rsid w:val="00981FC9"/>
    <w:rsid w:val="00982327"/>
    <w:rsid w:val="009833CB"/>
    <w:rsid w:val="009836FB"/>
    <w:rsid w:val="009837A3"/>
    <w:rsid w:val="00983F27"/>
    <w:rsid w:val="009843E2"/>
    <w:rsid w:val="0098582B"/>
    <w:rsid w:val="009858DA"/>
    <w:rsid w:val="009861EE"/>
    <w:rsid w:val="0098795A"/>
    <w:rsid w:val="00987F32"/>
    <w:rsid w:val="0099011B"/>
    <w:rsid w:val="009912E2"/>
    <w:rsid w:val="00991536"/>
    <w:rsid w:val="00991648"/>
    <w:rsid w:val="009918AC"/>
    <w:rsid w:val="0099255B"/>
    <w:rsid w:val="00992A8B"/>
    <w:rsid w:val="00993DAC"/>
    <w:rsid w:val="00995D5C"/>
    <w:rsid w:val="00996373"/>
    <w:rsid w:val="00996A23"/>
    <w:rsid w:val="00997046"/>
    <w:rsid w:val="009973B6"/>
    <w:rsid w:val="00997585"/>
    <w:rsid w:val="00997705"/>
    <w:rsid w:val="00997BEC"/>
    <w:rsid w:val="00997C26"/>
    <w:rsid w:val="009A0B7F"/>
    <w:rsid w:val="009A0E19"/>
    <w:rsid w:val="009A1215"/>
    <w:rsid w:val="009A1416"/>
    <w:rsid w:val="009A20E4"/>
    <w:rsid w:val="009A2440"/>
    <w:rsid w:val="009A2448"/>
    <w:rsid w:val="009A28F6"/>
    <w:rsid w:val="009A3D15"/>
    <w:rsid w:val="009A3E6F"/>
    <w:rsid w:val="009A3FD3"/>
    <w:rsid w:val="009A4ECB"/>
    <w:rsid w:val="009A5F3F"/>
    <w:rsid w:val="009A6007"/>
    <w:rsid w:val="009A6E33"/>
    <w:rsid w:val="009A6F9E"/>
    <w:rsid w:val="009A714A"/>
    <w:rsid w:val="009A7318"/>
    <w:rsid w:val="009B0602"/>
    <w:rsid w:val="009B0987"/>
    <w:rsid w:val="009B121B"/>
    <w:rsid w:val="009B14F4"/>
    <w:rsid w:val="009B177F"/>
    <w:rsid w:val="009B17DB"/>
    <w:rsid w:val="009B3199"/>
    <w:rsid w:val="009B38BC"/>
    <w:rsid w:val="009B4EC5"/>
    <w:rsid w:val="009B50CC"/>
    <w:rsid w:val="009B51A4"/>
    <w:rsid w:val="009B67B3"/>
    <w:rsid w:val="009B7391"/>
    <w:rsid w:val="009B739B"/>
    <w:rsid w:val="009B7407"/>
    <w:rsid w:val="009B7BAA"/>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F7"/>
    <w:rsid w:val="009C5C5F"/>
    <w:rsid w:val="009C5F2B"/>
    <w:rsid w:val="009C61C6"/>
    <w:rsid w:val="009C6454"/>
    <w:rsid w:val="009C6CF4"/>
    <w:rsid w:val="009C74B8"/>
    <w:rsid w:val="009C78E3"/>
    <w:rsid w:val="009C7FFB"/>
    <w:rsid w:val="009D04DD"/>
    <w:rsid w:val="009D1DCA"/>
    <w:rsid w:val="009D2018"/>
    <w:rsid w:val="009D2D62"/>
    <w:rsid w:val="009D31CD"/>
    <w:rsid w:val="009D4E10"/>
    <w:rsid w:val="009D4F53"/>
    <w:rsid w:val="009D69CD"/>
    <w:rsid w:val="009D7121"/>
    <w:rsid w:val="009E01B8"/>
    <w:rsid w:val="009E0843"/>
    <w:rsid w:val="009E0B3D"/>
    <w:rsid w:val="009E1B79"/>
    <w:rsid w:val="009E1BC8"/>
    <w:rsid w:val="009E1E84"/>
    <w:rsid w:val="009E38AF"/>
    <w:rsid w:val="009E52A8"/>
    <w:rsid w:val="009E673E"/>
    <w:rsid w:val="009E68BE"/>
    <w:rsid w:val="009E6A49"/>
    <w:rsid w:val="009E74CA"/>
    <w:rsid w:val="009E759E"/>
    <w:rsid w:val="009E7AD8"/>
    <w:rsid w:val="009F096D"/>
    <w:rsid w:val="009F0C01"/>
    <w:rsid w:val="009F0D41"/>
    <w:rsid w:val="009F161C"/>
    <w:rsid w:val="009F1BC2"/>
    <w:rsid w:val="009F1D57"/>
    <w:rsid w:val="009F28F7"/>
    <w:rsid w:val="009F29A4"/>
    <w:rsid w:val="009F2B8A"/>
    <w:rsid w:val="009F2BAF"/>
    <w:rsid w:val="009F2F18"/>
    <w:rsid w:val="009F3041"/>
    <w:rsid w:val="009F38E8"/>
    <w:rsid w:val="009F39AD"/>
    <w:rsid w:val="009F4EF8"/>
    <w:rsid w:val="009F4F1B"/>
    <w:rsid w:val="009F5872"/>
    <w:rsid w:val="009F5FF4"/>
    <w:rsid w:val="009F6DB9"/>
    <w:rsid w:val="009F70AA"/>
    <w:rsid w:val="009F740D"/>
    <w:rsid w:val="009F77F0"/>
    <w:rsid w:val="009F7E73"/>
    <w:rsid w:val="00A0020E"/>
    <w:rsid w:val="00A00370"/>
    <w:rsid w:val="00A00F88"/>
    <w:rsid w:val="00A016A7"/>
    <w:rsid w:val="00A01A02"/>
    <w:rsid w:val="00A01AAA"/>
    <w:rsid w:val="00A01AED"/>
    <w:rsid w:val="00A02007"/>
    <w:rsid w:val="00A024F6"/>
    <w:rsid w:val="00A0288A"/>
    <w:rsid w:val="00A02A8B"/>
    <w:rsid w:val="00A02B6A"/>
    <w:rsid w:val="00A02F74"/>
    <w:rsid w:val="00A030F3"/>
    <w:rsid w:val="00A03652"/>
    <w:rsid w:val="00A041C7"/>
    <w:rsid w:val="00A04E7C"/>
    <w:rsid w:val="00A04F4B"/>
    <w:rsid w:val="00A06B3C"/>
    <w:rsid w:val="00A10003"/>
    <w:rsid w:val="00A1084E"/>
    <w:rsid w:val="00A10A09"/>
    <w:rsid w:val="00A114CC"/>
    <w:rsid w:val="00A11A74"/>
    <w:rsid w:val="00A11CB9"/>
    <w:rsid w:val="00A12CC9"/>
    <w:rsid w:val="00A134B1"/>
    <w:rsid w:val="00A1449A"/>
    <w:rsid w:val="00A1467F"/>
    <w:rsid w:val="00A14921"/>
    <w:rsid w:val="00A151D1"/>
    <w:rsid w:val="00A15B66"/>
    <w:rsid w:val="00A16462"/>
    <w:rsid w:val="00A168C8"/>
    <w:rsid w:val="00A169B5"/>
    <w:rsid w:val="00A17386"/>
    <w:rsid w:val="00A20173"/>
    <w:rsid w:val="00A2060D"/>
    <w:rsid w:val="00A20B21"/>
    <w:rsid w:val="00A216B7"/>
    <w:rsid w:val="00A21708"/>
    <w:rsid w:val="00A217B1"/>
    <w:rsid w:val="00A2186A"/>
    <w:rsid w:val="00A23EF0"/>
    <w:rsid w:val="00A242AE"/>
    <w:rsid w:val="00A242EA"/>
    <w:rsid w:val="00A2504D"/>
    <w:rsid w:val="00A271B3"/>
    <w:rsid w:val="00A272BE"/>
    <w:rsid w:val="00A273BD"/>
    <w:rsid w:val="00A27757"/>
    <w:rsid w:val="00A2797C"/>
    <w:rsid w:val="00A30231"/>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A77"/>
    <w:rsid w:val="00A4137E"/>
    <w:rsid w:val="00A41515"/>
    <w:rsid w:val="00A41B5E"/>
    <w:rsid w:val="00A41E03"/>
    <w:rsid w:val="00A42042"/>
    <w:rsid w:val="00A422C2"/>
    <w:rsid w:val="00A42659"/>
    <w:rsid w:val="00A4281A"/>
    <w:rsid w:val="00A42CF9"/>
    <w:rsid w:val="00A43F0E"/>
    <w:rsid w:val="00A44228"/>
    <w:rsid w:val="00A44C41"/>
    <w:rsid w:val="00A44E81"/>
    <w:rsid w:val="00A45529"/>
    <w:rsid w:val="00A461E4"/>
    <w:rsid w:val="00A466AC"/>
    <w:rsid w:val="00A47031"/>
    <w:rsid w:val="00A4765E"/>
    <w:rsid w:val="00A50604"/>
    <w:rsid w:val="00A50E26"/>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707D"/>
    <w:rsid w:val="00A6008D"/>
    <w:rsid w:val="00A60997"/>
    <w:rsid w:val="00A60CA4"/>
    <w:rsid w:val="00A61446"/>
    <w:rsid w:val="00A615E0"/>
    <w:rsid w:val="00A61D87"/>
    <w:rsid w:val="00A62285"/>
    <w:rsid w:val="00A62821"/>
    <w:rsid w:val="00A6338B"/>
    <w:rsid w:val="00A6390A"/>
    <w:rsid w:val="00A64524"/>
    <w:rsid w:val="00A64A9B"/>
    <w:rsid w:val="00A65A66"/>
    <w:rsid w:val="00A65C73"/>
    <w:rsid w:val="00A66BBF"/>
    <w:rsid w:val="00A66EE4"/>
    <w:rsid w:val="00A67235"/>
    <w:rsid w:val="00A675DD"/>
    <w:rsid w:val="00A70197"/>
    <w:rsid w:val="00A7047F"/>
    <w:rsid w:val="00A70585"/>
    <w:rsid w:val="00A70728"/>
    <w:rsid w:val="00A70C52"/>
    <w:rsid w:val="00A715EF"/>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F4A"/>
    <w:rsid w:val="00A8029C"/>
    <w:rsid w:val="00A8033D"/>
    <w:rsid w:val="00A80449"/>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9C4"/>
    <w:rsid w:val="00A8700B"/>
    <w:rsid w:val="00A871C9"/>
    <w:rsid w:val="00A87FE2"/>
    <w:rsid w:val="00A91271"/>
    <w:rsid w:val="00A915C6"/>
    <w:rsid w:val="00A917FF"/>
    <w:rsid w:val="00A9205F"/>
    <w:rsid w:val="00A92AC2"/>
    <w:rsid w:val="00A93498"/>
    <w:rsid w:val="00A93C3D"/>
    <w:rsid w:val="00A9456E"/>
    <w:rsid w:val="00A948B2"/>
    <w:rsid w:val="00A95355"/>
    <w:rsid w:val="00A95F70"/>
    <w:rsid w:val="00A960E9"/>
    <w:rsid w:val="00A97B41"/>
    <w:rsid w:val="00A97DC4"/>
    <w:rsid w:val="00A97F0C"/>
    <w:rsid w:val="00A97F93"/>
    <w:rsid w:val="00AA0147"/>
    <w:rsid w:val="00AA0E4D"/>
    <w:rsid w:val="00AA219A"/>
    <w:rsid w:val="00AA25C5"/>
    <w:rsid w:val="00AA2B8B"/>
    <w:rsid w:val="00AA2C6E"/>
    <w:rsid w:val="00AA3F84"/>
    <w:rsid w:val="00AA4886"/>
    <w:rsid w:val="00AA509E"/>
    <w:rsid w:val="00AA53A0"/>
    <w:rsid w:val="00AA6484"/>
    <w:rsid w:val="00AA66A3"/>
    <w:rsid w:val="00AA7D0F"/>
    <w:rsid w:val="00AB0396"/>
    <w:rsid w:val="00AB0440"/>
    <w:rsid w:val="00AB0479"/>
    <w:rsid w:val="00AB05C9"/>
    <w:rsid w:val="00AB0BC7"/>
    <w:rsid w:val="00AB0FDF"/>
    <w:rsid w:val="00AB1831"/>
    <w:rsid w:val="00AB20AB"/>
    <w:rsid w:val="00AB27B9"/>
    <w:rsid w:val="00AB2AAE"/>
    <w:rsid w:val="00AB2C0F"/>
    <w:rsid w:val="00AB2D52"/>
    <w:rsid w:val="00AB3DD2"/>
    <w:rsid w:val="00AB40A0"/>
    <w:rsid w:val="00AB5528"/>
    <w:rsid w:val="00AB5538"/>
    <w:rsid w:val="00AB5825"/>
    <w:rsid w:val="00AB58D9"/>
    <w:rsid w:val="00AB6656"/>
    <w:rsid w:val="00AB7178"/>
    <w:rsid w:val="00AB74C3"/>
    <w:rsid w:val="00AC0E72"/>
    <w:rsid w:val="00AC1250"/>
    <w:rsid w:val="00AC21C6"/>
    <w:rsid w:val="00AC3779"/>
    <w:rsid w:val="00AC422A"/>
    <w:rsid w:val="00AC4979"/>
    <w:rsid w:val="00AC640E"/>
    <w:rsid w:val="00AC673B"/>
    <w:rsid w:val="00AC79A8"/>
    <w:rsid w:val="00AC7B7D"/>
    <w:rsid w:val="00AD0097"/>
    <w:rsid w:val="00AD020B"/>
    <w:rsid w:val="00AD07EF"/>
    <w:rsid w:val="00AD08E5"/>
    <w:rsid w:val="00AD0D5C"/>
    <w:rsid w:val="00AD0E15"/>
    <w:rsid w:val="00AD129B"/>
    <w:rsid w:val="00AD1A96"/>
    <w:rsid w:val="00AD1E0A"/>
    <w:rsid w:val="00AD1E79"/>
    <w:rsid w:val="00AD2385"/>
    <w:rsid w:val="00AD2A29"/>
    <w:rsid w:val="00AD2FCF"/>
    <w:rsid w:val="00AD36A2"/>
    <w:rsid w:val="00AD4728"/>
    <w:rsid w:val="00AD4CC2"/>
    <w:rsid w:val="00AD4F89"/>
    <w:rsid w:val="00AD52A6"/>
    <w:rsid w:val="00AD5AEC"/>
    <w:rsid w:val="00AD620C"/>
    <w:rsid w:val="00AD669D"/>
    <w:rsid w:val="00AD6AD0"/>
    <w:rsid w:val="00AD6D0B"/>
    <w:rsid w:val="00AD7537"/>
    <w:rsid w:val="00AD7D99"/>
    <w:rsid w:val="00AD7DC1"/>
    <w:rsid w:val="00AE07B8"/>
    <w:rsid w:val="00AE11D6"/>
    <w:rsid w:val="00AE2C85"/>
    <w:rsid w:val="00AE328A"/>
    <w:rsid w:val="00AE42F5"/>
    <w:rsid w:val="00AE4721"/>
    <w:rsid w:val="00AE4C09"/>
    <w:rsid w:val="00AE541B"/>
    <w:rsid w:val="00AE56D5"/>
    <w:rsid w:val="00AE7160"/>
    <w:rsid w:val="00AE747B"/>
    <w:rsid w:val="00AE7B1F"/>
    <w:rsid w:val="00AE7D07"/>
    <w:rsid w:val="00AE7DE5"/>
    <w:rsid w:val="00AF03C7"/>
    <w:rsid w:val="00AF03E3"/>
    <w:rsid w:val="00AF12DE"/>
    <w:rsid w:val="00AF1653"/>
    <w:rsid w:val="00AF3BF4"/>
    <w:rsid w:val="00AF3F93"/>
    <w:rsid w:val="00AF4BB9"/>
    <w:rsid w:val="00AF50BF"/>
    <w:rsid w:val="00AF5369"/>
    <w:rsid w:val="00AF5612"/>
    <w:rsid w:val="00AF5C96"/>
    <w:rsid w:val="00AF63E5"/>
    <w:rsid w:val="00AF71D2"/>
    <w:rsid w:val="00B00325"/>
    <w:rsid w:val="00B00478"/>
    <w:rsid w:val="00B01410"/>
    <w:rsid w:val="00B01BCB"/>
    <w:rsid w:val="00B026D2"/>
    <w:rsid w:val="00B02B2E"/>
    <w:rsid w:val="00B02C5B"/>
    <w:rsid w:val="00B02DE3"/>
    <w:rsid w:val="00B037AA"/>
    <w:rsid w:val="00B03A9D"/>
    <w:rsid w:val="00B054BA"/>
    <w:rsid w:val="00B06804"/>
    <w:rsid w:val="00B0782C"/>
    <w:rsid w:val="00B07908"/>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D7B"/>
    <w:rsid w:val="00B2329D"/>
    <w:rsid w:val="00B2343E"/>
    <w:rsid w:val="00B23822"/>
    <w:rsid w:val="00B23A32"/>
    <w:rsid w:val="00B23A60"/>
    <w:rsid w:val="00B23D80"/>
    <w:rsid w:val="00B240C7"/>
    <w:rsid w:val="00B243A4"/>
    <w:rsid w:val="00B245B8"/>
    <w:rsid w:val="00B24ABA"/>
    <w:rsid w:val="00B255C5"/>
    <w:rsid w:val="00B25E98"/>
    <w:rsid w:val="00B25FB2"/>
    <w:rsid w:val="00B26A92"/>
    <w:rsid w:val="00B26D21"/>
    <w:rsid w:val="00B26DCD"/>
    <w:rsid w:val="00B274C7"/>
    <w:rsid w:val="00B27A36"/>
    <w:rsid w:val="00B27DB4"/>
    <w:rsid w:val="00B30861"/>
    <w:rsid w:val="00B33676"/>
    <w:rsid w:val="00B33FC9"/>
    <w:rsid w:val="00B343CF"/>
    <w:rsid w:val="00B34A70"/>
    <w:rsid w:val="00B34D05"/>
    <w:rsid w:val="00B34E1F"/>
    <w:rsid w:val="00B35194"/>
    <w:rsid w:val="00B36C97"/>
    <w:rsid w:val="00B37179"/>
    <w:rsid w:val="00B37AAA"/>
    <w:rsid w:val="00B37AE6"/>
    <w:rsid w:val="00B37C41"/>
    <w:rsid w:val="00B4078C"/>
    <w:rsid w:val="00B40A92"/>
    <w:rsid w:val="00B40D0C"/>
    <w:rsid w:val="00B4191E"/>
    <w:rsid w:val="00B42C6D"/>
    <w:rsid w:val="00B43418"/>
    <w:rsid w:val="00B437D7"/>
    <w:rsid w:val="00B43B49"/>
    <w:rsid w:val="00B4461F"/>
    <w:rsid w:val="00B4481E"/>
    <w:rsid w:val="00B4516E"/>
    <w:rsid w:val="00B455D4"/>
    <w:rsid w:val="00B45B27"/>
    <w:rsid w:val="00B45D33"/>
    <w:rsid w:val="00B46233"/>
    <w:rsid w:val="00B467ED"/>
    <w:rsid w:val="00B46CB0"/>
    <w:rsid w:val="00B50BD3"/>
    <w:rsid w:val="00B5139A"/>
    <w:rsid w:val="00B51669"/>
    <w:rsid w:val="00B52315"/>
    <w:rsid w:val="00B5294D"/>
    <w:rsid w:val="00B52D8A"/>
    <w:rsid w:val="00B52DAB"/>
    <w:rsid w:val="00B539BE"/>
    <w:rsid w:val="00B53BAE"/>
    <w:rsid w:val="00B53CF9"/>
    <w:rsid w:val="00B54336"/>
    <w:rsid w:val="00B5549D"/>
    <w:rsid w:val="00B56011"/>
    <w:rsid w:val="00B565D0"/>
    <w:rsid w:val="00B56C51"/>
    <w:rsid w:val="00B56EF5"/>
    <w:rsid w:val="00B575F4"/>
    <w:rsid w:val="00B57C19"/>
    <w:rsid w:val="00B60423"/>
    <w:rsid w:val="00B6070A"/>
    <w:rsid w:val="00B60A02"/>
    <w:rsid w:val="00B6183E"/>
    <w:rsid w:val="00B61D05"/>
    <w:rsid w:val="00B62043"/>
    <w:rsid w:val="00B63682"/>
    <w:rsid w:val="00B65076"/>
    <w:rsid w:val="00B65787"/>
    <w:rsid w:val="00B6581A"/>
    <w:rsid w:val="00B6639E"/>
    <w:rsid w:val="00B670E5"/>
    <w:rsid w:val="00B70807"/>
    <w:rsid w:val="00B70890"/>
    <w:rsid w:val="00B71CAF"/>
    <w:rsid w:val="00B71DB8"/>
    <w:rsid w:val="00B72ED7"/>
    <w:rsid w:val="00B7320C"/>
    <w:rsid w:val="00B73271"/>
    <w:rsid w:val="00B73752"/>
    <w:rsid w:val="00B73779"/>
    <w:rsid w:val="00B749EC"/>
    <w:rsid w:val="00B74DA0"/>
    <w:rsid w:val="00B74DFD"/>
    <w:rsid w:val="00B7733B"/>
    <w:rsid w:val="00B77E7C"/>
    <w:rsid w:val="00B809A7"/>
    <w:rsid w:val="00B80BD8"/>
    <w:rsid w:val="00B80F85"/>
    <w:rsid w:val="00B81892"/>
    <w:rsid w:val="00B81CDF"/>
    <w:rsid w:val="00B824E7"/>
    <w:rsid w:val="00B827FD"/>
    <w:rsid w:val="00B829D3"/>
    <w:rsid w:val="00B82D29"/>
    <w:rsid w:val="00B83703"/>
    <w:rsid w:val="00B83B7C"/>
    <w:rsid w:val="00B83EBF"/>
    <w:rsid w:val="00B84F90"/>
    <w:rsid w:val="00B85A66"/>
    <w:rsid w:val="00B86E92"/>
    <w:rsid w:val="00B90370"/>
    <w:rsid w:val="00B907B5"/>
    <w:rsid w:val="00B90F3B"/>
    <w:rsid w:val="00B91053"/>
    <w:rsid w:val="00B91270"/>
    <w:rsid w:val="00B916F3"/>
    <w:rsid w:val="00B92397"/>
    <w:rsid w:val="00B92EB5"/>
    <w:rsid w:val="00B92EEB"/>
    <w:rsid w:val="00B9309E"/>
    <w:rsid w:val="00B93544"/>
    <w:rsid w:val="00B946DE"/>
    <w:rsid w:val="00B94A45"/>
    <w:rsid w:val="00B955E4"/>
    <w:rsid w:val="00B957C1"/>
    <w:rsid w:val="00B95A58"/>
    <w:rsid w:val="00B95A9E"/>
    <w:rsid w:val="00B9625A"/>
    <w:rsid w:val="00B96795"/>
    <w:rsid w:val="00B96958"/>
    <w:rsid w:val="00B974A4"/>
    <w:rsid w:val="00B9752D"/>
    <w:rsid w:val="00B979F7"/>
    <w:rsid w:val="00BA01C1"/>
    <w:rsid w:val="00BA0438"/>
    <w:rsid w:val="00BA06FA"/>
    <w:rsid w:val="00BA0A23"/>
    <w:rsid w:val="00BA33A9"/>
    <w:rsid w:val="00BA3460"/>
    <w:rsid w:val="00BA39C2"/>
    <w:rsid w:val="00BA3F4C"/>
    <w:rsid w:val="00BA441A"/>
    <w:rsid w:val="00BA49AF"/>
    <w:rsid w:val="00BA4B61"/>
    <w:rsid w:val="00BA5BDA"/>
    <w:rsid w:val="00BA5EB3"/>
    <w:rsid w:val="00BA5F1E"/>
    <w:rsid w:val="00BA6D44"/>
    <w:rsid w:val="00BA6F31"/>
    <w:rsid w:val="00BA7240"/>
    <w:rsid w:val="00BA7782"/>
    <w:rsid w:val="00BB0472"/>
    <w:rsid w:val="00BB134D"/>
    <w:rsid w:val="00BB2A4D"/>
    <w:rsid w:val="00BB2F5F"/>
    <w:rsid w:val="00BB3A0C"/>
    <w:rsid w:val="00BB3D35"/>
    <w:rsid w:val="00BB3D7A"/>
    <w:rsid w:val="00BB3DB6"/>
    <w:rsid w:val="00BB4B53"/>
    <w:rsid w:val="00BB4D5A"/>
    <w:rsid w:val="00BB6658"/>
    <w:rsid w:val="00BB686D"/>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2421"/>
    <w:rsid w:val="00BD28F9"/>
    <w:rsid w:val="00BD2EF0"/>
    <w:rsid w:val="00BD3541"/>
    <w:rsid w:val="00BD4652"/>
    <w:rsid w:val="00BD4A8F"/>
    <w:rsid w:val="00BD513D"/>
    <w:rsid w:val="00BD525F"/>
    <w:rsid w:val="00BD5EDD"/>
    <w:rsid w:val="00BD62A2"/>
    <w:rsid w:val="00BD6A96"/>
    <w:rsid w:val="00BD6BF0"/>
    <w:rsid w:val="00BD74B1"/>
    <w:rsid w:val="00BD76C9"/>
    <w:rsid w:val="00BE0172"/>
    <w:rsid w:val="00BE037A"/>
    <w:rsid w:val="00BE0F38"/>
    <w:rsid w:val="00BE112A"/>
    <w:rsid w:val="00BE17E6"/>
    <w:rsid w:val="00BE17EB"/>
    <w:rsid w:val="00BE187B"/>
    <w:rsid w:val="00BE1D6C"/>
    <w:rsid w:val="00BE27CF"/>
    <w:rsid w:val="00BE2C4B"/>
    <w:rsid w:val="00BE2D7E"/>
    <w:rsid w:val="00BE32B4"/>
    <w:rsid w:val="00BE3A56"/>
    <w:rsid w:val="00BE3EAD"/>
    <w:rsid w:val="00BE4084"/>
    <w:rsid w:val="00BE40C9"/>
    <w:rsid w:val="00BE4426"/>
    <w:rsid w:val="00BE4966"/>
    <w:rsid w:val="00BE540B"/>
    <w:rsid w:val="00BE6364"/>
    <w:rsid w:val="00BE6576"/>
    <w:rsid w:val="00BE6C1C"/>
    <w:rsid w:val="00BE7433"/>
    <w:rsid w:val="00BE7CB6"/>
    <w:rsid w:val="00BF048F"/>
    <w:rsid w:val="00BF062D"/>
    <w:rsid w:val="00BF159A"/>
    <w:rsid w:val="00BF1A2A"/>
    <w:rsid w:val="00BF1A6B"/>
    <w:rsid w:val="00BF1EEF"/>
    <w:rsid w:val="00BF1FCA"/>
    <w:rsid w:val="00BF44FB"/>
    <w:rsid w:val="00BF5160"/>
    <w:rsid w:val="00BF72CB"/>
    <w:rsid w:val="00BF7494"/>
    <w:rsid w:val="00BF7FF6"/>
    <w:rsid w:val="00C00270"/>
    <w:rsid w:val="00C00650"/>
    <w:rsid w:val="00C00E23"/>
    <w:rsid w:val="00C012C4"/>
    <w:rsid w:val="00C014C3"/>
    <w:rsid w:val="00C021BB"/>
    <w:rsid w:val="00C026F9"/>
    <w:rsid w:val="00C028E5"/>
    <w:rsid w:val="00C02BBE"/>
    <w:rsid w:val="00C037A3"/>
    <w:rsid w:val="00C03932"/>
    <w:rsid w:val="00C03D86"/>
    <w:rsid w:val="00C04D79"/>
    <w:rsid w:val="00C0626D"/>
    <w:rsid w:val="00C06879"/>
    <w:rsid w:val="00C06B98"/>
    <w:rsid w:val="00C06DE4"/>
    <w:rsid w:val="00C0702A"/>
    <w:rsid w:val="00C076B5"/>
    <w:rsid w:val="00C110FB"/>
    <w:rsid w:val="00C1171A"/>
    <w:rsid w:val="00C1312A"/>
    <w:rsid w:val="00C138FD"/>
    <w:rsid w:val="00C13EFE"/>
    <w:rsid w:val="00C143CD"/>
    <w:rsid w:val="00C14B68"/>
    <w:rsid w:val="00C14FA2"/>
    <w:rsid w:val="00C15480"/>
    <w:rsid w:val="00C166E5"/>
    <w:rsid w:val="00C17F02"/>
    <w:rsid w:val="00C204EF"/>
    <w:rsid w:val="00C21013"/>
    <w:rsid w:val="00C21459"/>
    <w:rsid w:val="00C234F7"/>
    <w:rsid w:val="00C23824"/>
    <w:rsid w:val="00C23B84"/>
    <w:rsid w:val="00C24599"/>
    <w:rsid w:val="00C25FA6"/>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42CA"/>
    <w:rsid w:val="00C34515"/>
    <w:rsid w:val="00C34A03"/>
    <w:rsid w:val="00C34D9A"/>
    <w:rsid w:val="00C34ECA"/>
    <w:rsid w:val="00C350DE"/>
    <w:rsid w:val="00C35A85"/>
    <w:rsid w:val="00C35B4B"/>
    <w:rsid w:val="00C360A1"/>
    <w:rsid w:val="00C36498"/>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313B"/>
    <w:rsid w:val="00C435AB"/>
    <w:rsid w:val="00C44016"/>
    <w:rsid w:val="00C45F01"/>
    <w:rsid w:val="00C4698C"/>
    <w:rsid w:val="00C46B5F"/>
    <w:rsid w:val="00C472FB"/>
    <w:rsid w:val="00C508AD"/>
    <w:rsid w:val="00C51434"/>
    <w:rsid w:val="00C516F1"/>
    <w:rsid w:val="00C51AE8"/>
    <w:rsid w:val="00C5207F"/>
    <w:rsid w:val="00C5231F"/>
    <w:rsid w:val="00C52604"/>
    <w:rsid w:val="00C52AC9"/>
    <w:rsid w:val="00C52D21"/>
    <w:rsid w:val="00C5317E"/>
    <w:rsid w:val="00C53FC7"/>
    <w:rsid w:val="00C548A9"/>
    <w:rsid w:val="00C54C93"/>
    <w:rsid w:val="00C5509F"/>
    <w:rsid w:val="00C5543B"/>
    <w:rsid w:val="00C573B1"/>
    <w:rsid w:val="00C600EE"/>
    <w:rsid w:val="00C60567"/>
    <w:rsid w:val="00C611F9"/>
    <w:rsid w:val="00C6294C"/>
    <w:rsid w:val="00C62B06"/>
    <w:rsid w:val="00C62DF8"/>
    <w:rsid w:val="00C62E03"/>
    <w:rsid w:val="00C64192"/>
    <w:rsid w:val="00C647CB"/>
    <w:rsid w:val="00C651FF"/>
    <w:rsid w:val="00C65B99"/>
    <w:rsid w:val="00C66BB7"/>
    <w:rsid w:val="00C67D33"/>
    <w:rsid w:val="00C72D39"/>
    <w:rsid w:val="00C72EB7"/>
    <w:rsid w:val="00C7333C"/>
    <w:rsid w:val="00C7346F"/>
    <w:rsid w:val="00C7351D"/>
    <w:rsid w:val="00C73A25"/>
    <w:rsid w:val="00C73D60"/>
    <w:rsid w:val="00C73E33"/>
    <w:rsid w:val="00C747F2"/>
    <w:rsid w:val="00C752A5"/>
    <w:rsid w:val="00C752EB"/>
    <w:rsid w:val="00C75878"/>
    <w:rsid w:val="00C75BD1"/>
    <w:rsid w:val="00C76BBB"/>
    <w:rsid w:val="00C7713E"/>
    <w:rsid w:val="00C77212"/>
    <w:rsid w:val="00C776FE"/>
    <w:rsid w:val="00C779D4"/>
    <w:rsid w:val="00C77B57"/>
    <w:rsid w:val="00C77C0E"/>
    <w:rsid w:val="00C80094"/>
    <w:rsid w:val="00C80125"/>
    <w:rsid w:val="00C809C6"/>
    <w:rsid w:val="00C81430"/>
    <w:rsid w:val="00C82620"/>
    <w:rsid w:val="00C83677"/>
    <w:rsid w:val="00C83899"/>
    <w:rsid w:val="00C85536"/>
    <w:rsid w:val="00C8569F"/>
    <w:rsid w:val="00C861EB"/>
    <w:rsid w:val="00C86377"/>
    <w:rsid w:val="00C86829"/>
    <w:rsid w:val="00C86A4F"/>
    <w:rsid w:val="00C86DA3"/>
    <w:rsid w:val="00C871F5"/>
    <w:rsid w:val="00C8735E"/>
    <w:rsid w:val="00C878EC"/>
    <w:rsid w:val="00C879EA"/>
    <w:rsid w:val="00C87C1A"/>
    <w:rsid w:val="00C87EBA"/>
    <w:rsid w:val="00C911A9"/>
    <w:rsid w:val="00C9135D"/>
    <w:rsid w:val="00C914F8"/>
    <w:rsid w:val="00C9209C"/>
    <w:rsid w:val="00C9319C"/>
    <w:rsid w:val="00C935F6"/>
    <w:rsid w:val="00C93ED0"/>
    <w:rsid w:val="00C9420E"/>
    <w:rsid w:val="00C95234"/>
    <w:rsid w:val="00C971B3"/>
    <w:rsid w:val="00C9788C"/>
    <w:rsid w:val="00C97C59"/>
    <w:rsid w:val="00CA011C"/>
    <w:rsid w:val="00CA047B"/>
    <w:rsid w:val="00CA06A9"/>
    <w:rsid w:val="00CA08E3"/>
    <w:rsid w:val="00CA0C2B"/>
    <w:rsid w:val="00CA12D5"/>
    <w:rsid w:val="00CA2734"/>
    <w:rsid w:val="00CA37CC"/>
    <w:rsid w:val="00CA418B"/>
    <w:rsid w:val="00CA42DE"/>
    <w:rsid w:val="00CA52C0"/>
    <w:rsid w:val="00CA5922"/>
    <w:rsid w:val="00CA5C69"/>
    <w:rsid w:val="00CA7A1E"/>
    <w:rsid w:val="00CB12E9"/>
    <w:rsid w:val="00CB16E0"/>
    <w:rsid w:val="00CB1766"/>
    <w:rsid w:val="00CB1E90"/>
    <w:rsid w:val="00CB1EB4"/>
    <w:rsid w:val="00CB328F"/>
    <w:rsid w:val="00CB3573"/>
    <w:rsid w:val="00CB364D"/>
    <w:rsid w:val="00CB3A38"/>
    <w:rsid w:val="00CB3B10"/>
    <w:rsid w:val="00CB425D"/>
    <w:rsid w:val="00CB4831"/>
    <w:rsid w:val="00CB5C51"/>
    <w:rsid w:val="00CB5DBA"/>
    <w:rsid w:val="00CB5FBD"/>
    <w:rsid w:val="00CB65DC"/>
    <w:rsid w:val="00CB6DC9"/>
    <w:rsid w:val="00CB7F2D"/>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E9C"/>
    <w:rsid w:val="00CE1F89"/>
    <w:rsid w:val="00CE2C20"/>
    <w:rsid w:val="00CE2CC9"/>
    <w:rsid w:val="00CE42F4"/>
    <w:rsid w:val="00CE47E8"/>
    <w:rsid w:val="00CE4C9B"/>
    <w:rsid w:val="00CE6109"/>
    <w:rsid w:val="00CE6260"/>
    <w:rsid w:val="00CE633C"/>
    <w:rsid w:val="00CE6C1C"/>
    <w:rsid w:val="00CE7B3F"/>
    <w:rsid w:val="00CE7C81"/>
    <w:rsid w:val="00CF0386"/>
    <w:rsid w:val="00CF0D83"/>
    <w:rsid w:val="00CF0EF2"/>
    <w:rsid w:val="00CF234B"/>
    <w:rsid w:val="00CF3400"/>
    <w:rsid w:val="00CF3BB6"/>
    <w:rsid w:val="00CF40C5"/>
    <w:rsid w:val="00CF47E5"/>
    <w:rsid w:val="00CF5B2D"/>
    <w:rsid w:val="00CF5BB5"/>
    <w:rsid w:val="00CF6964"/>
    <w:rsid w:val="00CF6AA3"/>
    <w:rsid w:val="00CF732A"/>
    <w:rsid w:val="00D00533"/>
    <w:rsid w:val="00D00540"/>
    <w:rsid w:val="00D0083A"/>
    <w:rsid w:val="00D00AA4"/>
    <w:rsid w:val="00D00F77"/>
    <w:rsid w:val="00D01406"/>
    <w:rsid w:val="00D015A7"/>
    <w:rsid w:val="00D015CB"/>
    <w:rsid w:val="00D01ABC"/>
    <w:rsid w:val="00D01D87"/>
    <w:rsid w:val="00D0250E"/>
    <w:rsid w:val="00D0423A"/>
    <w:rsid w:val="00D048C7"/>
    <w:rsid w:val="00D04A90"/>
    <w:rsid w:val="00D05C02"/>
    <w:rsid w:val="00D05D7C"/>
    <w:rsid w:val="00D06573"/>
    <w:rsid w:val="00D06EF2"/>
    <w:rsid w:val="00D07131"/>
    <w:rsid w:val="00D07526"/>
    <w:rsid w:val="00D07E3B"/>
    <w:rsid w:val="00D10705"/>
    <w:rsid w:val="00D11276"/>
    <w:rsid w:val="00D1233D"/>
    <w:rsid w:val="00D123CF"/>
    <w:rsid w:val="00D127DF"/>
    <w:rsid w:val="00D1308F"/>
    <w:rsid w:val="00D13678"/>
    <w:rsid w:val="00D1460D"/>
    <w:rsid w:val="00D14B1E"/>
    <w:rsid w:val="00D14DCC"/>
    <w:rsid w:val="00D150F9"/>
    <w:rsid w:val="00D152F0"/>
    <w:rsid w:val="00D1550B"/>
    <w:rsid w:val="00D15858"/>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A76"/>
    <w:rsid w:val="00D2692A"/>
    <w:rsid w:val="00D278F4"/>
    <w:rsid w:val="00D27C28"/>
    <w:rsid w:val="00D27E31"/>
    <w:rsid w:val="00D308D8"/>
    <w:rsid w:val="00D311F7"/>
    <w:rsid w:val="00D318AF"/>
    <w:rsid w:val="00D322C3"/>
    <w:rsid w:val="00D32350"/>
    <w:rsid w:val="00D32B0E"/>
    <w:rsid w:val="00D3344A"/>
    <w:rsid w:val="00D3355A"/>
    <w:rsid w:val="00D33AB7"/>
    <w:rsid w:val="00D34CA3"/>
    <w:rsid w:val="00D35AA2"/>
    <w:rsid w:val="00D362BE"/>
    <w:rsid w:val="00D36BE9"/>
    <w:rsid w:val="00D3722A"/>
    <w:rsid w:val="00D37579"/>
    <w:rsid w:val="00D379CE"/>
    <w:rsid w:val="00D4006F"/>
    <w:rsid w:val="00D40B0A"/>
    <w:rsid w:val="00D42ACE"/>
    <w:rsid w:val="00D43569"/>
    <w:rsid w:val="00D43F58"/>
    <w:rsid w:val="00D43FC2"/>
    <w:rsid w:val="00D4457A"/>
    <w:rsid w:val="00D44932"/>
    <w:rsid w:val="00D44AF1"/>
    <w:rsid w:val="00D45734"/>
    <w:rsid w:val="00D45F69"/>
    <w:rsid w:val="00D46172"/>
    <w:rsid w:val="00D46610"/>
    <w:rsid w:val="00D46D5A"/>
    <w:rsid w:val="00D47282"/>
    <w:rsid w:val="00D4779F"/>
    <w:rsid w:val="00D47829"/>
    <w:rsid w:val="00D47E7C"/>
    <w:rsid w:val="00D50AD1"/>
    <w:rsid w:val="00D542A9"/>
    <w:rsid w:val="00D54305"/>
    <w:rsid w:val="00D54789"/>
    <w:rsid w:val="00D54F6A"/>
    <w:rsid w:val="00D5501F"/>
    <w:rsid w:val="00D55807"/>
    <w:rsid w:val="00D56540"/>
    <w:rsid w:val="00D56BA3"/>
    <w:rsid w:val="00D56D40"/>
    <w:rsid w:val="00D56D87"/>
    <w:rsid w:val="00D57242"/>
    <w:rsid w:val="00D57F64"/>
    <w:rsid w:val="00D57FAB"/>
    <w:rsid w:val="00D57FD7"/>
    <w:rsid w:val="00D604C4"/>
    <w:rsid w:val="00D605E1"/>
    <w:rsid w:val="00D60C3B"/>
    <w:rsid w:val="00D624DF"/>
    <w:rsid w:val="00D62550"/>
    <w:rsid w:val="00D635F6"/>
    <w:rsid w:val="00D63645"/>
    <w:rsid w:val="00D63929"/>
    <w:rsid w:val="00D63C1C"/>
    <w:rsid w:val="00D63E1C"/>
    <w:rsid w:val="00D6421D"/>
    <w:rsid w:val="00D645E0"/>
    <w:rsid w:val="00D65124"/>
    <w:rsid w:val="00D65231"/>
    <w:rsid w:val="00D65507"/>
    <w:rsid w:val="00D6599A"/>
    <w:rsid w:val="00D65B73"/>
    <w:rsid w:val="00D660C7"/>
    <w:rsid w:val="00D66534"/>
    <w:rsid w:val="00D66977"/>
    <w:rsid w:val="00D669A4"/>
    <w:rsid w:val="00D66E91"/>
    <w:rsid w:val="00D66EFA"/>
    <w:rsid w:val="00D675FE"/>
    <w:rsid w:val="00D679B1"/>
    <w:rsid w:val="00D67C8A"/>
    <w:rsid w:val="00D704A2"/>
    <w:rsid w:val="00D709B7"/>
    <w:rsid w:val="00D71211"/>
    <w:rsid w:val="00D7143F"/>
    <w:rsid w:val="00D72409"/>
    <w:rsid w:val="00D72A0C"/>
    <w:rsid w:val="00D72AD0"/>
    <w:rsid w:val="00D72F4D"/>
    <w:rsid w:val="00D73033"/>
    <w:rsid w:val="00D73621"/>
    <w:rsid w:val="00D73785"/>
    <w:rsid w:val="00D74162"/>
    <w:rsid w:val="00D74745"/>
    <w:rsid w:val="00D7507B"/>
    <w:rsid w:val="00D7557F"/>
    <w:rsid w:val="00D75794"/>
    <w:rsid w:val="00D75BC9"/>
    <w:rsid w:val="00D75CC0"/>
    <w:rsid w:val="00D77016"/>
    <w:rsid w:val="00D77153"/>
    <w:rsid w:val="00D77953"/>
    <w:rsid w:val="00D77B31"/>
    <w:rsid w:val="00D77D62"/>
    <w:rsid w:val="00D80B5C"/>
    <w:rsid w:val="00D81BB1"/>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C1A"/>
    <w:rsid w:val="00D928A3"/>
    <w:rsid w:val="00D93A74"/>
    <w:rsid w:val="00D9440E"/>
    <w:rsid w:val="00D95433"/>
    <w:rsid w:val="00D95689"/>
    <w:rsid w:val="00D956B6"/>
    <w:rsid w:val="00D95EF6"/>
    <w:rsid w:val="00D95F43"/>
    <w:rsid w:val="00D961DA"/>
    <w:rsid w:val="00D9772E"/>
    <w:rsid w:val="00DA07B1"/>
    <w:rsid w:val="00DA0DC8"/>
    <w:rsid w:val="00DA1481"/>
    <w:rsid w:val="00DA17B0"/>
    <w:rsid w:val="00DA27C6"/>
    <w:rsid w:val="00DA2C00"/>
    <w:rsid w:val="00DA33EC"/>
    <w:rsid w:val="00DA3B79"/>
    <w:rsid w:val="00DA3F09"/>
    <w:rsid w:val="00DA48B0"/>
    <w:rsid w:val="00DA5BA5"/>
    <w:rsid w:val="00DA5E1F"/>
    <w:rsid w:val="00DA6D82"/>
    <w:rsid w:val="00DA77D0"/>
    <w:rsid w:val="00DA7E29"/>
    <w:rsid w:val="00DB06D2"/>
    <w:rsid w:val="00DB1330"/>
    <w:rsid w:val="00DB169C"/>
    <w:rsid w:val="00DB180E"/>
    <w:rsid w:val="00DB19FA"/>
    <w:rsid w:val="00DB21E9"/>
    <w:rsid w:val="00DB27AF"/>
    <w:rsid w:val="00DB292F"/>
    <w:rsid w:val="00DB3608"/>
    <w:rsid w:val="00DB3966"/>
    <w:rsid w:val="00DB3F0F"/>
    <w:rsid w:val="00DB597B"/>
    <w:rsid w:val="00DB5A3F"/>
    <w:rsid w:val="00DB6496"/>
    <w:rsid w:val="00DB78EC"/>
    <w:rsid w:val="00DB7EAE"/>
    <w:rsid w:val="00DC0112"/>
    <w:rsid w:val="00DC124A"/>
    <w:rsid w:val="00DC1BD9"/>
    <w:rsid w:val="00DC2393"/>
    <w:rsid w:val="00DC23B0"/>
    <w:rsid w:val="00DC246B"/>
    <w:rsid w:val="00DC2AD7"/>
    <w:rsid w:val="00DC2CDA"/>
    <w:rsid w:val="00DC5A4C"/>
    <w:rsid w:val="00DC68D3"/>
    <w:rsid w:val="00DC6EBF"/>
    <w:rsid w:val="00DD0581"/>
    <w:rsid w:val="00DD085F"/>
    <w:rsid w:val="00DD1761"/>
    <w:rsid w:val="00DD19C3"/>
    <w:rsid w:val="00DD273A"/>
    <w:rsid w:val="00DD3483"/>
    <w:rsid w:val="00DD40A3"/>
    <w:rsid w:val="00DD4C6C"/>
    <w:rsid w:val="00DD4D17"/>
    <w:rsid w:val="00DD5846"/>
    <w:rsid w:val="00DD620A"/>
    <w:rsid w:val="00DD6AAC"/>
    <w:rsid w:val="00DD7392"/>
    <w:rsid w:val="00DD7C97"/>
    <w:rsid w:val="00DE0462"/>
    <w:rsid w:val="00DE10A6"/>
    <w:rsid w:val="00DE11D6"/>
    <w:rsid w:val="00DE1AEE"/>
    <w:rsid w:val="00DE2212"/>
    <w:rsid w:val="00DE2457"/>
    <w:rsid w:val="00DE2796"/>
    <w:rsid w:val="00DE2C8D"/>
    <w:rsid w:val="00DE36B6"/>
    <w:rsid w:val="00DE5E69"/>
    <w:rsid w:val="00DE610C"/>
    <w:rsid w:val="00DE6776"/>
    <w:rsid w:val="00DE6C81"/>
    <w:rsid w:val="00DE7B73"/>
    <w:rsid w:val="00DE7CEB"/>
    <w:rsid w:val="00DE7F13"/>
    <w:rsid w:val="00DF06C4"/>
    <w:rsid w:val="00DF090E"/>
    <w:rsid w:val="00DF0C8E"/>
    <w:rsid w:val="00DF0E4D"/>
    <w:rsid w:val="00DF1212"/>
    <w:rsid w:val="00DF12DD"/>
    <w:rsid w:val="00DF16E3"/>
    <w:rsid w:val="00DF1A38"/>
    <w:rsid w:val="00DF1CAA"/>
    <w:rsid w:val="00DF234C"/>
    <w:rsid w:val="00DF2C09"/>
    <w:rsid w:val="00DF3A31"/>
    <w:rsid w:val="00DF3DDB"/>
    <w:rsid w:val="00DF563C"/>
    <w:rsid w:val="00DF5D6C"/>
    <w:rsid w:val="00DF631D"/>
    <w:rsid w:val="00DF6C1A"/>
    <w:rsid w:val="00DF6C2D"/>
    <w:rsid w:val="00DF6D88"/>
    <w:rsid w:val="00DF74F4"/>
    <w:rsid w:val="00E00415"/>
    <w:rsid w:val="00E010DC"/>
    <w:rsid w:val="00E01D4D"/>
    <w:rsid w:val="00E028C1"/>
    <w:rsid w:val="00E02941"/>
    <w:rsid w:val="00E03081"/>
    <w:rsid w:val="00E03B96"/>
    <w:rsid w:val="00E03BA2"/>
    <w:rsid w:val="00E03FAB"/>
    <w:rsid w:val="00E04119"/>
    <w:rsid w:val="00E04231"/>
    <w:rsid w:val="00E04A8B"/>
    <w:rsid w:val="00E04B64"/>
    <w:rsid w:val="00E05816"/>
    <w:rsid w:val="00E0592D"/>
    <w:rsid w:val="00E059E0"/>
    <w:rsid w:val="00E05B90"/>
    <w:rsid w:val="00E05BF7"/>
    <w:rsid w:val="00E06224"/>
    <w:rsid w:val="00E06316"/>
    <w:rsid w:val="00E06B80"/>
    <w:rsid w:val="00E06E46"/>
    <w:rsid w:val="00E0787E"/>
    <w:rsid w:val="00E10EA2"/>
    <w:rsid w:val="00E10F8D"/>
    <w:rsid w:val="00E112C9"/>
    <w:rsid w:val="00E114D9"/>
    <w:rsid w:val="00E11EF2"/>
    <w:rsid w:val="00E11FDF"/>
    <w:rsid w:val="00E126BB"/>
    <w:rsid w:val="00E1305B"/>
    <w:rsid w:val="00E134A9"/>
    <w:rsid w:val="00E135F9"/>
    <w:rsid w:val="00E136F7"/>
    <w:rsid w:val="00E13771"/>
    <w:rsid w:val="00E140FF"/>
    <w:rsid w:val="00E14AED"/>
    <w:rsid w:val="00E14D31"/>
    <w:rsid w:val="00E150E0"/>
    <w:rsid w:val="00E155F6"/>
    <w:rsid w:val="00E167A2"/>
    <w:rsid w:val="00E17AB3"/>
    <w:rsid w:val="00E20C2E"/>
    <w:rsid w:val="00E2108D"/>
    <w:rsid w:val="00E214F0"/>
    <w:rsid w:val="00E218A3"/>
    <w:rsid w:val="00E21F9F"/>
    <w:rsid w:val="00E220EA"/>
    <w:rsid w:val="00E2262C"/>
    <w:rsid w:val="00E2294C"/>
    <w:rsid w:val="00E22E16"/>
    <w:rsid w:val="00E23054"/>
    <w:rsid w:val="00E236F6"/>
    <w:rsid w:val="00E237A8"/>
    <w:rsid w:val="00E23C73"/>
    <w:rsid w:val="00E24D59"/>
    <w:rsid w:val="00E24F7C"/>
    <w:rsid w:val="00E25852"/>
    <w:rsid w:val="00E259D4"/>
    <w:rsid w:val="00E25B67"/>
    <w:rsid w:val="00E25F3E"/>
    <w:rsid w:val="00E25FDB"/>
    <w:rsid w:val="00E26152"/>
    <w:rsid w:val="00E267CF"/>
    <w:rsid w:val="00E26DDA"/>
    <w:rsid w:val="00E27379"/>
    <w:rsid w:val="00E30009"/>
    <w:rsid w:val="00E30A6C"/>
    <w:rsid w:val="00E30B9B"/>
    <w:rsid w:val="00E30FF3"/>
    <w:rsid w:val="00E3151F"/>
    <w:rsid w:val="00E31BA9"/>
    <w:rsid w:val="00E31C80"/>
    <w:rsid w:val="00E31DD1"/>
    <w:rsid w:val="00E31E1C"/>
    <w:rsid w:val="00E31E48"/>
    <w:rsid w:val="00E337C4"/>
    <w:rsid w:val="00E337E8"/>
    <w:rsid w:val="00E33990"/>
    <w:rsid w:val="00E339C0"/>
    <w:rsid w:val="00E33A8F"/>
    <w:rsid w:val="00E33EC0"/>
    <w:rsid w:val="00E34274"/>
    <w:rsid w:val="00E3485E"/>
    <w:rsid w:val="00E34AA2"/>
    <w:rsid w:val="00E35486"/>
    <w:rsid w:val="00E35A3A"/>
    <w:rsid w:val="00E379DE"/>
    <w:rsid w:val="00E37FAF"/>
    <w:rsid w:val="00E4090B"/>
    <w:rsid w:val="00E4098C"/>
    <w:rsid w:val="00E40ABB"/>
    <w:rsid w:val="00E412A9"/>
    <w:rsid w:val="00E416FB"/>
    <w:rsid w:val="00E419BD"/>
    <w:rsid w:val="00E41F06"/>
    <w:rsid w:val="00E422DC"/>
    <w:rsid w:val="00E42314"/>
    <w:rsid w:val="00E42827"/>
    <w:rsid w:val="00E42B30"/>
    <w:rsid w:val="00E42DA2"/>
    <w:rsid w:val="00E44CAD"/>
    <w:rsid w:val="00E4596A"/>
    <w:rsid w:val="00E45E6B"/>
    <w:rsid w:val="00E465FE"/>
    <w:rsid w:val="00E46B19"/>
    <w:rsid w:val="00E476B7"/>
    <w:rsid w:val="00E47A35"/>
    <w:rsid w:val="00E50167"/>
    <w:rsid w:val="00E5097C"/>
    <w:rsid w:val="00E513DE"/>
    <w:rsid w:val="00E51DDA"/>
    <w:rsid w:val="00E52A08"/>
    <w:rsid w:val="00E5361B"/>
    <w:rsid w:val="00E5366E"/>
    <w:rsid w:val="00E54925"/>
    <w:rsid w:val="00E5566F"/>
    <w:rsid w:val="00E57188"/>
    <w:rsid w:val="00E604A4"/>
    <w:rsid w:val="00E609FD"/>
    <w:rsid w:val="00E61C4E"/>
    <w:rsid w:val="00E62147"/>
    <w:rsid w:val="00E629E6"/>
    <w:rsid w:val="00E631DE"/>
    <w:rsid w:val="00E6371C"/>
    <w:rsid w:val="00E63872"/>
    <w:rsid w:val="00E63C6C"/>
    <w:rsid w:val="00E63F87"/>
    <w:rsid w:val="00E6527E"/>
    <w:rsid w:val="00E65A41"/>
    <w:rsid w:val="00E665CB"/>
    <w:rsid w:val="00E70C65"/>
    <w:rsid w:val="00E710C9"/>
    <w:rsid w:val="00E71666"/>
    <w:rsid w:val="00E71676"/>
    <w:rsid w:val="00E724E4"/>
    <w:rsid w:val="00E73155"/>
    <w:rsid w:val="00E73312"/>
    <w:rsid w:val="00E735D4"/>
    <w:rsid w:val="00E73AFD"/>
    <w:rsid w:val="00E7411D"/>
    <w:rsid w:val="00E7483A"/>
    <w:rsid w:val="00E7525A"/>
    <w:rsid w:val="00E76205"/>
    <w:rsid w:val="00E7637E"/>
    <w:rsid w:val="00E76439"/>
    <w:rsid w:val="00E76936"/>
    <w:rsid w:val="00E76CBC"/>
    <w:rsid w:val="00E77415"/>
    <w:rsid w:val="00E778EC"/>
    <w:rsid w:val="00E77D98"/>
    <w:rsid w:val="00E77EE6"/>
    <w:rsid w:val="00E80317"/>
    <w:rsid w:val="00E80877"/>
    <w:rsid w:val="00E810DA"/>
    <w:rsid w:val="00E81377"/>
    <w:rsid w:val="00E81E0D"/>
    <w:rsid w:val="00E829B0"/>
    <w:rsid w:val="00E829FE"/>
    <w:rsid w:val="00E82B29"/>
    <w:rsid w:val="00E82B62"/>
    <w:rsid w:val="00E83021"/>
    <w:rsid w:val="00E841D8"/>
    <w:rsid w:val="00E850A8"/>
    <w:rsid w:val="00E858D9"/>
    <w:rsid w:val="00E85DC1"/>
    <w:rsid w:val="00E862F4"/>
    <w:rsid w:val="00E86D33"/>
    <w:rsid w:val="00E9032B"/>
    <w:rsid w:val="00E90393"/>
    <w:rsid w:val="00E90B5E"/>
    <w:rsid w:val="00E91579"/>
    <w:rsid w:val="00E92BD9"/>
    <w:rsid w:val="00E92DE1"/>
    <w:rsid w:val="00E936A7"/>
    <w:rsid w:val="00E93717"/>
    <w:rsid w:val="00E94339"/>
    <w:rsid w:val="00E944FD"/>
    <w:rsid w:val="00E94FA2"/>
    <w:rsid w:val="00E94FDF"/>
    <w:rsid w:val="00E9546A"/>
    <w:rsid w:val="00E95563"/>
    <w:rsid w:val="00E96188"/>
    <w:rsid w:val="00E97CCA"/>
    <w:rsid w:val="00E97E2B"/>
    <w:rsid w:val="00EA015C"/>
    <w:rsid w:val="00EA0177"/>
    <w:rsid w:val="00EA0D5B"/>
    <w:rsid w:val="00EA0D76"/>
    <w:rsid w:val="00EA224E"/>
    <w:rsid w:val="00EA3FF6"/>
    <w:rsid w:val="00EA6DC0"/>
    <w:rsid w:val="00EA7FBE"/>
    <w:rsid w:val="00EB0C5B"/>
    <w:rsid w:val="00EB1185"/>
    <w:rsid w:val="00EB159B"/>
    <w:rsid w:val="00EB2033"/>
    <w:rsid w:val="00EB2481"/>
    <w:rsid w:val="00EB257B"/>
    <w:rsid w:val="00EB2A1F"/>
    <w:rsid w:val="00EB2D88"/>
    <w:rsid w:val="00EB370F"/>
    <w:rsid w:val="00EB404A"/>
    <w:rsid w:val="00EB4BE5"/>
    <w:rsid w:val="00EB5234"/>
    <w:rsid w:val="00EB610E"/>
    <w:rsid w:val="00EB722E"/>
    <w:rsid w:val="00EC091F"/>
    <w:rsid w:val="00EC0E72"/>
    <w:rsid w:val="00EC2028"/>
    <w:rsid w:val="00EC2317"/>
    <w:rsid w:val="00EC25BA"/>
    <w:rsid w:val="00EC2990"/>
    <w:rsid w:val="00EC2A4D"/>
    <w:rsid w:val="00EC3301"/>
    <w:rsid w:val="00EC340D"/>
    <w:rsid w:val="00EC348F"/>
    <w:rsid w:val="00EC43F0"/>
    <w:rsid w:val="00EC4BBD"/>
    <w:rsid w:val="00EC4EC1"/>
    <w:rsid w:val="00EC4FBB"/>
    <w:rsid w:val="00EC6001"/>
    <w:rsid w:val="00EC61E5"/>
    <w:rsid w:val="00EC63BD"/>
    <w:rsid w:val="00EC6654"/>
    <w:rsid w:val="00EC67A3"/>
    <w:rsid w:val="00EC7EEF"/>
    <w:rsid w:val="00ED0E87"/>
    <w:rsid w:val="00ED1037"/>
    <w:rsid w:val="00ED11BA"/>
    <w:rsid w:val="00ED1764"/>
    <w:rsid w:val="00ED19B7"/>
    <w:rsid w:val="00ED200B"/>
    <w:rsid w:val="00ED2520"/>
    <w:rsid w:val="00ED2E12"/>
    <w:rsid w:val="00ED3EDC"/>
    <w:rsid w:val="00ED4F03"/>
    <w:rsid w:val="00ED52B2"/>
    <w:rsid w:val="00ED54B4"/>
    <w:rsid w:val="00ED552A"/>
    <w:rsid w:val="00ED56DC"/>
    <w:rsid w:val="00ED7D19"/>
    <w:rsid w:val="00ED7F87"/>
    <w:rsid w:val="00EE0ADC"/>
    <w:rsid w:val="00EE173D"/>
    <w:rsid w:val="00EE1BE8"/>
    <w:rsid w:val="00EE231A"/>
    <w:rsid w:val="00EE24D6"/>
    <w:rsid w:val="00EE289F"/>
    <w:rsid w:val="00EE2B04"/>
    <w:rsid w:val="00EE3B13"/>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6828"/>
    <w:rsid w:val="00EF6E6D"/>
    <w:rsid w:val="00EF775A"/>
    <w:rsid w:val="00EF7A66"/>
    <w:rsid w:val="00EF7D2B"/>
    <w:rsid w:val="00F00020"/>
    <w:rsid w:val="00F00DA4"/>
    <w:rsid w:val="00F01A7F"/>
    <w:rsid w:val="00F0227A"/>
    <w:rsid w:val="00F02E36"/>
    <w:rsid w:val="00F03426"/>
    <w:rsid w:val="00F036BA"/>
    <w:rsid w:val="00F03CE3"/>
    <w:rsid w:val="00F04707"/>
    <w:rsid w:val="00F04ACD"/>
    <w:rsid w:val="00F04D5B"/>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67A"/>
    <w:rsid w:val="00F16949"/>
    <w:rsid w:val="00F16D8C"/>
    <w:rsid w:val="00F177AD"/>
    <w:rsid w:val="00F17C72"/>
    <w:rsid w:val="00F17D2D"/>
    <w:rsid w:val="00F20894"/>
    <w:rsid w:val="00F20D29"/>
    <w:rsid w:val="00F20D34"/>
    <w:rsid w:val="00F22383"/>
    <w:rsid w:val="00F2241D"/>
    <w:rsid w:val="00F22AEB"/>
    <w:rsid w:val="00F22AFE"/>
    <w:rsid w:val="00F22BCA"/>
    <w:rsid w:val="00F23754"/>
    <w:rsid w:val="00F237A4"/>
    <w:rsid w:val="00F23F6D"/>
    <w:rsid w:val="00F24087"/>
    <w:rsid w:val="00F243AE"/>
    <w:rsid w:val="00F24A5E"/>
    <w:rsid w:val="00F265F6"/>
    <w:rsid w:val="00F26653"/>
    <w:rsid w:val="00F27291"/>
    <w:rsid w:val="00F2770C"/>
    <w:rsid w:val="00F3016B"/>
    <w:rsid w:val="00F31113"/>
    <w:rsid w:val="00F314C0"/>
    <w:rsid w:val="00F314D3"/>
    <w:rsid w:val="00F31E5C"/>
    <w:rsid w:val="00F32084"/>
    <w:rsid w:val="00F32457"/>
    <w:rsid w:val="00F32541"/>
    <w:rsid w:val="00F3254D"/>
    <w:rsid w:val="00F32569"/>
    <w:rsid w:val="00F32D1C"/>
    <w:rsid w:val="00F33889"/>
    <w:rsid w:val="00F347C0"/>
    <w:rsid w:val="00F351D3"/>
    <w:rsid w:val="00F357FA"/>
    <w:rsid w:val="00F35C22"/>
    <w:rsid w:val="00F377FB"/>
    <w:rsid w:val="00F37FE3"/>
    <w:rsid w:val="00F40306"/>
    <w:rsid w:val="00F40663"/>
    <w:rsid w:val="00F41337"/>
    <w:rsid w:val="00F4140B"/>
    <w:rsid w:val="00F41940"/>
    <w:rsid w:val="00F43AF6"/>
    <w:rsid w:val="00F43E13"/>
    <w:rsid w:val="00F44405"/>
    <w:rsid w:val="00F44796"/>
    <w:rsid w:val="00F44C14"/>
    <w:rsid w:val="00F44D8E"/>
    <w:rsid w:val="00F46255"/>
    <w:rsid w:val="00F478ED"/>
    <w:rsid w:val="00F47DC5"/>
    <w:rsid w:val="00F50665"/>
    <w:rsid w:val="00F50A23"/>
    <w:rsid w:val="00F50E9F"/>
    <w:rsid w:val="00F51174"/>
    <w:rsid w:val="00F518F3"/>
    <w:rsid w:val="00F5367B"/>
    <w:rsid w:val="00F54B12"/>
    <w:rsid w:val="00F55403"/>
    <w:rsid w:val="00F55934"/>
    <w:rsid w:val="00F5608F"/>
    <w:rsid w:val="00F6027C"/>
    <w:rsid w:val="00F60415"/>
    <w:rsid w:val="00F60DAD"/>
    <w:rsid w:val="00F60DE0"/>
    <w:rsid w:val="00F617DE"/>
    <w:rsid w:val="00F61846"/>
    <w:rsid w:val="00F6194D"/>
    <w:rsid w:val="00F61F8E"/>
    <w:rsid w:val="00F62233"/>
    <w:rsid w:val="00F6251B"/>
    <w:rsid w:val="00F626C6"/>
    <w:rsid w:val="00F62CF6"/>
    <w:rsid w:val="00F63405"/>
    <w:rsid w:val="00F63C7A"/>
    <w:rsid w:val="00F64156"/>
    <w:rsid w:val="00F6576A"/>
    <w:rsid w:val="00F65925"/>
    <w:rsid w:val="00F6658A"/>
    <w:rsid w:val="00F66924"/>
    <w:rsid w:val="00F66F13"/>
    <w:rsid w:val="00F66FA6"/>
    <w:rsid w:val="00F67BD1"/>
    <w:rsid w:val="00F70293"/>
    <w:rsid w:val="00F708A1"/>
    <w:rsid w:val="00F70C8A"/>
    <w:rsid w:val="00F71087"/>
    <w:rsid w:val="00F71242"/>
    <w:rsid w:val="00F71C01"/>
    <w:rsid w:val="00F721AC"/>
    <w:rsid w:val="00F7246A"/>
    <w:rsid w:val="00F73A04"/>
    <w:rsid w:val="00F743A3"/>
    <w:rsid w:val="00F74A72"/>
    <w:rsid w:val="00F74DE7"/>
    <w:rsid w:val="00F74E5A"/>
    <w:rsid w:val="00F751B6"/>
    <w:rsid w:val="00F76A83"/>
    <w:rsid w:val="00F774C8"/>
    <w:rsid w:val="00F802C8"/>
    <w:rsid w:val="00F81D96"/>
    <w:rsid w:val="00F826E7"/>
    <w:rsid w:val="00F82C6C"/>
    <w:rsid w:val="00F83978"/>
    <w:rsid w:val="00F83ED3"/>
    <w:rsid w:val="00F840B9"/>
    <w:rsid w:val="00F857B4"/>
    <w:rsid w:val="00F85C14"/>
    <w:rsid w:val="00F85C44"/>
    <w:rsid w:val="00F85F4D"/>
    <w:rsid w:val="00F86002"/>
    <w:rsid w:val="00F86371"/>
    <w:rsid w:val="00F86648"/>
    <w:rsid w:val="00F86C88"/>
    <w:rsid w:val="00F86D13"/>
    <w:rsid w:val="00F874B8"/>
    <w:rsid w:val="00F87535"/>
    <w:rsid w:val="00F877A0"/>
    <w:rsid w:val="00F916C9"/>
    <w:rsid w:val="00F91915"/>
    <w:rsid w:val="00F91D8C"/>
    <w:rsid w:val="00F921C0"/>
    <w:rsid w:val="00F92282"/>
    <w:rsid w:val="00F9337A"/>
    <w:rsid w:val="00F944B3"/>
    <w:rsid w:val="00F960B1"/>
    <w:rsid w:val="00F962B4"/>
    <w:rsid w:val="00F96CF3"/>
    <w:rsid w:val="00F972B0"/>
    <w:rsid w:val="00FA0210"/>
    <w:rsid w:val="00FA08D8"/>
    <w:rsid w:val="00FA2BF8"/>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6D9"/>
    <w:rsid w:val="00FB74E5"/>
    <w:rsid w:val="00FC0D59"/>
    <w:rsid w:val="00FC1673"/>
    <w:rsid w:val="00FC1A3D"/>
    <w:rsid w:val="00FC1A5C"/>
    <w:rsid w:val="00FC1C53"/>
    <w:rsid w:val="00FC1D2A"/>
    <w:rsid w:val="00FC2B88"/>
    <w:rsid w:val="00FC2D03"/>
    <w:rsid w:val="00FC2D4C"/>
    <w:rsid w:val="00FC39EA"/>
    <w:rsid w:val="00FC469C"/>
    <w:rsid w:val="00FC4943"/>
    <w:rsid w:val="00FC49E0"/>
    <w:rsid w:val="00FC4AA6"/>
    <w:rsid w:val="00FC56B8"/>
    <w:rsid w:val="00FC5CFE"/>
    <w:rsid w:val="00FC60B8"/>
    <w:rsid w:val="00FC6DE6"/>
    <w:rsid w:val="00FC6E48"/>
    <w:rsid w:val="00FD0A9D"/>
    <w:rsid w:val="00FD0A9E"/>
    <w:rsid w:val="00FD0F14"/>
    <w:rsid w:val="00FD15AF"/>
    <w:rsid w:val="00FD2F1A"/>
    <w:rsid w:val="00FD3053"/>
    <w:rsid w:val="00FD3715"/>
    <w:rsid w:val="00FD37D0"/>
    <w:rsid w:val="00FD3DE0"/>
    <w:rsid w:val="00FD3FA0"/>
    <w:rsid w:val="00FD440C"/>
    <w:rsid w:val="00FD4EC8"/>
    <w:rsid w:val="00FD5684"/>
    <w:rsid w:val="00FD5E81"/>
    <w:rsid w:val="00FD5FF0"/>
    <w:rsid w:val="00FD7F01"/>
    <w:rsid w:val="00FD7F02"/>
    <w:rsid w:val="00FE0775"/>
    <w:rsid w:val="00FE0F88"/>
    <w:rsid w:val="00FE2400"/>
    <w:rsid w:val="00FE2C02"/>
    <w:rsid w:val="00FE3782"/>
    <w:rsid w:val="00FE3A6A"/>
    <w:rsid w:val="00FE3AC5"/>
    <w:rsid w:val="00FE44CF"/>
    <w:rsid w:val="00FE4721"/>
    <w:rsid w:val="00FE4D2A"/>
    <w:rsid w:val="00FE4FA0"/>
    <w:rsid w:val="00FE4FD0"/>
    <w:rsid w:val="00FE5051"/>
    <w:rsid w:val="00FE53DC"/>
    <w:rsid w:val="00FE566B"/>
    <w:rsid w:val="00FE5839"/>
    <w:rsid w:val="00FE5B58"/>
    <w:rsid w:val="00FE6E80"/>
    <w:rsid w:val="00FF02E4"/>
    <w:rsid w:val="00FF0DA9"/>
    <w:rsid w:val="00FF10F1"/>
    <w:rsid w:val="00FF2F3F"/>
    <w:rsid w:val="00FF524A"/>
    <w:rsid w:val="00FF524F"/>
    <w:rsid w:val="00FF58A5"/>
    <w:rsid w:val="00FF58F3"/>
    <w:rsid w:val="00FF5AA4"/>
    <w:rsid w:val="00FF6251"/>
    <w:rsid w:val="00FF6A5E"/>
    <w:rsid w:val="00FF6C0B"/>
    <w:rsid w:val="00FF7151"/>
    <w:rsid w:val="00FF7523"/>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paragraph" w:customStyle="1" w:styleId="SCCLsocOtherPartySeparator">
    <w:name w:val="SCC.Lsoc.OtherPartySeparator"/>
    <w:basedOn w:val="Normal"/>
    <w:next w:val="Normal"/>
    <w:link w:val="SCCLsocOtherPartySeparatorChar"/>
    <w:rsid w:val="00931A37"/>
    <w:pPr>
      <w:jc w:val="both"/>
    </w:pPr>
    <w:rPr>
      <w:rFonts w:eastAsiaTheme="minorHAnsi" w:cstheme="minorBidi"/>
      <w:b/>
      <w:szCs w:val="22"/>
      <w:lang w:val="en-CA"/>
    </w:rPr>
  </w:style>
  <w:style w:type="character" w:customStyle="1" w:styleId="SCCLsocOtherPartySeparatorChar">
    <w:name w:val="SCC.Lsoc.OtherPartySeparator Char"/>
    <w:basedOn w:val="DefaultParagraphFont"/>
    <w:link w:val="SCCLsocOtherPartySeparator"/>
    <w:rsid w:val="00931A37"/>
    <w:rPr>
      <w:rFonts w:ascii="Times New Roman" w:eastAsiaTheme="minorHAnsi" w:hAnsi="Times New Roman" w:cstheme="minorBidi"/>
      <w:b/>
      <w:sz w:val="24"/>
      <w:szCs w:val="22"/>
      <w:lang w:val="en-CA"/>
    </w:rPr>
  </w:style>
  <w:style w:type="paragraph" w:customStyle="1" w:styleId="SCCLsocSubfileSeparator">
    <w:name w:val="SCC.Lsoc.SubfileSeparator"/>
    <w:basedOn w:val="Normal"/>
    <w:next w:val="Normal"/>
    <w:link w:val="SCCLsocSubfileSeparatorChar"/>
    <w:rsid w:val="00931A37"/>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931A37"/>
    <w:rPr>
      <w:rFonts w:ascii="Times New Roman" w:eastAsiaTheme="minorHAnsi" w:hAnsi="Times New Roman"/>
      <w:b/>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7543389">
      <w:bodyDiv w:val="1"/>
      <w:marLeft w:val="0"/>
      <w:marRight w:val="0"/>
      <w:marTop w:val="0"/>
      <w:marBottom w:val="0"/>
      <w:divBdr>
        <w:top w:val="none" w:sz="0" w:space="0" w:color="auto"/>
        <w:left w:val="none" w:sz="0" w:space="0" w:color="auto"/>
        <w:bottom w:val="none" w:sz="0" w:space="0" w:color="auto"/>
        <w:right w:val="none" w:sz="0" w:space="0" w:color="auto"/>
      </w:divBdr>
      <w:divsChild>
        <w:div w:id="1837987795">
          <w:marLeft w:val="0"/>
          <w:marRight w:val="0"/>
          <w:marTop w:val="0"/>
          <w:marBottom w:val="0"/>
          <w:divBdr>
            <w:top w:val="none" w:sz="0" w:space="0" w:color="auto"/>
            <w:left w:val="none" w:sz="0" w:space="0" w:color="auto"/>
            <w:bottom w:val="none" w:sz="0" w:space="0" w:color="auto"/>
            <w:right w:val="none" w:sz="0" w:space="0" w:color="auto"/>
          </w:divBdr>
          <w:divsChild>
            <w:div w:id="1328560028">
              <w:marLeft w:val="-225"/>
              <w:marRight w:val="-225"/>
              <w:marTop w:val="0"/>
              <w:marBottom w:val="0"/>
              <w:divBdr>
                <w:top w:val="none" w:sz="0" w:space="0" w:color="auto"/>
                <w:left w:val="none" w:sz="0" w:space="0" w:color="auto"/>
                <w:bottom w:val="none" w:sz="0" w:space="0" w:color="auto"/>
                <w:right w:val="none" w:sz="0" w:space="0" w:color="auto"/>
              </w:divBdr>
              <w:divsChild>
                <w:div w:id="981228292">
                  <w:marLeft w:val="0"/>
                  <w:marRight w:val="0"/>
                  <w:marTop w:val="0"/>
                  <w:marBottom w:val="0"/>
                  <w:divBdr>
                    <w:top w:val="none" w:sz="0" w:space="0" w:color="auto"/>
                    <w:left w:val="none" w:sz="0" w:space="0" w:color="auto"/>
                    <w:bottom w:val="none" w:sz="0" w:space="0" w:color="auto"/>
                    <w:right w:val="none" w:sz="0" w:space="0" w:color="auto"/>
                  </w:divBdr>
                  <w:divsChild>
                    <w:div w:id="2108845742">
                      <w:marLeft w:val="0"/>
                      <w:marRight w:val="0"/>
                      <w:marTop w:val="0"/>
                      <w:marBottom w:val="0"/>
                      <w:divBdr>
                        <w:top w:val="none" w:sz="0" w:space="0" w:color="auto"/>
                        <w:left w:val="none" w:sz="0" w:space="0" w:color="auto"/>
                        <w:bottom w:val="none" w:sz="0" w:space="0" w:color="auto"/>
                        <w:right w:val="none" w:sz="0" w:space="0" w:color="auto"/>
                      </w:divBdr>
                      <w:divsChild>
                        <w:div w:id="658730996">
                          <w:marLeft w:val="0"/>
                          <w:marRight w:val="0"/>
                          <w:marTop w:val="225"/>
                          <w:marBottom w:val="0"/>
                          <w:divBdr>
                            <w:top w:val="none" w:sz="0" w:space="0" w:color="auto"/>
                            <w:left w:val="none" w:sz="0" w:space="0" w:color="auto"/>
                            <w:bottom w:val="none" w:sz="0" w:space="0" w:color="auto"/>
                            <w:right w:val="none" w:sz="0" w:space="0" w:color="auto"/>
                          </w:divBdr>
                          <w:divsChild>
                            <w:div w:id="692267055">
                              <w:marLeft w:val="0"/>
                              <w:marRight w:val="0"/>
                              <w:marTop w:val="0"/>
                              <w:marBottom w:val="0"/>
                              <w:divBdr>
                                <w:top w:val="none" w:sz="0" w:space="0" w:color="auto"/>
                                <w:left w:val="none" w:sz="0" w:space="0" w:color="auto"/>
                                <w:bottom w:val="none" w:sz="0" w:space="0" w:color="auto"/>
                                <w:right w:val="none" w:sz="0" w:space="0" w:color="auto"/>
                              </w:divBdr>
                            </w:div>
                            <w:div w:id="77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38383" TargetMode="External"/><Relationship Id="rId18" Type="http://schemas.openxmlformats.org/officeDocument/2006/relationships/hyperlink" Target="https://www.scc-csc.ca/case-dossier/info/sum-som-eng.aspx?cas=38260" TargetMode="External"/><Relationship Id="rId26" Type="http://schemas.openxmlformats.org/officeDocument/2006/relationships/hyperlink" Target="https://www.canlii.org/en/ab/abca/doc/2018/2018abca207/2018abca207.html?resultIndex=4" TargetMode="External"/><Relationship Id="rId39" Type="http://schemas.openxmlformats.org/officeDocument/2006/relationships/hyperlink" Target="https://www.canlii.org/fr/qc/qccq/doc/2016/2016qccq1504/2016qccq1504.html?autocompleteStr=2016%20QCCQ%201504&amp;autocompletePos=1" TargetMode="External"/><Relationship Id="rId21" Type="http://schemas.openxmlformats.org/officeDocument/2006/relationships/hyperlink" Target="http://canlii.ca/t/h6mh5" TargetMode="External"/><Relationship Id="rId34" Type="http://schemas.openxmlformats.org/officeDocument/2006/relationships/hyperlink" Target="https://www.canlii.org/en/ab/abca/doc/2018/2018abca147/2018abca147.html?resultIndex=1" TargetMode="External"/><Relationship Id="rId42" Type="http://schemas.openxmlformats.org/officeDocument/2006/relationships/hyperlink" Target="https://www.canlii.org/en/bc/bcca/doc/2018/2018bcca84/2018bcca84.html?searchUrlHash=AAAAAQAOMjAxNyBCQ1NDIDE4ODMAAAAAAQ&amp;resultIndex=2" TargetMode="External"/><Relationship Id="rId47" Type="http://schemas.openxmlformats.org/officeDocument/2006/relationships/hyperlink" Target="https://www.canlii.org/en/ns/nssc/doc/2017/2017nssc61/2017nssc61.html?autocompleteStr=2017%20NSSC%2061&amp;autocompletePos=1" TargetMode="External"/><Relationship Id="rId50" Type="http://schemas.openxmlformats.org/officeDocument/2006/relationships/hyperlink" Target="https://www.canlii.org/en/ns/nsca/doc/2018/2018nsca2/2018nsca2.html?searchUrlHash=AAAAAAAAAAEAFTIwMTcgTlNTQyA2MSAoQ2FuTElJKQAAAAEACy8yMDE3bnNzYzYxAQ&amp;resultIndex=1" TargetMode="External"/><Relationship Id="rId55" Type="http://schemas.openxmlformats.org/officeDocument/2006/relationships/hyperlink" Target="https://www.canlii.org/fr/qc/qcca/doc/2018/2018qcca812/2018qcca812.html?autocompleteStr=2018%20QCCA%20812&amp;autocompletePos=1" TargetMode="External"/><Relationship Id="rId63" Type="http://schemas.openxmlformats.org/officeDocument/2006/relationships/hyperlink" Target="mailto:comments-commentaires@scc-csc.ca"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c-csc.ca/case-dossier/info/sum-som-fra.aspx?cas=38249" TargetMode="External"/><Relationship Id="rId29" Type="http://schemas.openxmlformats.org/officeDocument/2006/relationships/hyperlink" Target="https://www.canlii.org/en/on/onsc/doc/2017/2017onsc5502/2017onsc5502.html?autocompleteStr=2017%20ONSC%205502&amp;autocompletePo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8181" TargetMode="External"/><Relationship Id="rId24" Type="http://schemas.openxmlformats.org/officeDocument/2006/relationships/hyperlink" Target="https://www.canlii.org/en/ab/abca/doc/2018/2018abca207/2018abca207.html?resultIndex=4" TargetMode="External"/><Relationship Id="rId32" Type="http://schemas.openxmlformats.org/officeDocument/2006/relationships/hyperlink" Target="https://www.canlii.org/en/ab/abca/doc/2018/2018abca147/2018abca147.html?resultIndex=1" TargetMode="External"/><Relationship Id="rId37" Type="http://schemas.openxmlformats.org/officeDocument/2006/relationships/hyperlink" Target="https://www.canlii.org/fr/qc/qcca/doc/2018/2018qcca518/2018qcca518.html?autocompleteStr=2018%20qcca%20518&amp;autocompletePos=1" TargetMode="External"/><Relationship Id="rId40" Type="http://schemas.openxmlformats.org/officeDocument/2006/relationships/hyperlink" Target="https://www.canlii.org/fr/qc/qcca/doc/2018/2018qcca518/2018qcca518.html?autocompleteStr=2018%20qcca%20518&amp;autocompletePos=1" TargetMode="External"/><Relationship Id="rId45" Type="http://schemas.openxmlformats.org/officeDocument/2006/relationships/hyperlink" Target="https://www.canlii.org/en/bc/bcca/doc/2018/2018bcca84/2018bcca84.html?searchUrlHash=AAAAAQAOMjAxNyBCQ1NDIDE4ODMAAAAAAQ&amp;resultIndex=2" TargetMode="External"/><Relationship Id="rId53" Type="http://schemas.openxmlformats.org/officeDocument/2006/relationships/hyperlink" Target="https://www.canlii.org/fr/qc/qccs/doc/2017/2017qccs6085/2017qccs6085.html?autocompleteStr=505-04-025394-164&amp;autocompletePos=1" TargetMode="External"/><Relationship Id="rId58" Type="http://schemas.openxmlformats.org/officeDocument/2006/relationships/hyperlink" Target="http://canlii.ca/t/hrh67"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c-csc.ca/case-dossier/info/sum-som-fra.aspx?cas=38377" TargetMode="External"/><Relationship Id="rId23" Type="http://schemas.openxmlformats.org/officeDocument/2006/relationships/hyperlink" Target="https://www.canlii.org/en/ab/abqb/doc/2016/2016abqb442/2016abqb442.html?autocompleteStr=webber%20academy&amp;autocompletePos=2" TargetMode="External"/><Relationship Id="rId28" Type="http://schemas.openxmlformats.org/officeDocument/2006/relationships/hyperlink" Target="https://www.canlii.org/en/on/onca/doc/2018/2018onca558/2018onca558.html?autocompleteStr=2018%20ONCA%20558&amp;autocompletePos=1" TargetMode="External"/><Relationship Id="rId36" Type="http://schemas.openxmlformats.org/officeDocument/2006/relationships/hyperlink" Target="https://www.canlii.org/fr/qc/qccq/doc/2016/2016qccq1504/2016qccq1504.html?autocompleteStr=2016%20QCCQ%201504&amp;autocompletePos=1" TargetMode="External"/><Relationship Id="rId49" Type="http://schemas.openxmlformats.org/officeDocument/2006/relationships/hyperlink" Target="https://www.canlii.org/en/ns/nssc/doc/2017/2017nssc61/2017nssc61.html?autocompleteStr=2017%20NSSC%2061&amp;autocompletePos=1" TargetMode="External"/><Relationship Id="rId57" Type="http://schemas.openxmlformats.org/officeDocument/2006/relationships/hyperlink" Target="http://canlii.ca/t/hrh67" TargetMode="External"/><Relationship Id="rId61" Type="http://schemas.openxmlformats.org/officeDocument/2006/relationships/hyperlink" Target="https://www.canlii.org/en/sk/skqb/doc/2017/2017skqb135/2017skqb135.html?resultIndex=3" TargetMode="External"/><Relationship Id="rId10" Type="http://schemas.openxmlformats.org/officeDocument/2006/relationships/hyperlink" Target="https://www.scc-csc.ca/case-dossier/info/sum-som-eng.aspx?cas=38356" TargetMode="External"/><Relationship Id="rId19" Type="http://schemas.openxmlformats.org/officeDocument/2006/relationships/hyperlink" Target="http://canlii.ca/t/h6mh5" TargetMode="External"/><Relationship Id="rId31" Type="http://schemas.openxmlformats.org/officeDocument/2006/relationships/hyperlink" Target="https://www.canlii.org/en/ab/abqb/doc/2016/2016abqb334/2016abqb334.html?resultIndex=1" TargetMode="External"/><Relationship Id="rId44" Type="http://schemas.openxmlformats.org/officeDocument/2006/relationships/hyperlink" Target="https://www.canlii.org/en/bc/bcsc/doc/2017/2017bcsc1883/2017bcsc1883.html?searchUrlHash=AAAAAQAOMjAxNyBCQ1NDIDE4ODMAAAAAAQ&amp;resultIndex=1" TargetMode="External"/><Relationship Id="rId52" Type="http://schemas.openxmlformats.org/officeDocument/2006/relationships/hyperlink" Target="https://www.canlii.org/fr/qc/qcca/doc/2018/2018qcca1235/2018qcca1235.html?autocompleteStr=500-09-027245-174&amp;autocompletePos=1" TargetMode="External"/><Relationship Id="rId60" Type="http://schemas.openxmlformats.org/officeDocument/2006/relationships/hyperlink" Target="https://www.canlii.org/en/sk/skca/doc/2018/2018skca41/2018skca41.html?resultIndex=2"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cc-csc.ca/case-dossier/info/sum-som-eng.aspx?cas=38273" TargetMode="External"/><Relationship Id="rId14" Type="http://schemas.openxmlformats.org/officeDocument/2006/relationships/hyperlink" Target="https://www.scc-csc.ca/case-dossier/info/sum-som-eng.aspx?cas=38250" TargetMode="External"/><Relationship Id="rId22" Type="http://schemas.openxmlformats.org/officeDocument/2006/relationships/hyperlink" Target="http://canlii.ca/t/htff3" TargetMode="External"/><Relationship Id="rId27" Type="http://schemas.openxmlformats.org/officeDocument/2006/relationships/hyperlink" Target="https://www.canlii.org/en/on/onsc/doc/2017/2017onsc5502/2017onsc5502.html?autocompleteStr=2017%20ONSC%205502&amp;autocompletePos=1" TargetMode="External"/><Relationship Id="rId30" Type="http://schemas.openxmlformats.org/officeDocument/2006/relationships/hyperlink" Target="https://www.canlii.org/en/on/onca/doc/2018/2018onca558/2018onca558.html?autocompleteStr=2018%20ONCA%20558&amp;autocompletePos=1" TargetMode="External"/><Relationship Id="rId35" Type="http://schemas.openxmlformats.org/officeDocument/2006/relationships/hyperlink" Target="https://www.canlii.org/fr/qc/qccq/doc/2014/2014qccq8444/2014qccq8444.html?autocompleteStr=2014%20QCCQ%208444&amp;autocompletePos=1" TargetMode="External"/><Relationship Id="rId43" Type="http://schemas.openxmlformats.org/officeDocument/2006/relationships/hyperlink" Target="https://www.canlii.org/en/bc/bcca/doc/2018/2018bcca231/2018bcca231.html?searchUrlHash=AAAAAQAOMjAxNyBCQ1NDIDE4ODMAAAAAAQ&amp;resultIndex=3" TargetMode="External"/><Relationship Id="rId48" Type="http://schemas.openxmlformats.org/officeDocument/2006/relationships/hyperlink" Target="https://www.canlii.org/en/ns/nsca/doc/2018/2018nsca2/2018nsca2.html?searchUrlHash=AAAAAAAAAAEAFTIwMTcgTlNTQyA2MSAoQ2FuTElJKQAAAAEACy8yMDE3bnNzYzYxAQ&amp;resultIndex=1" TargetMode="External"/><Relationship Id="rId56" Type="http://schemas.openxmlformats.org/officeDocument/2006/relationships/hyperlink" Target="https://www.canlii.org/fr/qc/qcca/doc/2018/2018qcca812/2018qcca812.html?autocompleteStr=2018%20QCCA%20812&amp;autocompletePos=1"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www.scc-csc.ca/case-dossier/info/sum-som-eng.aspx?cas=38355" TargetMode="External"/><Relationship Id="rId51" Type="http://schemas.openxmlformats.org/officeDocument/2006/relationships/hyperlink" Target="https://www.canlii.org/fr/qc/qccs/doc/2017/2017qccs6085/2017qccs6085.html?autocompleteStr=505-04-025394-164&amp;autocompletePos=1" TargetMode="External"/><Relationship Id="rId3" Type="http://schemas.openxmlformats.org/officeDocument/2006/relationships/styles" Target="styles.xml"/><Relationship Id="rId12" Type="http://schemas.openxmlformats.org/officeDocument/2006/relationships/hyperlink" Target="https://www.scc-csc.ca/case-dossier/info/sum-som-fra.aspx?cas=38137" TargetMode="External"/><Relationship Id="rId17" Type="http://schemas.openxmlformats.org/officeDocument/2006/relationships/hyperlink" Target="https://www.scc-csc.ca/case-dossier/info/sum-som-eng.aspx?cas=38228" TargetMode="External"/><Relationship Id="rId25" Type="http://schemas.openxmlformats.org/officeDocument/2006/relationships/hyperlink" Target="https://www.canlii.org/en/ab/abqb/doc/2016/2016abqb442/2016abqb442.html?autocompleteStr=webber%20academy&amp;autocompletePos=2" TargetMode="External"/><Relationship Id="rId33" Type="http://schemas.openxmlformats.org/officeDocument/2006/relationships/hyperlink" Target="https://www.canlii.org/en/ab/abqb/doc/2016/2016abqb334/2016abqb334.html?resultIndex=1" TargetMode="External"/><Relationship Id="rId38" Type="http://schemas.openxmlformats.org/officeDocument/2006/relationships/hyperlink" Target="https://www.canlii.org/fr/qc/qccq/doc/2014/2014qccq8444/2014qccq8444.html?autocompleteStr=2014%20QCCQ%208444&amp;autocompletePos=1" TargetMode="External"/><Relationship Id="rId46" Type="http://schemas.openxmlformats.org/officeDocument/2006/relationships/hyperlink" Target="https://www.canlii.org/en/bc/bcca/doc/2018/2018bcca231/2018bcca231.html?searchUrlHash=AAAAAQAOMjAxNyBCQ1NDIDE4ODMAAAAAAQ&amp;resultIndex=3" TargetMode="External"/><Relationship Id="rId59" Type="http://schemas.openxmlformats.org/officeDocument/2006/relationships/hyperlink" Target="https://www.canlii.org/en/sk/skqb/doc/2017/2017skqb135/2017skqb135.html?resultIndex=3" TargetMode="External"/><Relationship Id="rId67" Type="http://schemas.openxmlformats.org/officeDocument/2006/relationships/footer" Target="footer2.xml"/><Relationship Id="rId20" Type="http://schemas.openxmlformats.org/officeDocument/2006/relationships/hyperlink" Target="http://canlii.ca/t/htff3" TargetMode="External"/><Relationship Id="rId41" Type="http://schemas.openxmlformats.org/officeDocument/2006/relationships/hyperlink" Target="https://www.canlii.org/en/bc/bcsc/doc/2017/2017bcsc1883/2017bcsc1883.html?searchUrlHash=AAAAAQAOMjAxNyBCQ1NDIDE4ODMAAAAAAQ&amp;resultIndex=1" TargetMode="External"/><Relationship Id="rId54" Type="http://schemas.openxmlformats.org/officeDocument/2006/relationships/hyperlink" Target="https://www.canlii.org/fr/qc/qcca/doc/2018/2018qcca1235/2018qcca1235.html?autocompleteStr=500-09-027245-174&amp;autocompletePos=1" TargetMode="External"/><Relationship Id="rId62" Type="http://schemas.openxmlformats.org/officeDocument/2006/relationships/hyperlink" Target="https://www.canlii.org/en/sk/skca/doc/2018/2018skca41/2018skca41.html?resultIndex=2"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B21B-4E4C-4FE6-AF87-D82995BF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8554</Words>
  <Characters>48758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57198</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2019-02-22T19:23:00Z</dcterms:created>
  <dcterms:modified xsi:type="dcterms:W3CDTF">2019-02-25T16:10:00Z</dcterms:modified>
</cp:coreProperties>
</file>