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E4977" w:rsidRDefault="00F61846" w:rsidP="00122CE1">
      <w:pPr>
        <w:pStyle w:val="Header"/>
        <w:tabs>
          <w:tab w:val="left" w:pos="1620"/>
          <w:tab w:val="left" w:pos="1710"/>
        </w:tabs>
        <w:jc w:val="center"/>
        <w:rPr>
          <w:b/>
          <w:sz w:val="32"/>
        </w:rPr>
      </w:pPr>
      <w:r w:rsidRPr="00FE4977">
        <w:rPr>
          <w:b/>
          <w:sz w:val="32"/>
        </w:rPr>
        <w:t>S</w:t>
      </w:r>
      <w:r w:rsidR="003F43E6" w:rsidRPr="00FE4977">
        <w:rPr>
          <w:b/>
          <w:sz w:val="32"/>
        </w:rPr>
        <w:t>upreme Court of Canada / Cour suprême du Canada</w:t>
      </w:r>
    </w:p>
    <w:p w:rsidR="003F43E6" w:rsidRPr="00FE4977" w:rsidRDefault="003F43E6" w:rsidP="006F2579">
      <w:pPr>
        <w:widowControl w:val="0"/>
        <w:rPr>
          <w:i/>
        </w:rPr>
      </w:pPr>
    </w:p>
    <w:p w:rsidR="006F2579" w:rsidRPr="00FE4977" w:rsidRDefault="006F2579" w:rsidP="006F2579">
      <w:pPr>
        <w:widowControl w:val="0"/>
        <w:rPr>
          <w:i/>
        </w:rPr>
      </w:pPr>
      <w:r w:rsidRPr="00FE4977">
        <w:rPr>
          <w:i/>
        </w:rPr>
        <w:t>(le français suit)</w:t>
      </w:r>
    </w:p>
    <w:p w:rsidR="006F2579" w:rsidRPr="00FE4977" w:rsidRDefault="006F2579" w:rsidP="006F2579">
      <w:pPr>
        <w:widowControl w:val="0"/>
      </w:pPr>
    </w:p>
    <w:p w:rsidR="006F2579" w:rsidRPr="00FE4977" w:rsidRDefault="00B07908" w:rsidP="006F2579">
      <w:pPr>
        <w:widowControl w:val="0"/>
        <w:jc w:val="center"/>
        <w:rPr>
          <w:b/>
        </w:rPr>
      </w:pPr>
      <w:r w:rsidRPr="00FE4977">
        <w:fldChar w:fldCharType="begin"/>
      </w:r>
      <w:r w:rsidR="006F2579" w:rsidRPr="00FE4977">
        <w:instrText xml:space="preserve"> SEQ CHAPTER \h \r 1</w:instrText>
      </w:r>
      <w:r w:rsidRPr="00FE4977">
        <w:fldChar w:fldCharType="end"/>
      </w:r>
      <w:r w:rsidR="006F2579" w:rsidRPr="00FE4977">
        <w:rPr>
          <w:b/>
        </w:rPr>
        <w:t>JUDGMENT</w:t>
      </w:r>
      <w:r w:rsidR="00B17AAC" w:rsidRPr="00FE4977">
        <w:rPr>
          <w:b/>
        </w:rPr>
        <w:t>S</w:t>
      </w:r>
      <w:r w:rsidR="006F2579" w:rsidRPr="00FE4977">
        <w:rPr>
          <w:b/>
        </w:rPr>
        <w:t xml:space="preserve"> TO B</w:t>
      </w:r>
      <w:r w:rsidR="00001846" w:rsidRPr="00FE4977">
        <w:rPr>
          <w:b/>
        </w:rPr>
        <w:t>E RENDERED IN LE</w:t>
      </w:r>
      <w:r w:rsidR="00A0288A" w:rsidRPr="00FE4977">
        <w:rPr>
          <w:b/>
        </w:rPr>
        <w:t>A</w:t>
      </w:r>
      <w:r w:rsidR="00001846" w:rsidRPr="00FE4977">
        <w:rPr>
          <w:b/>
        </w:rPr>
        <w:t>VE APPLICATION</w:t>
      </w:r>
      <w:r w:rsidR="00E94FDF" w:rsidRPr="00FE4977">
        <w:rPr>
          <w:b/>
        </w:rPr>
        <w:t>S</w:t>
      </w:r>
    </w:p>
    <w:p w:rsidR="006F2579" w:rsidRPr="00FE4977" w:rsidRDefault="006F2579" w:rsidP="006F2579">
      <w:pPr>
        <w:widowControl w:val="0"/>
      </w:pPr>
    </w:p>
    <w:p w:rsidR="006F2579" w:rsidRPr="00FE4977" w:rsidRDefault="0091043D" w:rsidP="006F2579">
      <w:pPr>
        <w:widowControl w:val="0"/>
        <w:rPr>
          <w:b/>
        </w:rPr>
      </w:pPr>
      <w:r>
        <w:rPr>
          <w:b/>
        </w:rPr>
        <w:t>May</w:t>
      </w:r>
      <w:r w:rsidR="00A15B66" w:rsidRPr="00FE4977">
        <w:rPr>
          <w:b/>
        </w:rPr>
        <w:t xml:space="preserve"> </w:t>
      </w:r>
      <w:r w:rsidR="006E2737">
        <w:rPr>
          <w:b/>
        </w:rPr>
        <w:t>2</w:t>
      </w:r>
      <w:r w:rsidR="0052688B">
        <w:rPr>
          <w:b/>
        </w:rPr>
        <w:t>1</w:t>
      </w:r>
      <w:r w:rsidR="004441C7" w:rsidRPr="00FE4977">
        <w:rPr>
          <w:b/>
        </w:rPr>
        <w:t>,</w:t>
      </w:r>
      <w:r w:rsidR="006F2579" w:rsidRPr="00FE4977">
        <w:rPr>
          <w:b/>
        </w:rPr>
        <w:t xml:space="preserve"> </w:t>
      </w:r>
      <w:r w:rsidR="0054689F" w:rsidRPr="00FE4977">
        <w:rPr>
          <w:b/>
        </w:rPr>
        <w:t>201</w:t>
      </w:r>
      <w:r w:rsidR="00313D36" w:rsidRPr="00FE4977">
        <w:rPr>
          <w:b/>
        </w:rPr>
        <w:t>9</w:t>
      </w:r>
    </w:p>
    <w:p w:rsidR="006F2579" w:rsidRPr="00FE4977" w:rsidRDefault="00674F39" w:rsidP="006F2579">
      <w:pPr>
        <w:widowControl w:val="0"/>
        <w:rPr>
          <w:b/>
        </w:rPr>
      </w:pPr>
      <w:r w:rsidRPr="00FE4977">
        <w:rPr>
          <w:b/>
        </w:rPr>
        <w:t>For immediate release</w:t>
      </w:r>
    </w:p>
    <w:p w:rsidR="006F2579" w:rsidRPr="00FE4977" w:rsidRDefault="006F2579" w:rsidP="006F2579">
      <w:pPr>
        <w:widowControl w:val="0"/>
      </w:pPr>
    </w:p>
    <w:p w:rsidR="006F2579" w:rsidRPr="00A6684F" w:rsidRDefault="006F2579" w:rsidP="006F2579">
      <w:pPr>
        <w:widowControl w:val="0"/>
        <w:rPr>
          <w:lang w:val="fr-CA"/>
        </w:rPr>
      </w:pPr>
      <w:r w:rsidRPr="00FE4977">
        <w:rPr>
          <w:b/>
        </w:rPr>
        <w:t>OTTAWA</w:t>
      </w:r>
      <w:r w:rsidRPr="00FE4977">
        <w:t xml:space="preserve"> – The Supreme Court of Canad</w:t>
      </w:r>
      <w:r w:rsidR="006246E4" w:rsidRPr="00FE4977">
        <w:t>a</w:t>
      </w:r>
      <w:r w:rsidRPr="00FE4977">
        <w:t xml:space="preserve"> announced today that judgment in the following </w:t>
      </w:r>
      <w:r w:rsidRPr="002E0C45">
        <w:t>application</w:t>
      </w:r>
      <w:r w:rsidR="008600ED" w:rsidRPr="002E0C45">
        <w:t>s</w:t>
      </w:r>
      <w:r w:rsidRPr="002E0C45">
        <w:t xml:space="preserve"> for leave to appeal will be delivered at 9:45 a.m. </w:t>
      </w:r>
      <w:r w:rsidR="00E05816" w:rsidRPr="002E0C45">
        <w:t>E</w:t>
      </w:r>
      <w:r w:rsidR="005B48B5" w:rsidRPr="002E0C45">
        <w:t>D</w:t>
      </w:r>
      <w:r w:rsidR="00E05816" w:rsidRPr="002E0C45">
        <w:t>T</w:t>
      </w:r>
      <w:r w:rsidRPr="002E0C45">
        <w:t xml:space="preserve"> on Thursday, </w:t>
      </w:r>
      <w:r w:rsidR="00637592" w:rsidRPr="002E0C45">
        <w:t>May</w:t>
      </w:r>
      <w:r w:rsidR="00455912" w:rsidRPr="002E0C45">
        <w:t xml:space="preserve"> </w:t>
      </w:r>
      <w:r w:rsidR="006E2737">
        <w:t>23</w:t>
      </w:r>
      <w:r w:rsidR="007E112F" w:rsidRPr="002E0C45">
        <w:t>,</w:t>
      </w:r>
      <w:r w:rsidR="002F38D7" w:rsidRPr="002E0C45">
        <w:t xml:space="preserve"> </w:t>
      </w:r>
      <w:r w:rsidR="006648D1" w:rsidRPr="002E0C45">
        <w:t>201</w:t>
      </w:r>
      <w:r w:rsidR="00313D36" w:rsidRPr="002E0C45">
        <w:t>9</w:t>
      </w:r>
      <w:r w:rsidRPr="002E0C45">
        <w:t xml:space="preserve">. </w:t>
      </w:r>
      <w:r w:rsidRPr="00A6684F">
        <w:rPr>
          <w:lang w:val="fr-CA"/>
        </w:rPr>
        <w:t>This list is subject to chang</w:t>
      </w:r>
      <w:r w:rsidR="00192F7F" w:rsidRPr="00A6684F">
        <w:rPr>
          <w:lang w:val="fr-CA"/>
        </w:rPr>
        <w:t>e</w:t>
      </w:r>
      <w:r w:rsidRPr="00A6684F">
        <w:rPr>
          <w:lang w:val="fr-CA"/>
        </w:rPr>
        <w:t>.</w:t>
      </w:r>
    </w:p>
    <w:p w:rsidR="00EF2A9D" w:rsidRPr="00A6684F" w:rsidRDefault="00EF2A9D" w:rsidP="006F2579">
      <w:pPr>
        <w:widowControl w:val="0"/>
        <w:rPr>
          <w:sz w:val="20"/>
          <w:lang w:val="fr-CA"/>
        </w:rPr>
      </w:pPr>
    </w:p>
    <w:p w:rsidR="00B43418" w:rsidRPr="00A6684F" w:rsidRDefault="00B43418" w:rsidP="006F2579">
      <w:pPr>
        <w:widowControl w:val="0"/>
        <w:rPr>
          <w:sz w:val="20"/>
          <w:lang w:val="fr-CA"/>
        </w:rPr>
      </w:pPr>
    </w:p>
    <w:p w:rsidR="006F2579" w:rsidRPr="002E0C45" w:rsidRDefault="006F2579" w:rsidP="006F2579">
      <w:pPr>
        <w:widowControl w:val="0"/>
        <w:jc w:val="center"/>
        <w:rPr>
          <w:lang w:val="fr-CA"/>
        </w:rPr>
      </w:pPr>
      <w:r w:rsidRPr="002E0C45">
        <w:rPr>
          <w:b/>
          <w:lang w:val="fr-CA"/>
        </w:rPr>
        <w:t>PROCHAIN</w:t>
      </w:r>
      <w:r w:rsidR="00B17AAC" w:rsidRPr="002E0C45">
        <w:rPr>
          <w:b/>
          <w:lang w:val="fr-CA"/>
        </w:rPr>
        <w:t>S</w:t>
      </w:r>
      <w:r w:rsidRPr="002E0C45">
        <w:rPr>
          <w:b/>
          <w:lang w:val="fr-CA"/>
        </w:rPr>
        <w:t xml:space="preserve"> JUGEMENT</w:t>
      </w:r>
      <w:r w:rsidR="00B17AAC" w:rsidRPr="002E0C45">
        <w:rPr>
          <w:b/>
          <w:lang w:val="fr-CA"/>
        </w:rPr>
        <w:t>S</w:t>
      </w:r>
      <w:r w:rsidR="00001846" w:rsidRPr="002E0C45">
        <w:rPr>
          <w:b/>
          <w:lang w:val="fr-CA"/>
        </w:rPr>
        <w:t xml:space="preserve"> SUR DEMANDE</w:t>
      </w:r>
      <w:r w:rsidR="00B17AAC" w:rsidRPr="002E0C45">
        <w:rPr>
          <w:b/>
          <w:lang w:val="fr-CA"/>
        </w:rPr>
        <w:t>S</w:t>
      </w:r>
      <w:r w:rsidRPr="002E0C45">
        <w:rPr>
          <w:b/>
          <w:lang w:val="fr-CA"/>
        </w:rPr>
        <w:t xml:space="preserve"> D’AUTORISATION</w:t>
      </w:r>
    </w:p>
    <w:p w:rsidR="006F2579" w:rsidRPr="002E0C45" w:rsidRDefault="006F2579" w:rsidP="006F2579">
      <w:pPr>
        <w:widowControl w:val="0"/>
        <w:rPr>
          <w:lang w:val="fr-CA"/>
        </w:rPr>
      </w:pPr>
    </w:p>
    <w:p w:rsidR="006F2579" w:rsidRPr="002E0C45" w:rsidRDefault="006F2579" w:rsidP="006F2579">
      <w:pPr>
        <w:widowControl w:val="0"/>
        <w:rPr>
          <w:b/>
          <w:lang w:val="fr-CA"/>
        </w:rPr>
      </w:pPr>
      <w:r w:rsidRPr="002E0C45">
        <w:rPr>
          <w:b/>
          <w:lang w:val="fr-CA"/>
        </w:rPr>
        <w:t>Le</w:t>
      </w:r>
      <w:r w:rsidR="00957A76" w:rsidRPr="002E0C45">
        <w:rPr>
          <w:b/>
          <w:lang w:val="fr-CA"/>
        </w:rPr>
        <w:t xml:space="preserve"> </w:t>
      </w:r>
      <w:r w:rsidR="006E2737">
        <w:rPr>
          <w:b/>
          <w:lang w:val="fr-CA"/>
        </w:rPr>
        <w:t>2</w:t>
      </w:r>
      <w:r w:rsidR="0052688B">
        <w:rPr>
          <w:b/>
          <w:lang w:val="fr-CA"/>
        </w:rPr>
        <w:t>1</w:t>
      </w:r>
      <w:r w:rsidR="00136C09" w:rsidRPr="002E0C45">
        <w:rPr>
          <w:b/>
          <w:lang w:val="fr-CA"/>
        </w:rPr>
        <w:t xml:space="preserve"> </w:t>
      </w:r>
      <w:r w:rsidR="0091043D" w:rsidRPr="002E0C45">
        <w:rPr>
          <w:b/>
          <w:lang w:val="fr-CA"/>
        </w:rPr>
        <w:t>m</w:t>
      </w:r>
      <w:r w:rsidR="00136C09" w:rsidRPr="002E0C45">
        <w:rPr>
          <w:b/>
          <w:lang w:val="fr-CA"/>
        </w:rPr>
        <w:t>ai</w:t>
      </w:r>
      <w:r w:rsidR="00A151D1" w:rsidRPr="002E0C45">
        <w:rPr>
          <w:b/>
          <w:lang w:val="fr-CA"/>
        </w:rPr>
        <w:t xml:space="preserve"> 201</w:t>
      </w:r>
      <w:r w:rsidR="00313D36" w:rsidRPr="002E0C45">
        <w:rPr>
          <w:b/>
          <w:lang w:val="fr-CA"/>
        </w:rPr>
        <w:t>9</w:t>
      </w:r>
    </w:p>
    <w:p w:rsidR="006F2579" w:rsidRPr="002E0C45" w:rsidRDefault="006F2579" w:rsidP="006F2579">
      <w:pPr>
        <w:widowControl w:val="0"/>
        <w:rPr>
          <w:b/>
          <w:lang w:val="fr-CA"/>
        </w:rPr>
      </w:pPr>
      <w:r w:rsidRPr="002E0C45">
        <w:rPr>
          <w:b/>
          <w:lang w:val="fr-CA"/>
        </w:rPr>
        <w:t>Pour diffusion immédiate</w:t>
      </w:r>
    </w:p>
    <w:p w:rsidR="006F2579" w:rsidRPr="002E0C45" w:rsidRDefault="006F2579" w:rsidP="006F2579">
      <w:pPr>
        <w:widowControl w:val="0"/>
        <w:rPr>
          <w:lang w:val="fr-CA"/>
        </w:rPr>
      </w:pPr>
    </w:p>
    <w:p w:rsidR="006F2579" w:rsidRPr="002E0C45" w:rsidRDefault="006F2579" w:rsidP="006F2579">
      <w:pPr>
        <w:widowControl w:val="0"/>
        <w:rPr>
          <w:lang w:val="fr-CA"/>
        </w:rPr>
      </w:pPr>
      <w:r w:rsidRPr="002E0C45">
        <w:rPr>
          <w:b/>
          <w:lang w:val="fr-CA"/>
        </w:rPr>
        <w:t>OTTAWA</w:t>
      </w:r>
      <w:r w:rsidRPr="002E0C45">
        <w:rPr>
          <w:lang w:val="fr-CA"/>
        </w:rPr>
        <w:t xml:space="preserve"> – La Cour suprême du Canada annonce que jugement ser</w:t>
      </w:r>
      <w:r w:rsidR="004259F9" w:rsidRPr="002E0C45">
        <w:rPr>
          <w:lang w:val="fr-CA"/>
        </w:rPr>
        <w:t>a</w:t>
      </w:r>
      <w:r w:rsidRPr="002E0C45">
        <w:rPr>
          <w:lang w:val="fr-CA"/>
        </w:rPr>
        <w:t xml:space="preserve"> rendu dans l</w:t>
      </w:r>
      <w:r w:rsidR="008600ED" w:rsidRPr="002E0C45">
        <w:rPr>
          <w:lang w:val="fr-CA"/>
        </w:rPr>
        <w:t>es</w:t>
      </w:r>
      <w:r w:rsidRPr="002E0C45">
        <w:rPr>
          <w:lang w:val="fr-CA"/>
        </w:rPr>
        <w:t xml:space="preserve"> demande</w:t>
      </w:r>
      <w:r w:rsidR="008600ED" w:rsidRPr="002E0C45">
        <w:rPr>
          <w:lang w:val="fr-CA"/>
        </w:rPr>
        <w:t>s</w:t>
      </w:r>
      <w:r w:rsidRPr="002E0C45">
        <w:rPr>
          <w:lang w:val="fr-CA"/>
        </w:rPr>
        <w:t xml:space="preserve"> d</w:t>
      </w:r>
      <w:r w:rsidR="00001846" w:rsidRPr="002E0C45">
        <w:rPr>
          <w:lang w:val="fr-CA"/>
        </w:rPr>
        <w:t>’autorisation d’appel suivante</w:t>
      </w:r>
      <w:r w:rsidR="008600ED" w:rsidRPr="002E0C45">
        <w:rPr>
          <w:lang w:val="fr-CA"/>
        </w:rPr>
        <w:t>s</w:t>
      </w:r>
      <w:r w:rsidRPr="002E0C45">
        <w:rPr>
          <w:lang w:val="fr-CA"/>
        </w:rPr>
        <w:t xml:space="preserve"> le jeudi </w:t>
      </w:r>
      <w:r w:rsidR="006E2737">
        <w:rPr>
          <w:lang w:val="fr-CA"/>
        </w:rPr>
        <w:t>23</w:t>
      </w:r>
      <w:r w:rsidR="00780317" w:rsidRPr="002E0C45">
        <w:rPr>
          <w:lang w:val="fr-CA"/>
        </w:rPr>
        <w:t xml:space="preserve"> </w:t>
      </w:r>
      <w:r w:rsidR="00637592" w:rsidRPr="002E0C45">
        <w:rPr>
          <w:lang w:val="fr-CA"/>
        </w:rPr>
        <w:t>m</w:t>
      </w:r>
      <w:r w:rsidR="00AA7874" w:rsidRPr="002E0C45">
        <w:rPr>
          <w:lang w:val="fr-CA"/>
        </w:rPr>
        <w:t>a</w:t>
      </w:r>
      <w:r w:rsidR="00136C09" w:rsidRPr="002E0C45">
        <w:rPr>
          <w:lang w:val="fr-CA"/>
        </w:rPr>
        <w:t>i</w:t>
      </w:r>
      <w:r w:rsidR="00694391" w:rsidRPr="002E0C45">
        <w:rPr>
          <w:lang w:val="fr-CA"/>
        </w:rPr>
        <w:t xml:space="preserve"> 2</w:t>
      </w:r>
      <w:r w:rsidR="006648D1" w:rsidRPr="002E0C45">
        <w:rPr>
          <w:lang w:val="fr-CA"/>
        </w:rPr>
        <w:t>01</w:t>
      </w:r>
      <w:r w:rsidR="00313D36" w:rsidRPr="002E0C45">
        <w:rPr>
          <w:lang w:val="fr-CA"/>
        </w:rPr>
        <w:t>9</w:t>
      </w:r>
      <w:r w:rsidRPr="002E0C45">
        <w:rPr>
          <w:lang w:val="fr-CA"/>
        </w:rPr>
        <w:t xml:space="preserve">, à 9 h 45 </w:t>
      </w:r>
      <w:r w:rsidR="000627A2" w:rsidRPr="002E0C45">
        <w:rPr>
          <w:lang w:val="fr-CA"/>
        </w:rPr>
        <w:t>H</w:t>
      </w:r>
      <w:r w:rsidR="005B48B5" w:rsidRPr="002E0C45">
        <w:rPr>
          <w:lang w:val="fr-CA"/>
        </w:rPr>
        <w:t>A</w:t>
      </w:r>
      <w:r w:rsidRPr="002E0C45">
        <w:rPr>
          <w:lang w:val="fr-CA"/>
        </w:rPr>
        <w:t>E. Cette liste est sujette à modifications.</w:t>
      </w:r>
    </w:p>
    <w:p w:rsidR="00EF2A9D" w:rsidRPr="007A63B0" w:rsidRDefault="00EF2A9D" w:rsidP="009B14F4">
      <w:pPr>
        <w:widowControl w:val="0"/>
        <w:jc w:val="both"/>
        <w:rPr>
          <w:sz w:val="20"/>
          <w:lang w:val="fr-CA"/>
        </w:rPr>
      </w:pPr>
    </w:p>
    <w:p w:rsidR="001838E0" w:rsidRPr="00D42FB7" w:rsidRDefault="00685225" w:rsidP="009B14F4">
      <w:pPr>
        <w:widowControl w:val="0"/>
        <w:jc w:val="both"/>
        <w:rPr>
          <w:sz w:val="20"/>
          <w:lang w:val="fr-CA"/>
        </w:rPr>
      </w:pPr>
      <w:r>
        <w:rPr>
          <w:sz w:val="20"/>
        </w:rPr>
        <w:pict>
          <v:rect id="_x0000_i1025" style="width:2in;height:1pt" o:hrpct="0" o:hralign="center" o:hrstd="t" o:hrnoshade="t" o:hr="t" fillcolor="black [3213]" stroked="f"/>
        </w:pict>
      </w:r>
    </w:p>
    <w:p w:rsidR="009F5EC1" w:rsidRPr="00D42FB7" w:rsidRDefault="009F5EC1" w:rsidP="009F5EC1">
      <w:pPr>
        <w:jc w:val="both"/>
        <w:rPr>
          <w:sz w:val="20"/>
        </w:rPr>
      </w:pPr>
    </w:p>
    <w:p w:rsidR="00EF3BDB" w:rsidRPr="003A100F" w:rsidRDefault="00EF3BDB" w:rsidP="00F9402E">
      <w:pPr>
        <w:pStyle w:val="ListParagraph"/>
        <w:numPr>
          <w:ilvl w:val="0"/>
          <w:numId w:val="39"/>
        </w:numPr>
        <w:ind w:left="357" w:hanging="357"/>
        <w:rPr>
          <w:sz w:val="20"/>
        </w:rPr>
      </w:pPr>
      <w:r w:rsidRPr="003A100F">
        <w:rPr>
          <w:i/>
          <w:sz w:val="20"/>
        </w:rPr>
        <w:t xml:space="preserve">Timothy Mark Rempel v. Her Majesty the Queen </w:t>
      </w:r>
      <w:r w:rsidRPr="003A100F">
        <w:rPr>
          <w:sz w:val="20"/>
        </w:rPr>
        <w:t>(Alta.) (Criminal) (By Leave)</w:t>
      </w:r>
      <w:r w:rsidR="00793ED9" w:rsidRPr="003A100F">
        <w:rPr>
          <w:sz w:val="20"/>
        </w:rPr>
        <w:t xml:space="preserve"> (</w:t>
      </w:r>
      <w:hyperlink r:id="rId8" w:history="1">
        <w:r w:rsidR="00793ED9" w:rsidRPr="003A100F">
          <w:rPr>
            <w:rStyle w:val="Hyperlink"/>
            <w:sz w:val="20"/>
            <w:szCs w:val="20"/>
          </w:rPr>
          <w:t>384</w:t>
        </w:r>
        <w:r w:rsidR="0005761E" w:rsidRPr="003A100F">
          <w:rPr>
            <w:rStyle w:val="Hyperlink"/>
            <w:sz w:val="20"/>
            <w:szCs w:val="20"/>
          </w:rPr>
          <w:t>29</w:t>
        </w:r>
      </w:hyperlink>
      <w:r w:rsidR="00793ED9" w:rsidRPr="003A100F">
        <w:rPr>
          <w:sz w:val="20"/>
        </w:rPr>
        <w:t>)</w:t>
      </w:r>
    </w:p>
    <w:p w:rsidR="00EF3BDB" w:rsidRPr="003A100F" w:rsidRDefault="00EF3BDB" w:rsidP="00F9402E">
      <w:pPr>
        <w:ind w:left="357" w:hanging="357"/>
        <w:rPr>
          <w:sz w:val="20"/>
        </w:rPr>
      </w:pPr>
    </w:p>
    <w:p w:rsidR="00EF3BDB" w:rsidRPr="003A100F" w:rsidRDefault="00EF3BDB" w:rsidP="00F9402E">
      <w:pPr>
        <w:pStyle w:val="ListParagraph"/>
        <w:numPr>
          <w:ilvl w:val="0"/>
          <w:numId w:val="39"/>
        </w:numPr>
        <w:ind w:left="357" w:hanging="357"/>
        <w:rPr>
          <w:sz w:val="20"/>
        </w:rPr>
      </w:pPr>
      <w:r w:rsidRPr="003A100F">
        <w:rPr>
          <w:i/>
          <w:sz w:val="20"/>
        </w:rPr>
        <w:t xml:space="preserve">Sheena Cuthill v. Her Majesty the Queen </w:t>
      </w:r>
      <w:r w:rsidRPr="003A100F">
        <w:rPr>
          <w:sz w:val="20"/>
        </w:rPr>
        <w:t xml:space="preserve">(Alta.) </w:t>
      </w:r>
      <w:r w:rsidR="008A1E5E" w:rsidRPr="003A100F">
        <w:rPr>
          <w:sz w:val="20"/>
        </w:rPr>
        <w:t>(Criminal) (By Leave)</w:t>
      </w:r>
      <w:r w:rsidR="00793ED9" w:rsidRPr="003A100F">
        <w:rPr>
          <w:sz w:val="20"/>
        </w:rPr>
        <w:t xml:space="preserve"> (</w:t>
      </w:r>
      <w:hyperlink r:id="rId9" w:history="1">
        <w:r w:rsidR="00793ED9" w:rsidRPr="003A100F">
          <w:rPr>
            <w:rStyle w:val="Hyperlink"/>
            <w:sz w:val="20"/>
            <w:szCs w:val="20"/>
          </w:rPr>
          <w:t>38</w:t>
        </w:r>
        <w:r w:rsidR="008A1E5E" w:rsidRPr="003A100F">
          <w:rPr>
            <w:rStyle w:val="Hyperlink"/>
            <w:sz w:val="20"/>
            <w:szCs w:val="20"/>
          </w:rPr>
          <w:t>50</w:t>
        </w:r>
        <w:r w:rsidR="00793ED9" w:rsidRPr="003A100F">
          <w:rPr>
            <w:rStyle w:val="Hyperlink"/>
            <w:sz w:val="20"/>
            <w:szCs w:val="20"/>
          </w:rPr>
          <w:t>4</w:t>
        </w:r>
      </w:hyperlink>
      <w:r w:rsidR="00793ED9" w:rsidRPr="003A100F">
        <w:rPr>
          <w:sz w:val="20"/>
        </w:rPr>
        <w:t>)</w:t>
      </w:r>
    </w:p>
    <w:p w:rsidR="00EF3BDB" w:rsidRPr="003A100F" w:rsidRDefault="00EF3BDB" w:rsidP="00F9402E">
      <w:pPr>
        <w:ind w:left="357" w:hanging="357"/>
        <w:rPr>
          <w:sz w:val="20"/>
        </w:rPr>
      </w:pPr>
    </w:p>
    <w:p w:rsidR="00EF3BDB" w:rsidRPr="003A100F" w:rsidRDefault="00EF3BDB" w:rsidP="00F9402E">
      <w:pPr>
        <w:pStyle w:val="ListParagraph"/>
        <w:numPr>
          <w:ilvl w:val="0"/>
          <w:numId w:val="39"/>
        </w:numPr>
        <w:ind w:left="357" w:hanging="357"/>
        <w:rPr>
          <w:sz w:val="20"/>
        </w:rPr>
      </w:pPr>
      <w:r w:rsidRPr="003A100F">
        <w:rPr>
          <w:i/>
          <w:sz w:val="20"/>
        </w:rPr>
        <w:t xml:space="preserve">Hampton Securities Limited v. Christina Nicole Dean </w:t>
      </w:r>
      <w:r w:rsidRPr="003A100F">
        <w:rPr>
          <w:sz w:val="20"/>
        </w:rPr>
        <w:t>(Ont.) (Civil) (By Leave)</w:t>
      </w:r>
      <w:r w:rsidR="00793ED9" w:rsidRPr="003A100F">
        <w:rPr>
          <w:sz w:val="20"/>
        </w:rPr>
        <w:t xml:space="preserve"> (</w:t>
      </w:r>
      <w:hyperlink r:id="rId10" w:history="1">
        <w:r w:rsidR="00793ED9" w:rsidRPr="003A100F">
          <w:rPr>
            <w:rStyle w:val="Hyperlink"/>
            <w:sz w:val="20"/>
            <w:szCs w:val="20"/>
          </w:rPr>
          <w:t>384</w:t>
        </w:r>
        <w:r w:rsidR="00460F4D" w:rsidRPr="003A100F">
          <w:rPr>
            <w:rStyle w:val="Hyperlink"/>
            <w:sz w:val="20"/>
            <w:szCs w:val="20"/>
          </w:rPr>
          <w:t>64</w:t>
        </w:r>
      </w:hyperlink>
      <w:r w:rsidR="00793ED9" w:rsidRPr="003A100F">
        <w:rPr>
          <w:sz w:val="20"/>
        </w:rPr>
        <w:t>)</w:t>
      </w:r>
    </w:p>
    <w:p w:rsidR="00EF3BDB" w:rsidRPr="003A100F" w:rsidRDefault="00EF3BDB" w:rsidP="00F9402E">
      <w:pPr>
        <w:ind w:left="357" w:hanging="357"/>
        <w:rPr>
          <w:sz w:val="20"/>
        </w:rPr>
      </w:pPr>
    </w:p>
    <w:p w:rsidR="00EF3BDB" w:rsidRPr="003A100F" w:rsidRDefault="00EF3BDB" w:rsidP="00F9402E">
      <w:pPr>
        <w:pStyle w:val="ListParagraph"/>
        <w:numPr>
          <w:ilvl w:val="0"/>
          <w:numId w:val="39"/>
        </w:numPr>
        <w:ind w:left="357" w:hanging="357"/>
        <w:rPr>
          <w:i/>
          <w:sz w:val="20"/>
          <w:lang w:val="fr-CA"/>
        </w:rPr>
      </w:pPr>
      <w:r w:rsidRPr="003A100F">
        <w:rPr>
          <w:i/>
          <w:sz w:val="20"/>
          <w:lang w:val="fr-CA"/>
        </w:rPr>
        <w:t xml:space="preserve">Mikel Golzarian c. Association des policières et policiers provinciaux du Québec </w:t>
      </w:r>
      <w:r w:rsidRPr="003A100F">
        <w:rPr>
          <w:sz w:val="20"/>
          <w:lang w:val="fr-CA"/>
        </w:rPr>
        <w:t>(Qc) (Civile) (Autorisation)</w:t>
      </w:r>
      <w:r w:rsidR="00793ED9" w:rsidRPr="003A100F">
        <w:rPr>
          <w:sz w:val="20"/>
          <w:lang w:val="fr-CA"/>
        </w:rPr>
        <w:t xml:space="preserve"> (</w:t>
      </w:r>
      <w:hyperlink r:id="rId11" w:history="1">
        <w:r w:rsidR="00793ED9" w:rsidRPr="003A100F">
          <w:rPr>
            <w:rStyle w:val="Hyperlink"/>
            <w:sz w:val="20"/>
            <w:szCs w:val="20"/>
            <w:lang w:val="fr-CA"/>
          </w:rPr>
          <w:t>38</w:t>
        </w:r>
        <w:r w:rsidR="006B157C" w:rsidRPr="003A100F">
          <w:rPr>
            <w:rStyle w:val="Hyperlink"/>
            <w:sz w:val="20"/>
            <w:szCs w:val="20"/>
            <w:lang w:val="fr-CA"/>
          </w:rPr>
          <w:t>533</w:t>
        </w:r>
      </w:hyperlink>
      <w:r w:rsidR="00793ED9" w:rsidRPr="003A100F">
        <w:rPr>
          <w:sz w:val="20"/>
          <w:lang w:val="fr-CA"/>
        </w:rPr>
        <w:t>)</w:t>
      </w:r>
    </w:p>
    <w:p w:rsidR="00EF3BDB" w:rsidRPr="003A100F" w:rsidRDefault="00EF3BDB" w:rsidP="00F9402E">
      <w:pPr>
        <w:ind w:left="357" w:hanging="357"/>
        <w:rPr>
          <w:sz w:val="20"/>
          <w:lang w:val="fr-CA"/>
        </w:rPr>
      </w:pPr>
    </w:p>
    <w:p w:rsidR="00EF3BDB" w:rsidRPr="003A100F" w:rsidRDefault="00EF3BDB" w:rsidP="00F9402E">
      <w:pPr>
        <w:pStyle w:val="ListParagraph"/>
        <w:numPr>
          <w:ilvl w:val="0"/>
          <w:numId w:val="39"/>
        </w:numPr>
        <w:ind w:left="357" w:hanging="357"/>
        <w:rPr>
          <w:sz w:val="20"/>
        </w:rPr>
      </w:pPr>
      <w:r w:rsidRPr="003A100F">
        <w:rPr>
          <w:i/>
          <w:sz w:val="20"/>
        </w:rPr>
        <w:t>Geophysical Service Incorporated</w:t>
      </w:r>
      <w:r w:rsidR="00672266" w:rsidRPr="003A100F">
        <w:rPr>
          <w:i/>
          <w:sz w:val="20"/>
        </w:rPr>
        <w:t>, et al.</w:t>
      </w:r>
      <w:r w:rsidRPr="003A100F">
        <w:rPr>
          <w:i/>
          <w:sz w:val="20"/>
        </w:rPr>
        <w:t xml:space="preserve"> v. Murphy Oil Company Ltd., et al. (</w:t>
      </w:r>
      <w:r w:rsidR="005C4E55" w:rsidRPr="003A100F">
        <w:rPr>
          <w:sz w:val="20"/>
        </w:rPr>
        <w:t>Alta.) (Civil) (By Leave)</w:t>
      </w:r>
      <w:r w:rsidR="00793ED9" w:rsidRPr="003A100F">
        <w:rPr>
          <w:sz w:val="20"/>
        </w:rPr>
        <w:t xml:space="preserve"> (</w:t>
      </w:r>
      <w:hyperlink r:id="rId12" w:history="1">
        <w:r w:rsidR="00793ED9" w:rsidRPr="003A100F">
          <w:rPr>
            <w:rStyle w:val="Hyperlink"/>
            <w:sz w:val="20"/>
            <w:szCs w:val="20"/>
          </w:rPr>
          <w:t>384</w:t>
        </w:r>
        <w:r w:rsidR="00672266" w:rsidRPr="003A100F">
          <w:rPr>
            <w:rStyle w:val="Hyperlink"/>
            <w:sz w:val="20"/>
            <w:szCs w:val="20"/>
          </w:rPr>
          <w:t>8</w:t>
        </w:r>
        <w:r w:rsidR="00793ED9" w:rsidRPr="003A100F">
          <w:rPr>
            <w:rStyle w:val="Hyperlink"/>
            <w:sz w:val="20"/>
          </w:rPr>
          <w:t>6</w:t>
        </w:r>
      </w:hyperlink>
      <w:r w:rsidR="00793ED9" w:rsidRPr="003A100F">
        <w:rPr>
          <w:sz w:val="20"/>
        </w:rPr>
        <w:t>)</w:t>
      </w:r>
    </w:p>
    <w:p w:rsidR="00EF3BDB" w:rsidRPr="003A100F" w:rsidRDefault="00EF3BDB" w:rsidP="00F9402E">
      <w:pPr>
        <w:ind w:left="357" w:hanging="357"/>
        <w:rPr>
          <w:sz w:val="20"/>
        </w:rPr>
      </w:pPr>
    </w:p>
    <w:p w:rsidR="001A6341" w:rsidRPr="003A100F" w:rsidRDefault="00EF3BDB" w:rsidP="00F9402E">
      <w:pPr>
        <w:pStyle w:val="ListParagraph"/>
        <w:numPr>
          <w:ilvl w:val="0"/>
          <w:numId w:val="39"/>
        </w:numPr>
        <w:ind w:left="357" w:hanging="357"/>
        <w:rPr>
          <w:sz w:val="20"/>
        </w:rPr>
      </w:pPr>
      <w:r w:rsidRPr="003A100F">
        <w:rPr>
          <w:i/>
          <w:sz w:val="20"/>
        </w:rPr>
        <w:t xml:space="preserve">Apotex Inc. v. Eli Lilly and Company, </w:t>
      </w:r>
      <w:r w:rsidR="00A53F32" w:rsidRPr="003A100F">
        <w:rPr>
          <w:i/>
          <w:sz w:val="20"/>
        </w:rPr>
        <w:t>et al.</w:t>
      </w:r>
      <w:r w:rsidRPr="003A100F">
        <w:rPr>
          <w:sz w:val="20"/>
        </w:rPr>
        <w:t xml:space="preserve"> (F.C.) (Civil) (By Leave)</w:t>
      </w:r>
      <w:r w:rsidR="00793ED9" w:rsidRPr="003A100F">
        <w:rPr>
          <w:sz w:val="20"/>
        </w:rPr>
        <w:t xml:space="preserve"> (</w:t>
      </w:r>
      <w:hyperlink r:id="rId13" w:history="1">
        <w:r w:rsidR="00793ED9" w:rsidRPr="003A100F">
          <w:rPr>
            <w:rStyle w:val="Hyperlink"/>
            <w:sz w:val="20"/>
            <w:szCs w:val="20"/>
          </w:rPr>
          <w:t>384</w:t>
        </w:r>
        <w:r w:rsidR="00A53F32" w:rsidRPr="003A100F">
          <w:rPr>
            <w:rStyle w:val="Hyperlink"/>
            <w:sz w:val="20"/>
            <w:szCs w:val="20"/>
          </w:rPr>
          <w:t>85</w:t>
        </w:r>
      </w:hyperlink>
      <w:r w:rsidR="00793ED9" w:rsidRPr="003A100F">
        <w:rPr>
          <w:sz w:val="20"/>
        </w:rPr>
        <w:t>)</w:t>
      </w:r>
    </w:p>
    <w:p w:rsidR="001A6341" w:rsidRPr="003A100F" w:rsidRDefault="001A6341" w:rsidP="00F9402E">
      <w:pPr>
        <w:ind w:left="357" w:hanging="357"/>
        <w:rPr>
          <w:sz w:val="20"/>
        </w:rPr>
      </w:pPr>
    </w:p>
    <w:p w:rsidR="00CC6D80" w:rsidRPr="003A100F" w:rsidRDefault="00CC6D80" w:rsidP="00F9402E">
      <w:pPr>
        <w:pStyle w:val="SCCAppellantInfoAppellantInfo"/>
        <w:numPr>
          <w:ilvl w:val="0"/>
          <w:numId w:val="39"/>
        </w:numPr>
        <w:ind w:left="357" w:hanging="357"/>
        <w:rPr>
          <w:sz w:val="20"/>
          <w:szCs w:val="20"/>
        </w:rPr>
      </w:pPr>
      <w:r w:rsidRPr="003A100F">
        <w:rPr>
          <w:i/>
          <w:sz w:val="20"/>
          <w:szCs w:val="20"/>
        </w:rPr>
        <w:t xml:space="preserve">Aviva Insurance Company of Canada v. Évêque </w:t>
      </w:r>
      <w:r w:rsidR="00C61D17" w:rsidRPr="003A100F">
        <w:rPr>
          <w:i/>
          <w:sz w:val="20"/>
          <w:szCs w:val="20"/>
        </w:rPr>
        <w:t>C</w:t>
      </w:r>
      <w:r w:rsidRPr="003A100F">
        <w:rPr>
          <w:i/>
          <w:sz w:val="20"/>
          <w:szCs w:val="20"/>
        </w:rPr>
        <w:t xml:space="preserve">atholique </w:t>
      </w:r>
      <w:r w:rsidR="00C61D17" w:rsidRPr="003A100F">
        <w:rPr>
          <w:i/>
          <w:sz w:val="20"/>
          <w:szCs w:val="20"/>
        </w:rPr>
        <w:t>R</w:t>
      </w:r>
      <w:r w:rsidRPr="003A100F">
        <w:rPr>
          <w:i/>
          <w:sz w:val="20"/>
          <w:szCs w:val="20"/>
        </w:rPr>
        <w:t>omain de Bathurst</w:t>
      </w:r>
      <w:r w:rsidRPr="003A100F">
        <w:rPr>
          <w:sz w:val="20"/>
          <w:szCs w:val="20"/>
        </w:rPr>
        <w:t xml:space="preserve"> (N.B.) (Civil) (By Leave)</w:t>
      </w:r>
      <w:r w:rsidR="00793ED9" w:rsidRPr="003A100F">
        <w:rPr>
          <w:sz w:val="20"/>
          <w:szCs w:val="20"/>
        </w:rPr>
        <w:t xml:space="preserve"> </w:t>
      </w:r>
      <w:r w:rsidR="00793ED9" w:rsidRPr="003A100F">
        <w:rPr>
          <w:sz w:val="20"/>
        </w:rPr>
        <w:t>(</w:t>
      </w:r>
      <w:hyperlink r:id="rId14" w:history="1">
        <w:r w:rsidR="00793ED9" w:rsidRPr="003A100F">
          <w:rPr>
            <w:rStyle w:val="Hyperlink"/>
            <w:sz w:val="20"/>
            <w:szCs w:val="20"/>
          </w:rPr>
          <w:t>384</w:t>
        </w:r>
        <w:r w:rsidR="00214852" w:rsidRPr="003A100F">
          <w:rPr>
            <w:rStyle w:val="Hyperlink"/>
            <w:sz w:val="20"/>
            <w:szCs w:val="20"/>
          </w:rPr>
          <w:t>43</w:t>
        </w:r>
      </w:hyperlink>
      <w:r w:rsidR="00793ED9" w:rsidRPr="003A100F">
        <w:rPr>
          <w:sz w:val="20"/>
        </w:rPr>
        <w:t>)</w:t>
      </w:r>
    </w:p>
    <w:p w:rsidR="00CC6D80" w:rsidRPr="003A100F" w:rsidRDefault="00CC6D80" w:rsidP="00F9402E">
      <w:pPr>
        <w:ind w:left="357" w:hanging="357"/>
        <w:rPr>
          <w:sz w:val="20"/>
          <w:lang w:val="en-CA"/>
        </w:rPr>
      </w:pPr>
    </w:p>
    <w:p w:rsidR="00CC6D80" w:rsidRPr="003A100F" w:rsidRDefault="00CC6D80" w:rsidP="00F9402E">
      <w:pPr>
        <w:pStyle w:val="SCCAppellantInfoAppellantInfo"/>
        <w:numPr>
          <w:ilvl w:val="0"/>
          <w:numId w:val="39"/>
        </w:numPr>
        <w:ind w:left="357" w:hanging="357"/>
        <w:rPr>
          <w:sz w:val="20"/>
          <w:szCs w:val="20"/>
          <w:lang w:val="fr-CA"/>
        </w:rPr>
      </w:pPr>
      <w:r w:rsidRPr="003A100F">
        <w:rPr>
          <w:i/>
          <w:sz w:val="20"/>
          <w:szCs w:val="20"/>
          <w:lang w:val="fr-CA"/>
        </w:rPr>
        <w:t xml:space="preserve">Ville de Lévis c. Albertine Leclerc </w:t>
      </w:r>
      <w:r w:rsidRPr="003A100F">
        <w:rPr>
          <w:sz w:val="20"/>
          <w:szCs w:val="20"/>
          <w:lang w:val="fr-CA"/>
        </w:rPr>
        <w:t>(Qc) (Civile) (Autorisation)</w:t>
      </w:r>
      <w:r w:rsidR="00793ED9" w:rsidRPr="003A100F">
        <w:rPr>
          <w:sz w:val="20"/>
          <w:szCs w:val="20"/>
          <w:lang w:val="fr-CA"/>
        </w:rPr>
        <w:t xml:space="preserve"> </w:t>
      </w:r>
      <w:r w:rsidR="00793ED9" w:rsidRPr="003A100F">
        <w:rPr>
          <w:sz w:val="20"/>
          <w:lang w:val="fr-CA"/>
        </w:rPr>
        <w:t>(</w:t>
      </w:r>
      <w:hyperlink r:id="rId15" w:history="1">
        <w:r w:rsidR="00793ED9" w:rsidRPr="003A100F">
          <w:rPr>
            <w:rStyle w:val="Hyperlink"/>
            <w:sz w:val="20"/>
            <w:szCs w:val="20"/>
            <w:lang w:val="fr-CA"/>
          </w:rPr>
          <w:t>384</w:t>
        </w:r>
        <w:r w:rsidR="00793ED9" w:rsidRPr="003A100F">
          <w:rPr>
            <w:rStyle w:val="Hyperlink"/>
            <w:sz w:val="20"/>
            <w:lang w:val="fr-CA"/>
          </w:rPr>
          <w:t>1</w:t>
        </w:r>
        <w:r w:rsidR="00E41058" w:rsidRPr="003A100F">
          <w:rPr>
            <w:rStyle w:val="Hyperlink"/>
            <w:sz w:val="20"/>
            <w:lang w:val="fr-CA"/>
          </w:rPr>
          <w:t>4</w:t>
        </w:r>
      </w:hyperlink>
      <w:r w:rsidR="00793ED9" w:rsidRPr="003A100F">
        <w:rPr>
          <w:sz w:val="20"/>
          <w:lang w:val="fr-CA"/>
        </w:rPr>
        <w:t>)</w:t>
      </w:r>
    </w:p>
    <w:p w:rsidR="00CC6D80" w:rsidRPr="003A100F" w:rsidRDefault="00CC6D80" w:rsidP="00F9402E">
      <w:pPr>
        <w:ind w:left="357" w:hanging="357"/>
        <w:rPr>
          <w:sz w:val="20"/>
          <w:lang w:val="fr-CA"/>
        </w:rPr>
      </w:pPr>
    </w:p>
    <w:p w:rsidR="00CC6D80" w:rsidRPr="003A100F" w:rsidRDefault="00CC6D80" w:rsidP="00F9402E">
      <w:pPr>
        <w:pStyle w:val="SCCAppellantInfoAppellantInfo"/>
        <w:numPr>
          <w:ilvl w:val="0"/>
          <w:numId w:val="39"/>
        </w:numPr>
        <w:ind w:left="357" w:hanging="357"/>
        <w:rPr>
          <w:sz w:val="20"/>
          <w:szCs w:val="20"/>
        </w:rPr>
      </w:pPr>
      <w:r w:rsidRPr="003A100F">
        <w:rPr>
          <w:i/>
          <w:sz w:val="20"/>
          <w:szCs w:val="20"/>
        </w:rPr>
        <w:t>Timothy Edward Leahy v. Law Society of Ontario</w:t>
      </w:r>
      <w:r w:rsidR="00A6104E" w:rsidRPr="003A100F">
        <w:rPr>
          <w:sz w:val="20"/>
          <w:szCs w:val="20"/>
        </w:rPr>
        <w:t xml:space="preserve"> (Ont.) (Civil) (By Leave)</w:t>
      </w:r>
      <w:r w:rsidR="00793ED9" w:rsidRPr="003A100F">
        <w:rPr>
          <w:sz w:val="20"/>
          <w:szCs w:val="20"/>
        </w:rPr>
        <w:t xml:space="preserve"> </w:t>
      </w:r>
      <w:r w:rsidR="00793ED9" w:rsidRPr="003A100F">
        <w:rPr>
          <w:sz w:val="20"/>
        </w:rPr>
        <w:t>(</w:t>
      </w:r>
      <w:hyperlink r:id="rId16" w:history="1">
        <w:r w:rsidR="00793ED9" w:rsidRPr="003A100F">
          <w:rPr>
            <w:rStyle w:val="Hyperlink"/>
            <w:sz w:val="20"/>
            <w:szCs w:val="20"/>
          </w:rPr>
          <w:t>38</w:t>
        </w:r>
        <w:r w:rsidR="00A6104E" w:rsidRPr="003A100F">
          <w:rPr>
            <w:rStyle w:val="Hyperlink"/>
            <w:sz w:val="20"/>
            <w:szCs w:val="20"/>
          </w:rPr>
          <w:t>5</w:t>
        </w:r>
        <w:r w:rsidR="00793ED9" w:rsidRPr="003A100F">
          <w:rPr>
            <w:rStyle w:val="Hyperlink"/>
            <w:sz w:val="20"/>
            <w:szCs w:val="20"/>
          </w:rPr>
          <w:t>4</w:t>
        </w:r>
        <w:r w:rsidR="00793ED9" w:rsidRPr="003A100F">
          <w:rPr>
            <w:rStyle w:val="Hyperlink"/>
            <w:sz w:val="20"/>
          </w:rPr>
          <w:t>1</w:t>
        </w:r>
      </w:hyperlink>
      <w:r w:rsidR="00793ED9" w:rsidRPr="003A100F">
        <w:rPr>
          <w:sz w:val="20"/>
        </w:rPr>
        <w:t>)</w:t>
      </w:r>
    </w:p>
    <w:p w:rsidR="00CC6D80" w:rsidRPr="003A100F" w:rsidRDefault="00CC6D80" w:rsidP="00F9402E">
      <w:pPr>
        <w:ind w:left="357" w:hanging="357"/>
        <w:rPr>
          <w:sz w:val="20"/>
          <w:lang w:val="en-CA"/>
        </w:rPr>
      </w:pPr>
    </w:p>
    <w:p w:rsidR="00CC6D80" w:rsidRPr="003A100F" w:rsidRDefault="00CC6D80" w:rsidP="00F9402E">
      <w:pPr>
        <w:pStyle w:val="SCCAppellantInfoAppellantInfo"/>
        <w:numPr>
          <w:ilvl w:val="0"/>
          <w:numId w:val="39"/>
        </w:numPr>
        <w:ind w:left="357" w:hanging="357"/>
        <w:rPr>
          <w:sz w:val="20"/>
          <w:szCs w:val="20"/>
          <w:lang w:val="en-US"/>
        </w:rPr>
      </w:pPr>
      <w:r w:rsidRPr="003A100F">
        <w:rPr>
          <w:i/>
          <w:sz w:val="20"/>
          <w:szCs w:val="20"/>
        </w:rPr>
        <w:t xml:space="preserve">A.J., et al. v. </w:t>
      </w:r>
      <w:r w:rsidR="00C862CF" w:rsidRPr="003A100F">
        <w:rPr>
          <w:i/>
          <w:sz w:val="20"/>
          <w:szCs w:val="20"/>
        </w:rPr>
        <w:t>Attorney General of British Columbia</w:t>
      </w:r>
      <w:r w:rsidRPr="003A100F">
        <w:rPr>
          <w:sz w:val="20"/>
          <w:szCs w:val="20"/>
        </w:rPr>
        <w:t xml:space="preserve"> (B.C.) </w:t>
      </w:r>
      <w:r w:rsidRPr="003A100F">
        <w:rPr>
          <w:sz w:val="20"/>
          <w:szCs w:val="20"/>
          <w:lang w:val="en-US"/>
        </w:rPr>
        <w:t>(Civil) (By Leave)</w:t>
      </w:r>
      <w:r w:rsidR="00793ED9" w:rsidRPr="003A100F">
        <w:rPr>
          <w:sz w:val="20"/>
          <w:szCs w:val="20"/>
          <w:lang w:val="en-US"/>
        </w:rPr>
        <w:t xml:space="preserve"> </w:t>
      </w:r>
      <w:r w:rsidR="00793ED9" w:rsidRPr="003A100F">
        <w:rPr>
          <w:sz w:val="20"/>
        </w:rPr>
        <w:t>(</w:t>
      </w:r>
      <w:hyperlink r:id="rId17" w:history="1">
        <w:r w:rsidR="00793ED9" w:rsidRPr="003A100F">
          <w:rPr>
            <w:rStyle w:val="Hyperlink"/>
            <w:sz w:val="20"/>
            <w:szCs w:val="20"/>
          </w:rPr>
          <w:t>38</w:t>
        </w:r>
        <w:r w:rsidR="000B1EEF" w:rsidRPr="003A100F">
          <w:rPr>
            <w:rStyle w:val="Hyperlink"/>
            <w:sz w:val="20"/>
            <w:szCs w:val="20"/>
          </w:rPr>
          <w:t>538</w:t>
        </w:r>
      </w:hyperlink>
      <w:r w:rsidR="00793ED9" w:rsidRPr="003A100F">
        <w:rPr>
          <w:sz w:val="20"/>
        </w:rPr>
        <w:t>)</w:t>
      </w:r>
    </w:p>
    <w:p w:rsidR="002E2FEF" w:rsidRPr="003A100F" w:rsidRDefault="002E2FEF" w:rsidP="00F9402E">
      <w:pPr>
        <w:ind w:left="357" w:hanging="357"/>
        <w:rPr>
          <w:rFonts w:eastAsia="Calibri"/>
          <w:sz w:val="20"/>
          <w:lang w:val="en-CA"/>
        </w:rPr>
      </w:pPr>
    </w:p>
    <w:p w:rsidR="00C362CD" w:rsidRPr="003A100F" w:rsidRDefault="00C362CD" w:rsidP="00F9402E">
      <w:pPr>
        <w:pStyle w:val="ListParagraph"/>
        <w:numPr>
          <w:ilvl w:val="0"/>
          <w:numId w:val="39"/>
        </w:numPr>
        <w:ind w:left="357" w:hanging="357"/>
        <w:rPr>
          <w:rFonts w:eastAsia="Calibri"/>
          <w:sz w:val="20"/>
          <w:lang w:val="en-CA"/>
        </w:rPr>
      </w:pPr>
      <w:r w:rsidRPr="003A100F">
        <w:rPr>
          <w:rFonts w:eastAsia="Calibri"/>
          <w:i/>
          <w:sz w:val="20"/>
          <w:lang w:val="en-CA"/>
        </w:rPr>
        <w:t>EJB v. Her Majesty the Queen</w:t>
      </w:r>
      <w:r w:rsidRPr="003A100F">
        <w:rPr>
          <w:rFonts w:eastAsia="Calibri"/>
          <w:sz w:val="20"/>
          <w:lang w:val="en-CA"/>
        </w:rPr>
        <w:t xml:space="preserve"> (Alta.) (Criminal) (By Leave) </w:t>
      </w:r>
      <w:r w:rsidRPr="003A100F">
        <w:rPr>
          <w:sz w:val="20"/>
        </w:rPr>
        <w:t>(</w:t>
      </w:r>
      <w:hyperlink r:id="rId18" w:history="1">
        <w:r w:rsidRPr="003A100F">
          <w:rPr>
            <w:rStyle w:val="Hyperlink"/>
            <w:sz w:val="20"/>
            <w:szCs w:val="20"/>
          </w:rPr>
          <w:t>38</w:t>
        </w:r>
        <w:r w:rsidR="00990557" w:rsidRPr="003A100F">
          <w:rPr>
            <w:rStyle w:val="Hyperlink"/>
            <w:sz w:val="20"/>
            <w:szCs w:val="20"/>
          </w:rPr>
          <w:t>367</w:t>
        </w:r>
      </w:hyperlink>
      <w:r w:rsidRPr="003A100F">
        <w:rPr>
          <w:sz w:val="20"/>
        </w:rPr>
        <w:t>)</w:t>
      </w:r>
    </w:p>
    <w:p w:rsidR="00C362CD" w:rsidRPr="003A100F" w:rsidRDefault="00C362CD" w:rsidP="00F9402E">
      <w:pPr>
        <w:ind w:left="357" w:hanging="357"/>
        <w:rPr>
          <w:sz w:val="20"/>
        </w:rPr>
      </w:pPr>
    </w:p>
    <w:p w:rsidR="00CC6D80" w:rsidRPr="003A100F" w:rsidRDefault="00CC6D80" w:rsidP="00F9402E">
      <w:pPr>
        <w:pStyle w:val="ListParagraph"/>
        <w:numPr>
          <w:ilvl w:val="0"/>
          <w:numId w:val="39"/>
        </w:numPr>
        <w:ind w:left="357" w:hanging="357"/>
        <w:rPr>
          <w:rFonts w:eastAsia="Calibri"/>
          <w:sz w:val="20"/>
          <w:lang w:val="fr-CA"/>
        </w:rPr>
      </w:pPr>
      <w:r w:rsidRPr="003A100F">
        <w:rPr>
          <w:rFonts w:eastAsia="Calibri"/>
          <w:i/>
          <w:sz w:val="20"/>
          <w:lang w:val="fr-CA"/>
        </w:rPr>
        <w:t xml:space="preserve">Yves Montplaisir c. Jacques Mondou, et al. </w:t>
      </w:r>
      <w:r w:rsidRPr="003A100F">
        <w:rPr>
          <w:rFonts w:eastAsia="Calibri"/>
          <w:sz w:val="20"/>
          <w:lang w:val="fr-CA"/>
        </w:rPr>
        <w:t>(Qc) (Civile) (Autorisation)</w:t>
      </w:r>
      <w:r w:rsidR="00793ED9" w:rsidRPr="003A100F">
        <w:rPr>
          <w:rFonts w:eastAsia="Calibri"/>
          <w:sz w:val="20"/>
          <w:lang w:val="fr-CA"/>
        </w:rPr>
        <w:t xml:space="preserve"> </w:t>
      </w:r>
      <w:r w:rsidR="00793ED9" w:rsidRPr="003A100F">
        <w:rPr>
          <w:sz w:val="20"/>
          <w:lang w:val="fr-CA"/>
        </w:rPr>
        <w:t>(</w:t>
      </w:r>
      <w:hyperlink r:id="rId19" w:history="1">
        <w:r w:rsidR="00793ED9" w:rsidRPr="003A100F">
          <w:rPr>
            <w:rStyle w:val="Hyperlink"/>
            <w:sz w:val="20"/>
            <w:szCs w:val="20"/>
            <w:lang w:val="fr-CA"/>
          </w:rPr>
          <w:t>38</w:t>
        </w:r>
        <w:r w:rsidR="00A52FA3" w:rsidRPr="003A100F">
          <w:rPr>
            <w:rStyle w:val="Hyperlink"/>
            <w:sz w:val="20"/>
            <w:szCs w:val="20"/>
            <w:lang w:val="fr-CA"/>
          </w:rPr>
          <w:t>528</w:t>
        </w:r>
      </w:hyperlink>
      <w:r w:rsidR="00793ED9" w:rsidRPr="003A100F">
        <w:rPr>
          <w:sz w:val="20"/>
          <w:lang w:val="fr-CA"/>
        </w:rPr>
        <w:t>)</w:t>
      </w:r>
    </w:p>
    <w:p w:rsidR="00CC6D80" w:rsidRPr="003A100F" w:rsidRDefault="00CC6D80" w:rsidP="00F9402E">
      <w:pPr>
        <w:widowControl w:val="0"/>
        <w:autoSpaceDE w:val="0"/>
        <w:autoSpaceDN w:val="0"/>
        <w:adjustRightInd w:val="0"/>
        <w:ind w:left="357" w:hanging="357"/>
        <w:rPr>
          <w:rFonts w:eastAsia="Calibri"/>
          <w:sz w:val="20"/>
          <w:lang w:val="fr-CA"/>
        </w:rPr>
      </w:pPr>
    </w:p>
    <w:p w:rsidR="00917B03" w:rsidRPr="003A100F" w:rsidRDefault="00917B03" w:rsidP="00F9402E">
      <w:pPr>
        <w:pStyle w:val="ListParagraph"/>
        <w:numPr>
          <w:ilvl w:val="0"/>
          <w:numId w:val="39"/>
        </w:numPr>
        <w:ind w:left="357" w:hanging="357"/>
        <w:rPr>
          <w:rFonts w:eastAsia="Calibri"/>
          <w:sz w:val="20"/>
          <w:lang w:val="en-CA"/>
        </w:rPr>
      </w:pPr>
      <w:r w:rsidRPr="003A100F">
        <w:rPr>
          <w:rFonts w:eastAsia="Calibri"/>
          <w:i/>
          <w:sz w:val="20"/>
          <w:lang w:val="en-CA"/>
        </w:rPr>
        <w:lastRenderedPageBreak/>
        <w:t>Wood Group Mustang (Canada) Inc., formerly IMV Projects Inc.</w:t>
      </w:r>
      <w:r w:rsidR="001201D7" w:rsidRPr="003A100F">
        <w:rPr>
          <w:rFonts w:eastAsia="Calibri"/>
          <w:i/>
          <w:sz w:val="20"/>
          <w:lang w:val="en-CA"/>
        </w:rPr>
        <w:t>, et al.</w:t>
      </w:r>
      <w:r w:rsidRPr="003A100F">
        <w:rPr>
          <w:rFonts w:eastAsia="Calibri"/>
          <w:i/>
          <w:sz w:val="20"/>
          <w:lang w:val="en-CA"/>
        </w:rPr>
        <w:t xml:space="preserve"> v. Canadian Natural Resources Limited</w:t>
      </w:r>
      <w:r w:rsidR="001201D7" w:rsidRPr="003A100F">
        <w:rPr>
          <w:rFonts w:eastAsia="Calibri"/>
          <w:i/>
          <w:sz w:val="20"/>
          <w:lang w:val="en-CA"/>
        </w:rPr>
        <w:t>, et al.</w:t>
      </w:r>
      <w:r w:rsidRPr="003A100F">
        <w:rPr>
          <w:rFonts w:eastAsia="Calibri"/>
          <w:sz w:val="20"/>
          <w:lang w:val="en-CA"/>
        </w:rPr>
        <w:t xml:space="preserve"> (Alta.) (Civil) (By Leave) </w:t>
      </w:r>
      <w:r w:rsidRPr="003A100F">
        <w:rPr>
          <w:sz w:val="20"/>
        </w:rPr>
        <w:t>(</w:t>
      </w:r>
      <w:hyperlink r:id="rId20" w:history="1">
        <w:r w:rsidRPr="003A100F">
          <w:rPr>
            <w:rStyle w:val="Hyperlink"/>
            <w:sz w:val="20"/>
            <w:szCs w:val="20"/>
          </w:rPr>
          <w:t>38</w:t>
        </w:r>
        <w:r w:rsidR="000632D7" w:rsidRPr="003A100F">
          <w:rPr>
            <w:rStyle w:val="Hyperlink"/>
            <w:sz w:val="20"/>
            <w:szCs w:val="20"/>
          </w:rPr>
          <w:t>39</w:t>
        </w:r>
        <w:r w:rsidRPr="003A100F">
          <w:rPr>
            <w:rStyle w:val="Hyperlink"/>
            <w:sz w:val="20"/>
            <w:szCs w:val="20"/>
          </w:rPr>
          <w:t>6</w:t>
        </w:r>
      </w:hyperlink>
      <w:r w:rsidRPr="003A100F">
        <w:rPr>
          <w:sz w:val="20"/>
        </w:rPr>
        <w:t>)</w:t>
      </w:r>
    </w:p>
    <w:p w:rsidR="00917B03" w:rsidRPr="003A100F" w:rsidRDefault="00917B03" w:rsidP="00F9402E">
      <w:pPr>
        <w:widowControl w:val="0"/>
        <w:autoSpaceDE w:val="0"/>
        <w:autoSpaceDN w:val="0"/>
        <w:adjustRightInd w:val="0"/>
        <w:ind w:left="357" w:hanging="357"/>
        <w:rPr>
          <w:rFonts w:eastAsia="Calibri"/>
          <w:sz w:val="20"/>
        </w:rPr>
      </w:pPr>
    </w:p>
    <w:p w:rsidR="00CC6D80" w:rsidRPr="003A100F" w:rsidRDefault="00CC6D80" w:rsidP="00F9402E">
      <w:pPr>
        <w:pStyle w:val="ListParagraph"/>
        <w:numPr>
          <w:ilvl w:val="0"/>
          <w:numId w:val="39"/>
        </w:numPr>
        <w:ind w:left="357" w:hanging="357"/>
        <w:rPr>
          <w:rFonts w:eastAsia="Calibri"/>
          <w:sz w:val="20"/>
          <w:lang w:val="en-CA"/>
        </w:rPr>
      </w:pPr>
      <w:r w:rsidRPr="003A100F">
        <w:rPr>
          <w:rFonts w:eastAsia="Calibri"/>
          <w:i/>
          <w:sz w:val="20"/>
          <w:lang w:val="en-CA"/>
        </w:rPr>
        <w:t>Bitupu Mufuta v. Her Majesty the Queen</w:t>
      </w:r>
      <w:r w:rsidRPr="003A100F">
        <w:rPr>
          <w:rFonts w:eastAsia="Calibri"/>
          <w:sz w:val="20"/>
          <w:lang w:val="en-CA"/>
        </w:rPr>
        <w:t xml:space="preserve"> (Alta.) (Criminal) (By Leave)</w:t>
      </w:r>
      <w:r w:rsidR="00793ED9" w:rsidRPr="003A100F">
        <w:rPr>
          <w:rFonts w:eastAsia="Calibri"/>
          <w:sz w:val="20"/>
          <w:lang w:val="en-CA"/>
        </w:rPr>
        <w:t xml:space="preserve"> </w:t>
      </w:r>
      <w:r w:rsidR="00793ED9" w:rsidRPr="003A100F">
        <w:rPr>
          <w:sz w:val="20"/>
        </w:rPr>
        <w:t>(</w:t>
      </w:r>
      <w:hyperlink r:id="rId21" w:history="1">
        <w:r w:rsidR="00793ED9" w:rsidRPr="003A100F">
          <w:rPr>
            <w:rStyle w:val="Hyperlink"/>
            <w:sz w:val="20"/>
            <w:szCs w:val="20"/>
          </w:rPr>
          <w:t>384</w:t>
        </w:r>
        <w:r w:rsidR="00476077" w:rsidRPr="003A100F">
          <w:rPr>
            <w:rStyle w:val="Hyperlink"/>
            <w:sz w:val="20"/>
            <w:szCs w:val="20"/>
          </w:rPr>
          <w:t>88</w:t>
        </w:r>
      </w:hyperlink>
      <w:r w:rsidR="00793ED9" w:rsidRPr="003A100F">
        <w:rPr>
          <w:sz w:val="20"/>
        </w:rPr>
        <w:t>)</w:t>
      </w:r>
    </w:p>
    <w:p w:rsidR="00CC6D80" w:rsidRPr="003A100F" w:rsidRDefault="00CC6D80" w:rsidP="00F9402E">
      <w:pPr>
        <w:ind w:left="357" w:hanging="357"/>
        <w:rPr>
          <w:rFonts w:eastAsia="Calibri"/>
          <w:sz w:val="20"/>
          <w:lang w:val="en-CA"/>
        </w:rPr>
      </w:pPr>
    </w:p>
    <w:p w:rsidR="00CC6D80" w:rsidRPr="003A100F" w:rsidRDefault="00CC6D80" w:rsidP="00F9402E">
      <w:pPr>
        <w:pStyle w:val="ListParagraph"/>
        <w:numPr>
          <w:ilvl w:val="0"/>
          <w:numId w:val="39"/>
        </w:numPr>
        <w:ind w:left="357" w:hanging="357"/>
        <w:rPr>
          <w:rFonts w:eastAsia="Calibri"/>
          <w:sz w:val="20"/>
          <w:lang w:val="en-CA"/>
        </w:rPr>
      </w:pPr>
      <w:r w:rsidRPr="003A100F">
        <w:rPr>
          <w:rFonts w:eastAsia="Calibri"/>
          <w:i/>
          <w:sz w:val="20"/>
          <w:lang w:val="en-CA"/>
        </w:rPr>
        <w:t>Anatoly Kimaev v. Her Majesty the Queen</w:t>
      </w:r>
      <w:r w:rsidRPr="003A100F">
        <w:rPr>
          <w:rFonts w:eastAsia="Calibri"/>
          <w:sz w:val="20"/>
          <w:lang w:val="en-CA"/>
        </w:rPr>
        <w:t xml:space="preserve"> (Ont.) (Criminal) (By Leave)</w:t>
      </w:r>
      <w:r w:rsidR="00793ED9" w:rsidRPr="003A100F">
        <w:rPr>
          <w:rFonts w:eastAsia="Calibri"/>
          <w:sz w:val="20"/>
          <w:lang w:val="en-CA"/>
        </w:rPr>
        <w:t xml:space="preserve"> </w:t>
      </w:r>
      <w:r w:rsidR="00793ED9" w:rsidRPr="003A100F">
        <w:rPr>
          <w:sz w:val="20"/>
        </w:rPr>
        <w:t>(</w:t>
      </w:r>
      <w:hyperlink r:id="rId22" w:history="1">
        <w:r w:rsidR="00793ED9" w:rsidRPr="003A100F">
          <w:rPr>
            <w:rStyle w:val="Hyperlink"/>
            <w:sz w:val="20"/>
            <w:szCs w:val="20"/>
          </w:rPr>
          <w:t>38</w:t>
        </w:r>
        <w:r w:rsidR="00476077" w:rsidRPr="003A100F">
          <w:rPr>
            <w:rStyle w:val="Hyperlink"/>
            <w:sz w:val="20"/>
            <w:szCs w:val="20"/>
          </w:rPr>
          <w:t>52</w:t>
        </w:r>
        <w:r w:rsidR="00793ED9" w:rsidRPr="003A100F">
          <w:rPr>
            <w:rStyle w:val="Hyperlink"/>
            <w:sz w:val="20"/>
          </w:rPr>
          <w:t>6</w:t>
        </w:r>
      </w:hyperlink>
      <w:r w:rsidR="00793ED9" w:rsidRPr="003A100F">
        <w:rPr>
          <w:sz w:val="20"/>
        </w:rPr>
        <w:t>)</w:t>
      </w:r>
    </w:p>
    <w:p w:rsidR="00CC6D80" w:rsidRPr="003A100F" w:rsidRDefault="00CC6D80" w:rsidP="00F9402E">
      <w:pPr>
        <w:ind w:left="357" w:hanging="357"/>
        <w:rPr>
          <w:rFonts w:eastAsia="Calibri"/>
          <w:sz w:val="20"/>
          <w:lang w:val="en-CA"/>
        </w:rPr>
      </w:pPr>
    </w:p>
    <w:p w:rsidR="00550BD7" w:rsidRPr="003A100F" w:rsidRDefault="00550BD7" w:rsidP="00F9402E">
      <w:pPr>
        <w:pStyle w:val="ListParagraph"/>
        <w:numPr>
          <w:ilvl w:val="0"/>
          <w:numId w:val="39"/>
        </w:numPr>
        <w:ind w:left="357" w:hanging="357"/>
        <w:rPr>
          <w:sz w:val="20"/>
        </w:rPr>
      </w:pPr>
      <w:r w:rsidRPr="003A100F">
        <w:rPr>
          <w:i/>
          <w:sz w:val="20"/>
        </w:rPr>
        <w:t>P.S. Knight Co. Ltd., et al. v. Canadian Standards Association</w:t>
      </w:r>
      <w:r w:rsidRPr="003A100F">
        <w:rPr>
          <w:sz w:val="20"/>
        </w:rPr>
        <w:t xml:space="preserve"> (F.C.) (Civil) (By Leave) (</w:t>
      </w:r>
      <w:hyperlink r:id="rId23" w:history="1">
        <w:r w:rsidR="008E068D" w:rsidRPr="003A100F">
          <w:rPr>
            <w:rStyle w:val="Hyperlink"/>
            <w:sz w:val="20"/>
            <w:szCs w:val="20"/>
          </w:rPr>
          <w:t>3850</w:t>
        </w:r>
        <w:r w:rsidRPr="003A100F">
          <w:rPr>
            <w:rStyle w:val="Hyperlink"/>
            <w:sz w:val="20"/>
          </w:rPr>
          <w:t>6</w:t>
        </w:r>
      </w:hyperlink>
      <w:r w:rsidRPr="003A100F">
        <w:rPr>
          <w:sz w:val="20"/>
        </w:rPr>
        <w:t>)</w:t>
      </w:r>
    </w:p>
    <w:p w:rsidR="00550BD7" w:rsidRPr="003A100F" w:rsidRDefault="00550BD7" w:rsidP="00F9402E">
      <w:pPr>
        <w:ind w:left="357" w:hanging="357"/>
        <w:rPr>
          <w:rFonts w:eastAsia="Calibri"/>
          <w:sz w:val="20"/>
          <w:lang w:val="en-CA"/>
        </w:rPr>
      </w:pPr>
    </w:p>
    <w:p w:rsidR="00CC6D80" w:rsidRPr="003A100F" w:rsidRDefault="00CC6D80" w:rsidP="00F9402E">
      <w:pPr>
        <w:pStyle w:val="ListParagraph"/>
        <w:numPr>
          <w:ilvl w:val="0"/>
          <w:numId w:val="39"/>
        </w:numPr>
        <w:ind w:left="357" w:hanging="357"/>
        <w:rPr>
          <w:rFonts w:eastAsia="Calibri"/>
          <w:sz w:val="20"/>
          <w:lang w:val="en-CA"/>
        </w:rPr>
      </w:pPr>
      <w:r w:rsidRPr="003A100F">
        <w:rPr>
          <w:rFonts w:eastAsia="Calibri"/>
          <w:i/>
          <w:sz w:val="20"/>
          <w:lang w:val="en-CA"/>
        </w:rPr>
        <w:t>James Cyrynowski v. Alberta Human Rights Commission (Chief of the Commission and Tribunals)</w:t>
      </w:r>
      <w:r w:rsidRPr="003A100F">
        <w:rPr>
          <w:rFonts w:eastAsia="Calibri"/>
          <w:sz w:val="20"/>
          <w:lang w:val="en-CA"/>
        </w:rPr>
        <w:t xml:space="preserve"> (Alta.) (Civil) (As of Right)</w:t>
      </w:r>
      <w:r w:rsidR="00793ED9" w:rsidRPr="003A100F">
        <w:rPr>
          <w:rFonts w:eastAsia="Calibri"/>
          <w:sz w:val="20"/>
          <w:lang w:val="en-CA"/>
        </w:rPr>
        <w:t xml:space="preserve"> </w:t>
      </w:r>
      <w:r w:rsidR="00793ED9" w:rsidRPr="003A100F">
        <w:rPr>
          <w:sz w:val="20"/>
        </w:rPr>
        <w:t>(</w:t>
      </w:r>
      <w:hyperlink r:id="rId24" w:history="1">
        <w:r w:rsidR="00793ED9" w:rsidRPr="003A100F">
          <w:rPr>
            <w:rStyle w:val="Hyperlink"/>
            <w:sz w:val="20"/>
            <w:szCs w:val="20"/>
          </w:rPr>
          <w:t>38</w:t>
        </w:r>
        <w:r w:rsidR="00CE3697" w:rsidRPr="003A100F">
          <w:rPr>
            <w:rStyle w:val="Hyperlink"/>
            <w:sz w:val="20"/>
            <w:szCs w:val="20"/>
          </w:rPr>
          <w:t>527</w:t>
        </w:r>
      </w:hyperlink>
      <w:r w:rsidR="00793ED9" w:rsidRPr="003A100F">
        <w:rPr>
          <w:sz w:val="20"/>
        </w:rPr>
        <w:t>)</w:t>
      </w:r>
    </w:p>
    <w:p w:rsidR="00CC6D80" w:rsidRPr="003A100F" w:rsidRDefault="00CC6D80" w:rsidP="00F9402E">
      <w:pPr>
        <w:ind w:left="357" w:hanging="357"/>
        <w:rPr>
          <w:rFonts w:eastAsia="Calibri"/>
          <w:sz w:val="20"/>
          <w:lang w:val="en-CA"/>
        </w:rPr>
      </w:pPr>
    </w:p>
    <w:p w:rsidR="00CC6D80" w:rsidRPr="003A100F" w:rsidRDefault="00CC6D80" w:rsidP="00F9402E">
      <w:pPr>
        <w:pStyle w:val="ListParagraph"/>
        <w:numPr>
          <w:ilvl w:val="0"/>
          <w:numId w:val="39"/>
        </w:numPr>
        <w:ind w:left="357" w:hanging="357"/>
        <w:rPr>
          <w:rFonts w:eastAsia="Calibri"/>
          <w:sz w:val="20"/>
          <w:lang w:val="en-CA"/>
        </w:rPr>
      </w:pPr>
      <w:r w:rsidRPr="003A100F">
        <w:rPr>
          <w:rFonts w:eastAsia="Calibri"/>
          <w:i/>
          <w:sz w:val="20"/>
          <w:lang w:val="en-CA"/>
        </w:rPr>
        <w:t>Darrell Wayne Volden v. Her Majesty the Queen</w:t>
      </w:r>
      <w:r w:rsidRPr="003A100F">
        <w:rPr>
          <w:rFonts w:eastAsia="Calibri"/>
          <w:sz w:val="20"/>
          <w:lang w:val="en-CA"/>
        </w:rPr>
        <w:t xml:space="preserve"> (Man.) (Criminal) (By</w:t>
      </w:r>
      <w:r w:rsidR="001A4F4E" w:rsidRPr="003A100F">
        <w:rPr>
          <w:rFonts w:eastAsia="Calibri"/>
          <w:sz w:val="20"/>
          <w:lang w:val="en-CA"/>
        </w:rPr>
        <w:t xml:space="preserve"> </w:t>
      </w:r>
      <w:r w:rsidRPr="003A100F">
        <w:rPr>
          <w:rFonts w:eastAsia="Calibri"/>
          <w:sz w:val="20"/>
          <w:lang w:val="en-CA"/>
        </w:rPr>
        <w:t>Leave)</w:t>
      </w:r>
      <w:r w:rsidR="00793ED9" w:rsidRPr="003A100F">
        <w:rPr>
          <w:rFonts w:eastAsia="Calibri"/>
          <w:sz w:val="20"/>
          <w:lang w:val="en-CA"/>
        </w:rPr>
        <w:t xml:space="preserve"> </w:t>
      </w:r>
      <w:r w:rsidR="00793ED9" w:rsidRPr="003A100F">
        <w:rPr>
          <w:sz w:val="20"/>
        </w:rPr>
        <w:t>(</w:t>
      </w:r>
      <w:hyperlink r:id="rId25" w:history="1">
        <w:r w:rsidR="00793ED9" w:rsidRPr="003A100F">
          <w:rPr>
            <w:rStyle w:val="Hyperlink"/>
            <w:sz w:val="20"/>
            <w:szCs w:val="20"/>
          </w:rPr>
          <w:t>384</w:t>
        </w:r>
        <w:r w:rsidR="00E21422" w:rsidRPr="003A100F">
          <w:rPr>
            <w:rStyle w:val="Hyperlink"/>
            <w:sz w:val="20"/>
            <w:szCs w:val="20"/>
          </w:rPr>
          <w:t>94</w:t>
        </w:r>
      </w:hyperlink>
      <w:r w:rsidR="00793ED9" w:rsidRPr="003A100F">
        <w:rPr>
          <w:sz w:val="20"/>
        </w:rPr>
        <w:t>)</w:t>
      </w:r>
    </w:p>
    <w:p w:rsidR="00CC6D80" w:rsidRPr="003A100F" w:rsidRDefault="00CC6D80" w:rsidP="00F9402E">
      <w:pPr>
        <w:widowControl w:val="0"/>
        <w:autoSpaceDE w:val="0"/>
        <w:autoSpaceDN w:val="0"/>
        <w:adjustRightInd w:val="0"/>
        <w:ind w:left="357" w:hanging="357"/>
        <w:rPr>
          <w:sz w:val="20"/>
          <w:lang w:val="en-CA"/>
        </w:rPr>
      </w:pPr>
    </w:p>
    <w:p w:rsidR="00CC6D80" w:rsidRPr="003A100F" w:rsidRDefault="00CC6D80" w:rsidP="00F9402E">
      <w:pPr>
        <w:pStyle w:val="ListParagraph"/>
        <w:numPr>
          <w:ilvl w:val="0"/>
          <w:numId w:val="39"/>
        </w:numPr>
        <w:ind w:left="357" w:hanging="357"/>
        <w:rPr>
          <w:rFonts w:eastAsia="Calibri"/>
          <w:sz w:val="20"/>
          <w:lang w:val="en-CA"/>
        </w:rPr>
      </w:pPr>
      <w:r w:rsidRPr="003A100F">
        <w:rPr>
          <w:rFonts w:eastAsia="Calibri"/>
          <w:i/>
          <w:sz w:val="20"/>
          <w:lang w:val="en-CA"/>
        </w:rPr>
        <w:t>Timothy Cyril Sullivan v. Ontario College of Teachers</w:t>
      </w:r>
      <w:r w:rsidRPr="003A100F">
        <w:rPr>
          <w:rFonts w:eastAsia="Calibri"/>
          <w:sz w:val="20"/>
          <w:lang w:val="en-CA"/>
        </w:rPr>
        <w:t xml:space="preserve"> (Ont.) (Civil) (By</w:t>
      </w:r>
      <w:r w:rsidR="001A4F4E" w:rsidRPr="003A100F">
        <w:rPr>
          <w:rFonts w:eastAsia="Calibri"/>
          <w:sz w:val="20"/>
          <w:lang w:val="en-CA"/>
        </w:rPr>
        <w:t xml:space="preserve"> </w:t>
      </w:r>
      <w:r w:rsidRPr="003A100F">
        <w:rPr>
          <w:rFonts w:eastAsia="Calibri"/>
          <w:sz w:val="20"/>
          <w:lang w:val="en-CA"/>
        </w:rPr>
        <w:t>Leave)</w:t>
      </w:r>
      <w:r w:rsidR="00793ED9" w:rsidRPr="003A100F">
        <w:rPr>
          <w:rFonts w:eastAsia="Calibri"/>
          <w:sz w:val="20"/>
          <w:lang w:val="en-CA"/>
        </w:rPr>
        <w:t xml:space="preserve"> </w:t>
      </w:r>
      <w:r w:rsidR="00793ED9" w:rsidRPr="003A100F">
        <w:rPr>
          <w:sz w:val="20"/>
        </w:rPr>
        <w:t>(</w:t>
      </w:r>
      <w:hyperlink r:id="rId26" w:history="1">
        <w:r w:rsidR="00793ED9" w:rsidRPr="003A100F">
          <w:rPr>
            <w:rStyle w:val="Hyperlink"/>
            <w:sz w:val="20"/>
            <w:szCs w:val="20"/>
          </w:rPr>
          <w:t>38</w:t>
        </w:r>
        <w:r w:rsidR="00A83266" w:rsidRPr="003A100F">
          <w:rPr>
            <w:rStyle w:val="Hyperlink"/>
            <w:sz w:val="20"/>
            <w:szCs w:val="20"/>
          </w:rPr>
          <w:t>525</w:t>
        </w:r>
      </w:hyperlink>
      <w:r w:rsidR="00793ED9" w:rsidRPr="003A100F">
        <w:rPr>
          <w:sz w:val="20"/>
        </w:rPr>
        <w:t>)</w:t>
      </w:r>
    </w:p>
    <w:p w:rsidR="00CC6D80" w:rsidRPr="003A100F" w:rsidRDefault="00CC6D80" w:rsidP="00F9402E">
      <w:pPr>
        <w:ind w:left="357" w:hanging="357"/>
        <w:rPr>
          <w:rFonts w:eastAsia="Calibri"/>
          <w:sz w:val="20"/>
          <w:lang w:val="en-CA"/>
        </w:rPr>
      </w:pPr>
    </w:p>
    <w:p w:rsidR="00CC6D80" w:rsidRPr="003A100F" w:rsidRDefault="00CC6D80" w:rsidP="00F9402E">
      <w:pPr>
        <w:pStyle w:val="ListParagraph"/>
        <w:numPr>
          <w:ilvl w:val="0"/>
          <w:numId w:val="39"/>
        </w:numPr>
        <w:ind w:left="357" w:hanging="357"/>
        <w:rPr>
          <w:rFonts w:eastAsia="Calibri"/>
          <w:sz w:val="20"/>
          <w:lang w:val="en-CA"/>
        </w:rPr>
      </w:pPr>
      <w:r w:rsidRPr="003A100F">
        <w:rPr>
          <w:rFonts w:eastAsia="Calibri"/>
          <w:i/>
          <w:sz w:val="20"/>
          <w:lang w:val="en-CA"/>
        </w:rPr>
        <w:t>Cynthia Rebecca Delores LeRoy v. Century Services Corp.</w:t>
      </w:r>
      <w:r w:rsidRPr="003A100F">
        <w:rPr>
          <w:rFonts w:eastAsia="Calibri"/>
          <w:sz w:val="20"/>
          <w:lang w:val="en-CA"/>
        </w:rPr>
        <w:t xml:space="preserve"> (B.C.) (Civil) (By Leave)</w:t>
      </w:r>
      <w:r w:rsidR="00793ED9" w:rsidRPr="003A100F">
        <w:rPr>
          <w:rFonts w:eastAsia="Calibri"/>
          <w:sz w:val="20"/>
          <w:lang w:val="en-CA"/>
        </w:rPr>
        <w:t xml:space="preserve"> </w:t>
      </w:r>
      <w:r w:rsidR="00793ED9" w:rsidRPr="003A100F">
        <w:rPr>
          <w:sz w:val="20"/>
        </w:rPr>
        <w:t>(</w:t>
      </w:r>
      <w:hyperlink r:id="rId27" w:history="1">
        <w:r w:rsidR="00793ED9" w:rsidRPr="003A100F">
          <w:rPr>
            <w:rStyle w:val="Hyperlink"/>
            <w:sz w:val="20"/>
            <w:szCs w:val="20"/>
          </w:rPr>
          <w:t>384</w:t>
        </w:r>
        <w:r w:rsidR="00604C44" w:rsidRPr="003A100F">
          <w:rPr>
            <w:rStyle w:val="Hyperlink"/>
            <w:sz w:val="20"/>
            <w:szCs w:val="20"/>
          </w:rPr>
          <w:t>73</w:t>
        </w:r>
      </w:hyperlink>
      <w:r w:rsidR="00793ED9" w:rsidRPr="003A100F">
        <w:rPr>
          <w:sz w:val="20"/>
        </w:rPr>
        <w:t>)</w:t>
      </w:r>
    </w:p>
    <w:p w:rsidR="00CC6D80" w:rsidRPr="003A100F" w:rsidRDefault="00CC6D80" w:rsidP="00F9402E">
      <w:pPr>
        <w:ind w:left="357" w:hanging="357"/>
        <w:rPr>
          <w:rFonts w:eastAsia="Calibri"/>
          <w:sz w:val="20"/>
          <w:lang w:val="en-CA"/>
        </w:rPr>
      </w:pPr>
    </w:p>
    <w:p w:rsidR="00CC6D80" w:rsidRPr="003A100F" w:rsidRDefault="00CC6D80" w:rsidP="00F9402E">
      <w:pPr>
        <w:pStyle w:val="ListParagraph"/>
        <w:numPr>
          <w:ilvl w:val="0"/>
          <w:numId w:val="39"/>
        </w:numPr>
        <w:ind w:left="357" w:hanging="357"/>
        <w:rPr>
          <w:rFonts w:eastAsia="Calibri"/>
          <w:sz w:val="20"/>
          <w:lang w:val="fr-CA"/>
        </w:rPr>
      </w:pPr>
      <w:r w:rsidRPr="003A100F">
        <w:rPr>
          <w:rFonts w:eastAsia="Calibri"/>
          <w:i/>
          <w:sz w:val="20"/>
          <w:lang w:val="fr-CA"/>
        </w:rPr>
        <w:t>Benoît Bissonnette c. Sa Majesté la Reine</w:t>
      </w:r>
      <w:r w:rsidRPr="003A100F">
        <w:rPr>
          <w:rFonts w:eastAsia="Calibri"/>
          <w:sz w:val="20"/>
          <w:lang w:val="fr-CA"/>
        </w:rPr>
        <w:t xml:space="preserve"> (Qc) (Criminelle) (Autorisation)</w:t>
      </w:r>
      <w:r w:rsidR="00793ED9" w:rsidRPr="003A100F">
        <w:rPr>
          <w:rFonts w:eastAsia="Calibri"/>
          <w:sz w:val="20"/>
          <w:lang w:val="fr-CA"/>
        </w:rPr>
        <w:t xml:space="preserve"> </w:t>
      </w:r>
      <w:r w:rsidR="00793ED9" w:rsidRPr="003A100F">
        <w:rPr>
          <w:sz w:val="20"/>
          <w:lang w:val="fr-CA"/>
        </w:rPr>
        <w:t>(</w:t>
      </w:r>
      <w:hyperlink r:id="rId28" w:history="1">
        <w:r w:rsidR="00793ED9" w:rsidRPr="003A100F">
          <w:rPr>
            <w:rStyle w:val="Hyperlink"/>
            <w:sz w:val="20"/>
            <w:szCs w:val="20"/>
            <w:lang w:val="fr-CA"/>
          </w:rPr>
          <w:t>38</w:t>
        </w:r>
        <w:r w:rsidR="00F65038" w:rsidRPr="003A100F">
          <w:rPr>
            <w:rStyle w:val="Hyperlink"/>
            <w:sz w:val="20"/>
            <w:szCs w:val="20"/>
            <w:lang w:val="fr-CA"/>
          </w:rPr>
          <w:t>522</w:t>
        </w:r>
      </w:hyperlink>
      <w:r w:rsidR="00793ED9" w:rsidRPr="003A100F">
        <w:rPr>
          <w:sz w:val="20"/>
          <w:lang w:val="fr-CA"/>
        </w:rPr>
        <w:t>)</w:t>
      </w:r>
    </w:p>
    <w:p w:rsidR="00CC6D80" w:rsidRPr="003A100F" w:rsidRDefault="00CC6D80" w:rsidP="00F9402E">
      <w:pPr>
        <w:widowControl w:val="0"/>
        <w:autoSpaceDE w:val="0"/>
        <w:autoSpaceDN w:val="0"/>
        <w:adjustRightInd w:val="0"/>
        <w:ind w:left="357" w:hanging="357"/>
        <w:rPr>
          <w:sz w:val="20"/>
          <w:lang w:val="fr-CA"/>
        </w:rPr>
      </w:pPr>
    </w:p>
    <w:p w:rsidR="00550BD7" w:rsidRPr="003A100F" w:rsidRDefault="00550BD7" w:rsidP="00F9402E">
      <w:pPr>
        <w:pStyle w:val="ListParagraph"/>
        <w:numPr>
          <w:ilvl w:val="0"/>
          <w:numId w:val="39"/>
        </w:numPr>
        <w:ind w:left="357" w:hanging="357"/>
        <w:rPr>
          <w:rFonts w:eastAsia="Calibri"/>
          <w:sz w:val="20"/>
          <w:lang w:val="en-CA"/>
        </w:rPr>
      </w:pPr>
      <w:r w:rsidRPr="003A100F">
        <w:rPr>
          <w:rFonts w:eastAsia="Calibri"/>
          <w:i/>
          <w:sz w:val="20"/>
          <w:lang w:val="fr-CA"/>
        </w:rPr>
        <w:t>Atlantic Lottery Corporation Inc. - Société des lotteries de L'Atlantique, et al. v. Douglas Babstock, et al.</w:t>
      </w:r>
      <w:r w:rsidRPr="003A100F">
        <w:rPr>
          <w:rFonts w:eastAsia="Calibri"/>
          <w:sz w:val="20"/>
          <w:lang w:val="fr-CA"/>
        </w:rPr>
        <w:t xml:space="preserve"> </w:t>
      </w:r>
      <w:r w:rsidRPr="003A100F">
        <w:rPr>
          <w:rFonts w:eastAsia="Calibri"/>
          <w:sz w:val="20"/>
          <w:lang w:val="en-CA"/>
        </w:rPr>
        <w:t xml:space="preserve">(N.L.) (Civil) (By Leave) </w:t>
      </w:r>
      <w:r w:rsidRPr="003A100F">
        <w:rPr>
          <w:sz w:val="20"/>
          <w:lang w:val="fr-CA"/>
        </w:rPr>
        <w:t>(</w:t>
      </w:r>
      <w:hyperlink r:id="rId29" w:history="1">
        <w:r w:rsidRPr="003A100F">
          <w:rPr>
            <w:rStyle w:val="Hyperlink"/>
            <w:sz w:val="20"/>
            <w:szCs w:val="20"/>
            <w:lang w:val="fr-CA"/>
          </w:rPr>
          <w:t>38</w:t>
        </w:r>
        <w:r w:rsidR="00040542" w:rsidRPr="003A100F">
          <w:rPr>
            <w:rStyle w:val="Hyperlink"/>
            <w:sz w:val="20"/>
            <w:szCs w:val="20"/>
            <w:lang w:val="fr-CA"/>
          </w:rPr>
          <w:t>52</w:t>
        </w:r>
        <w:r w:rsidRPr="003A100F">
          <w:rPr>
            <w:rStyle w:val="Hyperlink"/>
            <w:sz w:val="20"/>
            <w:lang w:val="fr-CA"/>
          </w:rPr>
          <w:t>1</w:t>
        </w:r>
      </w:hyperlink>
      <w:r w:rsidRPr="003A100F">
        <w:rPr>
          <w:sz w:val="20"/>
          <w:lang w:val="fr-CA"/>
        </w:rPr>
        <w:t>)</w:t>
      </w:r>
    </w:p>
    <w:p w:rsidR="00550BD7" w:rsidRPr="003A100F" w:rsidRDefault="00550BD7" w:rsidP="00F9402E">
      <w:pPr>
        <w:widowControl w:val="0"/>
        <w:autoSpaceDE w:val="0"/>
        <w:autoSpaceDN w:val="0"/>
        <w:adjustRightInd w:val="0"/>
        <w:ind w:left="357" w:hanging="357"/>
        <w:rPr>
          <w:sz w:val="20"/>
          <w:lang w:val="en-CA"/>
        </w:rPr>
      </w:pPr>
    </w:p>
    <w:p w:rsidR="00550BD7" w:rsidRPr="003A100F" w:rsidRDefault="00550BD7" w:rsidP="00F9402E">
      <w:pPr>
        <w:pStyle w:val="ListParagraph"/>
        <w:numPr>
          <w:ilvl w:val="0"/>
          <w:numId w:val="39"/>
        </w:numPr>
        <w:ind w:left="357" w:hanging="357"/>
        <w:rPr>
          <w:rFonts w:eastAsia="Calibri"/>
          <w:sz w:val="20"/>
          <w:lang w:val="en-CA"/>
        </w:rPr>
      </w:pPr>
      <w:r w:rsidRPr="003A100F">
        <w:rPr>
          <w:rFonts w:eastAsia="Calibri"/>
          <w:i/>
          <w:sz w:val="20"/>
          <w:lang w:val="en-CA"/>
        </w:rPr>
        <w:t>Steven Kerzner v. American Iron &amp; Metal Company Inc.</w:t>
      </w:r>
      <w:r w:rsidRPr="003A100F">
        <w:rPr>
          <w:rFonts w:eastAsia="Calibri"/>
          <w:sz w:val="20"/>
          <w:lang w:val="en-CA"/>
        </w:rPr>
        <w:t xml:space="preserve"> (Ont.) (Civil) (By Leave) </w:t>
      </w:r>
      <w:r w:rsidRPr="003A100F">
        <w:rPr>
          <w:sz w:val="20"/>
          <w:lang w:val="fr-CA"/>
        </w:rPr>
        <w:t>(</w:t>
      </w:r>
      <w:hyperlink r:id="rId30" w:history="1">
        <w:r w:rsidRPr="003A100F">
          <w:rPr>
            <w:rStyle w:val="Hyperlink"/>
            <w:sz w:val="20"/>
            <w:szCs w:val="20"/>
            <w:lang w:val="fr-CA"/>
          </w:rPr>
          <w:t>38</w:t>
        </w:r>
        <w:r w:rsidR="00AA2577" w:rsidRPr="003A100F">
          <w:rPr>
            <w:rStyle w:val="Hyperlink"/>
            <w:sz w:val="20"/>
            <w:szCs w:val="20"/>
            <w:lang w:val="fr-CA"/>
          </w:rPr>
          <w:t>503</w:t>
        </w:r>
      </w:hyperlink>
      <w:r w:rsidRPr="003A100F">
        <w:rPr>
          <w:sz w:val="20"/>
          <w:lang w:val="fr-CA"/>
        </w:rPr>
        <w:t>)</w:t>
      </w:r>
    </w:p>
    <w:p w:rsidR="00550BD7" w:rsidRPr="003A100F" w:rsidRDefault="00550BD7" w:rsidP="00F9402E">
      <w:pPr>
        <w:widowControl w:val="0"/>
        <w:autoSpaceDE w:val="0"/>
        <w:autoSpaceDN w:val="0"/>
        <w:adjustRightInd w:val="0"/>
        <w:ind w:left="357" w:hanging="357"/>
        <w:rPr>
          <w:sz w:val="20"/>
        </w:rPr>
      </w:pPr>
    </w:p>
    <w:p w:rsidR="001A6341" w:rsidRPr="003A100F" w:rsidRDefault="00CC6D80" w:rsidP="00F9402E">
      <w:pPr>
        <w:pStyle w:val="ListParagraph"/>
        <w:numPr>
          <w:ilvl w:val="0"/>
          <w:numId w:val="39"/>
        </w:numPr>
        <w:ind w:left="357" w:hanging="357"/>
        <w:rPr>
          <w:sz w:val="20"/>
        </w:rPr>
      </w:pPr>
      <w:r w:rsidRPr="003A100F">
        <w:rPr>
          <w:rFonts w:eastAsia="Calibri"/>
          <w:i/>
          <w:sz w:val="20"/>
          <w:lang w:val="fr-CA"/>
        </w:rPr>
        <w:t>2099232 Ontario Inc. v. Giuseppe Di Millo</w:t>
      </w:r>
      <w:r w:rsidRPr="003A100F">
        <w:rPr>
          <w:rFonts w:eastAsia="Calibri"/>
          <w:sz w:val="20"/>
          <w:lang w:val="fr-CA"/>
        </w:rPr>
        <w:t xml:space="preserve"> (Ont.) </w:t>
      </w:r>
      <w:r w:rsidRPr="003A100F">
        <w:rPr>
          <w:rFonts w:eastAsia="Calibri"/>
          <w:sz w:val="20"/>
          <w:lang w:val="en-CA"/>
        </w:rPr>
        <w:t>(Civil) (By Leave)</w:t>
      </w:r>
      <w:r w:rsidR="00793ED9" w:rsidRPr="003A100F">
        <w:rPr>
          <w:rFonts w:eastAsia="Calibri"/>
          <w:sz w:val="20"/>
          <w:lang w:val="en-CA"/>
        </w:rPr>
        <w:t xml:space="preserve"> </w:t>
      </w:r>
      <w:r w:rsidR="00793ED9" w:rsidRPr="003A100F">
        <w:rPr>
          <w:sz w:val="20"/>
        </w:rPr>
        <w:t>(</w:t>
      </w:r>
      <w:hyperlink r:id="rId31" w:history="1">
        <w:r w:rsidR="00793ED9" w:rsidRPr="003A100F">
          <w:rPr>
            <w:rStyle w:val="Hyperlink"/>
            <w:sz w:val="20"/>
            <w:szCs w:val="20"/>
          </w:rPr>
          <w:t>38</w:t>
        </w:r>
        <w:r w:rsidR="002E799D" w:rsidRPr="003A100F">
          <w:rPr>
            <w:rStyle w:val="Hyperlink"/>
            <w:sz w:val="20"/>
            <w:szCs w:val="20"/>
          </w:rPr>
          <w:t>5</w:t>
        </w:r>
        <w:r w:rsidR="00793ED9" w:rsidRPr="003A100F">
          <w:rPr>
            <w:rStyle w:val="Hyperlink"/>
            <w:sz w:val="20"/>
          </w:rPr>
          <w:t>1</w:t>
        </w:r>
        <w:r w:rsidR="002E799D" w:rsidRPr="003A100F">
          <w:rPr>
            <w:rStyle w:val="Hyperlink"/>
            <w:sz w:val="20"/>
          </w:rPr>
          <w:t>7</w:t>
        </w:r>
      </w:hyperlink>
      <w:r w:rsidR="00793ED9" w:rsidRPr="003A100F">
        <w:rPr>
          <w:sz w:val="20"/>
        </w:rPr>
        <w:t>)</w:t>
      </w:r>
    </w:p>
    <w:p w:rsidR="002D2E99" w:rsidRPr="003A100F" w:rsidRDefault="002D2E99" w:rsidP="00F9402E">
      <w:pPr>
        <w:ind w:left="357" w:hanging="357"/>
        <w:rPr>
          <w:rFonts w:eastAsia="Calibri"/>
          <w:sz w:val="22"/>
          <w:szCs w:val="22"/>
          <w:lang w:val="en-CA"/>
        </w:rPr>
      </w:pPr>
    </w:p>
    <w:p w:rsidR="002D2E99" w:rsidRPr="003A100F" w:rsidRDefault="002D2E99" w:rsidP="00F9402E">
      <w:pPr>
        <w:pStyle w:val="ListParagraph"/>
        <w:numPr>
          <w:ilvl w:val="0"/>
          <w:numId w:val="39"/>
        </w:numPr>
        <w:ind w:left="357" w:hanging="357"/>
        <w:rPr>
          <w:sz w:val="20"/>
        </w:rPr>
      </w:pPr>
      <w:r w:rsidRPr="003A100F">
        <w:rPr>
          <w:i/>
          <w:sz w:val="20"/>
          <w:lang w:val="fr-CA"/>
        </w:rPr>
        <w:t xml:space="preserve">Uber Technologies Inc., et al. v. David Heller </w:t>
      </w:r>
      <w:r w:rsidRPr="003A100F">
        <w:rPr>
          <w:sz w:val="20"/>
          <w:lang w:val="fr-CA"/>
        </w:rPr>
        <w:t xml:space="preserve">(Ont.) </w:t>
      </w:r>
      <w:r w:rsidRPr="003A100F">
        <w:rPr>
          <w:sz w:val="20"/>
        </w:rPr>
        <w:t>(Civil) (By Leave) (</w:t>
      </w:r>
      <w:hyperlink r:id="rId32" w:history="1">
        <w:r w:rsidRPr="003A100F">
          <w:rPr>
            <w:rStyle w:val="Hyperlink"/>
            <w:sz w:val="20"/>
            <w:szCs w:val="20"/>
          </w:rPr>
          <w:t>38</w:t>
        </w:r>
        <w:r w:rsidR="00D42FB7" w:rsidRPr="003A100F">
          <w:rPr>
            <w:rStyle w:val="Hyperlink"/>
            <w:sz w:val="20"/>
            <w:szCs w:val="20"/>
          </w:rPr>
          <w:t>53</w:t>
        </w:r>
        <w:r w:rsidRPr="003A100F">
          <w:rPr>
            <w:rStyle w:val="Hyperlink"/>
            <w:sz w:val="20"/>
            <w:szCs w:val="20"/>
          </w:rPr>
          <w:t>4</w:t>
        </w:r>
      </w:hyperlink>
      <w:r w:rsidRPr="003A100F">
        <w:rPr>
          <w:sz w:val="20"/>
        </w:rPr>
        <w:t>)</w:t>
      </w:r>
    </w:p>
    <w:p w:rsidR="002D2E99" w:rsidRPr="003A100F" w:rsidRDefault="002D2E99" w:rsidP="00542899">
      <w:pPr>
        <w:ind w:left="142" w:hanging="142"/>
        <w:rPr>
          <w:sz w:val="20"/>
        </w:rPr>
      </w:pPr>
    </w:p>
    <w:p w:rsidR="00602309" w:rsidRDefault="00685225" w:rsidP="00542899">
      <w:pPr>
        <w:ind w:left="142" w:hanging="142"/>
        <w:rPr>
          <w:sz w:val="20"/>
        </w:rPr>
      </w:pPr>
      <w:r>
        <w:rPr>
          <w:sz w:val="20"/>
        </w:rPr>
        <w:pict>
          <v:rect id="_x0000_i1026" style="width:2in;height:1pt" o:hrpct="0" o:hralign="center" o:hrstd="t" o:hrnoshade="t" o:hr="t" fillcolor="black [3213]" stroked="f"/>
        </w:pict>
      </w:r>
    </w:p>
    <w:p w:rsidR="00602309" w:rsidRDefault="00602309" w:rsidP="00542899">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6A6" w:rsidRPr="00FC5507" w:rsidTr="00602075">
        <w:tc>
          <w:tcPr>
            <w:tcW w:w="543" w:type="pct"/>
          </w:tcPr>
          <w:p w:rsidR="001E56A6" w:rsidRPr="00FC5507" w:rsidRDefault="001E56A6" w:rsidP="00FC5507">
            <w:pPr>
              <w:jc w:val="both"/>
              <w:rPr>
                <w:sz w:val="20"/>
              </w:rPr>
            </w:pPr>
            <w:r w:rsidRPr="00FC5507">
              <w:rPr>
                <w:rStyle w:val="SCCFileNumberChar"/>
                <w:sz w:val="20"/>
                <w:szCs w:val="20"/>
              </w:rPr>
              <w:t>38429</w:t>
            </w:r>
          </w:p>
        </w:tc>
        <w:tc>
          <w:tcPr>
            <w:tcW w:w="4457" w:type="pct"/>
            <w:gridSpan w:val="3"/>
          </w:tcPr>
          <w:p w:rsidR="001E56A6" w:rsidRPr="00602075" w:rsidRDefault="001E56A6" w:rsidP="00FC5507">
            <w:pPr>
              <w:pStyle w:val="SCCLsocParty"/>
              <w:jc w:val="both"/>
              <w:rPr>
                <w:b/>
                <w:sz w:val="20"/>
                <w:szCs w:val="20"/>
                <w:lang w:val="en-US"/>
              </w:rPr>
            </w:pPr>
            <w:r w:rsidRPr="00602075">
              <w:rPr>
                <w:b/>
                <w:sz w:val="20"/>
                <w:szCs w:val="20"/>
                <w:lang w:val="en-US"/>
              </w:rPr>
              <w:t>Timothy Mark Rempel v. Her Majesty the Queen</w:t>
            </w:r>
          </w:p>
          <w:p w:rsidR="001E56A6" w:rsidRPr="00FC5507" w:rsidRDefault="001E56A6" w:rsidP="00FC5507">
            <w:pPr>
              <w:jc w:val="both"/>
              <w:rPr>
                <w:sz w:val="20"/>
              </w:rPr>
            </w:pPr>
            <w:r w:rsidRPr="00FC5507">
              <w:rPr>
                <w:sz w:val="20"/>
              </w:rPr>
              <w:t>(Alta.) (Criminal) (By Leave)</w:t>
            </w:r>
          </w:p>
        </w:tc>
      </w:tr>
      <w:tr w:rsidR="001E56A6" w:rsidRPr="00FC5507" w:rsidTr="00602075">
        <w:tc>
          <w:tcPr>
            <w:tcW w:w="5000" w:type="pct"/>
            <w:gridSpan w:val="4"/>
          </w:tcPr>
          <w:p w:rsidR="001E56A6" w:rsidRPr="00FC5507" w:rsidRDefault="001E56A6" w:rsidP="00FC5507">
            <w:pPr>
              <w:jc w:val="both"/>
              <w:rPr>
                <w:sz w:val="20"/>
              </w:rPr>
            </w:pPr>
            <w:r w:rsidRPr="00FC5507">
              <w:rPr>
                <w:sz w:val="20"/>
              </w:rPr>
              <w:t>Criminal law — Evidence — Hearsay — Spousal communication — Whether letter by co</w:t>
            </w:r>
            <w:r w:rsidRPr="00FC5507">
              <w:rPr>
                <w:sz w:val="20"/>
              </w:rPr>
              <w:noBreakHyphen/>
              <w:t>accused was a statement against penal interest or unreliable and inadmissible — Role of trial judge when determining admissibility of evidence — Whether verdict was not unreasonable —Whether text messages should have been excluded on basis of spousal privilege.</w:t>
            </w:r>
          </w:p>
        </w:tc>
      </w:tr>
      <w:tr w:rsidR="001E56A6" w:rsidRPr="00FC5507" w:rsidTr="00602075">
        <w:tc>
          <w:tcPr>
            <w:tcW w:w="5000" w:type="pct"/>
            <w:gridSpan w:val="4"/>
          </w:tcPr>
          <w:p w:rsidR="001E56A6" w:rsidRPr="00FC5507" w:rsidRDefault="001E56A6" w:rsidP="00FC5507">
            <w:pPr>
              <w:jc w:val="both"/>
              <w:rPr>
                <w:sz w:val="20"/>
              </w:rPr>
            </w:pPr>
          </w:p>
        </w:tc>
      </w:tr>
      <w:tr w:rsidR="001E56A6" w:rsidRPr="00FC5507" w:rsidTr="00602075">
        <w:tc>
          <w:tcPr>
            <w:tcW w:w="5000" w:type="pct"/>
            <w:gridSpan w:val="4"/>
          </w:tcPr>
          <w:p w:rsidR="001E56A6" w:rsidRPr="00FC5507" w:rsidRDefault="001E56A6" w:rsidP="00FC5507">
            <w:pPr>
              <w:jc w:val="both"/>
              <w:rPr>
                <w:sz w:val="20"/>
              </w:rPr>
            </w:pPr>
            <w:r w:rsidRPr="00FC5507">
              <w:rPr>
                <w:sz w:val="20"/>
              </w:rPr>
              <w:t>Mr. Rempel, his wife and his brother were charged with the first degree murder of Ryan Lane, the father of his wife’s daughter. Police later determined that Mr. Rempel lured Mr. Ryan to a gas station where he was last seen getting into a truck driven by Mr. Rempel’s brother. When the truck drove away, Mr. Rempel followed in a Jeep. Months later, Mr. Lane’s ashes, bone fragments and cell phone were found in a burn barrel at a gravel pit where Mr. Rempel and his brother had once worked. Mr. Lane’s class ring was found nearby. Mr. Lane’s DNA was found in the truck and his blood was found in the Jeep. Using a production order, police recovered text messages including messages sent and received by Mr. Rempel. Several texts suggest a plan to kidnap and kill Mr. Lane. The trial judge admitted the text messages into evidence. While awaiting trial, Mr. Rempel’s brother wrote a letter to Mr. Rempel. The trial judge refused to admit the letter into evidence. A jury convicted Mr. Rempel of first degree murder. The Court of Appeal dismissed an appeal.</w:t>
            </w:r>
          </w:p>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t>April 22, 2016</w:t>
            </w:r>
          </w:p>
          <w:p w:rsidR="001E56A6" w:rsidRPr="00FC5507" w:rsidRDefault="001E56A6" w:rsidP="00FC5507">
            <w:pPr>
              <w:jc w:val="both"/>
              <w:rPr>
                <w:sz w:val="20"/>
              </w:rPr>
            </w:pPr>
            <w:r w:rsidRPr="00FC5507">
              <w:rPr>
                <w:sz w:val="20"/>
              </w:rPr>
              <w:t>Court of Queen’s Bench of Alberta</w:t>
            </w:r>
          </w:p>
          <w:p w:rsidR="001E56A6" w:rsidRPr="00FC5507" w:rsidRDefault="001E56A6" w:rsidP="00FC5507">
            <w:pPr>
              <w:jc w:val="both"/>
              <w:rPr>
                <w:sz w:val="20"/>
              </w:rPr>
            </w:pPr>
            <w:r w:rsidRPr="00FC5507">
              <w:rPr>
                <w:sz w:val="20"/>
              </w:rPr>
              <w:t xml:space="preserve">(Macleod J.)(Unreported) </w:t>
            </w:r>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r w:rsidRPr="00FC5507">
              <w:rPr>
                <w:sz w:val="20"/>
              </w:rPr>
              <w:t>Conviction by jury for first degree murder</w:t>
            </w:r>
          </w:p>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lastRenderedPageBreak/>
              <w:t>October 1, 2018</w:t>
            </w:r>
          </w:p>
          <w:p w:rsidR="001E56A6" w:rsidRPr="00FC5507" w:rsidRDefault="001E56A6" w:rsidP="00FC5507">
            <w:pPr>
              <w:jc w:val="both"/>
              <w:rPr>
                <w:sz w:val="20"/>
              </w:rPr>
            </w:pPr>
            <w:r w:rsidRPr="00FC5507">
              <w:rPr>
                <w:sz w:val="20"/>
              </w:rPr>
              <w:t>Court of Appeal of Alberta (Calgary)</w:t>
            </w:r>
          </w:p>
          <w:p w:rsidR="001E56A6" w:rsidRPr="00FC5507" w:rsidRDefault="001E56A6" w:rsidP="00FC5507">
            <w:pPr>
              <w:jc w:val="both"/>
              <w:rPr>
                <w:sz w:val="20"/>
              </w:rPr>
            </w:pPr>
            <w:r w:rsidRPr="00FC5507">
              <w:rPr>
                <w:sz w:val="20"/>
              </w:rPr>
              <w:t>(Martin, McDonald and Schutz JJ.A.)</w:t>
            </w:r>
          </w:p>
          <w:p w:rsidR="001E56A6" w:rsidRPr="00FC5507" w:rsidRDefault="001E56A6" w:rsidP="00FC5507">
            <w:pPr>
              <w:jc w:val="both"/>
              <w:rPr>
                <w:sz w:val="20"/>
              </w:rPr>
            </w:pPr>
            <w:r w:rsidRPr="00FC5507">
              <w:rPr>
                <w:sz w:val="20"/>
                <w:lang w:val="en"/>
              </w:rPr>
              <w:t>1601</w:t>
            </w:r>
            <w:r w:rsidRPr="00FC5507">
              <w:rPr>
                <w:sz w:val="20"/>
                <w:lang w:val="en"/>
              </w:rPr>
              <w:noBreakHyphen/>
              <w:t>0106</w:t>
            </w:r>
            <w:r w:rsidRPr="00FC5507">
              <w:rPr>
                <w:sz w:val="20"/>
                <w:lang w:val="en"/>
              </w:rPr>
              <w:noBreakHyphen/>
              <w:t>A</w:t>
            </w:r>
            <w:r w:rsidRPr="00FC5507">
              <w:rPr>
                <w:sz w:val="20"/>
              </w:rPr>
              <w:t xml:space="preserve">; </w:t>
            </w:r>
            <w:hyperlink r:id="rId33" w:history="1">
              <w:r w:rsidRPr="00FC5507">
                <w:rPr>
                  <w:rStyle w:val="Hyperlink"/>
                  <w:sz w:val="20"/>
                </w:rPr>
                <w:t>2018 ABCA 321</w:t>
              </w:r>
            </w:hyperlink>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r w:rsidRPr="00FC5507">
              <w:rPr>
                <w:sz w:val="20"/>
              </w:rPr>
              <w:t>Appeal dismissed</w:t>
            </w:r>
          </w:p>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t>November 29, 2018</w:t>
            </w:r>
          </w:p>
          <w:p w:rsidR="001E56A6" w:rsidRPr="00FC5507" w:rsidRDefault="001E56A6" w:rsidP="00FC5507">
            <w:pPr>
              <w:jc w:val="both"/>
              <w:rPr>
                <w:sz w:val="20"/>
              </w:rPr>
            </w:pPr>
            <w:r w:rsidRPr="00FC5507">
              <w:rPr>
                <w:sz w:val="20"/>
              </w:rPr>
              <w:t>Supreme Court of Canada</w:t>
            </w:r>
          </w:p>
        </w:tc>
        <w:tc>
          <w:tcPr>
            <w:tcW w:w="243" w:type="pct"/>
          </w:tcPr>
          <w:p w:rsidR="001E56A6" w:rsidRPr="00FC5507" w:rsidRDefault="001E56A6" w:rsidP="00FC5507">
            <w:pPr>
              <w:jc w:val="both"/>
              <w:rPr>
                <w:sz w:val="20"/>
              </w:rPr>
            </w:pPr>
          </w:p>
        </w:tc>
        <w:tc>
          <w:tcPr>
            <w:tcW w:w="2330" w:type="pct"/>
          </w:tcPr>
          <w:p w:rsidR="001E56A6" w:rsidRPr="00FC5507" w:rsidRDefault="001E56A6" w:rsidP="00602075">
            <w:pPr>
              <w:jc w:val="both"/>
              <w:rPr>
                <w:sz w:val="20"/>
              </w:rPr>
            </w:pPr>
            <w:r w:rsidRPr="00FC5507">
              <w:rPr>
                <w:sz w:val="20"/>
              </w:rPr>
              <w:t>Application for leave to appeal filed by Timothy Mark Rempel</w:t>
            </w:r>
          </w:p>
        </w:tc>
      </w:tr>
    </w:tbl>
    <w:p w:rsidR="001E56A6" w:rsidRDefault="001E56A6" w:rsidP="00FC5507">
      <w:pPr>
        <w:jc w:val="both"/>
        <w:rPr>
          <w:sz w:val="20"/>
        </w:rPr>
      </w:pPr>
    </w:p>
    <w:p w:rsidR="00A6684F" w:rsidRDefault="00A6684F" w:rsidP="00FC5507">
      <w:pPr>
        <w:jc w:val="both"/>
        <w:rPr>
          <w:sz w:val="20"/>
        </w:rPr>
      </w:pPr>
      <w:r>
        <w:rPr>
          <w:sz w:val="20"/>
        </w:rPr>
        <w:pict>
          <v:rect id="_x0000_i1027" style="width:2in;height:1pt" o:hrpct="0" o:hralign="center" o:hrstd="t" o:hrnoshade="t" o:hr="t" fillcolor="black [3213]" stroked="f"/>
        </w:pict>
      </w:r>
    </w:p>
    <w:p w:rsidR="00602075" w:rsidRPr="00FC5507" w:rsidRDefault="00602075"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6A6" w:rsidRPr="00FC5507" w:rsidTr="00602075">
        <w:tc>
          <w:tcPr>
            <w:tcW w:w="543" w:type="pct"/>
          </w:tcPr>
          <w:p w:rsidR="001E56A6" w:rsidRPr="00FC5507" w:rsidRDefault="001E56A6" w:rsidP="00FC5507">
            <w:pPr>
              <w:jc w:val="both"/>
              <w:rPr>
                <w:sz w:val="20"/>
                <w:lang w:val="fr-CA"/>
              </w:rPr>
            </w:pPr>
            <w:r w:rsidRPr="00FC5507">
              <w:rPr>
                <w:rStyle w:val="SCCFileNumberChar"/>
                <w:sz w:val="20"/>
                <w:szCs w:val="20"/>
                <w:lang w:val="fr-CA"/>
              </w:rPr>
              <w:t>38429</w:t>
            </w:r>
          </w:p>
        </w:tc>
        <w:tc>
          <w:tcPr>
            <w:tcW w:w="4457" w:type="pct"/>
            <w:gridSpan w:val="3"/>
          </w:tcPr>
          <w:p w:rsidR="001E56A6" w:rsidRPr="00602075" w:rsidRDefault="001E56A6" w:rsidP="00FC5507">
            <w:pPr>
              <w:pStyle w:val="SCCLsocParty"/>
              <w:jc w:val="both"/>
              <w:rPr>
                <w:b/>
                <w:sz w:val="20"/>
                <w:szCs w:val="20"/>
              </w:rPr>
            </w:pPr>
            <w:r w:rsidRPr="00602075">
              <w:rPr>
                <w:b/>
                <w:sz w:val="20"/>
                <w:szCs w:val="20"/>
              </w:rPr>
              <w:t>Timothy Mark Rempel c. Sa Majesté la Reine</w:t>
            </w:r>
          </w:p>
          <w:p w:rsidR="001E56A6" w:rsidRPr="00FC5507" w:rsidRDefault="001E56A6" w:rsidP="00FC5507">
            <w:pPr>
              <w:jc w:val="both"/>
              <w:rPr>
                <w:sz w:val="20"/>
                <w:lang w:val="fr-CA"/>
              </w:rPr>
            </w:pPr>
            <w:r w:rsidRPr="00FC5507">
              <w:rPr>
                <w:sz w:val="20"/>
                <w:lang w:val="fr-CA"/>
              </w:rPr>
              <w:t>(Alb.) (Criminelle) (Autorisation)</w:t>
            </w:r>
          </w:p>
        </w:tc>
      </w:tr>
      <w:tr w:rsidR="001E56A6" w:rsidRPr="00A6684F" w:rsidTr="00602075">
        <w:tc>
          <w:tcPr>
            <w:tcW w:w="5000" w:type="pct"/>
            <w:gridSpan w:val="4"/>
          </w:tcPr>
          <w:p w:rsidR="001E56A6" w:rsidRPr="00FC5507" w:rsidRDefault="001E56A6" w:rsidP="00FC5507">
            <w:pPr>
              <w:jc w:val="both"/>
              <w:rPr>
                <w:sz w:val="20"/>
                <w:lang w:val="fr-CA"/>
              </w:rPr>
            </w:pPr>
            <w:r w:rsidRPr="00FC5507">
              <w:rPr>
                <w:sz w:val="20"/>
                <w:lang w:val="fr-CA"/>
              </w:rPr>
              <w:t>Droit criminel — Preuve — Ouï</w:t>
            </w:r>
            <w:r w:rsidRPr="00FC5507">
              <w:rPr>
                <w:sz w:val="20"/>
                <w:lang w:val="fr-CA"/>
              </w:rPr>
              <w:noBreakHyphen/>
              <w:t>dire — Communications entre époux — La lettre d’un coaccusé était</w:t>
            </w:r>
            <w:r w:rsidRPr="00FC5507">
              <w:rPr>
                <w:sz w:val="20"/>
                <w:lang w:val="fr-CA"/>
              </w:rPr>
              <w:noBreakHyphen/>
              <w:t>elle une déclaration contre l’intérêt pénal ou peu fiable et inadmissible? — Rôle du juge du procès lorsqu’il s’agit de déterminer l’admissibilité d’un élément de preuve — Est</w:t>
            </w:r>
            <w:r w:rsidRPr="00FC5507">
              <w:rPr>
                <w:sz w:val="20"/>
                <w:lang w:val="fr-CA"/>
              </w:rPr>
              <w:noBreakHyphen/>
              <w:t>ce exact que le verdict n’était pas déraisonnable? — Les messages textes auraient</w:t>
            </w:r>
            <w:r w:rsidRPr="00FC5507">
              <w:rPr>
                <w:sz w:val="20"/>
                <w:lang w:val="fr-CA"/>
              </w:rPr>
              <w:noBreakHyphen/>
              <w:t>ils dû être exclus sur le fondement du privilège relatif aux communications entre époux?</w:t>
            </w:r>
          </w:p>
        </w:tc>
      </w:tr>
      <w:tr w:rsidR="001E56A6" w:rsidRPr="00A6684F" w:rsidTr="00602075">
        <w:tc>
          <w:tcPr>
            <w:tcW w:w="5000" w:type="pct"/>
            <w:gridSpan w:val="4"/>
          </w:tcPr>
          <w:p w:rsidR="001E56A6" w:rsidRPr="00FC5507" w:rsidRDefault="001E56A6" w:rsidP="00FC5507">
            <w:pPr>
              <w:jc w:val="both"/>
              <w:rPr>
                <w:sz w:val="20"/>
                <w:lang w:val="fr-CA"/>
              </w:rPr>
            </w:pPr>
          </w:p>
        </w:tc>
      </w:tr>
      <w:tr w:rsidR="001E56A6" w:rsidRPr="00FC5507" w:rsidTr="00602075">
        <w:tc>
          <w:tcPr>
            <w:tcW w:w="5000" w:type="pct"/>
            <w:gridSpan w:val="4"/>
          </w:tcPr>
          <w:p w:rsidR="001E56A6" w:rsidRPr="00FC5507" w:rsidRDefault="001E56A6" w:rsidP="00FC5507">
            <w:pPr>
              <w:jc w:val="both"/>
              <w:rPr>
                <w:sz w:val="20"/>
                <w:lang w:val="fr-CA"/>
              </w:rPr>
            </w:pPr>
            <w:r w:rsidRPr="00FC5507">
              <w:rPr>
                <w:sz w:val="20"/>
                <w:lang w:val="fr-CA"/>
              </w:rPr>
              <w:t>Monsieur Rempel, son épouse et son frère ont été accusés du meurtre au premier degré de Ryan Lane, le père de la fille de son épouse. Les policiers ont conclu par la suite que M. Rempel avait attiré M. Ryan à se rendre à une station</w:t>
            </w:r>
            <w:r w:rsidRPr="00FC5507">
              <w:rPr>
                <w:sz w:val="20"/>
                <w:lang w:val="fr-CA"/>
              </w:rPr>
              <w:noBreakHyphen/>
              <w:t xml:space="preserve"> où il a été vu pour la dernière fois en train de monter à bord d’un camion conduit par le frère de M. </w:t>
            </w:r>
            <w:proofErr w:type="spellStart"/>
            <w:r w:rsidRPr="00FC5507">
              <w:rPr>
                <w:sz w:val="20"/>
                <w:lang w:val="fr-CA"/>
              </w:rPr>
              <w:t>Rempel</w:t>
            </w:r>
            <w:proofErr w:type="spellEnd"/>
            <w:r w:rsidRPr="00FC5507">
              <w:rPr>
                <w:sz w:val="20"/>
                <w:lang w:val="fr-CA"/>
              </w:rPr>
              <w:t>. Lorsque le camion s’est éloigné, M. Rempel l’a suivi à bord d’une Jeep. Des mois plus tard, les cendres, des fragments d’os et le téléphone cellulaire de M. Lane ont été trouvés dans un baril d’incinération à une gravière où avaient déjà travaillé M. Rempel et son frère. La bague d’étudiant de M. Lane a été trouvée non loin de là. De l’ADN de M. Lane a été trouvé dans le camion et on a trouvé de son sang dans la Jeep. Munie d’une ordonnance de production, la police a récupéré des messages textes, y compris des messages envoyés et reçus par M. Rempel. Plusieurs messages textes laissaient entrevoir un plan pour enlever et tuer M. Lane. Le juge du procès a admis en preuve les messages textes. Dans l’attente de son procès, le frère de M. Rempel a écrit une lettre à ce dernier. Le juge du procès a refusé d’admettre la lettre en preuve. Un jury a déclaré M. Rempel coupable de meurtre au premier degré. La Cour d’appel a rejeté l’appel.</w:t>
            </w:r>
          </w:p>
          <w:p w:rsidR="001E56A6" w:rsidRPr="00FC5507" w:rsidRDefault="001E56A6" w:rsidP="00FC5507">
            <w:pPr>
              <w:jc w:val="both"/>
              <w:rPr>
                <w:sz w:val="20"/>
                <w:lang w:val="fr-CA"/>
              </w:rPr>
            </w:pPr>
          </w:p>
        </w:tc>
      </w:tr>
      <w:tr w:rsidR="001E56A6" w:rsidRPr="00A6684F" w:rsidTr="00602075">
        <w:tc>
          <w:tcPr>
            <w:tcW w:w="2427" w:type="pct"/>
            <w:gridSpan w:val="2"/>
          </w:tcPr>
          <w:p w:rsidR="001E56A6" w:rsidRPr="00FC5507" w:rsidRDefault="001E56A6" w:rsidP="00FC5507">
            <w:pPr>
              <w:jc w:val="both"/>
              <w:rPr>
                <w:sz w:val="20"/>
                <w:lang w:val="fr-CA"/>
              </w:rPr>
            </w:pPr>
            <w:r w:rsidRPr="00FC5507">
              <w:rPr>
                <w:sz w:val="20"/>
                <w:lang w:val="fr-CA"/>
              </w:rPr>
              <w:t>22 avril 2016</w:t>
            </w:r>
          </w:p>
          <w:p w:rsidR="001E56A6" w:rsidRPr="00FC5507" w:rsidRDefault="001E56A6" w:rsidP="00FC5507">
            <w:pPr>
              <w:jc w:val="both"/>
              <w:rPr>
                <w:sz w:val="20"/>
                <w:lang w:val="fr-CA"/>
              </w:rPr>
            </w:pPr>
            <w:r w:rsidRPr="00FC5507">
              <w:rPr>
                <w:sz w:val="20"/>
                <w:lang w:val="fr-CA"/>
              </w:rPr>
              <w:t>Cour du Banc de la Reine de l’Alberta</w:t>
            </w:r>
          </w:p>
          <w:p w:rsidR="001E56A6" w:rsidRPr="00FC5507" w:rsidRDefault="001E56A6" w:rsidP="00FC5507">
            <w:pPr>
              <w:jc w:val="both"/>
              <w:rPr>
                <w:sz w:val="20"/>
                <w:lang w:val="fr-CA"/>
              </w:rPr>
            </w:pPr>
            <w:r w:rsidRPr="00FC5507">
              <w:rPr>
                <w:sz w:val="20"/>
                <w:lang w:val="fr-CA"/>
              </w:rPr>
              <w:t xml:space="preserve">(Juge Macleod)(Non publié) </w:t>
            </w:r>
          </w:p>
          <w:p w:rsidR="001E56A6" w:rsidRPr="00FC5507" w:rsidRDefault="001E56A6" w:rsidP="00FC5507">
            <w:pPr>
              <w:jc w:val="both"/>
              <w:rPr>
                <w:sz w:val="20"/>
                <w:lang w:val="fr-CA"/>
              </w:rPr>
            </w:pP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r w:rsidRPr="00FC5507">
              <w:rPr>
                <w:sz w:val="20"/>
                <w:lang w:val="fr-CA"/>
              </w:rPr>
              <w:t>Déclaration de culpabilité par un jury pour meurtre au premier degré</w:t>
            </w:r>
          </w:p>
          <w:p w:rsidR="001E56A6" w:rsidRPr="00FC5507" w:rsidRDefault="001E56A6" w:rsidP="00FC5507">
            <w:pPr>
              <w:jc w:val="both"/>
              <w:rPr>
                <w:sz w:val="20"/>
                <w:lang w:val="fr-CA"/>
              </w:rPr>
            </w:pPr>
          </w:p>
        </w:tc>
      </w:tr>
      <w:tr w:rsidR="001E56A6" w:rsidRPr="00FC5507" w:rsidTr="00602075">
        <w:tc>
          <w:tcPr>
            <w:tcW w:w="2427" w:type="pct"/>
            <w:gridSpan w:val="2"/>
          </w:tcPr>
          <w:p w:rsidR="001E56A6" w:rsidRPr="00FC5507" w:rsidRDefault="001E56A6" w:rsidP="00FC5507">
            <w:pPr>
              <w:jc w:val="both"/>
              <w:rPr>
                <w:sz w:val="20"/>
                <w:lang w:val="fr-CA"/>
              </w:rPr>
            </w:pPr>
            <w:r w:rsidRPr="00FC5507">
              <w:rPr>
                <w:sz w:val="20"/>
                <w:lang w:val="fr-CA"/>
              </w:rPr>
              <w:t>1</w:t>
            </w:r>
            <w:r w:rsidRPr="00FC5507">
              <w:rPr>
                <w:sz w:val="20"/>
                <w:vertAlign w:val="superscript"/>
                <w:lang w:val="fr-CA"/>
              </w:rPr>
              <w:t>er</w:t>
            </w:r>
            <w:r w:rsidRPr="00FC5507">
              <w:rPr>
                <w:sz w:val="20"/>
                <w:lang w:val="fr-CA"/>
              </w:rPr>
              <w:t> octobre 2018</w:t>
            </w:r>
          </w:p>
          <w:p w:rsidR="001E56A6" w:rsidRPr="00FC5507" w:rsidRDefault="001E56A6" w:rsidP="00FC5507">
            <w:pPr>
              <w:jc w:val="both"/>
              <w:rPr>
                <w:sz w:val="20"/>
                <w:lang w:val="fr-CA"/>
              </w:rPr>
            </w:pPr>
            <w:r w:rsidRPr="00FC5507">
              <w:rPr>
                <w:sz w:val="20"/>
                <w:lang w:val="fr-CA"/>
              </w:rPr>
              <w:t>Cour d’appel de l’Alberta (Calgary)</w:t>
            </w:r>
          </w:p>
          <w:p w:rsidR="001E56A6" w:rsidRPr="00FC5507" w:rsidRDefault="001E56A6" w:rsidP="00FC5507">
            <w:pPr>
              <w:jc w:val="both"/>
              <w:rPr>
                <w:sz w:val="20"/>
                <w:lang w:val="fr-CA"/>
              </w:rPr>
            </w:pPr>
            <w:r w:rsidRPr="00FC5507">
              <w:rPr>
                <w:sz w:val="20"/>
                <w:lang w:val="fr-CA"/>
              </w:rPr>
              <w:t>(Juges Martin, McDonald et Schutz)</w:t>
            </w:r>
          </w:p>
          <w:p w:rsidR="001E56A6" w:rsidRPr="00FC5507" w:rsidRDefault="001E56A6" w:rsidP="00FC5507">
            <w:pPr>
              <w:jc w:val="both"/>
              <w:rPr>
                <w:sz w:val="20"/>
                <w:lang w:val="fr-CA"/>
              </w:rPr>
            </w:pPr>
            <w:r w:rsidRPr="00FC5507">
              <w:rPr>
                <w:sz w:val="20"/>
                <w:lang w:val="fr-CA"/>
              </w:rPr>
              <w:t>1601</w:t>
            </w:r>
            <w:r w:rsidRPr="00FC5507">
              <w:rPr>
                <w:sz w:val="20"/>
                <w:lang w:val="fr-CA"/>
              </w:rPr>
              <w:noBreakHyphen/>
              <w:t>0106</w:t>
            </w:r>
            <w:r w:rsidRPr="00FC5507">
              <w:rPr>
                <w:sz w:val="20"/>
                <w:lang w:val="fr-CA"/>
              </w:rPr>
              <w:noBreakHyphen/>
              <w:t xml:space="preserve">A; </w:t>
            </w:r>
            <w:hyperlink r:id="rId34" w:history="1">
              <w:r w:rsidRPr="00FC5507">
                <w:rPr>
                  <w:rStyle w:val="Hyperlink"/>
                  <w:sz w:val="20"/>
                  <w:lang w:val="fr-CA"/>
                </w:rPr>
                <w:t>2018 ABCA 321</w:t>
              </w:r>
            </w:hyperlink>
          </w:p>
          <w:p w:rsidR="001E56A6" w:rsidRPr="00FC5507" w:rsidRDefault="001E56A6" w:rsidP="00FC5507">
            <w:pPr>
              <w:jc w:val="both"/>
              <w:rPr>
                <w:sz w:val="20"/>
                <w:lang w:val="fr-CA"/>
              </w:rPr>
            </w:pP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r w:rsidRPr="00FC5507">
              <w:rPr>
                <w:sz w:val="20"/>
                <w:lang w:val="fr-CA"/>
              </w:rPr>
              <w:t>Rejet de l’appel</w:t>
            </w:r>
          </w:p>
          <w:p w:rsidR="001E56A6" w:rsidRPr="00FC5507" w:rsidRDefault="001E56A6" w:rsidP="00FC5507">
            <w:pPr>
              <w:jc w:val="both"/>
              <w:rPr>
                <w:sz w:val="20"/>
                <w:lang w:val="fr-CA"/>
              </w:rPr>
            </w:pPr>
          </w:p>
        </w:tc>
      </w:tr>
      <w:tr w:rsidR="001E56A6" w:rsidRPr="00A6684F" w:rsidTr="00602075">
        <w:tc>
          <w:tcPr>
            <w:tcW w:w="2427" w:type="pct"/>
            <w:gridSpan w:val="2"/>
          </w:tcPr>
          <w:p w:rsidR="001E56A6" w:rsidRPr="00FC5507" w:rsidRDefault="001E56A6" w:rsidP="00FC5507">
            <w:pPr>
              <w:jc w:val="both"/>
              <w:rPr>
                <w:sz w:val="20"/>
                <w:lang w:val="fr-CA"/>
              </w:rPr>
            </w:pPr>
            <w:r w:rsidRPr="00FC5507">
              <w:rPr>
                <w:sz w:val="20"/>
                <w:lang w:val="fr-CA"/>
              </w:rPr>
              <w:t>29 novembre 2018</w:t>
            </w:r>
          </w:p>
          <w:p w:rsidR="001E56A6" w:rsidRPr="00FC5507" w:rsidRDefault="001E56A6" w:rsidP="00FC5507">
            <w:pPr>
              <w:jc w:val="both"/>
              <w:rPr>
                <w:sz w:val="20"/>
                <w:lang w:val="fr-CA"/>
              </w:rPr>
            </w:pPr>
            <w:r w:rsidRPr="00FC5507">
              <w:rPr>
                <w:sz w:val="20"/>
                <w:lang w:val="fr-CA"/>
              </w:rPr>
              <w:t>Cour suprême du Canada</w:t>
            </w: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602075">
            <w:pPr>
              <w:jc w:val="both"/>
              <w:rPr>
                <w:sz w:val="20"/>
                <w:lang w:val="fr-CA"/>
              </w:rPr>
            </w:pPr>
            <w:r w:rsidRPr="00FC5507">
              <w:rPr>
                <w:sz w:val="20"/>
                <w:lang w:val="fr-CA"/>
              </w:rPr>
              <w:t>Dépôt par Timothy Mark Rempel de la demande d’autorisation d’appel</w:t>
            </w:r>
          </w:p>
        </w:tc>
      </w:tr>
    </w:tbl>
    <w:p w:rsidR="001E56A6" w:rsidRPr="00FC5507" w:rsidRDefault="001E56A6" w:rsidP="00FC5507">
      <w:pPr>
        <w:jc w:val="both"/>
        <w:rPr>
          <w:sz w:val="20"/>
          <w:lang w:val="fr-CA"/>
        </w:rPr>
      </w:pPr>
    </w:p>
    <w:p w:rsidR="00C51620" w:rsidRDefault="00A6684F" w:rsidP="00FC5507">
      <w:pPr>
        <w:ind w:left="142" w:hanging="142"/>
        <w:jc w:val="both"/>
        <w:rPr>
          <w:sz w:val="20"/>
          <w:lang w:val="fr-CA"/>
        </w:rPr>
      </w:pPr>
      <w:r>
        <w:rPr>
          <w:sz w:val="20"/>
        </w:rPr>
        <w:pict>
          <v:rect id="_x0000_i1028" style="width:2in;height:1pt" o:hrpct="0" o:hralign="center" o:hrstd="t" o:hrnoshade="t" o:hr="t" fillcolor="black [3213]" stroked="f"/>
        </w:pict>
      </w:r>
    </w:p>
    <w:p w:rsidR="00A6684F" w:rsidRPr="00FC5507" w:rsidRDefault="00A6684F"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6A6" w:rsidRPr="00FC5507" w:rsidTr="00602075">
        <w:tc>
          <w:tcPr>
            <w:tcW w:w="543" w:type="pct"/>
          </w:tcPr>
          <w:p w:rsidR="001E56A6" w:rsidRPr="00FC5507" w:rsidRDefault="001E56A6" w:rsidP="00FC5507">
            <w:pPr>
              <w:jc w:val="both"/>
              <w:rPr>
                <w:sz w:val="20"/>
              </w:rPr>
            </w:pPr>
            <w:r w:rsidRPr="00FC5507">
              <w:rPr>
                <w:rStyle w:val="SCCFileNumberChar"/>
                <w:sz w:val="20"/>
                <w:szCs w:val="20"/>
              </w:rPr>
              <w:t>38504</w:t>
            </w:r>
          </w:p>
        </w:tc>
        <w:tc>
          <w:tcPr>
            <w:tcW w:w="4457" w:type="pct"/>
            <w:gridSpan w:val="3"/>
          </w:tcPr>
          <w:p w:rsidR="001E56A6" w:rsidRPr="00602075" w:rsidRDefault="001E56A6" w:rsidP="00FC5507">
            <w:pPr>
              <w:pStyle w:val="SCCLsocParty"/>
              <w:jc w:val="both"/>
              <w:rPr>
                <w:b/>
                <w:sz w:val="20"/>
                <w:szCs w:val="20"/>
                <w:lang w:val="en-US"/>
              </w:rPr>
            </w:pPr>
            <w:r w:rsidRPr="00602075">
              <w:rPr>
                <w:b/>
                <w:sz w:val="20"/>
                <w:szCs w:val="20"/>
                <w:lang w:val="en-US"/>
              </w:rPr>
              <w:t>Sheena Cuthill v. Her Majesty the Queen</w:t>
            </w:r>
          </w:p>
          <w:p w:rsidR="001E56A6" w:rsidRPr="00FC5507" w:rsidRDefault="001E56A6" w:rsidP="00FC5507">
            <w:pPr>
              <w:jc w:val="both"/>
              <w:rPr>
                <w:sz w:val="20"/>
              </w:rPr>
            </w:pPr>
            <w:r w:rsidRPr="00FC5507">
              <w:rPr>
                <w:sz w:val="20"/>
              </w:rPr>
              <w:t>(Alta.) (Criminal) (By Leave)</w:t>
            </w:r>
          </w:p>
        </w:tc>
      </w:tr>
      <w:tr w:rsidR="001E56A6" w:rsidRPr="00FC5507" w:rsidTr="00602075">
        <w:tc>
          <w:tcPr>
            <w:tcW w:w="5000" w:type="pct"/>
            <w:gridSpan w:val="4"/>
          </w:tcPr>
          <w:p w:rsidR="001E56A6" w:rsidRPr="00FC5507" w:rsidRDefault="001E56A6" w:rsidP="00FC5507">
            <w:pPr>
              <w:jc w:val="both"/>
              <w:rPr>
                <w:sz w:val="20"/>
              </w:rPr>
            </w:pPr>
            <w:r w:rsidRPr="00FC5507">
              <w:rPr>
                <w:sz w:val="20"/>
              </w:rPr>
              <w:t>Criminal law — Evidence — Hearsay — Spousal communication — Whether text messages should have been excluded on basis of spousal privilege — How concepts of digital privacy should be reconciled with concepts of spousal communications privilege — Admissibility of record of private communication between spouses obtained by way of Production Order.</w:t>
            </w:r>
          </w:p>
        </w:tc>
      </w:tr>
      <w:tr w:rsidR="001E56A6" w:rsidRPr="00FC5507" w:rsidTr="00602075">
        <w:tc>
          <w:tcPr>
            <w:tcW w:w="5000" w:type="pct"/>
            <w:gridSpan w:val="4"/>
          </w:tcPr>
          <w:p w:rsidR="001E56A6" w:rsidRPr="00FC5507" w:rsidRDefault="001E56A6" w:rsidP="00FC5507">
            <w:pPr>
              <w:jc w:val="both"/>
              <w:rPr>
                <w:sz w:val="20"/>
              </w:rPr>
            </w:pPr>
          </w:p>
        </w:tc>
      </w:tr>
      <w:tr w:rsidR="001E56A6" w:rsidRPr="00FC5507" w:rsidTr="00602075">
        <w:tc>
          <w:tcPr>
            <w:tcW w:w="5000" w:type="pct"/>
            <w:gridSpan w:val="4"/>
          </w:tcPr>
          <w:p w:rsidR="001E56A6" w:rsidRPr="00FC5507" w:rsidRDefault="001E56A6" w:rsidP="00FC5507">
            <w:pPr>
              <w:jc w:val="both"/>
              <w:rPr>
                <w:sz w:val="20"/>
              </w:rPr>
            </w:pPr>
            <w:r w:rsidRPr="00FC5507">
              <w:rPr>
                <w:sz w:val="20"/>
              </w:rPr>
              <w:lastRenderedPageBreak/>
              <w:t>Sheena Cuthill, her husband and her brother</w:t>
            </w:r>
            <w:r w:rsidRPr="00FC5507">
              <w:rPr>
                <w:sz w:val="20"/>
              </w:rPr>
              <w:noBreakHyphen/>
              <w:t>in</w:t>
            </w:r>
            <w:r w:rsidRPr="00FC5507">
              <w:rPr>
                <w:sz w:val="20"/>
              </w:rPr>
              <w:noBreakHyphen/>
              <w:t>law were charged with the first degree murder of Ryan Lane, the father of Ms. </w:t>
            </w:r>
            <w:proofErr w:type="spellStart"/>
            <w:r w:rsidRPr="00FC5507">
              <w:rPr>
                <w:sz w:val="20"/>
              </w:rPr>
              <w:t>Cuthill’s</w:t>
            </w:r>
            <w:proofErr w:type="spellEnd"/>
            <w:r w:rsidRPr="00FC5507">
              <w:rPr>
                <w:sz w:val="20"/>
              </w:rPr>
              <w:t xml:space="preserve"> daughter. Police later determined that Ms. </w:t>
            </w:r>
            <w:proofErr w:type="spellStart"/>
            <w:r w:rsidRPr="00FC5507">
              <w:rPr>
                <w:sz w:val="20"/>
              </w:rPr>
              <w:t>Cuthill’s</w:t>
            </w:r>
            <w:proofErr w:type="spellEnd"/>
            <w:r w:rsidRPr="00FC5507">
              <w:rPr>
                <w:sz w:val="20"/>
              </w:rPr>
              <w:t xml:space="preserve"> husband lured Mr. Ryan to a gas station where he was last seen getting into a truck driven by Ms. </w:t>
            </w:r>
            <w:proofErr w:type="spellStart"/>
            <w:r w:rsidRPr="00FC5507">
              <w:rPr>
                <w:sz w:val="20"/>
              </w:rPr>
              <w:t>Cuthill’s</w:t>
            </w:r>
            <w:proofErr w:type="spellEnd"/>
            <w:r w:rsidRPr="00FC5507">
              <w:rPr>
                <w:sz w:val="20"/>
              </w:rPr>
              <w:t xml:space="preserve"> brother</w:t>
            </w:r>
            <w:r w:rsidRPr="00FC5507">
              <w:rPr>
                <w:sz w:val="20"/>
              </w:rPr>
              <w:noBreakHyphen/>
              <w:t>in</w:t>
            </w:r>
            <w:r w:rsidRPr="00FC5507">
              <w:rPr>
                <w:sz w:val="20"/>
              </w:rPr>
              <w:noBreakHyphen/>
              <w:t>law. When the truck drove away, her husband followed in a Jeep. Months later, Mr. Lane’s ashes, bone fragments and cell phone were found in a burn barrel at a gravel pit where the co</w:t>
            </w:r>
            <w:r w:rsidRPr="00FC5507">
              <w:rPr>
                <w:sz w:val="20"/>
              </w:rPr>
              <w:noBreakHyphen/>
              <w:t>accused men had once worked and his class ring was found nearby. Mr. Lane’s DNA was found in the truck and his blood was found in the Jeep. Using a production order, police recovered text messages including messages sent and received by Ms. Cuthill. Several texts suggest a plan to kidnap and kill Mr. Lane. The trial judge admitted the text messages into evidence. A jury convicted Ms. Cuthill of first degree murder. The Court of Appeal dismissed an appeal.</w:t>
            </w:r>
          </w:p>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t>April 22, 2016</w:t>
            </w:r>
          </w:p>
          <w:p w:rsidR="001E56A6" w:rsidRPr="00FC5507" w:rsidRDefault="001E56A6" w:rsidP="00FC5507">
            <w:pPr>
              <w:jc w:val="both"/>
              <w:rPr>
                <w:sz w:val="20"/>
              </w:rPr>
            </w:pPr>
            <w:r w:rsidRPr="00FC5507">
              <w:rPr>
                <w:sz w:val="20"/>
              </w:rPr>
              <w:t>Court of Queen’s Bench of Alberta</w:t>
            </w:r>
          </w:p>
          <w:p w:rsidR="001E56A6" w:rsidRPr="00FC5507" w:rsidRDefault="001E56A6" w:rsidP="00FC5507">
            <w:pPr>
              <w:jc w:val="both"/>
              <w:rPr>
                <w:sz w:val="20"/>
              </w:rPr>
            </w:pPr>
            <w:r w:rsidRPr="00FC5507">
              <w:rPr>
                <w:sz w:val="20"/>
              </w:rPr>
              <w:t>(Macleod J.)(Unreported)</w:t>
            </w:r>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r w:rsidRPr="00FC5507">
              <w:rPr>
                <w:sz w:val="20"/>
              </w:rPr>
              <w:t>Conviction by jury for first degree murder</w:t>
            </w:r>
          </w:p>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t>October 1, 2018</w:t>
            </w:r>
          </w:p>
          <w:p w:rsidR="001E56A6" w:rsidRPr="00FC5507" w:rsidRDefault="001E56A6" w:rsidP="00FC5507">
            <w:pPr>
              <w:jc w:val="both"/>
              <w:rPr>
                <w:sz w:val="20"/>
              </w:rPr>
            </w:pPr>
            <w:r w:rsidRPr="00FC5507">
              <w:rPr>
                <w:sz w:val="20"/>
              </w:rPr>
              <w:t>Court of Appeal of Alberta (Calgary)</w:t>
            </w:r>
          </w:p>
          <w:p w:rsidR="001E56A6" w:rsidRPr="00FC5507" w:rsidRDefault="001E56A6" w:rsidP="00FC5507">
            <w:pPr>
              <w:jc w:val="both"/>
              <w:rPr>
                <w:sz w:val="20"/>
              </w:rPr>
            </w:pPr>
            <w:r w:rsidRPr="00FC5507">
              <w:rPr>
                <w:sz w:val="20"/>
              </w:rPr>
              <w:t xml:space="preserve">(Martin, McDonald and Schutz JJ.A.) </w:t>
            </w:r>
          </w:p>
          <w:p w:rsidR="001E56A6" w:rsidRPr="00FC5507" w:rsidRDefault="001E56A6" w:rsidP="00FC5507">
            <w:pPr>
              <w:jc w:val="both"/>
              <w:rPr>
                <w:sz w:val="20"/>
              </w:rPr>
            </w:pPr>
            <w:r w:rsidRPr="00FC5507">
              <w:rPr>
                <w:sz w:val="20"/>
                <w:lang w:val="en"/>
              </w:rPr>
              <w:t>1601</w:t>
            </w:r>
            <w:r w:rsidRPr="00FC5507">
              <w:rPr>
                <w:sz w:val="20"/>
                <w:lang w:val="en"/>
              </w:rPr>
              <w:noBreakHyphen/>
              <w:t>0106</w:t>
            </w:r>
            <w:r w:rsidRPr="00FC5507">
              <w:rPr>
                <w:sz w:val="20"/>
                <w:lang w:val="en"/>
              </w:rPr>
              <w:noBreakHyphen/>
              <w:t>A</w:t>
            </w:r>
            <w:r w:rsidRPr="00FC5507">
              <w:rPr>
                <w:sz w:val="20"/>
              </w:rPr>
              <w:t xml:space="preserve">; </w:t>
            </w:r>
            <w:hyperlink r:id="rId35" w:history="1">
              <w:r w:rsidRPr="00FC5507">
                <w:rPr>
                  <w:rStyle w:val="Hyperlink"/>
                  <w:sz w:val="20"/>
                </w:rPr>
                <w:t>2018 ABCA 321</w:t>
              </w:r>
            </w:hyperlink>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r w:rsidRPr="00FC5507">
              <w:rPr>
                <w:sz w:val="20"/>
              </w:rPr>
              <w:t>Appeal dismissed</w:t>
            </w:r>
          </w:p>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t>February 5, 2019</w:t>
            </w:r>
          </w:p>
          <w:p w:rsidR="001E56A6" w:rsidRPr="00FC5507" w:rsidRDefault="001E56A6" w:rsidP="00FC5507">
            <w:pPr>
              <w:jc w:val="both"/>
              <w:rPr>
                <w:sz w:val="20"/>
              </w:rPr>
            </w:pPr>
            <w:r w:rsidRPr="00FC5507">
              <w:rPr>
                <w:sz w:val="20"/>
              </w:rPr>
              <w:t>Supreme Court of Canada</w:t>
            </w: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r w:rsidRPr="00FC5507">
              <w:rPr>
                <w:sz w:val="20"/>
              </w:rPr>
              <w:t>Motion for extension of time to serve and file application for leave to appeal and application for leave to appeal filed by Sheena Cuthill</w:t>
            </w:r>
          </w:p>
        </w:tc>
      </w:tr>
    </w:tbl>
    <w:p w:rsidR="001E56A6" w:rsidRDefault="001E56A6" w:rsidP="00FC5507">
      <w:pPr>
        <w:jc w:val="both"/>
        <w:rPr>
          <w:sz w:val="20"/>
        </w:rPr>
      </w:pPr>
    </w:p>
    <w:p w:rsidR="00602075" w:rsidRDefault="00A6684F" w:rsidP="00FC5507">
      <w:pPr>
        <w:jc w:val="both"/>
        <w:rPr>
          <w:sz w:val="20"/>
        </w:rPr>
      </w:pPr>
      <w:r>
        <w:rPr>
          <w:sz w:val="20"/>
        </w:rPr>
        <w:pict>
          <v:rect id="_x0000_i1029" style="width:2in;height:1pt" o:hrpct="0" o:hralign="center" o:hrstd="t" o:hrnoshade="t" o:hr="t" fillcolor="black [3213]" stroked="f"/>
        </w:pict>
      </w:r>
    </w:p>
    <w:p w:rsidR="00A6684F" w:rsidRPr="00FC5507" w:rsidRDefault="00A6684F"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6A6" w:rsidRPr="00FC5507" w:rsidTr="00602075">
        <w:tc>
          <w:tcPr>
            <w:tcW w:w="543" w:type="pct"/>
          </w:tcPr>
          <w:p w:rsidR="001E56A6" w:rsidRPr="00FC5507" w:rsidRDefault="001E56A6" w:rsidP="00FC5507">
            <w:pPr>
              <w:jc w:val="both"/>
              <w:rPr>
                <w:sz w:val="20"/>
                <w:lang w:val="fr-CA"/>
              </w:rPr>
            </w:pPr>
            <w:r w:rsidRPr="00FC5507">
              <w:rPr>
                <w:rStyle w:val="SCCFileNumberChar"/>
                <w:sz w:val="20"/>
                <w:szCs w:val="20"/>
                <w:lang w:val="fr-CA"/>
              </w:rPr>
              <w:t>38504</w:t>
            </w:r>
          </w:p>
        </w:tc>
        <w:tc>
          <w:tcPr>
            <w:tcW w:w="4457" w:type="pct"/>
            <w:gridSpan w:val="3"/>
          </w:tcPr>
          <w:p w:rsidR="001E56A6" w:rsidRPr="00602075" w:rsidRDefault="001E56A6" w:rsidP="00FC5507">
            <w:pPr>
              <w:pStyle w:val="SCCLsocParty"/>
              <w:jc w:val="both"/>
              <w:rPr>
                <w:b/>
                <w:sz w:val="20"/>
                <w:szCs w:val="20"/>
              </w:rPr>
            </w:pPr>
            <w:proofErr w:type="spellStart"/>
            <w:r w:rsidRPr="00602075">
              <w:rPr>
                <w:b/>
                <w:sz w:val="20"/>
                <w:szCs w:val="20"/>
              </w:rPr>
              <w:t>Sheena</w:t>
            </w:r>
            <w:proofErr w:type="spellEnd"/>
            <w:r w:rsidRPr="00602075">
              <w:rPr>
                <w:b/>
                <w:sz w:val="20"/>
                <w:szCs w:val="20"/>
              </w:rPr>
              <w:t xml:space="preserve"> Cuthill c. Sa Majesté la Reine</w:t>
            </w:r>
          </w:p>
          <w:p w:rsidR="001E56A6" w:rsidRPr="00FC5507" w:rsidRDefault="001E56A6" w:rsidP="00FC5507">
            <w:pPr>
              <w:jc w:val="both"/>
              <w:rPr>
                <w:sz w:val="20"/>
                <w:lang w:val="fr-CA"/>
              </w:rPr>
            </w:pPr>
            <w:r w:rsidRPr="00FC5507">
              <w:rPr>
                <w:sz w:val="20"/>
                <w:lang w:val="fr-CA"/>
              </w:rPr>
              <w:t>(Alb.) (Criminelle) (Autorisation)</w:t>
            </w:r>
          </w:p>
        </w:tc>
      </w:tr>
      <w:tr w:rsidR="001E56A6" w:rsidRPr="00A6684F" w:rsidTr="00602075">
        <w:tc>
          <w:tcPr>
            <w:tcW w:w="5000" w:type="pct"/>
            <w:gridSpan w:val="4"/>
          </w:tcPr>
          <w:p w:rsidR="001E56A6" w:rsidRPr="00FC5507" w:rsidRDefault="001E56A6" w:rsidP="00FC5507">
            <w:pPr>
              <w:jc w:val="both"/>
              <w:rPr>
                <w:sz w:val="20"/>
                <w:lang w:val="fr-CA"/>
              </w:rPr>
            </w:pPr>
            <w:r w:rsidRPr="00FC5507">
              <w:rPr>
                <w:sz w:val="20"/>
                <w:lang w:val="fr-CA"/>
              </w:rPr>
              <w:t>Droit criminel — Preuve — Ouï</w:t>
            </w:r>
            <w:r w:rsidRPr="00FC5507">
              <w:rPr>
                <w:sz w:val="20"/>
                <w:lang w:val="fr-CA"/>
              </w:rPr>
              <w:noBreakHyphen/>
              <w:t>dire — Communication entre époux — Les messages textes auraient</w:t>
            </w:r>
            <w:r w:rsidRPr="00FC5507">
              <w:rPr>
                <w:sz w:val="20"/>
                <w:lang w:val="fr-CA"/>
              </w:rPr>
              <w:noBreakHyphen/>
              <w:t>ils dû être exclus sur le fondement du privilège relatif aux communications entre époux? — Comment convient</w:t>
            </w:r>
            <w:r w:rsidRPr="00FC5507">
              <w:rPr>
                <w:sz w:val="20"/>
                <w:lang w:val="fr-CA"/>
              </w:rPr>
              <w:noBreakHyphen/>
              <w:t>il de concilier les notions de protection des renseignements personnels numériques et les notions de privilège relatif aux communications entre époux? — Admissibilité du relevé des communications privées entre époux obtenues par voie d’ordonnance de production.</w:t>
            </w:r>
          </w:p>
        </w:tc>
      </w:tr>
      <w:tr w:rsidR="001E56A6" w:rsidRPr="00A6684F" w:rsidTr="00602075">
        <w:tc>
          <w:tcPr>
            <w:tcW w:w="5000" w:type="pct"/>
            <w:gridSpan w:val="4"/>
          </w:tcPr>
          <w:p w:rsidR="001E56A6" w:rsidRPr="00FC5507" w:rsidRDefault="001E56A6" w:rsidP="00FC5507">
            <w:pPr>
              <w:jc w:val="both"/>
              <w:rPr>
                <w:sz w:val="20"/>
                <w:lang w:val="fr-CA"/>
              </w:rPr>
            </w:pPr>
          </w:p>
        </w:tc>
      </w:tr>
      <w:tr w:rsidR="001E56A6" w:rsidRPr="00FC5507" w:rsidTr="00602075">
        <w:tc>
          <w:tcPr>
            <w:tcW w:w="5000" w:type="pct"/>
            <w:gridSpan w:val="4"/>
          </w:tcPr>
          <w:p w:rsidR="001E56A6" w:rsidRPr="00FC5507" w:rsidRDefault="001E56A6" w:rsidP="00FC5507">
            <w:pPr>
              <w:jc w:val="both"/>
              <w:rPr>
                <w:sz w:val="20"/>
                <w:lang w:val="fr-CA"/>
              </w:rPr>
            </w:pPr>
            <w:r w:rsidRPr="00FC5507">
              <w:rPr>
                <w:sz w:val="20"/>
                <w:lang w:val="fr-CA"/>
              </w:rPr>
              <w:t>Sheena Cuthill, son époux et son beau</w:t>
            </w:r>
            <w:r w:rsidRPr="00FC5507">
              <w:rPr>
                <w:sz w:val="20"/>
                <w:lang w:val="fr-CA"/>
              </w:rPr>
              <w:noBreakHyphen/>
              <w:t>frère ont été accusés du meurtre au premier degré de Ryan Lane, le père de la fille de Mme Cuthill. Les policiers ont conclu par la suite que l’époux de Mme Cuthill avait attiré M. Ryan à se rendre à une station</w:t>
            </w:r>
            <w:r w:rsidRPr="00FC5507">
              <w:rPr>
                <w:sz w:val="20"/>
                <w:lang w:val="fr-CA"/>
              </w:rPr>
              <w:noBreakHyphen/>
              <w:t>service où il a été vu pour la dernière fois en train de monter à bord d’un camion conduit par le beau</w:t>
            </w:r>
            <w:r w:rsidRPr="00FC5507">
              <w:rPr>
                <w:sz w:val="20"/>
                <w:lang w:val="fr-CA"/>
              </w:rPr>
              <w:noBreakHyphen/>
              <w:t>frère de Mme Cuthill. Lorsque le camion s’est éloigné, son époux l’a suivi à bord d’une Jeep. Des mois plus tard, les cendres, des fragments d’os et le téléphone cellulaire de M. Lane ont été trouvés dans un baril d’incinération à une gravière où avaient déjà travaillé les hommes coaccusés et sa bague d’étudiant a été trouvée non loin de là. De l’ADN de M. Lane a été trouvé dans le camion et on a trouvé de son sang dans la Jeep. Munie d’une ordonnance de production, la police a récupéré des messages textes, y compris des messages envoyés et reçus par Mme Cuthill. Plusieurs messages textes laissaient entrevoir un plan pour enlever et tuer M. Lane. Le juge du procès a admis en preuve les messages textes. Un jury a déclaré Mme Cuthill coupable de meurtre au premier degré. La Cour d’appel a rejeté l’appel.</w:t>
            </w:r>
          </w:p>
          <w:p w:rsidR="001E56A6" w:rsidRPr="00FC5507" w:rsidRDefault="001E56A6" w:rsidP="00FC5507">
            <w:pPr>
              <w:jc w:val="both"/>
              <w:rPr>
                <w:sz w:val="20"/>
                <w:lang w:val="fr-CA"/>
              </w:rPr>
            </w:pPr>
          </w:p>
        </w:tc>
      </w:tr>
      <w:tr w:rsidR="001E56A6" w:rsidRPr="00A6684F" w:rsidTr="00602075">
        <w:tc>
          <w:tcPr>
            <w:tcW w:w="2427" w:type="pct"/>
            <w:gridSpan w:val="2"/>
          </w:tcPr>
          <w:p w:rsidR="001E56A6" w:rsidRPr="00FC5507" w:rsidRDefault="001E56A6" w:rsidP="00FC5507">
            <w:pPr>
              <w:jc w:val="both"/>
              <w:rPr>
                <w:sz w:val="20"/>
                <w:lang w:val="fr-CA"/>
              </w:rPr>
            </w:pPr>
            <w:r w:rsidRPr="00FC5507">
              <w:rPr>
                <w:sz w:val="20"/>
                <w:lang w:val="fr-CA"/>
              </w:rPr>
              <w:t>22 avril 2016</w:t>
            </w:r>
          </w:p>
          <w:p w:rsidR="001E56A6" w:rsidRPr="00FC5507" w:rsidRDefault="001E56A6" w:rsidP="00FC5507">
            <w:pPr>
              <w:jc w:val="both"/>
              <w:rPr>
                <w:sz w:val="20"/>
                <w:lang w:val="fr-CA"/>
              </w:rPr>
            </w:pPr>
            <w:r w:rsidRPr="00FC5507">
              <w:rPr>
                <w:sz w:val="20"/>
                <w:lang w:val="fr-CA"/>
              </w:rPr>
              <w:t>Cour du Banc de la Reine de l’Alberta</w:t>
            </w:r>
          </w:p>
          <w:p w:rsidR="001E56A6" w:rsidRPr="00FC5507" w:rsidRDefault="001E56A6" w:rsidP="00FC5507">
            <w:pPr>
              <w:jc w:val="both"/>
              <w:rPr>
                <w:sz w:val="20"/>
                <w:lang w:val="fr-CA"/>
              </w:rPr>
            </w:pPr>
            <w:r w:rsidRPr="00FC5507">
              <w:rPr>
                <w:sz w:val="20"/>
                <w:lang w:val="fr-CA"/>
              </w:rPr>
              <w:t>(Juge Macleod)(Non publié)</w:t>
            </w:r>
          </w:p>
          <w:p w:rsidR="001E56A6" w:rsidRPr="00FC5507" w:rsidRDefault="001E56A6" w:rsidP="00FC5507">
            <w:pPr>
              <w:jc w:val="both"/>
              <w:rPr>
                <w:sz w:val="20"/>
                <w:lang w:val="fr-CA"/>
              </w:rPr>
            </w:pP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r w:rsidRPr="00FC5507">
              <w:rPr>
                <w:sz w:val="20"/>
                <w:lang w:val="fr-CA"/>
              </w:rPr>
              <w:t>Déclaration de culpabilité par un jury pour meurtre au premier degré</w:t>
            </w:r>
          </w:p>
          <w:p w:rsidR="001E56A6" w:rsidRPr="00FC5507" w:rsidRDefault="001E56A6" w:rsidP="00FC5507">
            <w:pPr>
              <w:jc w:val="both"/>
              <w:rPr>
                <w:sz w:val="20"/>
                <w:lang w:val="fr-CA"/>
              </w:rPr>
            </w:pPr>
          </w:p>
        </w:tc>
      </w:tr>
      <w:tr w:rsidR="001E56A6" w:rsidRPr="00FC5507" w:rsidTr="00602075">
        <w:tc>
          <w:tcPr>
            <w:tcW w:w="2427" w:type="pct"/>
            <w:gridSpan w:val="2"/>
          </w:tcPr>
          <w:p w:rsidR="001E56A6" w:rsidRPr="00FC5507" w:rsidRDefault="001E56A6" w:rsidP="00FC5507">
            <w:pPr>
              <w:jc w:val="both"/>
              <w:rPr>
                <w:sz w:val="20"/>
                <w:lang w:val="fr-CA"/>
              </w:rPr>
            </w:pPr>
            <w:r w:rsidRPr="00FC5507">
              <w:rPr>
                <w:sz w:val="20"/>
                <w:lang w:val="fr-CA"/>
              </w:rPr>
              <w:t>1</w:t>
            </w:r>
            <w:r w:rsidRPr="00FC5507">
              <w:rPr>
                <w:sz w:val="20"/>
                <w:vertAlign w:val="superscript"/>
                <w:lang w:val="fr-CA"/>
              </w:rPr>
              <w:t>er</w:t>
            </w:r>
            <w:r w:rsidRPr="00FC5507">
              <w:rPr>
                <w:sz w:val="20"/>
                <w:lang w:val="fr-CA"/>
              </w:rPr>
              <w:t> octobre 2018</w:t>
            </w:r>
          </w:p>
          <w:p w:rsidR="001E56A6" w:rsidRPr="00FC5507" w:rsidRDefault="001E56A6" w:rsidP="00FC5507">
            <w:pPr>
              <w:jc w:val="both"/>
              <w:rPr>
                <w:sz w:val="20"/>
                <w:lang w:val="fr-CA"/>
              </w:rPr>
            </w:pPr>
            <w:r w:rsidRPr="00FC5507">
              <w:rPr>
                <w:sz w:val="20"/>
                <w:lang w:val="fr-CA"/>
              </w:rPr>
              <w:t>Cour d’appel de l’Alberta (Calgary)</w:t>
            </w:r>
          </w:p>
          <w:p w:rsidR="001E56A6" w:rsidRPr="00FC5507" w:rsidRDefault="001E56A6" w:rsidP="00FC5507">
            <w:pPr>
              <w:jc w:val="both"/>
              <w:rPr>
                <w:sz w:val="20"/>
                <w:lang w:val="fr-CA"/>
              </w:rPr>
            </w:pPr>
            <w:r w:rsidRPr="00FC5507">
              <w:rPr>
                <w:sz w:val="20"/>
                <w:lang w:val="fr-CA"/>
              </w:rPr>
              <w:t>(Juges Martin, McDonald et Schutz)</w:t>
            </w:r>
          </w:p>
          <w:p w:rsidR="001E56A6" w:rsidRPr="00FC5507" w:rsidRDefault="001E56A6" w:rsidP="00FC5507">
            <w:pPr>
              <w:jc w:val="both"/>
              <w:rPr>
                <w:sz w:val="20"/>
                <w:lang w:val="fr-CA"/>
              </w:rPr>
            </w:pPr>
            <w:r w:rsidRPr="00FC5507">
              <w:rPr>
                <w:sz w:val="20"/>
                <w:lang w:val="fr-CA"/>
              </w:rPr>
              <w:lastRenderedPageBreak/>
              <w:t>1601</w:t>
            </w:r>
            <w:r w:rsidRPr="00FC5507">
              <w:rPr>
                <w:sz w:val="20"/>
                <w:lang w:val="fr-CA"/>
              </w:rPr>
              <w:noBreakHyphen/>
              <w:t>0106</w:t>
            </w:r>
            <w:r w:rsidRPr="00FC5507">
              <w:rPr>
                <w:sz w:val="20"/>
                <w:lang w:val="fr-CA"/>
              </w:rPr>
              <w:noBreakHyphen/>
              <w:t xml:space="preserve">A; </w:t>
            </w:r>
            <w:hyperlink r:id="rId36" w:history="1">
              <w:r w:rsidRPr="00FC5507">
                <w:rPr>
                  <w:rStyle w:val="Hyperlink"/>
                  <w:sz w:val="20"/>
                  <w:lang w:val="fr-CA"/>
                </w:rPr>
                <w:t>2018 ABCA 321</w:t>
              </w:r>
            </w:hyperlink>
          </w:p>
          <w:p w:rsidR="001E56A6" w:rsidRPr="00FC5507" w:rsidRDefault="001E56A6" w:rsidP="00FC5507">
            <w:pPr>
              <w:jc w:val="both"/>
              <w:rPr>
                <w:sz w:val="20"/>
                <w:lang w:val="fr-CA"/>
              </w:rPr>
            </w:pP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r w:rsidRPr="00FC5507">
              <w:rPr>
                <w:sz w:val="20"/>
                <w:lang w:val="fr-CA"/>
              </w:rPr>
              <w:t>Rejet de l’appel</w:t>
            </w:r>
          </w:p>
          <w:p w:rsidR="001E56A6" w:rsidRPr="00FC5507" w:rsidRDefault="001E56A6" w:rsidP="00FC5507">
            <w:pPr>
              <w:jc w:val="both"/>
              <w:rPr>
                <w:sz w:val="20"/>
                <w:lang w:val="fr-CA"/>
              </w:rPr>
            </w:pPr>
          </w:p>
        </w:tc>
      </w:tr>
      <w:tr w:rsidR="001E56A6" w:rsidRPr="00A6684F" w:rsidTr="00602075">
        <w:tc>
          <w:tcPr>
            <w:tcW w:w="2427" w:type="pct"/>
            <w:gridSpan w:val="2"/>
          </w:tcPr>
          <w:p w:rsidR="001E56A6" w:rsidRPr="00FC5507" w:rsidRDefault="001E56A6" w:rsidP="00FC5507">
            <w:pPr>
              <w:jc w:val="both"/>
              <w:rPr>
                <w:sz w:val="20"/>
                <w:lang w:val="fr-CA"/>
              </w:rPr>
            </w:pPr>
            <w:r w:rsidRPr="00FC5507">
              <w:rPr>
                <w:sz w:val="20"/>
                <w:lang w:val="fr-CA"/>
              </w:rPr>
              <w:t>5 février 2019</w:t>
            </w:r>
          </w:p>
          <w:p w:rsidR="001E56A6" w:rsidRPr="00FC5507" w:rsidRDefault="001E56A6" w:rsidP="00FC5507">
            <w:pPr>
              <w:jc w:val="both"/>
              <w:rPr>
                <w:sz w:val="20"/>
                <w:lang w:val="fr-CA"/>
              </w:rPr>
            </w:pPr>
            <w:r w:rsidRPr="00FC5507">
              <w:rPr>
                <w:sz w:val="20"/>
                <w:lang w:val="fr-CA"/>
              </w:rPr>
              <w:t>Cour suprême du Canada</w:t>
            </w: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r w:rsidRPr="00FC5507">
              <w:rPr>
                <w:sz w:val="20"/>
                <w:lang w:val="fr-CA"/>
              </w:rPr>
              <w:t>Dépôt par Sheena Cuthill de la requête en prorogation du délai de signification et de dépôt de la demande d’autorisation d’appel et de la demande d’autorisation d’appel</w:t>
            </w:r>
          </w:p>
        </w:tc>
      </w:tr>
    </w:tbl>
    <w:p w:rsidR="001E56A6" w:rsidRDefault="001E56A6" w:rsidP="00FC5507">
      <w:pPr>
        <w:jc w:val="both"/>
        <w:rPr>
          <w:sz w:val="20"/>
          <w:lang w:val="fr-CA"/>
        </w:rPr>
      </w:pPr>
    </w:p>
    <w:p w:rsidR="00A6684F" w:rsidRPr="00FC5507" w:rsidRDefault="00A6684F" w:rsidP="00FC5507">
      <w:pPr>
        <w:jc w:val="both"/>
        <w:rPr>
          <w:sz w:val="20"/>
          <w:lang w:val="fr-CA"/>
        </w:rPr>
      </w:pPr>
      <w:r>
        <w:rPr>
          <w:sz w:val="20"/>
        </w:rPr>
        <w:pict>
          <v:rect id="_x0000_i1030"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6A6" w:rsidRPr="00FC5507" w:rsidTr="00602075">
        <w:tc>
          <w:tcPr>
            <w:tcW w:w="543" w:type="pct"/>
          </w:tcPr>
          <w:p w:rsidR="001E56A6" w:rsidRPr="00FC5507" w:rsidRDefault="001E56A6" w:rsidP="00FC5507">
            <w:pPr>
              <w:jc w:val="both"/>
              <w:rPr>
                <w:sz w:val="20"/>
              </w:rPr>
            </w:pPr>
            <w:r w:rsidRPr="00FC5507">
              <w:rPr>
                <w:rStyle w:val="SCCFileNumberChar"/>
                <w:sz w:val="20"/>
                <w:szCs w:val="20"/>
              </w:rPr>
              <w:t>38464</w:t>
            </w:r>
          </w:p>
        </w:tc>
        <w:tc>
          <w:tcPr>
            <w:tcW w:w="4457" w:type="pct"/>
            <w:gridSpan w:val="3"/>
          </w:tcPr>
          <w:p w:rsidR="001E56A6" w:rsidRPr="00602075" w:rsidRDefault="001E56A6" w:rsidP="00FC5507">
            <w:pPr>
              <w:pStyle w:val="SCCLsocParty"/>
              <w:jc w:val="both"/>
              <w:rPr>
                <w:b/>
                <w:sz w:val="20"/>
                <w:szCs w:val="20"/>
                <w:lang w:val="en-US"/>
              </w:rPr>
            </w:pPr>
            <w:r w:rsidRPr="00602075">
              <w:rPr>
                <w:b/>
                <w:sz w:val="20"/>
                <w:szCs w:val="20"/>
                <w:lang w:val="en-US"/>
              </w:rPr>
              <w:t>Hampton Securities Limited v. Christina Nicole (Niki) Dean</w:t>
            </w:r>
          </w:p>
          <w:p w:rsidR="001E56A6" w:rsidRPr="00FC5507" w:rsidRDefault="001E56A6" w:rsidP="00FC5507">
            <w:pPr>
              <w:jc w:val="both"/>
              <w:rPr>
                <w:sz w:val="20"/>
              </w:rPr>
            </w:pPr>
            <w:r w:rsidRPr="00FC5507">
              <w:rPr>
                <w:sz w:val="20"/>
              </w:rPr>
              <w:t>(Ont.) (Civil) (By Leave)</w:t>
            </w:r>
          </w:p>
        </w:tc>
      </w:tr>
      <w:tr w:rsidR="001E56A6" w:rsidRPr="00FC5507" w:rsidTr="00602075">
        <w:tc>
          <w:tcPr>
            <w:tcW w:w="5000" w:type="pct"/>
            <w:gridSpan w:val="4"/>
          </w:tcPr>
          <w:p w:rsidR="001E56A6" w:rsidRPr="00FC5507" w:rsidRDefault="001E56A6" w:rsidP="00FC5507">
            <w:pPr>
              <w:jc w:val="both"/>
              <w:rPr>
                <w:sz w:val="20"/>
              </w:rPr>
            </w:pPr>
            <w:r w:rsidRPr="00FC5507">
              <w:rPr>
                <w:sz w:val="20"/>
              </w:rPr>
              <w:t>Torts — Defamation — Defence of qualified privilege — Information declared under statutory obligation in a notice of termination available on research databases maintained by the Investment Industry Regulatory Organization of Canada — Has the Court of Appeal’s decision limited the scope of the duty required of securities firms in making mandatory reports to a securities regulator to statements that are true or can be proven to be true; thereby eviscerating the protections afforded by the defence of qualified privilege and making it indistinguishable from the defence of justification? — Has the Court of Appeal’s decision effectively removed the defence of qualified privilege from securities firms that have an honest, though ultimately mistaken, belief that a registrant had engaged in the actions reported in a mandatory report to a securities regulator?</w:t>
            </w:r>
          </w:p>
        </w:tc>
      </w:tr>
      <w:tr w:rsidR="001E56A6" w:rsidRPr="00FC5507" w:rsidTr="00602075">
        <w:tc>
          <w:tcPr>
            <w:tcW w:w="5000" w:type="pct"/>
            <w:gridSpan w:val="4"/>
          </w:tcPr>
          <w:p w:rsidR="001E56A6" w:rsidRPr="00FC5507" w:rsidRDefault="001E56A6" w:rsidP="00FC5507">
            <w:pPr>
              <w:jc w:val="both"/>
              <w:rPr>
                <w:sz w:val="20"/>
              </w:rPr>
            </w:pPr>
          </w:p>
        </w:tc>
      </w:tr>
      <w:tr w:rsidR="001E56A6" w:rsidRPr="00FC5507" w:rsidTr="00602075">
        <w:tc>
          <w:tcPr>
            <w:tcW w:w="5000" w:type="pct"/>
            <w:gridSpan w:val="4"/>
          </w:tcPr>
          <w:p w:rsidR="001E56A6" w:rsidRPr="00FC5507" w:rsidRDefault="001E56A6" w:rsidP="00FC5507">
            <w:pPr>
              <w:jc w:val="both"/>
              <w:rPr>
                <w:sz w:val="20"/>
              </w:rPr>
            </w:pPr>
            <w:r w:rsidRPr="00FC5507">
              <w:rPr>
                <w:sz w:val="20"/>
              </w:rPr>
              <w:t>The applicant, Hampton Securities Limited is a registered investment firm employing proprietary traders who buy and sell securities on its behalf. The respondent, Ms. Christina Nicole Dean joined Hampton as a proprietary trader in March 2008. In April 2009, Ms. Dean was demanded to increase her account reserve by $50 000.00 before engaging in any further trading. When she did not show up at the office the next day, she was terminated. Hampton’s reason for demanding the increase was that at the time, her accumulated losses exceeded her reserve. The day after the employment relationship ended, Hampton filed a notice of termination (NOT) on the National Research Database (NRD) maintained by its regulator, the Investment Industry Regulatory Organization of Canada. Hampton indicated in the NOT that Ms. Dean was terminated because she failed to follow trading desk policies and procedures and because of unauthorized trading resulting in losses. A few months later, Hampton commenced an action claiming that Ms. Dean owes Hampton money arising out of losses she incurred as a trader. In counterclaims, Ms. Dean claimed damages for constructive dismissal. She contended that she resigned after Hampton tried to alter her contract. Further, Ms. Dean claimed among other things, damages for defamation based on statements filed by Hampton in the NOT. The Superior Court dismissed Hampton’s action against Ms. Dean and granted in part Ms. Dean’s counterclaims against Hampton. The court declared that Ms. Dean resigned from her employment and awarded damages for defamation and punitive damages. The court also ordered Hampton to file a notice of correction of the NRD in a form satisfactory to both parties. Finally, the court dismissed Ms. Dean’s claim for minimum wages for those months in which Hampton did not pay her any income and her claim for Wallace damages (moral damages). The Court of Appeal dismissed the appeal.</w:t>
            </w:r>
          </w:p>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t>February 7, 2018</w:t>
            </w:r>
          </w:p>
          <w:p w:rsidR="001E56A6" w:rsidRPr="00FC5507" w:rsidRDefault="001E56A6" w:rsidP="00FC5507">
            <w:pPr>
              <w:jc w:val="both"/>
              <w:rPr>
                <w:sz w:val="20"/>
              </w:rPr>
            </w:pPr>
            <w:r w:rsidRPr="00FC5507">
              <w:rPr>
                <w:sz w:val="20"/>
              </w:rPr>
              <w:t>Ontario Superior Court of Justice</w:t>
            </w:r>
          </w:p>
          <w:p w:rsidR="001E56A6" w:rsidRPr="00FC5507" w:rsidRDefault="001E56A6" w:rsidP="00FC5507">
            <w:pPr>
              <w:jc w:val="both"/>
              <w:rPr>
                <w:sz w:val="20"/>
              </w:rPr>
            </w:pPr>
            <w:r w:rsidRPr="00FC5507">
              <w:rPr>
                <w:sz w:val="20"/>
              </w:rPr>
              <w:t>(Koehnen J.)</w:t>
            </w:r>
          </w:p>
          <w:p w:rsidR="001E56A6" w:rsidRPr="00FC5507" w:rsidRDefault="00685225" w:rsidP="00FC5507">
            <w:pPr>
              <w:jc w:val="both"/>
              <w:rPr>
                <w:sz w:val="20"/>
              </w:rPr>
            </w:pPr>
            <w:hyperlink r:id="rId37" w:history="1">
              <w:r w:rsidR="001E56A6" w:rsidRPr="00FC5507">
                <w:rPr>
                  <w:rStyle w:val="Hyperlink"/>
                  <w:sz w:val="20"/>
                </w:rPr>
                <w:t>2018 ONSC 101</w:t>
              </w:r>
            </w:hyperlink>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r w:rsidRPr="00FC5507">
              <w:rPr>
                <w:sz w:val="20"/>
              </w:rPr>
              <w:t>Action by Hampton Securities Limited dismissed. The counterclaims by Christina Nicole (Niki) Dean granted in part.</w:t>
            </w:r>
          </w:p>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t>November 9, 2018</w:t>
            </w:r>
          </w:p>
          <w:p w:rsidR="001E56A6" w:rsidRPr="00FC5507" w:rsidRDefault="001E56A6" w:rsidP="00FC5507">
            <w:pPr>
              <w:jc w:val="both"/>
              <w:rPr>
                <w:sz w:val="20"/>
              </w:rPr>
            </w:pPr>
            <w:r w:rsidRPr="00FC5507">
              <w:rPr>
                <w:sz w:val="20"/>
              </w:rPr>
              <w:t>Court of Appeal for Ontario</w:t>
            </w:r>
          </w:p>
          <w:p w:rsidR="001E56A6" w:rsidRPr="00FC5507" w:rsidRDefault="001E56A6" w:rsidP="00FC5507">
            <w:pPr>
              <w:jc w:val="both"/>
              <w:rPr>
                <w:sz w:val="20"/>
              </w:rPr>
            </w:pPr>
            <w:r w:rsidRPr="00FC5507">
              <w:rPr>
                <w:sz w:val="20"/>
              </w:rPr>
              <w:t>(Lauwers, Hourigan and Pardu JJ.A)</w:t>
            </w:r>
          </w:p>
          <w:p w:rsidR="001E56A6" w:rsidRPr="00FC5507" w:rsidRDefault="00685225" w:rsidP="00FC5507">
            <w:pPr>
              <w:jc w:val="both"/>
              <w:rPr>
                <w:sz w:val="20"/>
              </w:rPr>
            </w:pPr>
            <w:hyperlink r:id="rId38" w:history="1">
              <w:r w:rsidR="001E56A6" w:rsidRPr="00FC5507">
                <w:rPr>
                  <w:rStyle w:val="Hyperlink"/>
                  <w:sz w:val="20"/>
                </w:rPr>
                <w:t>2018 ONCA 901</w:t>
              </w:r>
            </w:hyperlink>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r w:rsidRPr="00FC5507">
              <w:rPr>
                <w:sz w:val="20"/>
              </w:rPr>
              <w:t>Appeal dismissed.</w:t>
            </w:r>
          </w:p>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t>January 7, 2019</w:t>
            </w:r>
          </w:p>
          <w:p w:rsidR="001E56A6" w:rsidRPr="00FC5507" w:rsidRDefault="001E56A6" w:rsidP="00FC5507">
            <w:pPr>
              <w:jc w:val="both"/>
              <w:rPr>
                <w:sz w:val="20"/>
              </w:rPr>
            </w:pPr>
            <w:r w:rsidRPr="00FC5507">
              <w:rPr>
                <w:sz w:val="20"/>
              </w:rPr>
              <w:t>Supreme Court of Canada</w:t>
            </w: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r w:rsidRPr="00FC5507">
              <w:rPr>
                <w:sz w:val="20"/>
              </w:rPr>
              <w:t>Application for leave to appeal filed</w:t>
            </w:r>
          </w:p>
          <w:p w:rsidR="001E56A6" w:rsidRPr="00FC5507" w:rsidRDefault="001E56A6" w:rsidP="00FC5507">
            <w:pPr>
              <w:jc w:val="both"/>
              <w:rPr>
                <w:sz w:val="20"/>
              </w:rPr>
            </w:pPr>
          </w:p>
        </w:tc>
      </w:tr>
    </w:tbl>
    <w:p w:rsidR="001E56A6" w:rsidRDefault="001E56A6" w:rsidP="00FC5507">
      <w:pPr>
        <w:jc w:val="both"/>
        <w:rPr>
          <w:sz w:val="20"/>
        </w:rPr>
      </w:pPr>
    </w:p>
    <w:p w:rsidR="00A6684F" w:rsidRDefault="00A6684F" w:rsidP="00FC5507">
      <w:pPr>
        <w:jc w:val="both"/>
        <w:rPr>
          <w:sz w:val="20"/>
        </w:rPr>
      </w:pPr>
      <w:r>
        <w:rPr>
          <w:sz w:val="20"/>
        </w:rPr>
        <w:lastRenderedPageBreak/>
        <w:pict>
          <v:rect id="_x0000_i1031" style="width:2in;height:1pt" o:hrpct="0" o:hralign="center" o:hrstd="t" o:hrnoshade="t" o:hr="t" fillcolor="black [3213]" stroked="f"/>
        </w:pict>
      </w:r>
    </w:p>
    <w:p w:rsidR="00602075" w:rsidRPr="00FC5507" w:rsidRDefault="00602075"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6A6" w:rsidRPr="00FC5507" w:rsidTr="00602075">
        <w:tc>
          <w:tcPr>
            <w:tcW w:w="543" w:type="pct"/>
          </w:tcPr>
          <w:p w:rsidR="001E56A6" w:rsidRPr="00FC5507" w:rsidRDefault="001E56A6" w:rsidP="00FC5507">
            <w:pPr>
              <w:jc w:val="both"/>
              <w:rPr>
                <w:sz w:val="20"/>
                <w:lang w:val="fr-CA"/>
              </w:rPr>
            </w:pPr>
            <w:r w:rsidRPr="00FC5507">
              <w:rPr>
                <w:rStyle w:val="SCCFileNumberChar"/>
                <w:sz w:val="20"/>
                <w:szCs w:val="20"/>
                <w:lang w:val="fr-CA"/>
              </w:rPr>
              <w:t>38464</w:t>
            </w:r>
          </w:p>
        </w:tc>
        <w:tc>
          <w:tcPr>
            <w:tcW w:w="4457" w:type="pct"/>
            <w:gridSpan w:val="3"/>
          </w:tcPr>
          <w:p w:rsidR="001E56A6" w:rsidRPr="00602075" w:rsidRDefault="001E56A6" w:rsidP="00FC5507">
            <w:pPr>
              <w:pStyle w:val="SCCLsocParty"/>
              <w:jc w:val="both"/>
              <w:rPr>
                <w:b/>
                <w:sz w:val="20"/>
                <w:szCs w:val="20"/>
              </w:rPr>
            </w:pPr>
            <w:r w:rsidRPr="00602075">
              <w:rPr>
                <w:b/>
                <w:sz w:val="20"/>
                <w:szCs w:val="20"/>
              </w:rPr>
              <w:t>Hampton Securities Limited c. Christina Nicole (Niki) Dean</w:t>
            </w:r>
          </w:p>
          <w:p w:rsidR="001E56A6" w:rsidRPr="00FC5507" w:rsidRDefault="001E56A6" w:rsidP="00FC5507">
            <w:pPr>
              <w:jc w:val="both"/>
              <w:rPr>
                <w:sz w:val="20"/>
                <w:lang w:val="fr-CA"/>
              </w:rPr>
            </w:pPr>
            <w:r w:rsidRPr="00FC5507">
              <w:rPr>
                <w:sz w:val="20"/>
                <w:lang w:val="fr-CA"/>
              </w:rPr>
              <w:t>(Ont.) (Civile) (Autorisation)</w:t>
            </w:r>
          </w:p>
        </w:tc>
      </w:tr>
      <w:tr w:rsidR="001E56A6" w:rsidRPr="00A6684F" w:rsidTr="00602075">
        <w:tc>
          <w:tcPr>
            <w:tcW w:w="5000" w:type="pct"/>
            <w:gridSpan w:val="4"/>
          </w:tcPr>
          <w:p w:rsidR="001E56A6" w:rsidRPr="00FC5507" w:rsidRDefault="001E56A6" w:rsidP="00FC5507">
            <w:pPr>
              <w:jc w:val="both"/>
              <w:rPr>
                <w:sz w:val="20"/>
                <w:lang w:val="fr-CA"/>
              </w:rPr>
            </w:pPr>
            <w:r w:rsidRPr="00FC5507">
              <w:rPr>
                <w:sz w:val="20"/>
                <w:lang w:val="fr-CA"/>
              </w:rPr>
              <w:t>Responsabilité délictuelle — Diffamation — Défense d’immunité relative — Renseignements déclarés en exécution d’une obligation légale dans un avis de congédiement accessible dans les bases de données de recherche tenues par l’Organisme canadien de réglementation du commerce des valeurs mobilières — L’arrêt de la Cour d’appel a</w:t>
            </w:r>
            <w:r w:rsidRPr="00FC5507">
              <w:rPr>
                <w:sz w:val="20"/>
                <w:lang w:val="fr-CA"/>
              </w:rPr>
              <w:noBreakHyphen/>
              <w:t>t</w:t>
            </w:r>
            <w:r w:rsidRPr="00FC5507">
              <w:rPr>
                <w:sz w:val="20"/>
                <w:lang w:val="fr-CA"/>
              </w:rPr>
              <w:noBreakHyphen/>
              <w:t>il limité la portée de l’obligation qui incombe aux sociétés de placement de présenter des rapports obligatoires à l’organisme de réglementation des valeurs mobilières aux déclarations qui sont vraies ou dont on peut faire la preuve qu’elles sont vraies, anéantissant ainsi les protections accordées par la défense d’immunité relative et la rendant impossible à distinguer de la défense de justification? — L’arrêt de la Cour d’appel a</w:t>
            </w:r>
            <w:r w:rsidRPr="00FC5507">
              <w:rPr>
                <w:sz w:val="20"/>
                <w:lang w:val="fr-CA"/>
              </w:rPr>
              <w:noBreakHyphen/>
              <w:t>t</w:t>
            </w:r>
            <w:r w:rsidRPr="00FC5507">
              <w:rPr>
                <w:sz w:val="20"/>
                <w:lang w:val="fr-CA"/>
              </w:rPr>
              <w:noBreakHyphen/>
              <w:t>elle effectivement privé de la défense d’immunité relative les sociétés de placement qui croient honnêtement, quoiqu’à tort, qu’un inscrit s’est livré aux actes décrits dans le rapport obligatoire à un organisme de réglementation des valeurs mobilières?</w:t>
            </w:r>
          </w:p>
        </w:tc>
      </w:tr>
      <w:tr w:rsidR="001E56A6" w:rsidRPr="00A6684F" w:rsidTr="00602075">
        <w:tc>
          <w:tcPr>
            <w:tcW w:w="5000" w:type="pct"/>
            <w:gridSpan w:val="4"/>
          </w:tcPr>
          <w:p w:rsidR="001E56A6" w:rsidRPr="00FC5507" w:rsidRDefault="001E56A6" w:rsidP="00FC5507">
            <w:pPr>
              <w:jc w:val="both"/>
              <w:rPr>
                <w:sz w:val="20"/>
                <w:lang w:val="fr-CA"/>
              </w:rPr>
            </w:pPr>
          </w:p>
        </w:tc>
      </w:tr>
      <w:tr w:rsidR="001E56A6" w:rsidRPr="00FC5507" w:rsidTr="00602075">
        <w:tc>
          <w:tcPr>
            <w:tcW w:w="5000" w:type="pct"/>
            <w:gridSpan w:val="4"/>
          </w:tcPr>
          <w:p w:rsidR="001E56A6" w:rsidRPr="00FC5507" w:rsidRDefault="001E56A6" w:rsidP="00FC5507">
            <w:pPr>
              <w:jc w:val="both"/>
              <w:rPr>
                <w:sz w:val="20"/>
                <w:lang w:val="fr-CA"/>
              </w:rPr>
            </w:pPr>
            <w:r w:rsidRPr="00FC5507">
              <w:rPr>
                <w:sz w:val="20"/>
                <w:lang w:val="fr-CA"/>
              </w:rPr>
              <w:t>La demanderesse, Hampton Securities Limited est une société de placement inscrite qui emploie des négociateurs pour leurs comptes propres qui achètent et vendent des valeurs mobilières en son nom. L’intimée, Mme Christina Nicole Dean est entrée au service de Hampton comme négociatrice pour son compte propre en mars 2008. En avril 2009, on a exigé de Mme Dean qu’elle augmente son compte de réserve de 50 000 $ avant d’effectuer d’autres opérations. Lorsqu’elle ne s’est pas présentée au bureau le lendemain, elle a été congédiée. La raison pour laquelle Hampton avait exigé l’augmentation était parce qu’à l’époque, les pertes cumulées de Mme Dean dépassaient sa réserve. Le jour qui a suivi la rupture de la relation d’emploi, Hampton a déposé un avis de cessation d’emploi (l’avis) dans la base de données nationale de recherche (BDNR) tenue par son organisme de réglementation, l’Organisme canadien de réglementation du commerce des valeurs mobilières. Hampton a mentionné dans l’avis que Mme Dean avait été congédiée parce qu’elle n’avait pas respecté les politiques et les procédures du pupitre de négociation et parce que des opérations non autorisées s’étaient soldées par des pertes. Quelques mois plus tard, Hampton a intenté une action, alléguant que Mme Dean devait à Hampton de l’argent au titre des pertes qu’elle avait engagées comme négociatrice. Dans des actions reconventionnelles, Mme Dean a demandé des dommages</w:t>
            </w:r>
            <w:r w:rsidRPr="00FC5507">
              <w:rPr>
                <w:sz w:val="20"/>
                <w:lang w:val="fr-CA"/>
              </w:rPr>
              <w:noBreakHyphen/>
              <w:t>intérêts pour congédiement déguisé. Elle affirme avoir démissionné après que Hampton eut essayé de modifier son contrat. En outre, Mme Dean a demandé, entre autres, des dommages</w:t>
            </w:r>
            <w:r w:rsidRPr="00FC5507">
              <w:rPr>
                <w:sz w:val="20"/>
                <w:lang w:val="fr-CA"/>
              </w:rPr>
              <w:noBreakHyphen/>
              <w:t>intérêts pour diffamation sur le fondement des déclarations déposées par Hampton dans la BDNR. La Cour supérieure a rejeté l’action de Hampton contre Mme Dean et a accueilli en partie les demandes reconventionnelles de Mme Dean contre Hampton. Le tribunal a déclaré que Mme Dean avait démissionné et lui a accordé des dommages</w:t>
            </w:r>
            <w:r w:rsidRPr="00FC5507">
              <w:rPr>
                <w:sz w:val="20"/>
                <w:lang w:val="fr-CA"/>
              </w:rPr>
              <w:noBreakHyphen/>
              <w:t>intérêts pour diffamation et des dommages</w:t>
            </w:r>
            <w:r w:rsidRPr="00FC5507">
              <w:rPr>
                <w:sz w:val="20"/>
                <w:lang w:val="fr-CA"/>
              </w:rPr>
              <w:noBreakHyphen/>
              <w:t>intérêts punitifs. Le tribunal a en outre ordonné à Hampton de déposer un avis de correction dans la BDNR suivant une formule jugée satisfaisante par les deux parties. Enfin, le tribunal a rejeté la demande de Mme Dean en vue d’obtenir un salaire minimum pour les mois où Hampton ne lui avait pas versé de salaire et sa demande de dommages</w:t>
            </w:r>
            <w:r w:rsidRPr="00FC5507">
              <w:rPr>
                <w:sz w:val="20"/>
                <w:lang w:val="fr-CA"/>
              </w:rPr>
              <w:noBreakHyphen/>
              <w:t xml:space="preserve">intérêts fondés sur l’arrêt </w:t>
            </w:r>
            <w:r w:rsidRPr="00FC5507">
              <w:rPr>
                <w:i/>
                <w:sz w:val="20"/>
                <w:lang w:val="fr-CA"/>
              </w:rPr>
              <w:t>Wallace</w:t>
            </w:r>
            <w:r w:rsidRPr="00FC5507">
              <w:rPr>
                <w:sz w:val="20"/>
                <w:lang w:val="fr-CA"/>
              </w:rPr>
              <w:t xml:space="preserve"> (dommages moraux). La Cour d’appel a rejeté l’appel.</w:t>
            </w:r>
          </w:p>
          <w:p w:rsidR="001E56A6" w:rsidRPr="00FC5507" w:rsidRDefault="001E56A6" w:rsidP="00FC5507">
            <w:pPr>
              <w:jc w:val="both"/>
              <w:rPr>
                <w:sz w:val="20"/>
                <w:lang w:val="fr-CA"/>
              </w:rPr>
            </w:pPr>
          </w:p>
        </w:tc>
      </w:tr>
      <w:tr w:rsidR="001E56A6" w:rsidRPr="00A6684F" w:rsidTr="00602075">
        <w:tc>
          <w:tcPr>
            <w:tcW w:w="2427" w:type="pct"/>
            <w:gridSpan w:val="2"/>
          </w:tcPr>
          <w:p w:rsidR="001E56A6" w:rsidRPr="00FC5507" w:rsidRDefault="001E56A6" w:rsidP="00FC5507">
            <w:pPr>
              <w:jc w:val="both"/>
              <w:rPr>
                <w:sz w:val="20"/>
                <w:lang w:val="fr-CA"/>
              </w:rPr>
            </w:pPr>
            <w:r w:rsidRPr="00FC5507">
              <w:rPr>
                <w:sz w:val="20"/>
                <w:lang w:val="fr-CA"/>
              </w:rPr>
              <w:t>7 février 2018</w:t>
            </w:r>
          </w:p>
          <w:p w:rsidR="001E56A6" w:rsidRPr="00FC5507" w:rsidRDefault="001E56A6" w:rsidP="00FC5507">
            <w:pPr>
              <w:jc w:val="both"/>
              <w:rPr>
                <w:sz w:val="20"/>
                <w:lang w:val="fr-CA"/>
              </w:rPr>
            </w:pPr>
            <w:r w:rsidRPr="00FC5507">
              <w:rPr>
                <w:sz w:val="20"/>
                <w:lang w:val="fr-CA"/>
              </w:rPr>
              <w:t>Cour supérieure de justice de l’Ontario</w:t>
            </w:r>
          </w:p>
          <w:p w:rsidR="001E56A6" w:rsidRPr="00FC5507" w:rsidRDefault="001E56A6" w:rsidP="00FC5507">
            <w:pPr>
              <w:jc w:val="both"/>
              <w:rPr>
                <w:sz w:val="20"/>
                <w:lang w:val="fr-CA"/>
              </w:rPr>
            </w:pPr>
            <w:r w:rsidRPr="00FC5507">
              <w:rPr>
                <w:sz w:val="20"/>
                <w:lang w:val="fr-CA"/>
              </w:rPr>
              <w:t xml:space="preserve">(Juge </w:t>
            </w:r>
            <w:proofErr w:type="spellStart"/>
            <w:r w:rsidRPr="00FC5507">
              <w:rPr>
                <w:sz w:val="20"/>
                <w:lang w:val="fr-CA"/>
              </w:rPr>
              <w:t>Koehnen</w:t>
            </w:r>
            <w:proofErr w:type="spellEnd"/>
            <w:r w:rsidRPr="00FC5507">
              <w:rPr>
                <w:sz w:val="20"/>
                <w:lang w:val="fr-CA"/>
              </w:rPr>
              <w:t>)</w:t>
            </w:r>
          </w:p>
          <w:p w:rsidR="001E56A6" w:rsidRPr="00FC5507" w:rsidRDefault="00685225" w:rsidP="00FC5507">
            <w:pPr>
              <w:jc w:val="both"/>
              <w:rPr>
                <w:sz w:val="20"/>
                <w:lang w:val="fr-CA"/>
              </w:rPr>
            </w:pPr>
            <w:hyperlink r:id="rId39" w:history="1">
              <w:r w:rsidR="001E56A6" w:rsidRPr="00FC5507">
                <w:rPr>
                  <w:rStyle w:val="Hyperlink"/>
                  <w:sz w:val="20"/>
                  <w:lang w:val="fr-CA"/>
                </w:rPr>
                <w:t>2018 ONSC 101</w:t>
              </w:r>
            </w:hyperlink>
          </w:p>
          <w:p w:rsidR="001E56A6" w:rsidRPr="00FC5507" w:rsidRDefault="001E56A6" w:rsidP="00FC5507">
            <w:pPr>
              <w:jc w:val="both"/>
              <w:rPr>
                <w:sz w:val="20"/>
                <w:lang w:val="fr-CA"/>
              </w:rPr>
            </w:pP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r w:rsidRPr="00FC5507">
              <w:rPr>
                <w:sz w:val="20"/>
                <w:lang w:val="fr-CA"/>
              </w:rPr>
              <w:t>Jugement rejetant l’action de Hampton Securities Limited et accueillant en partie les demandes reconventionnelles de Christina Nicole (Niki) Dean.</w:t>
            </w:r>
          </w:p>
          <w:p w:rsidR="001E56A6" w:rsidRPr="00FC5507" w:rsidRDefault="001E56A6" w:rsidP="00FC5507">
            <w:pPr>
              <w:jc w:val="both"/>
              <w:rPr>
                <w:sz w:val="20"/>
                <w:lang w:val="fr-CA"/>
              </w:rPr>
            </w:pPr>
          </w:p>
        </w:tc>
      </w:tr>
      <w:tr w:rsidR="001E56A6" w:rsidRPr="00FC5507" w:rsidTr="00602075">
        <w:tc>
          <w:tcPr>
            <w:tcW w:w="2427" w:type="pct"/>
            <w:gridSpan w:val="2"/>
          </w:tcPr>
          <w:p w:rsidR="001E56A6" w:rsidRPr="00FC5507" w:rsidRDefault="001E56A6" w:rsidP="00FC5507">
            <w:pPr>
              <w:jc w:val="both"/>
              <w:rPr>
                <w:sz w:val="20"/>
                <w:lang w:val="fr-CA"/>
              </w:rPr>
            </w:pPr>
            <w:r w:rsidRPr="00FC5507">
              <w:rPr>
                <w:sz w:val="20"/>
                <w:lang w:val="fr-CA"/>
              </w:rPr>
              <w:t>9 novembre 2018</w:t>
            </w:r>
          </w:p>
          <w:p w:rsidR="001E56A6" w:rsidRPr="00FC5507" w:rsidRDefault="001E56A6" w:rsidP="00FC5507">
            <w:pPr>
              <w:jc w:val="both"/>
              <w:rPr>
                <w:sz w:val="20"/>
                <w:lang w:val="fr-CA"/>
              </w:rPr>
            </w:pPr>
            <w:r w:rsidRPr="00FC5507">
              <w:rPr>
                <w:sz w:val="20"/>
                <w:lang w:val="fr-CA"/>
              </w:rPr>
              <w:t>Cour d’appel de l’Ontario</w:t>
            </w:r>
          </w:p>
          <w:p w:rsidR="001E56A6" w:rsidRPr="00FC5507" w:rsidRDefault="001E56A6" w:rsidP="00FC5507">
            <w:pPr>
              <w:jc w:val="both"/>
              <w:rPr>
                <w:sz w:val="20"/>
                <w:lang w:val="fr-CA"/>
              </w:rPr>
            </w:pPr>
            <w:r w:rsidRPr="00FC5507">
              <w:rPr>
                <w:sz w:val="20"/>
                <w:lang w:val="fr-CA"/>
              </w:rPr>
              <w:t xml:space="preserve">(Juges </w:t>
            </w:r>
            <w:proofErr w:type="spellStart"/>
            <w:r w:rsidRPr="00FC5507">
              <w:rPr>
                <w:sz w:val="20"/>
                <w:lang w:val="fr-CA"/>
              </w:rPr>
              <w:t>Lauwers</w:t>
            </w:r>
            <w:proofErr w:type="spellEnd"/>
            <w:r w:rsidRPr="00FC5507">
              <w:rPr>
                <w:sz w:val="20"/>
                <w:lang w:val="fr-CA"/>
              </w:rPr>
              <w:t xml:space="preserve">, </w:t>
            </w:r>
            <w:proofErr w:type="spellStart"/>
            <w:r w:rsidRPr="00FC5507">
              <w:rPr>
                <w:sz w:val="20"/>
                <w:lang w:val="fr-CA"/>
              </w:rPr>
              <w:t>Hourigan</w:t>
            </w:r>
            <w:proofErr w:type="spellEnd"/>
            <w:r w:rsidRPr="00FC5507">
              <w:rPr>
                <w:sz w:val="20"/>
                <w:lang w:val="fr-CA"/>
              </w:rPr>
              <w:t xml:space="preserve"> et Pardu)</w:t>
            </w:r>
          </w:p>
          <w:p w:rsidR="001E56A6" w:rsidRPr="00FC5507" w:rsidRDefault="00685225" w:rsidP="00FC5507">
            <w:pPr>
              <w:jc w:val="both"/>
              <w:rPr>
                <w:sz w:val="20"/>
                <w:lang w:val="fr-CA"/>
              </w:rPr>
            </w:pPr>
            <w:hyperlink r:id="rId40" w:history="1">
              <w:r w:rsidR="001E56A6" w:rsidRPr="00FC5507">
                <w:rPr>
                  <w:rStyle w:val="Hyperlink"/>
                  <w:sz w:val="20"/>
                  <w:lang w:val="fr-CA"/>
                </w:rPr>
                <w:t>2018 ONCA 901</w:t>
              </w:r>
            </w:hyperlink>
          </w:p>
          <w:p w:rsidR="001E56A6" w:rsidRPr="00FC5507" w:rsidRDefault="001E56A6" w:rsidP="00FC5507">
            <w:pPr>
              <w:jc w:val="both"/>
              <w:rPr>
                <w:sz w:val="20"/>
                <w:lang w:val="fr-CA"/>
              </w:rPr>
            </w:pP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r w:rsidRPr="00FC5507">
              <w:rPr>
                <w:sz w:val="20"/>
                <w:lang w:val="fr-CA"/>
              </w:rPr>
              <w:t>Rejet de l’appel.</w:t>
            </w:r>
          </w:p>
          <w:p w:rsidR="001E56A6" w:rsidRPr="00FC5507" w:rsidRDefault="001E56A6" w:rsidP="00FC5507">
            <w:pPr>
              <w:jc w:val="both"/>
              <w:rPr>
                <w:sz w:val="20"/>
                <w:lang w:val="fr-CA"/>
              </w:rPr>
            </w:pPr>
          </w:p>
        </w:tc>
      </w:tr>
      <w:tr w:rsidR="001E56A6" w:rsidRPr="00A6684F" w:rsidTr="00602075">
        <w:tc>
          <w:tcPr>
            <w:tcW w:w="2427" w:type="pct"/>
            <w:gridSpan w:val="2"/>
          </w:tcPr>
          <w:p w:rsidR="001E56A6" w:rsidRPr="00FC5507" w:rsidRDefault="001E56A6" w:rsidP="00FC5507">
            <w:pPr>
              <w:jc w:val="both"/>
              <w:rPr>
                <w:sz w:val="20"/>
                <w:lang w:val="fr-CA"/>
              </w:rPr>
            </w:pPr>
            <w:r w:rsidRPr="00FC5507">
              <w:rPr>
                <w:sz w:val="20"/>
                <w:lang w:val="fr-CA"/>
              </w:rPr>
              <w:t>7 janvier 2019</w:t>
            </w:r>
          </w:p>
          <w:p w:rsidR="001E56A6" w:rsidRPr="00FC5507" w:rsidRDefault="001E56A6" w:rsidP="00FC5507">
            <w:pPr>
              <w:jc w:val="both"/>
              <w:rPr>
                <w:sz w:val="20"/>
                <w:lang w:val="fr-CA"/>
              </w:rPr>
            </w:pPr>
            <w:r w:rsidRPr="00FC5507">
              <w:rPr>
                <w:sz w:val="20"/>
                <w:lang w:val="fr-CA"/>
              </w:rPr>
              <w:t>Cour suprême du Canada</w:t>
            </w: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r w:rsidRPr="00FC5507">
              <w:rPr>
                <w:sz w:val="20"/>
                <w:lang w:val="fr-CA"/>
              </w:rPr>
              <w:t>Dépôt de la demande d’autorisation d’appel</w:t>
            </w:r>
          </w:p>
          <w:p w:rsidR="001E56A6" w:rsidRPr="00FC5507" w:rsidRDefault="001E56A6" w:rsidP="00FC5507">
            <w:pPr>
              <w:jc w:val="both"/>
              <w:rPr>
                <w:sz w:val="20"/>
                <w:lang w:val="fr-CA"/>
              </w:rPr>
            </w:pPr>
          </w:p>
        </w:tc>
      </w:tr>
    </w:tbl>
    <w:p w:rsidR="001E56A6" w:rsidRDefault="001E56A6" w:rsidP="00FC5507">
      <w:pPr>
        <w:jc w:val="both"/>
        <w:rPr>
          <w:sz w:val="20"/>
          <w:lang w:val="fr-CA"/>
        </w:rPr>
      </w:pPr>
    </w:p>
    <w:p w:rsidR="00A6684F" w:rsidRPr="00FC5507" w:rsidRDefault="00A6684F" w:rsidP="00FC5507">
      <w:pPr>
        <w:jc w:val="both"/>
        <w:rPr>
          <w:sz w:val="20"/>
          <w:lang w:val="fr-CA"/>
        </w:rPr>
      </w:pPr>
      <w:r>
        <w:rPr>
          <w:sz w:val="20"/>
        </w:rPr>
        <w:pict>
          <v:rect id="_x0000_i1032"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6A6" w:rsidRPr="00FC5507" w:rsidTr="00602075">
        <w:tc>
          <w:tcPr>
            <w:tcW w:w="543" w:type="pct"/>
          </w:tcPr>
          <w:p w:rsidR="001E56A6" w:rsidRPr="00FC5507" w:rsidRDefault="001E56A6" w:rsidP="00FC5507">
            <w:pPr>
              <w:jc w:val="both"/>
              <w:rPr>
                <w:sz w:val="20"/>
                <w:lang w:val="en-CA"/>
              </w:rPr>
            </w:pPr>
            <w:r w:rsidRPr="00FC5507">
              <w:rPr>
                <w:rStyle w:val="SCCFileNumberChar"/>
                <w:sz w:val="20"/>
                <w:szCs w:val="20"/>
              </w:rPr>
              <w:lastRenderedPageBreak/>
              <w:t>38533</w:t>
            </w:r>
          </w:p>
        </w:tc>
        <w:tc>
          <w:tcPr>
            <w:tcW w:w="4457" w:type="pct"/>
            <w:gridSpan w:val="3"/>
          </w:tcPr>
          <w:p w:rsidR="001E56A6" w:rsidRPr="00602075" w:rsidRDefault="001E56A6" w:rsidP="00FC5507">
            <w:pPr>
              <w:pStyle w:val="SCCLsocParty"/>
              <w:jc w:val="both"/>
              <w:rPr>
                <w:b/>
                <w:sz w:val="20"/>
                <w:szCs w:val="20"/>
              </w:rPr>
            </w:pPr>
            <w:r w:rsidRPr="00602075">
              <w:rPr>
                <w:b/>
                <w:sz w:val="20"/>
                <w:szCs w:val="20"/>
              </w:rPr>
              <w:t>Mikel Golzarian v. Association des policières et policiers provinciaux du Québec</w:t>
            </w:r>
          </w:p>
          <w:p w:rsidR="001E56A6" w:rsidRPr="00FC5507" w:rsidRDefault="001E56A6" w:rsidP="00FC5507">
            <w:pPr>
              <w:jc w:val="both"/>
              <w:rPr>
                <w:sz w:val="20"/>
                <w:lang w:val="en-CA"/>
              </w:rPr>
            </w:pPr>
            <w:r w:rsidRPr="00FC5507">
              <w:rPr>
                <w:sz w:val="20"/>
                <w:lang w:val="en-CA"/>
              </w:rPr>
              <w:t>(Que.) (Civil) (By Leave)</w:t>
            </w:r>
          </w:p>
        </w:tc>
      </w:tr>
      <w:tr w:rsidR="001E56A6" w:rsidRPr="00FC5507" w:rsidTr="00602075">
        <w:tc>
          <w:tcPr>
            <w:tcW w:w="5000" w:type="pct"/>
            <w:gridSpan w:val="4"/>
          </w:tcPr>
          <w:p w:rsidR="001E56A6" w:rsidRPr="00FC5507" w:rsidRDefault="001E56A6" w:rsidP="00FC5507">
            <w:pPr>
              <w:jc w:val="both"/>
              <w:rPr>
                <w:sz w:val="20"/>
                <w:lang w:val="en-CA"/>
              </w:rPr>
            </w:pPr>
            <w:proofErr w:type="gramStart"/>
            <w:r w:rsidRPr="00FC5507">
              <w:rPr>
                <w:sz w:val="20"/>
                <w:lang w:val="en-CA"/>
              </w:rPr>
              <w:t>Labour relations — Union — Duty of representation — Dismissal — Grievance — Continuing nature of grievance — Employee’s duty to cooperate — Access to justice — Rule of law — Whether Court of Appeal erred by [</w:t>
            </w:r>
            <w:r w:rsidRPr="00FC5507">
              <w:rPr>
                <w:smallCaps/>
                <w:sz w:val="20"/>
                <w:lang w:val="en-CA"/>
              </w:rPr>
              <w:t>translation</w:t>
            </w:r>
            <w:r w:rsidRPr="00FC5507">
              <w:rPr>
                <w:rFonts w:asciiTheme="minorBidi" w:hAnsiTheme="minorBidi"/>
                <w:sz w:val="20"/>
                <w:lang w:val="en-CA"/>
              </w:rPr>
              <w:t>]</w:t>
            </w:r>
            <w:r w:rsidRPr="00FC5507">
              <w:rPr>
                <w:sz w:val="20"/>
                <w:lang w:val="en-CA"/>
              </w:rPr>
              <w:t xml:space="preserve"> “disregarding and/or refusing to intervene” to correct (i) “undisputed error of law” relating to continuing nature of grievance for his dismissal and (ii) error of law relating to question of public order with respect to prescription provided for in </w:t>
            </w:r>
            <w:r w:rsidRPr="00FC5507">
              <w:rPr>
                <w:i/>
                <w:sz w:val="20"/>
                <w:lang w:val="en-CA"/>
              </w:rPr>
              <w:t>Act respecting the Syndical Plan of the Sûreté du Québec</w:t>
            </w:r>
            <w:r w:rsidRPr="00FC5507">
              <w:rPr>
                <w:sz w:val="20"/>
                <w:lang w:val="en-CA"/>
              </w:rPr>
              <w:t>, CQLR, c. R</w:t>
            </w:r>
            <w:r w:rsidRPr="00FC5507">
              <w:rPr>
                <w:sz w:val="20"/>
                <w:lang w:val="en-CA"/>
              </w:rPr>
              <w:noBreakHyphen/>
              <w:t>14, thereby violating “the principles of access to justice” and “of the rule of law”, as well as “acquired right to an appeal as of right”.</w:t>
            </w:r>
            <w:proofErr w:type="gramEnd"/>
          </w:p>
        </w:tc>
      </w:tr>
      <w:tr w:rsidR="001E56A6" w:rsidRPr="00FC5507" w:rsidTr="00602075">
        <w:tc>
          <w:tcPr>
            <w:tcW w:w="5000" w:type="pct"/>
            <w:gridSpan w:val="4"/>
          </w:tcPr>
          <w:p w:rsidR="001E56A6" w:rsidRPr="00FC5507" w:rsidRDefault="001E56A6" w:rsidP="00FC5507">
            <w:pPr>
              <w:jc w:val="both"/>
              <w:rPr>
                <w:sz w:val="20"/>
                <w:lang w:val="en-CA"/>
              </w:rPr>
            </w:pPr>
          </w:p>
        </w:tc>
      </w:tr>
      <w:tr w:rsidR="001E56A6" w:rsidRPr="00FC5507" w:rsidTr="00602075">
        <w:tc>
          <w:tcPr>
            <w:tcW w:w="5000" w:type="pct"/>
            <w:gridSpan w:val="4"/>
          </w:tcPr>
          <w:p w:rsidR="001E56A6" w:rsidRPr="00FC5507" w:rsidRDefault="001E56A6" w:rsidP="00FC5507">
            <w:pPr>
              <w:jc w:val="both"/>
              <w:rPr>
                <w:sz w:val="20"/>
                <w:lang w:val="en-CA"/>
              </w:rPr>
            </w:pPr>
            <w:r w:rsidRPr="00FC5507">
              <w:rPr>
                <w:sz w:val="20"/>
                <w:lang w:val="en-CA"/>
              </w:rPr>
              <w:t xml:space="preserve">The applicant, Mikel Golzarian, who </w:t>
            </w:r>
            <w:proofErr w:type="gramStart"/>
            <w:r w:rsidRPr="00FC5507">
              <w:rPr>
                <w:sz w:val="20"/>
                <w:lang w:val="en-CA"/>
              </w:rPr>
              <w:t>had been hired</w:t>
            </w:r>
            <w:proofErr w:type="gramEnd"/>
            <w:r w:rsidRPr="00FC5507">
              <w:rPr>
                <w:sz w:val="20"/>
                <w:lang w:val="en-CA"/>
              </w:rPr>
              <w:t xml:space="preserve"> as an officer of the Sûreté du Québec in 1992, was on sick leave beginning in 1997. In 1998, he filed a complaint with the Commission des droits de la personne et de la jeunesse, which concluded that he </w:t>
            </w:r>
            <w:proofErr w:type="gramStart"/>
            <w:r w:rsidRPr="00FC5507">
              <w:rPr>
                <w:sz w:val="20"/>
                <w:lang w:val="en-CA"/>
              </w:rPr>
              <w:t>had been discriminated against</w:t>
            </w:r>
            <w:proofErr w:type="gramEnd"/>
            <w:r w:rsidRPr="00FC5507">
              <w:rPr>
                <w:sz w:val="20"/>
                <w:lang w:val="en-CA"/>
              </w:rPr>
              <w:t xml:space="preserve"> and proposed measures of redress, but the Sûreté du Québec refused to implement them. In 2002, the Sûreté du Québec terminated Mr. Golzarian’s employment. His union, the respondent Association des policières et policiers provinciaux du Québec (“APPPQ”), submitted a grievance to contest Mr. Golzarian’s dismissal and referred it to arbitration. Mr. Golzarian’s grievance </w:t>
            </w:r>
            <w:proofErr w:type="gramStart"/>
            <w:r w:rsidRPr="00FC5507">
              <w:rPr>
                <w:sz w:val="20"/>
                <w:lang w:val="en-CA"/>
              </w:rPr>
              <w:t>was dismissed</w:t>
            </w:r>
            <w:proofErr w:type="gramEnd"/>
            <w:r w:rsidRPr="00FC5507">
              <w:rPr>
                <w:sz w:val="20"/>
                <w:lang w:val="en-CA"/>
              </w:rPr>
              <w:t xml:space="preserve"> in 2004 after he refused to appear at the arbitration hearing. Mr. Golzarian had chosen to go to court to assert his claims against his employer. His actions were unsuccessful. In 2003, Mr. Golzarian brought an action in damages against the respondent for breach of its duty of representation. The Superior Court dismissed that action. It concluded that, given M. </w:t>
            </w:r>
            <w:proofErr w:type="spellStart"/>
            <w:r w:rsidRPr="00FC5507">
              <w:rPr>
                <w:sz w:val="20"/>
                <w:lang w:val="en-CA"/>
              </w:rPr>
              <w:t>Golzarian’s</w:t>
            </w:r>
            <w:proofErr w:type="spellEnd"/>
            <w:r w:rsidRPr="00FC5507">
              <w:rPr>
                <w:sz w:val="20"/>
                <w:lang w:val="en-CA"/>
              </w:rPr>
              <w:t xml:space="preserve"> half</w:t>
            </w:r>
            <w:r w:rsidRPr="00FC5507">
              <w:rPr>
                <w:sz w:val="20"/>
                <w:lang w:val="en-CA"/>
              </w:rPr>
              <w:noBreakHyphen/>
              <w:t>hearted cooperation, he had not shown that the union had committed a fault against him. The Court of Appeal dismissed Mr. Golzarian’s appeal. It held that there was ample support in the evidence for the trial judge’s findings and that the judge had committed no error in determining that the APPPQ had not breached its duties.</w:t>
            </w:r>
          </w:p>
          <w:p w:rsidR="001E56A6" w:rsidRPr="00FC5507" w:rsidRDefault="001E56A6" w:rsidP="00FC5507">
            <w:pPr>
              <w:jc w:val="both"/>
              <w:rPr>
                <w:sz w:val="20"/>
                <w:lang w:val="en-CA"/>
              </w:rPr>
            </w:pPr>
          </w:p>
        </w:tc>
      </w:tr>
      <w:tr w:rsidR="001E56A6" w:rsidRPr="00FC5507" w:rsidTr="00602075">
        <w:tc>
          <w:tcPr>
            <w:tcW w:w="2427" w:type="pct"/>
            <w:gridSpan w:val="2"/>
          </w:tcPr>
          <w:p w:rsidR="001E56A6" w:rsidRPr="00FC5507" w:rsidRDefault="001E56A6" w:rsidP="00FC5507">
            <w:pPr>
              <w:jc w:val="both"/>
              <w:rPr>
                <w:sz w:val="20"/>
                <w:lang w:val="en-CA"/>
              </w:rPr>
            </w:pPr>
            <w:r w:rsidRPr="00FC5507">
              <w:rPr>
                <w:sz w:val="20"/>
                <w:lang w:val="en-CA"/>
              </w:rPr>
              <w:t>September 8, 2016</w:t>
            </w:r>
          </w:p>
          <w:p w:rsidR="001E56A6" w:rsidRPr="00FC5507" w:rsidRDefault="001E56A6" w:rsidP="00FC5507">
            <w:pPr>
              <w:jc w:val="both"/>
              <w:rPr>
                <w:sz w:val="20"/>
                <w:lang w:val="en-CA"/>
              </w:rPr>
            </w:pPr>
            <w:r w:rsidRPr="00FC5507">
              <w:rPr>
                <w:sz w:val="20"/>
                <w:lang w:val="en-CA"/>
              </w:rPr>
              <w:t>Quebec Superior Court (Montréal)</w:t>
            </w:r>
          </w:p>
          <w:p w:rsidR="001E56A6" w:rsidRPr="00FC5507" w:rsidRDefault="001E56A6" w:rsidP="00FC5507">
            <w:pPr>
              <w:jc w:val="both"/>
              <w:rPr>
                <w:sz w:val="20"/>
                <w:lang w:val="en-CA"/>
              </w:rPr>
            </w:pPr>
            <w:r w:rsidRPr="00FC5507">
              <w:rPr>
                <w:sz w:val="20"/>
                <w:lang w:val="en-CA"/>
              </w:rPr>
              <w:t>(Davis J.)</w:t>
            </w:r>
          </w:p>
          <w:p w:rsidR="001E56A6" w:rsidRPr="00FC5507" w:rsidRDefault="001E56A6" w:rsidP="00FC5507">
            <w:pPr>
              <w:jc w:val="both"/>
              <w:rPr>
                <w:sz w:val="20"/>
                <w:lang w:val="en-CA"/>
              </w:rPr>
            </w:pPr>
            <w:r w:rsidRPr="00FC5507">
              <w:rPr>
                <w:sz w:val="20"/>
                <w:lang w:val="en-CA"/>
              </w:rPr>
              <w:t>500</w:t>
            </w:r>
            <w:r w:rsidRPr="00FC5507">
              <w:rPr>
                <w:sz w:val="20"/>
                <w:lang w:val="en-CA"/>
              </w:rPr>
              <w:noBreakHyphen/>
              <w:t>17</w:t>
            </w:r>
            <w:r w:rsidRPr="00FC5507">
              <w:rPr>
                <w:sz w:val="20"/>
                <w:lang w:val="en-CA"/>
              </w:rPr>
              <w:noBreakHyphen/>
              <w:t>015946</w:t>
            </w:r>
            <w:r w:rsidRPr="00FC5507">
              <w:rPr>
                <w:sz w:val="20"/>
                <w:lang w:val="en-CA"/>
              </w:rPr>
              <w:noBreakHyphen/>
              <w:t>034</w:t>
            </w:r>
          </w:p>
          <w:p w:rsidR="001E56A6" w:rsidRPr="00FC5507" w:rsidRDefault="00685225" w:rsidP="00FC5507">
            <w:pPr>
              <w:jc w:val="both"/>
              <w:rPr>
                <w:sz w:val="20"/>
                <w:lang w:val="en-CA"/>
              </w:rPr>
            </w:pPr>
            <w:hyperlink r:id="rId41" w:history="1">
              <w:r w:rsidR="001E56A6" w:rsidRPr="00FC5507">
                <w:rPr>
                  <w:rStyle w:val="Hyperlink"/>
                  <w:sz w:val="20"/>
                  <w:lang w:val="en-CA"/>
                </w:rPr>
                <w:t>2016 QCCS 4582</w:t>
              </w:r>
            </w:hyperlink>
          </w:p>
          <w:p w:rsidR="001E56A6" w:rsidRPr="00FC5507" w:rsidRDefault="001E56A6" w:rsidP="00FC5507">
            <w:pPr>
              <w:jc w:val="both"/>
              <w:rPr>
                <w:sz w:val="20"/>
                <w:lang w:val="en-CA"/>
              </w:rPr>
            </w:pPr>
          </w:p>
        </w:tc>
        <w:tc>
          <w:tcPr>
            <w:tcW w:w="243" w:type="pct"/>
          </w:tcPr>
          <w:p w:rsidR="001E56A6" w:rsidRPr="00FC5507" w:rsidRDefault="001E56A6" w:rsidP="00FC5507">
            <w:pPr>
              <w:jc w:val="both"/>
              <w:rPr>
                <w:sz w:val="20"/>
                <w:lang w:val="en-CA"/>
              </w:rPr>
            </w:pPr>
          </w:p>
        </w:tc>
        <w:tc>
          <w:tcPr>
            <w:tcW w:w="2330" w:type="pct"/>
          </w:tcPr>
          <w:p w:rsidR="001E56A6" w:rsidRPr="00FC5507" w:rsidRDefault="001E56A6" w:rsidP="00FC5507">
            <w:pPr>
              <w:jc w:val="both"/>
              <w:rPr>
                <w:sz w:val="20"/>
                <w:lang w:val="en-CA"/>
              </w:rPr>
            </w:pPr>
            <w:r w:rsidRPr="00FC5507">
              <w:rPr>
                <w:sz w:val="20"/>
                <w:lang w:val="en-CA"/>
              </w:rPr>
              <w:t xml:space="preserve">Originating application dismissed with costs. </w:t>
            </w:r>
          </w:p>
          <w:p w:rsidR="001E56A6" w:rsidRPr="00FC5507" w:rsidRDefault="001E56A6" w:rsidP="00FC5507">
            <w:pPr>
              <w:jc w:val="both"/>
              <w:rPr>
                <w:sz w:val="20"/>
                <w:lang w:val="en-CA"/>
              </w:rPr>
            </w:pPr>
          </w:p>
        </w:tc>
      </w:tr>
      <w:tr w:rsidR="001E56A6" w:rsidRPr="00FC5507" w:rsidTr="00602075">
        <w:tc>
          <w:tcPr>
            <w:tcW w:w="2427" w:type="pct"/>
            <w:gridSpan w:val="2"/>
          </w:tcPr>
          <w:p w:rsidR="001E56A6" w:rsidRPr="00FC5507" w:rsidRDefault="001E56A6" w:rsidP="00FC5507">
            <w:pPr>
              <w:jc w:val="both"/>
              <w:rPr>
                <w:sz w:val="20"/>
                <w:lang w:val="en-CA"/>
              </w:rPr>
            </w:pPr>
            <w:r w:rsidRPr="00FC5507">
              <w:rPr>
                <w:sz w:val="20"/>
                <w:lang w:val="en-CA"/>
              </w:rPr>
              <w:t>November 30, 2018</w:t>
            </w:r>
          </w:p>
          <w:p w:rsidR="001E56A6" w:rsidRPr="00FC5507" w:rsidRDefault="001E56A6" w:rsidP="00FC5507">
            <w:pPr>
              <w:jc w:val="both"/>
              <w:rPr>
                <w:sz w:val="20"/>
                <w:lang w:val="en-CA"/>
              </w:rPr>
            </w:pPr>
            <w:r w:rsidRPr="00FC5507">
              <w:rPr>
                <w:sz w:val="20"/>
                <w:lang w:val="en-CA"/>
              </w:rPr>
              <w:t>Quebec Court of Appeal (Montréal)</w:t>
            </w:r>
          </w:p>
          <w:p w:rsidR="001E56A6" w:rsidRPr="00FC5507" w:rsidRDefault="001E56A6" w:rsidP="00FC5507">
            <w:pPr>
              <w:jc w:val="both"/>
              <w:rPr>
                <w:sz w:val="20"/>
                <w:lang w:val="fr-CA"/>
              </w:rPr>
            </w:pPr>
            <w:r w:rsidRPr="00FC5507">
              <w:rPr>
                <w:sz w:val="20"/>
                <w:lang w:val="fr-CA"/>
              </w:rPr>
              <w:t>(Dufresne, Bélanger and Gagné JJ.A.)</w:t>
            </w:r>
          </w:p>
          <w:p w:rsidR="001E56A6" w:rsidRPr="00FC5507" w:rsidRDefault="001E56A6" w:rsidP="00FC5507">
            <w:pPr>
              <w:jc w:val="both"/>
              <w:rPr>
                <w:sz w:val="20"/>
                <w:lang w:val="en-CA"/>
              </w:rPr>
            </w:pPr>
            <w:r w:rsidRPr="00FC5507">
              <w:rPr>
                <w:sz w:val="20"/>
                <w:lang w:val="en-CA"/>
              </w:rPr>
              <w:t>500</w:t>
            </w:r>
            <w:r w:rsidRPr="00FC5507">
              <w:rPr>
                <w:sz w:val="20"/>
                <w:lang w:val="en-CA"/>
              </w:rPr>
              <w:noBreakHyphen/>
              <w:t>09</w:t>
            </w:r>
            <w:r w:rsidRPr="00FC5507">
              <w:rPr>
                <w:sz w:val="20"/>
                <w:lang w:val="en-CA"/>
              </w:rPr>
              <w:noBreakHyphen/>
              <w:t>026384</w:t>
            </w:r>
            <w:r w:rsidRPr="00FC5507">
              <w:rPr>
                <w:sz w:val="20"/>
                <w:lang w:val="en-CA"/>
              </w:rPr>
              <w:noBreakHyphen/>
              <w:t>164</w:t>
            </w:r>
          </w:p>
          <w:p w:rsidR="001E56A6" w:rsidRPr="00FC5507" w:rsidRDefault="00685225" w:rsidP="00FC5507">
            <w:pPr>
              <w:jc w:val="both"/>
              <w:rPr>
                <w:sz w:val="20"/>
                <w:lang w:val="en-CA"/>
              </w:rPr>
            </w:pPr>
            <w:hyperlink r:id="rId42" w:history="1">
              <w:r w:rsidR="001E56A6" w:rsidRPr="00FC5507">
                <w:rPr>
                  <w:rStyle w:val="Hyperlink"/>
                  <w:sz w:val="20"/>
                  <w:lang w:val="en-CA"/>
                </w:rPr>
                <w:t>2018 QCCA 2017</w:t>
              </w:r>
            </w:hyperlink>
          </w:p>
          <w:p w:rsidR="001E56A6" w:rsidRPr="00FC5507" w:rsidRDefault="001E56A6" w:rsidP="00FC5507">
            <w:pPr>
              <w:jc w:val="both"/>
              <w:rPr>
                <w:sz w:val="20"/>
                <w:lang w:val="en-CA"/>
              </w:rPr>
            </w:pPr>
          </w:p>
        </w:tc>
        <w:tc>
          <w:tcPr>
            <w:tcW w:w="243" w:type="pct"/>
          </w:tcPr>
          <w:p w:rsidR="001E56A6" w:rsidRPr="00FC5507" w:rsidRDefault="001E56A6" w:rsidP="00FC5507">
            <w:pPr>
              <w:jc w:val="both"/>
              <w:rPr>
                <w:sz w:val="20"/>
                <w:lang w:val="en-CA"/>
              </w:rPr>
            </w:pPr>
          </w:p>
        </w:tc>
        <w:tc>
          <w:tcPr>
            <w:tcW w:w="2330" w:type="pct"/>
          </w:tcPr>
          <w:p w:rsidR="001E56A6" w:rsidRPr="00FC5507" w:rsidRDefault="001E56A6" w:rsidP="00FC5507">
            <w:pPr>
              <w:jc w:val="both"/>
              <w:rPr>
                <w:sz w:val="20"/>
                <w:lang w:val="en-CA"/>
              </w:rPr>
            </w:pPr>
            <w:r w:rsidRPr="00FC5507">
              <w:rPr>
                <w:sz w:val="20"/>
                <w:lang w:val="en-CA"/>
              </w:rPr>
              <w:t>Appeal dismissed with costs.</w:t>
            </w:r>
          </w:p>
          <w:p w:rsidR="001E56A6" w:rsidRPr="00FC5507" w:rsidRDefault="001E56A6" w:rsidP="00FC5507">
            <w:pPr>
              <w:jc w:val="both"/>
              <w:rPr>
                <w:sz w:val="20"/>
                <w:lang w:val="en-CA"/>
              </w:rPr>
            </w:pPr>
          </w:p>
        </w:tc>
      </w:tr>
      <w:tr w:rsidR="001E56A6" w:rsidRPr="00FC5507" w:rsidTr="00602075">
        <w:tc>
          <w:tcPr>
            <w:tcW w:w="2427" w:type="pct"/>
            <w:gridSpan w:val="2"/>
          </w:tcPr>
          <w:p w:rsidR="001E56A6" w:rsidRPr="00FC5507" w:rsidRDefault="001E56A6" w:rsidP="00FC5507">
            <w:pPr>
              <w:jc w:val="both"/>
              <w:rPr>
                <w:sz w:val="20"/>
                <w:lang w:val="en-CA"/>
              </w:rPr>
            </w:pPr>
            <w:r w:rsidRPr="00FC5507">
              <w:rPr>
                <w:sz w:val="20"/>
                <w:lang w:val="en-CA"/>
              </w:rPr>
              <w:t>January 28, 2019</w:t>
            </w:r>
          </w:p>
          <w:p w:rsidR="001E56A6" w:rsidRPr="00FC5507" w:rsidRDefault="001E56A6" w:rsidP="00FC5507">
            <w:pPr>
              <w:jc w:val="both"/>
              <w:rPr>
                <w:sz w:val="20"/>
                <w:lang w:val="en-CA"/>
              </w:rPr>
            </w:pPr>
            <w:r w:rsidRPr="00FC5507">
              <w:rPr>
                <w:sz w:val="20"/>
                <w:lang w:val="en-CA"/>
              </w:rPr>
              <w:t>Supreme Court of Canada</w:t>
            </w:r>
          </w:p>
        </w:tc>
        <w:tc>
          <w:tcPr>
            <w:tcW w:w="243" w:type="pct"/>
          </w:tcPr>
          <w:p w:rsidR="001E56A6" w:rsidRPr="00FC5507" w:rsidRDefault="001E56A6" w:rsidP="00FC5507">
            <w:pPr>
              <w:jc w:val="both"/>
              <w:rPr>
                <w:sz w:val="20"/>
                <w:lang w:val="en-CA"/>
              </w:rPr>
            </w:pPr>
          </w:p>
        </w:tc>
        <w:tc>
          <w:tcPr>
            <w:tcW w:w="2330" w:type="pct"/>
          </w:tcPr>
          <w:p w:rsidR="001E56A6" w:rsidRPr="00FC5507" w:rsidRDefault="001E56A6" w:rsidP="00FC5507">
            <w:pPr>
              <w:jc w:val="both"/>
              <w:rPr>
                <w:sz w:val="20"/>
                <w:lang w:val="en-CA"/>
              </w:rPr>
            </w:pPr>
            <w:r w:rsidRPr="00FC5507">
              <w:rPr>
                <w:sz w:val="20"/>
                <w:lang w:val="en-CA"/>
              </w:rPr>
              <w:t>Application for leave to appeal filed.</w:t>
            </w:r>
          </w:p>
          <w:p w:rsidR="001E56A6" w:rsidRPr="00FC5507" w:rsidRDefault="001E56A6" w:rsidP="00FC5507">
            <w:pPr>
              <w:jc w:val="both"/>
              <w:rPr>
                <w:sz w:val="20"/>
                <w:lang w:val="en-CA"/>
              </w:rPr>
            </w:pPr>
          </w:p>
        </w:tc>
      </w:tr>
    </w:tbl>
    <w:p w:rsidR="001E56A6" w:rsidRDefault="001E56A6" w:rsidP="00FC5507">
      <w:pPr>
        <w:jc w:val="both"/>
        <w:rPr>
          <w:sz w:val="20"/>
          <w:lang w:val="en-CA"/>
        </w:rPr>
      </w:pPr>
    </w:p>
    <w:p w:rsidR="00A6684F" w:rsidRDefault="00A6684F" w:rsidP="00FC5507">
      <w:pPr>
        <w:jc w:val="both"/>
        <w:rPr>
          <w:sz w:val="20"/>
          <w:lang w:val="en-CA"/>
        </w:rPr>
      </w:pPr>
      <w:r>
        <w:rPr>
          <w:sz w:val="20"/>
        </w:rPr>
        <w:pict>
          <v:rect id="_x0000_i1033" style="width:2in;height:1pt" o:hrpct="0" o:hralign="center" o:hrstd="t" o:hrnoshade="t" o:hr="t" fillcolor="black [3213]" stroked="f"/>
        </w:pict>
      </w:r>
    </w:p>
    <w:p w:rsidR="00602075" w:rsidRPr="00FC5507" w:rsidRDefault="00602075" w:rsidP="00FC550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6A6" w:rsidRPr="00FC5507" w:rsidTr="00602075">
        <w:tc>
          <w:tcPr>
            <w:tcW w:w="543" w:type="pct"/>
          </w:tcPr>
          <w:p w:rsidR="001E56A6" w:rsidRPr="00FC5507" w:rsidRDefault="001E56A6" w:rsidP="00FC5507">
            <w:pPr>
              <w:jc w:val="both"/>
              <w:rPr>
                <w:sz w:val="20"/>
              </w:rPr>
            </w:pPr>
            <w:r w:rsidRPr="00FC5507">
              <w:rPr>
                <w:rStyle w:val="SCCFileNumberChar"/>
                <w:sz w:val="20"/>
                <w:szCs w:val="20"/>
              </w:rPr>
              <w:t>38533</w:t>
            </w:r>
          </w:p>
        </w:tc>
        <w:tc>
          <w:tcPr>
            <w:tcW w:w="4457" w:type="pct"/>
            <w:gridSpan w:val="3"/>
          </w:tcPr>
          <w:p w:rsidR="001E56A6" w:rsidRPr="00602075" w:rsidRDefault="001E56A6" w:rsidP="00FC5507">
            <w:pPr>
              <w:pStyle w:val="SCCLsocParty"/>
              <w:jc w:val="both"/>
              <w:rPr>
                <w:b/>
                <w:sz w:val="20"/>
                <w:szCs w:val="20"/>
              </w:rPr>
            </w:pPr>
            <w:r w:rsidRPr="00602075">
              <w:rPr>
                <w:b/>
                <w:sz w:val="20"/>
                <w:szCs w:val="20"/>
              </w:rPr>
              <w:t>Mikel Golzarian c. Association des policières et policiers provinciaux du Québec</w:t>
            </w:r>
          </w:p>
          <w:p w:rsidR="001E56A6" w:rsidRPr="00FC5507" w:rsidRDefault="001E56A6" w:rsidP="00FC5507">
            <w:pPr>
              <w:jc w:val="both"/>
              <w:rPr>
                <w:sz w:val="20"/>
              </w:rPr>
            </w:pPr>
            <w:r w:rsidRPr="00FC5507">
              <w:rPr>
                <w:sz w:val="20"/>
              </w:rPr>
              <w:t>(Qc) (Civile) (Autorisation)</w:t>
            </w:r>
          </w:p>
        </w:tc>
      </w:tr>
      <w:tr w:rsidR="001E56A6" w:rsidRPr="00A6684F" w:rsidTr="00602075">
        <w:tc>
          <w:tcPr>
            <w:tcW w:w="5000" w:type="pct"/>
            <w:gridSpan w:val="4"/>
          </w:tcPr>
          <w:p w:rsidR="001E56A6" w:rsidRPr="00FC5507" w:rsidRDefault="001E56A6" w:rsidP="00FC5507">
            <w:pPr>
              <w:jc w:val="both"/>
              <w:rPr>
                <w:sz w:val="20"/>
                <w:lang w:val="fr-CA"/>
              </w:rPr>
            </w:pPr>
            <w:r w:rsidRPr="00FC5507">
              <w:rPr>
                <w:sz w:val="20"/>
                <w:lang w:val="fr-CA"/>
              </w:rPr>
              <w:t xml:space="preserve">Relations du travail – Syndicat – Devoir de représentation – Congédiement – Grief – Nature continue d’un grief – Obligation du salarié de collaborer – Accès à la justice – Primauté du droit – La Cour d’appel a-t-elle erré en « ignorant et/ou refusant d’intervenir » pour corriger (i) une « erreur de droit non contestée » relative à la nature continue du grief en lien avec son congédiement et (ii) une erreur de droit portant sur la question d’ordre public relative à la prescription prévue à la </w:t>
            </w:r>
            <w:r w:rsidRPr="00FC5507">
              <w:rPr>
                <w:i/>
                <w:sz w:val="20"/>
                <w:lang w:val="fr-CA"/>
              </w:rPr>
              <w:t>Loi sur le régime syndical applicable à la Sûreté du Québec</w:t>
            </w:r>
            <w:r w:rsidRPr="00FC5507">
              <w:rPr>
                <w:sz w:val="20"/>
                <w:lang w:val="fr-CA"/>
              </w:rPr>
              <w:t>, RLRQ c R-14, portant ainsi atteinte « aux principes de l’accès à la justice », « de la primauté du droit » ainsi qu’au « droit acquis d’un appel de plein droit »?</w:t>
            </w:r>
          </w:p>
        </w:tc>
      </w:tr>
      <w:tr w:rsidR="001E56A6" w:rsidRPr="00A6684F" w:rsidTr="00602075">
        <w:tc>
          <w:tcPr>
            <w:tcW w:w="5000" w:type="pct"/>
            <w:gridSpan w:val="4"/>
          </w:tcPr>
          <w:p w:rsidR="001E56A6" w:rsidRPr="00FC5507" w:rsidRDefault="001E56A6" w:rsidP="00FC5507">
            <w:pPr>
              <w:jc w:val="both"/>
              <w:rPr>
                <w:sz w:val="20"/>
                <w:lang w:val="fr-CA"/>
              </w:rPr>
            </w:pPr>
          </w:p>
        </w:tc>
      </w:tr>
      <w:tr w:rsidR="001E56A6" w:rsidRPr="00A6684F" w:rsidTr="00602075">
        <w:tc>
          <w:tcPr>
            <w:tcW w:w="5000" w:type="pct"/>
            <w:gridSpan w:val="4"/>
          </w:tcPr>
          <w:p w:rsidR="001E56A6" w:rsidRPr="00FC5507" w:rsidRDefault="001E56A6" w:rsidP="00FC5507">
            <w:pPr>
              <w:jc w:val="both"/>
              <w:rPr>
                <w:sz w:val="20"/>
                <w:lang w:val="fr-CA"/>
              </w:rPr>
            </w:pPr>
            <w:r w:rsidRPr="00FC5507">
              <w:rPr>
                <w:sz w:val="20"/>
                <w:lang w:val="fr-CA"/>
              </w:rPr>
              <w:lastRenderedPageBreak/>
              <w:t xml:space="preserve">Embauché en 1992 comme policier à la Sûreté du Québec, le demandeur Mikel Golzarian est en arrêt de travail pour maladie à partir de 1997. En 1998, il dépose une plainte à la Commission des droits de la personne et de la jeunesse qui conclut qu’il a été victime de discrimination et suggère des mesures de redressement auxquelles la Sûreté du Québec refusera de donner suite. En 2002, la Sûreté du Québec met fin à l’emploi de M. Golzarian. Son syndicat, l’intimée Association des </w:t>
            </w:r>
            <w:proofErr w:type="gramStart"/>
            <w:r w:rsidRPr="00FC5507">
              <w:rPr>
                <w:sz w:val="20"/>
                <w:lang w:val="fr-CA"/>
              </w:rPr>
              <w:t>policières</w:t>
            </w:r>
            <w:proofErr w:type="gramEnd"/>
            <w:r w:rsidRPr="00FC5507">
              <w:rPr>
                <w:sz w:val="20"/>
                <w:lang w:val="fr-CA"/>
              </w:rPr>
              <w:t xml:space="preserve"> et policiers provinciaux du Québec (« APPPQ »), dépose un grief pour contester le congédiement de M. Golzarian et le défère à l’arbitrage. En 2004, devant son refus de se présenter aux audiences d’arbitrage, le grief de M. Golzarian est rejeté. M. Golzarian choisit la voie des tribunaux civils pour faire valoir ses revendications contre son employeur. Il échoue dans ses recours. En 2003, M. Golzarian intente une action en dommages-intérêts contre l’intimée pour défaut à son devoir de représentation. La Cour supérieure rejette l’action. Elle conclut qu’à la lumière de la collaboration mitigée de M. Golzarian, il n’a pas réussi à démontrer que le syndicat a commis une faute envers lui. La Cour d’appel rejette le pourvoi de M. Golzarian. Elle conclut que les constats du juge de première instance trouvent amplement assise dans la preuve et qu’il n’a commis aucune erreur en déterminant que l’APPPQ n’a pas failli à ses obligations.</w:t>
            </w:r>
          </w:p>
          <w:p w:rsidR="001E56A6" w:rsidRPr="00FC5507" w:rsidRDefault="001E56A6" w:rsidP="00FC5507">
            <w:pPr>
              <w:jc w:val="both"/>
              <w:rPr>
                <w:sz w:val="20"/>
                <w:lang w:val="fr-CA"/>
              </w:rPr>
            </w:pPr>
          </w:p>
        </w:tc>
      </w:tr>
      <w:tr w:rsidR="001E56A6" w:rsidRPr="00A6684F" w:rsidTr="00602075">
        <w:tc>
          <w:tcPr>
            <w:tcW w:w="2427" w:type="pct"/>
            <w:gridSpan w:val="2"/>
          </w:tcPr>
          <w:p w:rsidR="001E56A6" w:rsidRPr="00FC5507" w:rsidRDefault="001E56A6" w:rsidP="00FC5507">
            <w:pPr>
              <w:jc w:val="both"/>
              <w:rPr>
                <w:sz w:val="20"/>
                <w:lang w:val="fr-CA"/>
              </w:rPr>
            </w:pPr>
            <w:r w:rsidRPr="00FC5507">
              <w:rPr>
                <w:sz w:val="20"/>
                <w:lang w:val="fr-CA"/>
              </w:rPr>
              <w:t>Le 8 septembre 2016</w:t>
            </w:r>
          </w:p>
          <w:p w:rsidR="001E56A6" w:rsidRPr="00FC5507" w:rsidRDefault="001E56A6" w:rsidP="00FC5507">
            <w:pPr>
              <w:jc w:val="both"/>
              <w:rPr>
                <w:sz w:val="20"/>
                <w:lang w:val="fr-CA"/>
              </w:rPr>
            </w:pPr>
            <w:r w:rsidRPr="00FC5507">
              <w:rPr>
                <w:sz w:val="20"/>
                <w:lang w:val="fr-CA"/>
              </w:rPr>
              <w:t>Cour supérieure du Québec (Montréal)</w:t>
            </w:r>
          </w:p>
          <w:p w:rsidR="001E56A6" w:rsidRPr="00FC5507" w:rsidRDefault="001E56A6" w:rsidP="00FC5507">
            <w:pPr>
              <w:jc w:val="both"/>
              <w:rPr>
                <w:sz w:val="20"/>
              </w:rPr>
            </w:pPr>
            <w:r w:rsidRPr="00FC5507">
              <w:rPr>
                <w:sz w:val="20"/>
              </w:rPr>
              <w:t>(Le juge Davis)</w:t>
            </w:r>
          </w:p>
          <w:p w:rsidR="001E56A6" w:rsidRPr="00FC5507" w:rsidRDefault="001E56A6" w:rsidP="00FC5507">
            <w:pPr>
              <w:jc w:val="both"/>
              <w:rPr>
                <w:sz w:val="20"/>
              </w:rPr>
            </w:pPr>
            <w:r w:rsidRPr="00FC5507">
              <w:rPr>
                <w:sz w:val="20"/>
              </w:rPr>
              <w:t>500-17-015946-034</w:t>
            </w:r>
          </w:p>
          <w:p w:rsidR="001E56A6" w:rsidRPr="00FC5507" w:rsidRDefault="00685225" w:rsidP="00FC5507">
            <w:pPr>
              <w:jc w:val="both"/>
              <w:rPr>
                <w:sz w:val="20"/>
              </w:rPr>
            </w:pPr>
            <w:hyperlink r:id="rId43" w:history="1">
              <w:r w:rsidR="001E56A6" w:rsidRPr="00FC5507">
                <w:rPr>
                  <w:rStyle w:val="Hyperlink"/>
                  <w:sz w:val="20"/>
                </w:rPr>
                <w:t>2016 QCCS 4582</w:t>
              </w:r>
            </w:hyperlink>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lang w:val="fr-CA"/>
              </w:rPr>
            </w:pPr>
            <w:r w:rsidRPr="00FC5507">
              <w:rPr>
                <w:sz w:val="20"/>
                <w:lang w:val="fr-CA"/>
              </w:rPr>
              <w:t xml:space="preserve">Demande introductive d’instance rejetée, avec frais de justice. </w:t>
            </w:r>
          </w:p>
          <w:p w:rsidR="001E56A6" w:rsidRPr="00FC5507" w:rsidRDefault="001E56A6" w:rsidP="00FC5507">
            <w:pPr>
              <w:jc w:val="both"/>
              <w:rPr>
                <w:sz w:val="20"/>
                <w:lang w:val="fr-CA"/>
              </w:rPr>
            </w:pPr>
          </w:p>
        </w:tc>
      </w:tr>
      <w:tr w:rsidR="001E56A6" w:rsidRPr="00A6684F" w:rsidTr="00602075">
        <w:tc>
          <w:tcPr>
            <w:tcW w:w="2427" w:type="pct"/>
            <w:gridSpan w:val="2"/>
          </w:tcPr>
          <w:p w:rsidR="001E56A6" w:rsidRPr="00FC5507" w:rsidRDefault="001E56A6" w:rsidP="00FC5507">
            <w:pPr>
              <w:jc w:val="both"/>
              <w:rPr>
                <w:sz w:val="20"/>
                <w:lang w:val="fr-CA"/>
              </w:rPr>
            </w:pPr>
            <w:r w:rsidRPr="00FC5507">
              <w:rPr>
                <w:sz w:val="20"/>
                <w:lang w:val="fr-CA"/>
              </w:rPr>
              <w:t>Le 30 novembre 2018</w:t>
            </w:r>
          </w:p>
          <w:p w:rsidR="001E56A6" w:rsidRPr="00FC5507" w:rsidRDefault="001E56A6" w:rsidP="00FC5507">
            <w:pPr>
              <w:jc w:val="both"/>
              <w:rPr>
                <w:sz w:val="20"/>
                <w:lang w:val="fr-CA"/>
              </w:rPr>
            </w:pPr>
            <w:r w:rsidRPr="00FC5507">
              <w:rPr>
                <w:sz w:val="20"/>
                <w:lang w:val="fr-CA"/>
              </w:rPr>
              <w:t>Cour d’appel du Québec (Montréal)</w:t>
            </w:r>
          </w:p>
          <w:p w:rsidR="001E56A6" w:rsidRPr="00FC5507" w:rsidRDefault="001E56A6" w:rsidP="00FC5507">
            <w:pPr>
              <w:jc w:val="both"/>
              <w:rPr>
                <w:sz w:val="20"/>
                <w:lang w:val="fr-CA"/>
              </w:rPr>
            </w:pPr>
            <w:r w:rsidRPr="00FC5507">
              <w:rPr>
                <w:sz w:val="20"/>
                <w:lang w:val="fr-CA"/>
              </w:rPr>
              <w:t>(Les juges Dufresne, Bélanger, Gagné)</w:t>
            </w:r>
          </w:p>
          <w:p w:rsidR="001E56A6" w:rsidRPr="00FC5507" w:rsidRDefault="001E56A6" w:rsidP="00FC5507">
            <w:pPr>
              <w:jc w:val="both"/>
              <w:rPr>
                <w:sz w:val="20"/>
              </w:rPr>
            </w:pPr>
            <w:r w:rsidRPr="00FC5507">
              <w:rPr>
                <w:sz w:val="20"/>
              </w:rPr>
              <w:t>500-09-026384-164</w:t>
            </w:r>
          </w:p>
          <w:p w:rsidR="001E56A6" w:rsidRPr="00FC5507" w:rsidRDefault="00685225" w:rsidP="00FC5507">
            <w:pPr>
              <w:jc w:val="both"/>
              <w:rPr>
                <w:sz w:val="20"/>
              </w:rPr>
            </w:pPr>
            <w:hyperlink r:id="rId44" w:history="1">
              <w:r w:rsidR="001E56A6" w:rsidRPr="00FC5507">
                <w:rPr>
                  <w:rStyle w:val="Hyperlink"/>
                  <w:sz w:val="20"/>
                </w:rPr>
                <w:t>2018 QCCA 2017</w:t>
              </w:r>
            </w:hyperlink>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lang w:val="fr-CA"/>
              </w:rPr>
            </w:pPr>
            <w:r w:rsidRPr="00FC5507">
              <w:rPr>
                <w:sz w:val="20"/>
                <w:lang w:val="fr-CA"/>
              </w:rPr>
              <w:t>Appel rejeté, avec frais de justice.</w:t>
            </w:r>
          </w:p>
          <w:p w:rsidR="001E56A6" w:rsidRPr="00FC5507" w:rsidRDefault="001E56A6" w:rsidP="00FC5507">
            <w:pPr>
              <w:jc w:val="both"/>
              <w:rPr>
                <w:sz w:val="20"/>
                <w:lang w:val="fr-CA"/>
              </w:rPr>
            </w:pPr>
          </w:p>
        </w:tc>
      </w:tr>
      <w:tr w:rsidR="001E56A6" w:rsidRPr="00FC5507" w:rsidTr="00602075">
        <w:tc>
          <w:tcPr>
            <w:tcW w:w="2427" w:type="pct"/>
            <w:gridSpan w:val="2"/>
          </w:tcPr>
          <w:p w:rsidR="001E56A6" w:rsidRPr="00FC5507" w:rsidRDefault="001E56A6" w:rsidP="00FC5507">
            <w:pPr>
              <w:jc w:val="both"/>
              <w:rPr>
                <w:sz w:val="20"/>
                <w:lang w:val="fr-CA"/>
              </w:rPr>
            </w:pPr>
            <w:r w:rsidRPr="00FC5507">
              <w:rPr>
                <w:sz w:val="20"/>
                <w:lang w:val="fr-CA"/>
              </w:rPr>
              <w:t>Le 28 janvier 2019</w:t>
            </w:r>
          </w:p>
          <w:p w:rsidR="001E56A6" w:rsidRPr="00FC5507" w:rsidRDefault="001E56A6" w:rsidP="00FC5507">
            <w:pPr>
              <w:jc w:val="both"/>
              <w:rPr>
                <w:sz w:val="20"/>
                <w:lang w:val="fr-CA"/>
              </w:rPr>
            </w:pPr>
            <w:r w:rsidRPr="00FC5507">
              <w:rPr>
                <w:sz w:val="20"/>
                <w:lang w:val="fr-CA"/>
              </w:rPr>
              <w:t>Cour suprême du Canada</w:t>
            </w: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rPr>
            </w:pPr>
            <w:r w:rsidRPr="00FC5507">
              <w:rPr>
                <w:sz w:val="20"/>
              </w:rPr>
              <w:t xml:space="preserve">Demande d’autorisation d’appel </w:t>
            </w:r>
            <w:proofErr w:type="spellStart"/>
            <w:r w:rsidRPr="00FC5507">
              <w:rPr>
                <w:sz w:val="20"/>
              </w:rPr>
              <w:t>déposée</w:t>
            </w:r>
            <w:proofErr w:type="spellEnd"/>
            <w:r w:rsidRPr="00FC5507">
              <w:rPr>
                <w:sz w:val="20"/>
              </w:rPr>
              <w:t>.</w:t>
            </w:r>
          </w:p>
          <w:p w:rsidR="001E56A6" w:rsidRPr="00FC5507" w:rsidRDefault="001E56A6" w:rsidP="00FC5507">
            <w:pPr>
              <w:jc w:val="both"/>
              <w:rPr>
                <w:sz w:val="20"/>
              </w:rPr>
            </w:pPr>
          </w:p>
        </w:tc>
      </w:tr>
    </w:tbl>
    <w:p w:rsidR="001E56A6" w:rsidRDefault="001E56A6" w:rsidP="00FC5507">
      <w:pPr>
        <w:jc w:val="both"/>
        <w:rPr>
          <w:sz w:val="20"/>
        </w:rPr>
      </w:pPr>
    </w:p>
    <w:p w:rsidR="00A6684F" w:rsidRPr="00FC5507" w:rsidRDefault="00A6684F" w:rsidP="00FC5507">
      <w:pPr>
        <w:jc w:val="both"/>
        <w:rPr>
          <w:sz w:val="20"/>
        </w:rPr>
      </w:pPr>
      <w:r>
        <w:rPr>
          <w:sz w:val="20"/>
        </w:rPr>
        <w:pict>
          <v:rect id="_x0000_i1034"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6A6" w:rsidRPr="00FC5507" w:rsidTr="00602075">
        <w:tc>
          <w:tcPr>
            <w:tcW w:w="543" w:type="pct"/>
          </w:tcPr>
          <w:p w:rsidR="001E56A6" w:rsidRPr="00FC5507" w:rsidRDefault="001E56A6" w:rsidP="00FC5507">
            <w:pPr>
              <w:jc w:val="both"/>
              <w:rPr>
                <w:sz w:val="20"/>
              </w:rPr>
            </w:pPr>
            <w:r w:rsidRPr="00FC5507">
              <w:rPr>
                <w:rStyle w:val="SCCFileNumberChar"/>
                <w:sz w:val="20"/>
                <w:szCs w:val="20"/>
              </w:rPr>
              <w:t>38486</w:t>
            </w:r>
          </w:p>
        </w:tc>
        <w:tc>
          <w:tcPr>
            <w:tcW w:w="4457" w:type="pct"/>
            <w:gridSpan w:val="3"/>
          </w:tcPr>
          <w:p w:rsidR="001E56A6" w:rsidRPr="00602075" w:rsidRDefault="001E56A6" w:rsidP="00FC5507">
            <w:pPr>
              <w:pStyle w:val="SCCLsocParty"/>
              <w:jc w:val="both"/>
              <w:rPr>
                <w:b/>
                <w:sz w:val="20"/>
                <w:szCs w:val="20"/>
                <w:lang w:val="en-US"/>
              </w:rPr>
            </w:pPr>
            <w:r w:rsidRPr="00602075">
              <w:rPr>
                <w:b/>
                <w:sz w:val="20"/>
                <w:szCs w:val="20"/>
                <w:lang w:val="en-US"/>
              </w:rPr>
              <w:t>Geophysical Service Incorporated v. Murphy Oil Company Ltd.</w:t>
            </w:r>
          </w:p>
          <w:p w:rsidR="001E56A6" w:rsidRPr="00602075" w:rsidRDefault="001E56A6" w:rsidP="00FC5507">
            <w:pPr>
              <w:pStyle w:val="SCCLsocSubfileSeparator"/>
              <w:rPr>
                <w:sz w:val="20"/>
                <w:szCs w:val="20"/>
              </w:rPr>
            </w:pPr>
            <w:r w:rsidRPr="00602075">
              <w:rPr>
                <w:sz w:val="20"/>
                <w:szCs w:val="20"/>
              </w:rPr>
              <w:t>— and between —</w:t>
            </w:r>
          </w:p>
          <w:p w:rsidR="001E56A6" w:rsidRPr="00602075" w:rsidRDefault="001E56A6" w:rsidP="00FC5507">
            <w:pPr>
              <w:pStyle w:val="SCCLsocParty"/>
              <w:jc w:val="both"/>
              <w:rPr>
                <w:b/>
                <w:sz w:val="20"/>
                <w:szCs w:val="20"/>
                <w:lang w:val="en-US"/>
              </w:rPr>
            </w:pPr>
            <w:r w:rsidRPr="00602075">
              <w:rPr>
                <w:b/>
                <w:sz w:val="20"/>
                <w:szCs w:val="20"/>
                <w:lang w:val="en-US"/>
              </w:rPr>
              <w:t>Geophysical Service Incorporated v. Encana Corporation</w:t>
            </w:r>
          </w:p>
          <w:p w:rsidR="001E56A6" w:rsidRPr="00FC5507" w:rsidRDefault="001E56A6" w:rsidP="00FC5507">
            <w:pPr>
              <w:jc w:val="both"/>
              <w:rPr>
                <w:sz w:val="20"/>
              </w:rPr>
            </w:pPr>
            <w:r w:rsidRPr="00FC5507">
              <w:rPr>
                <w:sz w:val="20"/>
              </w:rPr>
              <w:t>(Alta.) (Civil) (By Leave)</w:t>
            </w:r>
          </w:p>
        </w:tc>
      </w:tr>
      <w:tr w:rsidR="001E56A6" w:rsidRPr="00FC5507" w:rsidTr="00602075">
        <w:tc>
          <w:tcPr>
            <w:tcW w:w="5000" w:type="pct"/>
            <w:gridSpan w:val="4"/>
          </w:tcPr>
          <w:p w:rsidR="001E56A6" w:rsidRPr="00FC5507" w:rsidRDefault="001E56A6" w:rsidP="00FC5507">
            <w:pPr>
              <w:jc w:val="both"/>
              <w:rPr>
                <w:sz w:val="20"/>
              </w:rPr>
            </w:pPr>
            <w:r w:rsidRPr="00FC5507">
              <w:rPr>
                <w:sz w:val="20"/>
              </w:rPr>
              <w:t>Judgments and orders — Summary judgment — Proper test for summary dismissal — Whether judges have discretion to decline to entertain summary proceedings application in post</w:t>
            </w:r>
            <w:r w:rsidRPr="00FC5507">
              <w:rPr>
                <w:sz w:val="20"/>
              </w:rPr>
              <w:noBreakHyphen/>
            </w:r>
            <w:proofErr w:type="spellStart"/>
            <w:r w:rsidRPr="00FC5507">
              <w:rPr>
                <w:sz w:val="20"/>
              </w:rPr>
              <w:t>Hryniak</w:t>
            </w:r>
            <w:proofErr w:type="spellEnd"/>
            <w:r w:rsidRPr="00FC5507">
              <w:rPr>
                <w:sz w:val="20"/>
              </w:rPr>
              <w:t xml:space="preserve"> era — Where a chambers judge fundamentally misunderstands a contract, is summary dismissal still available?  Whether summary dismissal of a breach of contract claim is subject to appellate scrutiny in the same way any decision which finally determines substantive rights is subject to appellate review.</w:t>
            </w:r>
          </w:p>
        </w:tc>
      </w:tr>
      <w:tr w:rsidR="001E56A6" w:rsidRPr="00FC5507" w:rsidTr="00602075">
        <w:tc>
          <w:tcPr>
            <w:tcW w:w="5000" w:type="pct"/>
            <w:gridSpan w:val="4"/>
          </w:tcPr>
          <w:p w:rsidR="001E56A6" w:rsidRPr="00FC5507" w:rsidRDefault="001E56A6" w:rsidP="00FC5507">
            <w:pPr>
              <w:jc w:val="both"/>
              <w:rPr>
                <w:sz w:val="20"/>
              </w:rPr>
            </w:pPr>
          </w:p>
        </w:tc>
      </w:tr>
      <w:tr w:rsidR="001E56A6" w:rsidRPr="00FC5507" w:rsidTr="00602075">
        <w:tc>
          <w:tcPr>
            <w:tcW w:w="5000" w:type="pct"/>
            <w:gridSpan w:val="4"/>
          </w:tcPr>
          <w:p w:rsidR="001E56A6" w:rsidRPr="00FC5507" w:rsidRDefault="001E56A6" w:rsidP="00FC5507">
            <w:pPr>
              <w:jc w:val="both"/>
              <w:rPr>
                <w:sz w:val="20"/>
              </w:rPr>
            </w:pPr>
            <w:r w:rsidRPr="00FC5507">
              <w:rPr>
                <w:sz w:val="20"/>
              </w:rPr>
              <w:t>The respondent, Murphy Oil Company Ltd. and the respondent, Encana Corporation were two companies that the applicant, Geophysical Service Incorporated (“GSI”) sued for the improper use of its seismic materials.</w:t>
            </w:r>
          </w:p>
          <w:p w:rsidR="001E56A6" w:rsidRPr="00FC5507" w:rsidRDefault="001E56A6" w:rsidP="00FC5507">
            <w:pPr>
              <w:jc w:val="both"/>
              <w:rPr>
                <w:sz w:val="20"/>
              </w:rPr>
            </w:pPr>
          </w:p>
          <w:p w:rsidR="001E56A6" w:rsidRPr="00FC5507" w:rsidRDefault="001E56A6" w:rsidP="00FC5507">
            <w:pPr>
              <w:jc w:val="both"/>
              <w:rPr>
                <w:b/>
                <w:sz w:val="20"/>
                <w:lang w:val="en"/>
              </w:rPr>
            </w:pPr>
            <w:r w:rsidRPr="00FC5507">
              <w:rPr>
                <w:sz w:val="20"/>
              </w:rPr>
              <w:t>In its amended statement of claim, GSI plead breach of contract, copyright infringement, breach of confidence and unjust enrichment. Encana contended that there was no merit to GSI’s claims and, in any event, they were statute</w:t>
            </w:r>
            <w:r w:rsidRPr="00FC5507">
              <w:rPr>
                <w:sz w:val="20"/>
              </w:rPr>
              <w:noBreakHyphen/>
              <w:t xml:space="preserve">barred by the </w:t>
            </w:r>
            <w:r w:rsidRPr="00FC5507">
              <w:rPr>
                <w:i/>
                <w:sz w:val="20"/>
              </w:rPr>
              <w:t>Limitations Act</w:t>
            </w:r>
            <w:r w:rsidRPr="00FC5507">
              <w:rPr>
                <w:sz w:val="20"/>
              </w:rPr>
              <w:t>, RSA 2000, c L</w:t>
            </w:r>
            <w:r w:rsidRPr="00FC5507">
              <w:rPr>
                <w:sz w:val="20"/>
              </w:rPr>
              <w:noBreakHyphen/>
              <w:t xml:space="preserve">12. </w:t>
            </w:r>
            <w:r w:rsidRPr="00FC5507">
              <w:rPr>
                <w:sz w:val="20"/>
                <w:lang w:val="en"/>
              </w:rPr>
              <w:t>GSI applied for summary judgment in respect of its Accessed Data Claim and asked that the other claims go to trial. Encana responded and applied for summary dismissal of all of GSI’s claim. The parties had mixed success. The chambers judge granted GSI summary judgment of the liability portion of the Accessed Data Claim but remitted the question of damages to trial. Encana succeeded in having the other remaining claims summarily dismissed.</w:t>
            </w:r>
            <w:r w:rsidRPr="00FC5507">
              <w:rPr>
                <w:sz w:val="20"/>
              </w:rPr>
              <w:t xml:space="preserve"> </w:t>
            </w:r>
            <w:r w:rsidRPr="00FC5507">
              <w:rPr>
                <w:sz w:val="20"/>
                <w:lang w:val="en"/>
              </w:rPr>
              <w:t>A majority of the Court of Appeal allowed Encana’s appeal and dismissed GSI’s appeal on the damages issue.</w:t>
            </w:r>
          </w:p>
          <w:p w:rsidR="001E56A6" w:rsidRPr="00FC5507" w:rsidRDefault="001E56A6" w:rsidP="00FC5507">
            <w:pPr>
              <w:jc w:val="both"/>
              <w:rPr>
                <w:b/>
                <w:sz w:val="20"/>
                <w:lang w:val="en"/>
              </w:rPr>
            </w:pPr>
          </w:p>
          <w:p w:rsidR="001E56A6" w:rsidRPr="00FC5507" w:rsidRDefault="001E56A6" w:rsidP="00FC5507">
            <w:pPr>
              <w:jc w:val="both"/>
              <w:rPr>
                <w:sz w:val="20"/>
              </w:rPr>
            </w:pPr>
            <w:r w:rsidRPr="00FC5507">
              <w:rPr>
                <w:sz w:val="20"/>
              </w:rPr>
              <w:t>GSI claimed damages from Murphy for breach of contract, breach of copyright, breach of confidence, conversion, unjust enrichment, negligent misrepresentation and interference with GSI’s contractual relations with others. GSI also sought various accountings, injunctions and declaratory relief. Murphy defended contending that there was no merit to GSI’s claims and, in any event, they were statute</w:t>
            </w:r>
            <w:r w:rsidRPr="00FC5507">
              <w:rPr>
                <w:sz w:val="20"/>
              </w:rPr>
              <w:noBreakHyphen/>
              <w:t xml:space="preserve">barred by the </w:t>
            </w:r>
            <w:r w:rsidRPr="00FC5507">
              <w:rPr>
                <w:i/>
                <w:sz w:val="20"/>
              </w:rPr>
              <w:t>Limitations Act</w:t>
            </w:r>
            <w:r w:rsidRPr="00FC5507">
              <w:rPr>
                <w:sz w:val="20"/>
              </w:rPr>
              <w:t>, RSA 2000, c L</w:t>
            </w:r>
            <w:r w:rsidRPr="00FC5507">
              <w:rPr>
                <w:sz w:val="20"/>
              </w:rPr>
              <w:noBreakHyphen/>
              <w:t>12. Murphy succeeded in its application for summary dismissal. The chambers judge dismissed GSI’s claim. A majority of the Court of Appeal would have dismissed the appeal.</w:t>
            </w:r>
          </w:p>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b/>
                <w:i/>
                <w:sz w:val="20"/>
              </w:rPr>
            </w:pPr>
            <w:r w:rsidRPr="00FC5507">
              <w:rPr>
                <w:b/>
                <w:i/>
                <w:sz w:val="20"/>
              </w:rPr>
              <w:lastRenderedPageBreak/>
              <w:t>Geophysical v. Encana</w:t>
            </w:r>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t>July 26, 2017</w:t>
            </w:r>
          </w:p>
          <w:p w:rsidR="001E56A6" w:rsidRPr="00FC5507" w:rsidRDefault="001E56A6" w:rsidP="00FC5507">
            <w:pPr>
              <w:jc w:val="both"/>
              <w:rPr>
                <w:sz w:val="20"/>
              </w:rPr>
            </w:pPr>
            <w:r w:rsidRPr="00FC5507">
              <w:rPr>
                <w:sz w:val="20"/>
              </w:rPr>
              <w:t>Court of Queen’s Bench of Alberta</w:t>
            </w:r>
          </w:p>
          <w:p w:rsidR="001E56A6" w:rsidRPr="00FC5507" w:rsidRDefault="001E56A6" w:rsidP="00FC5507">
            <w:pPr>
              <w:jc w:val="both"/>
              <w:rPr>
                <w:sz w:val="20"/>
              </w:rPr>
            </w:pPr>
            <w:r w:rsidRPr="00FC5507">
              <w:rPr>
                <w:sz w:val="20"/>
              </w:rPr>
              <w:t>(Eidsvik J.)</w:t>
            </w:r>
          </w:p>
          <w:p w:rsidR="001E56A6" w:rsidRPr="00FC5507" w:rsidRDefault="00685225" w:rsidP="00FC5507">
            <w:pPr>
              <w:jc w:val="both"/>
              <w:rPr>
                <w:sz w:val="20"/>
              </w:rPr>
            </w:pPr>
            <w:hyperlink r:id="rId45" w:history="1">
              <w:r w:rsidR="001E56A6" w:rsidRPr="00FC5507">
                <w:rPr>
                  <w:rStyle w:val="Hyperlink"/>
                  <w:sz w:val="20"/>
                </w:rPr>
                <w:t>2017 ABQB 466</w:t>
              </w:r>
            </w:hyperlink>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r w:rsidRPr="00FC5507">
              <w:rPr>
                <w:sz w:val="20"/>
              </w:rPr>
              <w:t>Encana’s application to summarily dismiss GSI’s entire claim granted, except for the Accessed Date Claim.</w:t>
            </w:r>
          </w:p>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t>November 21, 2018</w:t>
            </w:r>
          </w:p>
          <w:p w:rsidR="001E56A6" w:rsidRPr="00FC5507" w:rsidRDefault="001E56A6" w:rsidP="00FC5507">
            <w:pPr>
              <w:jc w:val="both"/>
              <w:rPr>
                <w:sz w:val="20"/>
              </w:rPr>
            </w:pPr>
            <w:r w:rsidRPr="00FC5507">
              <w:rPr>
                <w:sz w:val="20"/>
              </w:rPr>
              <w:t>Court of Appeal of Alberta (Calgary)</w:t>
            </w:r>
          </w:p>
          <w:p w:rsidR="001E56A6" w:rsidRPr="00FC5507" w:rsidRDefault="001E56A6" w:rsidP="00FC5507">
            <w:pPr>
              <w:jc w:val="both"/>
              <w:rPr>
                <w:sz w:val="20"/>
              </w:rPr>
            </w:pPr>
            <w:r w:rsidRPr="00FC5507">
              <w:rPr>
                <w:sz w:val="20"/>
              </w:rPr>
              <w:t>(Paperny and Rowbotham JJ.A. and O’Ferrall J. (dissenting))</w:t>
            </w:r>
          </w:p>
          <w:p w:rsidR="001E56A6" w:rsidRPr="00FC5507" w:rsidRDefault="00685225" w:rsidP="00FC5507">
            <w:pPr>
              <w:jc w:val="both"/>
              <w:rPr>
                <w:sz w:val="20"/>
              </w:rPr>
            </w:pPr>
            <w:hyperlink r:id="rId46" w:history="1">
              <w:r w:rsidR="001E56A6" w:rsidRPr="00FC5507">
                <w:rPr>
                  <w:rStyle w:val="Hyperlink"/>
                  <w:sz w:val="20"/>
                </w:rPr>
                <w:t>2018 ABCA 384</w:t>
              </w:r>
            </w:hyperlink>
          </w:p>
          <w:p w:rsidR="001E56A6" w:rsidRPr="00FC5507" w:rsidRDefault="001E56A6" w:rsidP="00FC5507">
            <w:pPr>
              <w:jc w:val="both"/>
              <w:rPr>
                <w:sz w:val="20"/>
              </w:rPr>
            </w:pPr>
            <w:r w:rsidRPr="00FC5507">
              <w:rPr>
                <w:sz w:val="20"/>
              </w:rPr>
              <w:t>File No.: 1701-0255-AC</w:t>
            </w:r>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r w:rsidRPr="00FC5507">
              <w:rPr>
                <w:sz w:val="20"/>
              </w:rPr>
              <w:t>Encana’s appeal allowed and GSI’s appeal on damages issue dismissed; GSI’s appeal of Encana’s summary dismissal decision dismissed.</w:t>
            </w:r>
          </w:p>
        </w:tc>
      </w:tr>
      <w:tr w:rsidR="001E56A6" w:rsidRPr="00FC5507" w:rsidTr="00602075">
        <w:tc>
          <w:tcPr>
            <w:tcW w:w="2427" w:type="pct"/>
            <w:gridSpan w:val="2"/>
          </w:tcPr>
          <w:p w:rsidR="001E56A6" w:rsidRPr="00FC5507" w:rsidRDefault="001E56A6" w:rsidP="00FC5507">
            <w:pPr>
              <w:jc w:val="both"/>
              <w:rPr>
                <w:b/>
                <w:i/>
                <w:sz w:val="20"/>
              </w:rPr>
            </w:pPr>
            <w:r w:rsidRPr="00FC5507">
              <w:rPr>
                <w:b/>
                <w:i/>
                <w:sz w:val="20"/>
              </w:rPr>
              <w:t>Geophysical v. Murphy Oil</w:t>
            </w:r>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t>July 26, 2017</w:t>
            </w:r>
          </w:p>
          <w:p w:rsidR="001E56A6" w:rsidRPr="00FC5507" w:rsidRDefault="001E56A6" w:rsidP="00FC5507">
            <w:pPr>
              <w:jc w:val="both"/>
              <w:rPr>
                <w:sz w:val="20"/>
              </w:rPr>
            </w:pPr>
            <w:r w:rsidRPr="00FC5507">
              <w:rPr>
                <w:sz w:val="20"/>
              </w:rPr>
              <w:t>Court of Queen’s Bench of Alberta</w:t>
            </w:r>
          </w:p>
          <w:p w:rsidR="001E56A6" w:rsidRPr="00FC5507" w:rsidRDefault="001E56A6" w:rsidP="00FC5507">
            <w:pPr>
              <w:jc w:val="both"/>
              <w:rPr>
                <w:sz w:val="20"/>
              </w:rPr>
            </w:pPr>
            <w:r w:rsidRPr="00FC5507">
              <w:rPr>
                <w:sz w:val="20"/>
              </w:rPr>
              <w:t>(Eidsvik J.)</w:t>
            </w:r>
          </w:p>
          <w:p w:rsidR="001E56A6" w:rsidRPr="00FC5507" w:rsidRDefault="00685225" w:rsidP="00FC5507">
            <w:pPr>
              <w:jc w:val="both"/>
              <w:rPr>
                <w:sz w:val="20"/>
              </w:rPr>
            </w:pPr>
            <w:hyperlink r:id="rId47" w:history="1">
              <w:r w:rsidR="001E56A6" w:rsidRPr="00FC5507">
                <w:rPr>
                  <w:rStyle w:val="Hyperlink"/>
                  <w:sz w:val="20"/>
                </w:rPr>
                <w:t>2017 ABQB 464</w:t>
              </w:r>
            </w:hyperlink>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r w:rsidRPr="00FC5507">
              <w:rPr>
                <w:sz w:val="20"/>
              </w:rPr>
              <w:t>Murphy Oil’s application for summary dismissal of GSI’s claims granted, GSI’s action dismissed.</w:t>
            </w:r>
          </w:p>
        </w:tc>
      </w:tr>
      <w:tr w:rsidR="001E56A6" w:rsidRPr="00FC5507" w:rsidTr="00602075">
        <w:tc>
          <w:tcPr>
            <w:tcW w:w="2427" w:type="pct"/>
            <w:gridSpan w:val="2"/>
          </w:tcPr>
          <w:p w:rsidR="001E56A6" w:rsidRPr="00FC5507" w:rsidRDefault="001E56A6" w:rsidP="00FC5507">
            <w:pPr>
              <w:jc w:val="both"/>
              <w:rPr>
                <w:sz w:val="20"/>
              </w:rPr>
            </w:pPr>
            <w:r w:rsidRPr="00FC5507">
              <w:rPr>
                <w:sz w:val="20"/>
              </w:rPr>
              <w:t>November 21, 2018</w:t>
            </w:r>
          </w:p>
          <w:p w:rsidR="001E56A6" w:rsidRPr="00FC5507" w:rsidRDefault="001E56A6" w:rsidP="00FC5507">
            <w:pPr>
              <w:jc w:val="both"/>
              <w:rPr>
                <w:sz w:val="20"/>
              </w:rPr>
            </w:pPr>
            <w:r w:rsidRPr="00FC5507">
              <w:rPr>
                <w:sz w:val="20"/>
              </w:rPr>
              <w:t>Court of Appeal of Alberta (Calgary)</w:t>
            </w:r>
          </w:p>
          <w:p w:rsidR="001E56A6" w:rsidRPr="00FC5507" w:rsidRDefault="001E56A6" w:rsidP="00FC5507">
            <w:pPr>
              <w:jc w:val="both"/>
              <w:rPr>
                <w:sz w:val="20"/>
              </w:rPr>
            </w:pPr>
            <w:r w:rsidRPr="00FC5507">
              <w:rPr>
                <w:sz w:val="20"/>
              </w:rPr>
              <w:t>(Paperny and Rowbotham JJ.A. and O’Ferrall J. (dissenting))</w:t>
            </w:r>
          </w:p>
          <w:p w:rsidR="001E56A6" w:rsidRPr="00FC5507" w:rsidRDefault="00685225" w:rsidP="00FC5507">
            <w:pPr>
              <w:jc w:val="both"/>
              <w:rPr>
                <w:sz w:val="20"/>
              </w:rPr>
            </w:pPr>
            <w:hyperlink r:id="rId48" w:history="1">
              <w:r w:rsidR="001E56A6" w:rsidRPr="00FC5507">
                <w:rPr>
                  <w:rStyle w:val="Hyperlink"/>
                  <w:sz w:val="20"/>
                </w:rPr>
                <w:t>2018 ABCA 380</w:t>
              </w:r>
            </w:hyperlink>
          </w:p>
          <w:p w:rsidR="001E56A6" w:rsidRPr="00FC5507" w:rsidRDefault="001E56A6" w:rsidP="00FC5507">
            <w:pPr>
              <w:jc w:val="both"/>
              <w:rPr>
                <w:sz w:val="20"/>
              </w:rPr>
            </w:pPr>
            <w:r w:rsidRPr="00FC5507">
              <w:rPr>
                <w:sz w:val="20"/>
              </w:rPr>
              <w:t>File No.: 1701-0257-AC</w:t>
            </w:r>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r w:rsidRPr="00FC5507">
              <w:rPr>
                <w:sz w:val="20"/>
              </w:rPr>
              <w:t>Appeal dismissed.</w:t>
            </w:r>
          </w:p>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t>January 21, 2019</w:t>
            </w:r>
          </w:p>
          <w:p w:rsidR="001E56A6" w:rsidRPr="00FC5507" w:rsidRDefault="001E56A6" w:rsidP="00FC5507">
            <w:pPr>
              <w:jc w:val="both"/>
              <w:rPr>
                <w:sz w:val="20"/>
              </w:rPr>
            </w:pPr>
            <w:r w:rsidRPr="00FC5507">
              <w:rPr>
                <w:sz w:val="20"/>
              </w:rPr>
              <w:t>Supreme Court of Canada</w:t>
            </w:r>
          </w:p>
        </w:tc>
        <w:tc>
          <w:tcPr>
            <w:tcW w:w="243" w:type="pct"/>
          </w:tcPr>
          <w:p w:rsidR="001E56A6" w:rsidRPr="00FC5507" w:rsidRDefault="001E56A6" w:rsidP="00FC5507">
            <w:pPr>
              <w:jc w:val="both"/>
              <w:rPr>
                <w:sz w:val="20"/>
              </w:rPr>
            </w:pPr>
          </w:p>
        </w:tc>
        <w:tc>
          <w:tcPr>
            <w:tcW w:w="2330" w:type="pct"/>
          </w:tcPr>
          <w:p w:rsidR="001E56A6" w:rsidRPr="00FC5507" w:rsidRDefault="001E56A6" w:rsidP="00602075">
            <w:pPr>
              <w:jc w:val="both"/>
              <w:rPr>
                <w:sz w:val="20"/>
              </w:rPr>
            </w:pPr>
            <w:r w:rsidRPr="00FC5507">
              <w:rPr>
                <w:sz w:val="20"/>
              </w:rPr>
              <w:t>Application for leave to appeal and motion to join two applications filed.</w:t>
            </w:r>
          </w:p>
        </w:tc>
      </w:tr>
    </w:tbl>
    <w:p w:rsidR="001E56A6" w:rsidRDefault="001E56A6" w:rsidP="00FC5507">
      <w:pPr>
        <w:jc w:val="both"/>
        <w:rPr>
          <w:sz w:val="20"/>
        </w:rPr>
      </w:pPr>
    </w:p>
    <w:p w:rsidR="00A6684F" w:rsidRDefault="00A6684F" w:rsidP="00FC5507">
      <w:pPr>
        <w:jc w:val="both"/>
        <w:rPr>
          <w:sz w:val="20"/>
        </w:rPr>
      </w:pPr>
      <w:r>
        <w:rPr>
          <w:sz w:val="20"/>
        </w:rPr>
        <w:pict>
          <v:rect id="_x0000_i1035" style="width:2in;height:1pt" o:hrpct="0" o:hralign="center" o:hrstd="t" o:hrnoshade="t" o:hr="t" fillcolor="black [3213]" stroked="f"/>
        </w:pict>
      </w:r>
    </w:p>
    <w:p w:rsidR="00602075" w:rsidRPr="00FC5507" w:rsidRDefault="00602075"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6A6" w:rsidRPr="00FC5507" w:rsidTr="00602075">
        <w:tc>
          <w:tcPr>
            <w:tcW w:w="543" w:type="pct"/>
          </w:tcPr>
          <w:p w:rsidR="001E56A6" w:rsidRPr="00FC5507" w:rsidRDefault="001E56A6" w:rsidP="00FC5507">
            <w:pPr>
              <w:jc w:val="both"/>
              <w:rPr>
                <w:sz w:val="20"/>
                <w:lang w:val="fr-CA"/>
              </w:rPr>
            </w:pPr>
            <w:r w:rsidRPr="00FC5507">
              <w:rPr>
                <w:rStyle w:val="SCCFileNumberChar"/>
                <w:sz w:val="20"/>
                <w:szCs w:val="20"/>
                <w:lang w:val="fr-CA"/>
              </w:rPr>
              <w:t>38486</w:t>
            </w:r>
          </w:p>
        </w:tc>
        <w:tc>
          <w:tcPr>
            <w:tcW w:w="4457" w:type="pct"/>
            <w:gridSpan w:val="3"/>
          </w:tcPr>
          <w:p w:rsidR="001E56A6" w:rsidRPr="00602075" w:rsidRDefault="001E56A6" w:rsidP="00FC5507">
            <w:pPr>
              <w:pStyle w:val="SCCLsocParty"/>
              <w:jc w:val="both"/>
              <w:rPr>
                <w:b/>
                <w:sz w:val="20"/>
                <w:szCs w:val="20"/>
                <w:lang w:val="en-US"/>
              </w:rPr>
            </w:pPr>
            <w:r w:rsidRPr="00602075">
              <w:rPr>
                <w:b/>
                <w:sz w:val="20"/>
                <w:szCs w:val="20"/>
                <w:lang w:val="en-US"/>
              </w:rPr>
              <w:t>Geophysical Service Incorporated c. Murphy Oil Company Ltd.</w:t>
            </w:r>
          </w:p>
          <w:p w:rsidR="001E56A6" w:rsidRPr="00FC5507" w:rsidRDefault="001E56A6" w:rsidP="00FC5507">
            <w:pPr>
              <w:pStyle w:val="SCCLsocSubfileSeparator"/>
              <w:rPr>
                <w:sz w:val="20"/>
                <w:szCs w:val="20"/>
                <w:lang w:val="fr-CA"/>
              </w:rPr>
            </w:pPr>
            <w:r w:rsidRPr="00FC5507">
              <w:rPr>
                <w:sz w:val="20"/>
                <w:szCs w:val="20"/>
                <w:lang w:val="fr-CA"/>
              </w:rPr>
              <w:t>— et entre —</w:t>
            </w:r>
          </w:p>
          <w:p w:rsidR="001E56A6" w:rsidRPr="00602075" w:rsidRDefault="001E56A6" w:rsidP="00FC5507">
            <w:pPr>
              <w:pStyle w:val="SCCLsocParty"/>
              <w:jc w:val="both"/>
              <w:rPr>
                <w:b/>
                <w:sz w:val="20"/>
                <w:szCs w:val="20"/>
              </w:rPr>
            </w:pPr>
            <w:proofErr w:type="spellStart"/>
            <w:r w:rsidRPr="00602075">
              <w:rPr>
                <w:b/>
                <w:sz w:val="20"/>
                <w:szCs w:val="20"/>
              </w:rPr>
              <w:t>Geophysical</w:t>
            </w:r>
            <w:proofErr w:type="spellEnd"/>
            <w:r w:rsidRPr="00602075">
              <w:rPr>
                <w:b/>
                <w:sz w:val="20"/>
                <w:szCs w:val="20"/>
              </w:rPr>
              <w:t xml:space="preserve"> Service Incorporated c. </w:t>
            </w:r>
            <w:proofErr w:type="spellStart"/>
            <w:r w:rsidRPr="00602075">
              <w:rPr>
                <w:b/>
                <w:sz w:val="20"/>
                <w:szCs w:val="20"/>
              </w:rPr>
              <w:t>Encana</w:t>
            </w:r>
            <w:proofErr w:type="spellEnd"/>
            <w:r w:rsidRPr="00602075">
              <w:rPr>
                <w:b/>
                <w:sz w:val="20"/>
                <w:szCs w:val="20"/>
              </w:rPr>
              <w:t xml:space="preserve"> Corporation</w:t>
            </w:r>
          </w:p>
          <w:p w:rsidR="001E56A6" w:rsidRPr="00FC5507" w:rsidRDefault="001E56A6" w:rsidP="00FC5507">
            <w:pPr>
              <w:jc w:val="both"/>
              <w:rPr>
                <w:sz w:val="20"/>
                <w:lang w:val="fr-CA"/>
              </w:rPr>
            </w:pPr>
            <w:r w:rsidRPr="00FC5507">
              <w:rPr>
                <w:sz w:val="20"/>
                <w:lang w:val="fr-CA"/>
              </w:rPr>
              <w:t>(Alb.) (Civile) (Autorisation)</w:t>
            </w:r>
          </w:p>
        </w:tc>
      </w:tr>
      <w:tr w:rsidR="001E56A6" w:rsidRPr="00A6684F" w:rsidTr="00602075">
        <w:tc>
          <w:tcPr>
            <w:tcW w:w="5000" w:type="pct"/>
            <w:gridSpan w:val="4"/>
          </w:tcPr>
          <w:p w:rsidR="001E56A6" w:rsidRPr="00FC5507" w:rsidRDefault="001E56A6" w:rsidP="00FC5507">
            <w:pPr>
              <w:jc w:val="both"/>
              <w:rPr>
                <w:sz w:val="20"/>
                <w:lang w:val="fr-CA"/>
              </w:rPr>
            </w:pPr>
            <w:r w:rsidRPr="00FC5507">
              <w:rPr>
                <w:sz w:val="20"/>
                <w:lang w:val="fr-CA"/>
              </w:rPr>
              <w:t xml:space="preserve">Jugements et ordonnances — Jugement sommaire — Critère à appliquer en matière de rejet sommaire — À la suite de l’arrêt </w:t>
            </w:r>
            <w:proofErr w:type="spellStart"/>
            <w:r w:rsidRPr="00FC5507">
              <w:rPr>
                <w:i/>
                <w:sz w:val="20"/>
                <w:lang w:val="fr-CA"/>
              </w:rPr>
              <w:t>Hryniak</w:t>
            </w:r>
            <w:proofErr w:type="spellEnd"/>
            <w:r w:rsidRPr="00FC5507">
              <w:rPr>
                <w:sz w:val="20"/>
                <w:lang w:val="fr-CA"/>
              </w:rPr>
              <w:t>, les juges ont</w:t>
            </w:r>
            <w:r w:rsidRPr="00FC5507">
              <w:rPr>
                <w:sz w:val="20"/>
                <w:lang w:val="fr-CA"/>
              </w:rPr>
              <w:noBreakHyphen/>
              <w:t>ils le pouvoir discrétionnaire de refuser de faire droit à des demandes en matière sommaire? — Lorsqu’une juge en cabinet a fondamentalement mal compris un contrat, le rejet sommaire peut</w:t>
            </w:r>
            <w:r w:rsidRPr="00FC5507">
              <w:rPr>
                <w:sz w:val="20"/>
                <w:lang w:val="fr-CA"/>
              </w:rPr>
              <w:noBreakHyphen/>
              <w:t>il encore être demandé? Le rejet sommaire d’une action en inexécution de contrat peut</w:t>
            </w:r>
            <w:r w:rsidRPr="00FC5507">
              <w:rPr>
                <w:sz w:val="20"/>
                <w:lang w:val="fr-CA"/>
              </w:rPr>
              <w:noBreakHyphen/>
              <w:t>il être révisé en appel de la même manière que toute décision qui détermine finalement les droits substantiels peut être contrôlée en appel?</w:t>
            </w:r>
          </w:p>
        </w:tc>
      </w:tr>
      <w:tr w:rsidR="001E56A6" w:rsidRPr="00A6684F" w:rsidTr="00602075">
        <w:tc>
          <w:tcPr>
            <w:tcW w:w="5000" w:type="pct"/>
            <w:gridSpan w:val="4"/>
          </w:tcPr>
          <w:p w:rsidR="001E56A6" w:rsidRPr="00FC5507" w:rsidRDefault="001E56A6" w:rsidP="00FC5507">
            <w:pPr>
              <w:jc w:val="both"/>
              <w:rPr>
                <w:sz w:val="20"/>
                <w:lang w:val="fr-CA"/>
              </w:rPr>
            </w:pPr>
          </w:p>
        </w:tc>
      </w:tr>
      <w:tr w:rsidR="001E56A6" w:rsidRPr="00A6684F" w:rsidTr="00602075">
        <w:tc>
          <w:tcPr>
            <w:tcW w:w="5000" w:type="pct"/>
            <w:gridSpan w:val="4"/>
          </w:tcPr>
          <w:p w:rsidR="001E56A6" w:rsidRPr="00FC5507" w:rsidRDefault="001E56A6" w:rsidP="00FC5507">
            <w:pPr>
              <w:jc w:val="both"/>
              <w:rPr>
                <w:sz w:val="20"/>
                <w:lang w:val="fr-CA"/>
              </w:rPr>
            </w:pPr>
            <w:r w:rsidRPr="00FC5507">
              <w:rPr>
                <w:sz w:val="20"/>
                <w:lang w:val="fr-CA"/>
              </w:rPr>
              <w:lastRenderedPageBreak/>
              <w:t xml:space="preserve">L’intimée Murphy </w:t>
            </w:r>
            <w:proofErr w:type="spellStart"/>
            <w:r w:rsidRPr="00FC5507">
              <w:rPr>
                <w:sz w:val="20"/>
                <w:lang w:val="fr-CA"/>
              </w:rPr>
              <w:t>Oil</w:t>
            </w:r>
            <w:proofErr w:type="spellEnd"/>
            <w:r w:rsidRPr="00FC5507">
              <w:rPr>
                <w:sz w:val="20"/>
                <w:lang w:val="fr-CA"/>
              </w:rPr>
              <w:t xml:space="preserve"> Company Ltd. et l’intimée </w:t>
            </w:r>
            <w:proofErr w:type="spellStart"/>
            <w:r w:rsidRPr="00FC5507">
              <w:rPr>
                <w:sz w:val="20"/>
                <w:lang w:val="fr-CA"/>
              </w:rPr>
              <w:t>Encana</w:t>
            </w:r>
            <w:proofErr w:type="spellEnd"/>
            <w:r w:rsidRPr="00FC5507">
              <w:rPr>
                <w:sz w:val="20"/>
                <w:lang w:val="fr-CA"/>
              </w:rPr>
              <w:t xml:space="preserve"> Corporation étaient deux sociétés qu’a poursuivies la demanderesse, </w:t>
            </w:r>
            <w:proofErr w:type="spellStart"/>
            <w:r w:rsidRPr="00FC5507">
              <w:rPr>
                <w:sz w:val="20"/>
                <w:lang w:val="fr-CA"/>
              </w:rPr>
              <w:t>Geophysical</w:t>
            </w:r>
            <w:proofErr w:type="spellEnd"/>
            <w:r w:rsidRPr="00FC5507">
              <w:rPr>
                <w:sz w:val="20"/>
                <w:lang w:val="fr-CA"/>
              </w:rPr>
              <w:t xml:space="preserve"> Service Incorporated (« GSI ») pour la mauvaise utilisation de ses données sismiques.</w:t>
            </w:r>
          </w:p>
          <w:p w:rsidR="001E56A6" w:rsidRPr="00FC5507" w:rsidRDefault="001E56A6" w:rsidP="00FC5507">
            <w:pPr>
              <w:jc w:val="both"/>
              <w:rPr>
                <w:sz w:val="20"/>
                <w:lang w:val="fr-CA"/>
              </w:rPr>
            </w:pPr>
          </w:p>
          <w:p w:rsidR="001E56A6" w:rsidRPr="00FC5507" w:rsidRDefault="001E56A6" w:rsidP="00FC5507">
            <w:pPr>
              <w:jc w:val="both"/>
              <w:rPr>
                <w:b/>
                <w:sz w:val="20"/>
                <w:lang w:val="fr-CA"/>
              </w:rPr>
            </w:pPr>
            <w:r w:rsidRPr="00FC5507">
              <w:rPr>
                <w:sz w:val="20"/>
                <w:lang w:val="fr-CA"/>
              </w:rPr>
              <w:t xml:space="preserve">Dans sa déclaration modifiée, GSI a plaidé la violation de contrat, la violation de droit d’auteur, l’abus de confiance et l’enrichissement injustifié. </w:t>
            </w:r>
            <w:proofErr w:type="spellStart"/>
            <w:r w:rsidRPr="00FC5507">
              <w:rPr>
                <w:sz w:val="20"/>
                <w:lang w:val="fr-CA"/>
              </w:rPr>
              <w:t>Encana</w:t>
            </w:r>
            <w:proofErr w:type="spellEnd"/>
            <w:r w:rsidRPr="00FC5507">
              <w:rPr>
                <w:sz w:val="20"/>
                <w:lang w:val="fr-CA"/>
              </w:rPr>
              <w:t xml:space="preserve"> a prétendu que les allégations de GSI n’étaient pas fondées et que, de toute façon, elles étaient prescrites par la </w:t>
            </w:r>
            <w:r w:rsidRPr="00FC5507">
              <w:rPr>
                <w:i/>
                <w:sz w:val="20"/>
                <w:lang w:val="fr-CA"/>
              </w:rPr>
              <w:t>Limitations Act</w:t>
            </w:r>
            <w:r w:rsidRPr="00FC5507">
              <w:rPr>
                <w:sz w:val="20"/>
                <w:lang w:val="fr-CA"/>
              </w:rPr>
              <w:t>, RSA 2000, ch. L</w:t>
            </w:r>
            <w:r w:rsidRPr="00FC5507">
              <w:rPr>
                <w:sz w:val="20"/>
                <w:lang w:val="fr-CA"/>
              </w:rPr>
              <w:noBreakHyphen/>
              <w:t>12. GSI a demandé qu’un jugement sommaire soit prononcé à l’égard de son [</w:t>
            </w:r>
            <w:r w:rsidRPr="00FC5507">
              <w:rPr>
                <w:smallCaps/>
                <w:sz w:val="20"/>
                <w:lang w:val="fr-CA"/>
              </w:rPr>
              <w:t>traduction</w:t>
            </w:r>
            <w:r w:rsidRPr="00FC5507">
              <w:rPr>
                <w:sz w:val="20"/>
                <w:lang w:val="fr-CA"/>
              </w:rPr>
              <w:t xml:space="preserve">] « allégation relative aux données consultées » et a demandé que les autres questions soient instruites au fond. </w:t>
            </w:r>
            <w:proofErr w:type="spellStart"/>
            <w:r w:rsidRPr="00FC5507">
              <w:rPr>
                <w:sz w:val="20"/>
                <w:lang w:val="fr-CA"/>
              </w:rPr>
              <w:t>Encana</w:t>
            </w:r>
            <w:proofErr w:type="spellEnd"/>
            <w:r w:rsidRPr="00FC5507">
              <w:rPr>
                <w:sz w:val="20"/>
                <w:lang w:val="fr-CA"/>
              </w:rPr>
              <w:t xml:space="preserve"> a répondu et a demandé le rejet sommaire de la demande de GSI au complet. Les parties ont obtenu des résultats mitigés. La juge en cabinet a prononcé un jugement sommaire en faveur de GSI sur la question de la responsabilité quant à l’allégation relative aux données consultées, mais a renvoyé à procès la question des dommages</w:t>
            </w:r>
            <w:r w:rsidRPr="00FC5507">
              <w:rPr>
                <w:sz w:val="20"/>
                <w:lang w:val="fr-CA"/>
              </w:rPr>
              <w:noBreakHyphen/>
              <w:t xml:space="preserve">intérêts. </w:t>
            </w:r>
            <w:proofErr w:type="spellStart"/>
            <w:r w:rsidRPr="00FC5507">
              <w:rPr>
                <w:sz w:val="20"/>
                <w:lang w:val="fr-CA"/>
              </w:rPr>
              <w:t>Encana</w:t>
            </w:r>
            <w:proofErr w:type="spellEnd"/>
            <w:r w:rsidRPr="00FC5507">
              <w:rPr>
                <w:sz w:val="20"/>
                <w:lang w:val="fr-CA"/>
              </w:rPr>
              <w:t xml:space="preserve"> a réussi à faire rejeter sommairement les allégations restantes. Les juges majoritaires de la Cour d’appel ont accueilli l’appel d’</w:t>
            </w:r>
            <w:proofErr w:type="spellStart"/>
            <w:r w:rsidRPr="00FC5507">
              <w:rPr>
                <w:sz w:val="20"/>
                <w:lang w:val="fr-CA"/>
              </w:rPr>
              <w:t>Encana</w:t>
            </w:r>
            <w:proofErr w:type="spellEnd"/>
            <w:r w:rsidRPr="00FC5507">
              <w:rPr>
                <w:sz w:val="20"/>
                <w:lang w:val="fr-CA"/>
              </w:rPr>
              <w:t xml:space="preserve"> et ont rejeté l’appel de GSI sur la question des dommages</w:t>
            </w:r>
            <w:r w:rsidRPr="00FC5507">
              <w:rPr>
                <w:sz w:val="20"/>
                <w:lang w:val="fr-CA"/>
              </w:rPr>
              <w:noBreakHyphen/>
              <w:t>intérêts.</w:t>
            </w:r>
          </w:p>
          <w:p w:rsidR="001E56A6" w:rsidRPr="00A6684F" w:rsidRDefault="001E56A6" w:rsidP="00FC5507">
            <w:pPr>
              <w:jc w:val="both"/>
              <w:rPr>
                <w:sz w:val="20"/>
                <w:lang w:val="fr-CA"/>
              </w:rPr>
            </w:pPr>
          </w:p>
          <w:p w:rsidR="001E56A6" w:rsidRPr="00FC5507" w:rsidRDefault="001E56A6" w:rsidP="00FC5507">
            <w:pPr>
              <w:jc w:val="both"/>
              <w:rPr>
                <w:sz w:val="20"/>
                <w:lang w:val="fr-CA"/>
              </w:rPr>
            </w:pPr>
            <w:r w:rsidRPr="00FC5507">
              <w:rPr>
                <w:sz w:val="20"/>
                <w:lang w:val="fr-CA"/>
              </w:rPr>
              <w:t>GSI a poursuivi Murphy en dommages</w:t>
            </w:r>
            <w:r w:rsidRPr="00FC5507">
              <w:rPr>
                <w:sz w:val="20"/>
                <w:lang w:val="fr-CA"/>
              </w:rPr>
              <w:noBreakHyphen/>
              <w:t xml:space="preserve">intérêts pour violation de contrat, violation de droit d’auteur, abus de confiance, détournement, enrichissement injustifié, déclaration inexacte faite par négligence et entrave aux relations contractuelles avec autrui. GSI a également demandé des redditions de compte, des injonctions et des jugements déclaratoires. Murphy a présenté une défense, prétendant que les allégations de GSI n’étaient pas fondées et que, de toute façon, elles étaient prescrites par la </w:t>
            </w:r>
            <w:r w:rsidRPr="00FC5507">
              <w:rPr>
                <w:i/>
                <w:sz w:val="20"/>
                <w:lang w:val="fr-CA"/>
              </w:rPr>
              <w:t>Limitations Act</w:t>
            </w:r>
            <w:r w:rsidRPr="00FC5507">
              <w:rPr>
                <w:sz w:val="20"/>
                <w:lang w:val="fr-CA"/>
              </w:rPr>
              <w:t>, RSA 2000, ch. L</w:t>
            </w:r>
            <w:r w:rsidRPr="00FC5507">
              <w:rPr>
                <w:sz w:val="20"/>
                <w:lang w:val="fr-CA"/>
              </w:rPr>
              <w:noBreakHyphen/>
              <w:t>12. Murphy a eu gain de cause dans sa demande de rejet sommaire. La juge en cabinet a rejeté la demande de GSI. Les juges majoritaires de la Cour d’appel étaient d’avis de rejeter l’appel.</w:t>
            </w:r>
          </w:p>
          <w:p w:rsidR="001E56A6" w:rsidRPr="00FC5507" w:rsidRDefault="001E56A6" w:rsidP="00FC5507">
            <w:pPr>
              <w:jc w:val="both"/>
              <w:rPr>
                <w:sz w:val="20"/>
                <w:lang w:val="fr-CA"/>
              </w:rPr>
            </w:pPr>
          </w:p>
        </w:tc>
      </w:tr>
      <w:tr w:rsidR="001E56A6" w:rsidRPr="00FC5507" w:rsidTr="00602075">
        <w:tc>
          <w:tcPr>
            <w:tcW w:w="2427" w:type="pct"/>
            <w:gridSpan w:val="2"/>
          </w:tcPr>
          <w:p w:rsidR="001E56A6" w:rsidRPr="00FC5507" w:rsidRDefault="001E56A6" w:rsidP="00FC5507">
            <w:pPr>
              <w:jc w:val="both"/>
              <w:rPr>
                <w:b/>
                <w:i/>
                <w:sz w:val="20"/>
                <w:lang w:val="fr-CA"/>
              </w:rPr>
            </w:pPr>
            <w:proofErr w:type="spellStart"/>
            <w:r w:rsidRPr="00FC5507">
              <w:rPr>
                <w:b/>
                <w:i/>
                <w:sz w:val="20"/>
                <w:lang w:val="fr-CA"/>
              </w:rPr>
              <w:t>Geophysical</w:t>
            </w:r>
            <w:proofErr w:type="spellEnd"/>
            <w:r w:rsidRPr="00FC5507">
              <w:rPr>
                <w:b/>
                <w:i/>
                <w:sz w:val="20"/>
                <w:lang w:val="fr-CA"/>
              </w:rPr>
              <w:t xml:space="preserve"> c. </w:t>
            </w:r>
            <w:proofErr w:type="spellStart"/>
            <w:r w:rsidRPr="00FC5507">
              <w:rPr>
                <w:b/>
                <w:i/>
                <w:sz w:val="20"/>
                <w:lang w:val="fr-CA"/>
              </w:rPr>
              <w:t>Encana</w:t>
            </w:r>
            <w:proofErr w:type="spellEnd"/>
          </w:p>
          <w:p w:rsidR="001E56A6" w:rsidRPr="00FC5507" w:rsidRDefault="001E56A6" w:rsidP="00FC5507">
            <w:pPr>
              <w:jc w:val="both"/>
              <w:rPr>
                <w:sz w:val="20"/>
                <w:lang w:val="fr-CA"/>
              </w:rPr>
            </w:pP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p>
        </w:tc>
      </w:tr>
      <w:tr w:rsidR="001E56A6" w:rsidRPr="00A6684F" w:rsidTr="00602075">
        <w:tc>
          <w:tcPr>
            <w:tcW w:w="2427" w:type="pct"/>
            <w:gridSpan w:val="2"/>
          </w:tcPr>
          <w:p w:rsidR="001E56A6" w:rsidRPr="00FC5507" w:rsidRDefault="001E56A6" w:rsidP="00FC5507">
            <w:pPr>
              <w:jc w:val="both"/>
              <w:rPr>
                <w:sz w:val="20"/>
                <w:lang w:val="fr-CA"/>
              </w:rPr>
            </w:pPr>
            <w:r w:rsidRPr="00FC5507">
              <w:rPr>
                <w:sz w:val="20"/>
                <w:lang w:val="fr-CA"/>
              </w:rPr>
              <w:t>26 juillet 2017</w:t>
            </w:r>
          </w:p>
          <w:p w:rsidR="001E56A6" w:rsidRPr="00FC5507" w:rsidRDefault="001E56A6" w:rsidP="00FC5507">
            <w:pPr>
              <w:jc w:val="both"/>
              <w:rPr>
                <w:sz w:val="20"/>
                <w:lang w:val="fr-CA"/>
              </w:rPr>
            </w:pPr>
            <w:r w:rsidRPr="00FC5507">
              <w:rPr>
                <w:sz w:val="20"/>
                <w:lang w:val="fr-CA"/>
              </w:rPr>
              <w:t>Cour du Banc de la Reine de l’Alberta</w:t>
            </w:r>
          </w:p>
          <w:p w:rsidR="001E56A6" w:rsidRPr="00FC5507" w:rsidRDefault="001E56A6" w:rsidP="00FC5507">
            <w:pPr>
              <w:jc w:val="both"/>
              <w:rPr>
                <w:sz w:val="20"/>
                <w:lang w:val="fr-CA"/>
              </w:rPr>
            </w:pPr>
            <w:r w:rsidRPr="00FC5507">
              <w:rPr>
                <w:sz w:val="20"/>
                <w:lang w:val="fr-CA"/>
              </w:rPr>
              <w:t xml:space="preserve">(Juge </w:t>
            </w:r>
            <w:proofErr w:type="spellStart"/>
            <w:r w:rsidRPr="00FC5507">
              <w:rPr>
                <w:sz w:val="20"/>
                <w:lang w:val="fr-CA"/>
              </w:rPr>
              <w:t>Eidsvik</w:t>
            </w:r>
            <w:proofErr w:type="spellEnd"/>
            <w:r w:rsidRPr="00FC5507">
              <w:rPr>
                <w:sz w:val="20"/>
                <w:lang w:val="fr-CA"/>
              </w:rPr>
              <w:t>)</w:t>
            </w:r>
          </w:p>
          <w:p w:rsidR="001E56A6" w:rsidRPr="00FC5507" w:rsidRDefault="00685225" w:rsidP="00FC5507">
            <w:pPr>
              <w:jc w:val="both"/>
              <w:rPr>
                <w:sz w:val="20"/>
                <w:lang w:val="fr-CA"/>
              </w:rPr>
            </w:pPr>
            <w:hyperlink r:id="rId49" w:history="1">
              <w:r w:rsidR="001E56A6" w:rsidRPr="00FC5507">
                <w:rPr>
                  <w:rStyle w:val="Hyperlink"/>
                  <w:sz w:val="20"/>
                  <w:lang w:val="fr-CA"/>
                </w:rPr>
                <w:t>2017 ABQB 466</w:t>
              </w:r>
            </w:hyperlink>
          </w:p>
          <w:p w:rsidR="001E56A6" w:rsidRPr="00FC5507" w:rsidRDefault="001E56A6" w:rsidP="00FC5507">
            <w:pPr>
              <w:jc w:val="both"/>
              <w:rPr>
                <w:sz w:val="20"/>
                <w:lang w:val="fr-CA"/>
              </w:rPr>
            </w:pP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r w:rsidRPr="00FC5507">
              <w:rPr>
                <w:sz w:val="20"/>
                <w:lang w:val="fr-CA"/>
              </w:rPr>
              <w:t>Jugement accueillant la demande d’</w:t>
            </w:r>
            <w:proofErr w:type="spellStart"/>
            <w:r w:rsidRPr="00FC5507">
              <w:rPr>
                <w:sz w:val="20"/>
                <w:lang w:val="fr-CA"/>
              </w:rPr>
              <w:t>Encana</w:t>
            </w:r>
            <w:proofErr w:type="spellEnd"/>
            <w:r w:rsidRPr="00FC5507">
              <w:rPr>
                <w:sz w:val="20"/>
                <w:lang w:val="fr-CA"/>
              </w:rPr>
              <w:t xml:space="preserve"> en rejet sommaire de la demande de GSI au complet, à l’exception de l’allégation relative aux données consultées.</w:t>
            </w:r>
          </w:p>
          <w:p w:rsidR="001E56A6" w:rsidRPr="00FC5507" w:rsidRDefault="001E56A6" w:rsidP="00FC5507">
            <w:pPr>
              <w:jc w:val="both"/>
              <w:rPr>
                <w:sz w:val="20"/>
                <w:lang w:val="fr-CA"/>
              </w:rPr>
            </w:pPr>
          </w:p>
        </w:tc>
      </w:tr>
      <w:tr w:rsidR="001E56A6" w:rsidRPr="00A6684F" w:rsidTr="00602075">
        <w:tc>
          <w:tcPr>
            <w:tcW w:w="2427" w:type="pct"/>
            <w:gridSpan w:val="2"/>
          </w:tcPr>
          <w:p w:rsidR="001E56A6" w:rsidRPr="00FC5507" w:rsidRDefault="001E56A6" w:rsidP="00FC5507">
            <w:pPr>
              <w:jc w:val="both"/>
              <w:rPr>
                <w:sz w:val="20"/>
                <w:lang w:val="fr-CA"/>
              </w:rPr>
            </w:pPr>
            <w:r w:rsidRPr="00FC5507">
              <w:rPr>
                <w:sz w:val="20"/>
                <w:lang w:val="fr-CA"/>
              </w:rPr>
              <w:t>21 novembre 2018</w:t>
            </w:r>
          </w:p>
          <w:p w:rsidR="001E56A6" w:rsidRPr="00FC5507" w:rsidRDefault="001E56A6" w:rsidP="00FC5507">
            <w:pPr>
              <w:jc w:val="both"/>
              <w:rPr>
                <w:sz w:val="20"/>
                <w:lang w:val="fr-CA"/>
              </w:rPr>
            </w:pPr>
            <w:r w:rsidRPr="00FC5507">
              <w:rPr>
                <w:sz w:val="20"/>
                <w:lang w:val="fr-CA"/>
              </w:rPr>
              <w:t>Cour d’appel de l’Alberta (Calgary)</w:t>
            </w:r>
          </w:p>
          <w:p w:rsidR="001E56A6" w:rsidRPr="00FC5507" w:rsidRDefault="001E56A6" w:rsidP="00FC5507">
            <w:pPr>
              <w:jc w:val="both"/>
              <w:rPr>
                <w:sz w:val="20"/>
                <w:lang w:val="fr-CA"/>
              </w:rPr>
            </w:pPr>
            <w:r w:rsidRPr="00FC5507">
              <w:rPr>
                <w:sz w:val="20"/>
                <w:lang w:val="fr-CA"/>
              </w:rPr>
              <w:t xml:space="preserve">(Juges </w:t>
            </w:r>
            <w:proofErr w:type="spellStart"/>
            <w:r w:rsidRPr="00FC5507">
              <w:rPr>
                <w:sz w:val="20"/>
                <w:lang w:val="fr-CA"/>
              </w:rPr>
              <w:t>Paperny</w:t>
            </w:r>
            <w:proofErr w:type="spellEnd"/>
            <w:r w:rsidRPr="00FC5507">
              <w:rPr>
                <w:sz w:val="20"/>
                <w:lang w:val="fr-CA"/>
              </w:rPr>
              <w:t xml:space="preserve">, </w:t>
            </w:r>
            <w:proofErr w:type="spellStart"/>
            <w:r w:rsidRPr="00FC5507">
              <w:rPr>
                <w:sz w:val="20"/>
                <w:lang w:val="fr-CA"/>
              </w:rPr>
              <w:t>Rowbotham</w:t>
            </w:r>
            <w:proofErr w:type="spellEnd"/>
            <w:r w:rsidRPr="00FC5507">
              <w:rPr>
                <w:sz w:val="20"/>
                <w:lang w:val="fr-CA"/>
              </w:rPr>
              <w:t xml:space="preserve"> et </w:t>
            </w:r>
            <w:proofErr w:type="spellStart"/>
            <w:r w:rsidRPr="00FC5507">
              <w:rPr>
                <w:sz w:val="20"/>
                <w:lang w:val="fr-CA"/>
              </w:rPr>
              <w:t>O’Ferrall</w:t>
            </w:r>
            <w:proofErr w:type="spellEnd"/>
            <w:r w:rsidRPr="00FC5507">
              <w:rPr>
                <w:sz w:val="20"/>
                <w:lang w:val="fr-CA"/>
              </w:rPr>
              <w:t xml:space="preserve"> (dissident))</w:t>
            </w:r>
          </w:p>
          <w:p w:rsidR="001E56A6" w:rsidRPr="00FC5507" w:rsidRDefault="00685225" w:rsidP="00FC5507">
            <w:pPr>
              <w:jc w:val="both"/>
              <w:rPr>
                <w:sz w:val="20"/>
                <w:lang w:val="fr-CA"/>
              </w:rPr>
            </w:pPr>
            <w:hyperlink r:id="rId50" w:history="1">
              <w:r w:rsidR="001E56A6" w:rsidRPr="00FC5507">
                <w:rPr>
                  <w:rStyle w:val="Hyperlink"/>
                  <w:sz w:val="20"/>
                  <w:lang w:val="fr-CA"/>
                </w:rPr>
                <w:t>2018 ABCA 384</w:t>
              </w:r>
            </w:hyperlink>
          </w:p>
          <w:p w:rsidR="001E56A6" w:rsidRPr="00FC5507" w:rsidRDefault="001E56A6" w:rsidP="00FC5507">
            <w:pPr>
              <w:jc w:val="both"/>
              <w:rPr>
                <w:sz w:val="20"/>
                <w:lang w:val="fr-CA"/>
              </w:rPr>
            </w:pPr>
            <w:r w:rsidRPr="00FC5507">
              <w:rPr>
                <w:sz w:val="20"/>
                <w:lang w:val="fr-CA"/>
              </w:rPr>
              <w:t>N</w:t>
            </w:r>
            <w:r w:rsidRPr="00FC5507">
              <w:rPr>
                <w:sz w:val="20"/>
                <w:vertAlign w:val="superscript"/>
                <w:lang w:val="fr-CA"/>
              </w:rPr>
              <w:t>o</w:t>
            </w:r>
            <w:r w:rsidRPr="00FC5507">
              <w:rPr>
                <w:sz w:val="20"/>
                <w:lang w:val="fr-CA"/>
              </w:rPr>
              <w:t xml:space="preserve"> du greffe 1701-0255-AC</w:t>
            </w:r>
          </w:p>
          <w:p w:rsidR="001E56A6" w:rsidRPr="00FC5507" w:rsidRDefault="001E56A6" w:rsidP="00FC5507">
            <w:pPr>
              <w:jc w:val="both"/>
              <w:rPr>
                <w:sz w:val="20"/>
                <w:lang w:val="fr-CA"/>
              </w:rPr>
            </w:pP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r w:rsidRPr="00FC5507">
              <w:rPr>
                <w:sz w:val="20"/>
                <w:lang w:val="fr-CA"/>
              </w:rPr>
              <w:t>Arrêt accueillant l’appel d’</w:t>
            </w:r>
            <w:proofErr w:type="spellStart"/>
            <w:r w:rsidRPr="00FC5507">
              <w:rPr>
                <w:sz w:val="20"/>
                <w:lang w:val="fr-CA"/>
              </w:rPr>
              <w:t>Encana</w:t>
            </w:r>
            <w:proofErr w:type="spellEnd"/>
            <w:r w:rsidRPr="00FC5507">
              <w:rPr>
                <w:sz w:val="20"/>
                <w:lang w:val="fr-CA"/>
              </w:rPr>
              <w:t xml:space="preserve">, rejetant l’appel de GSI quant à la question des dommages-intérêts et rejetant l’appel de GSI du rejet sommaire obtenu par </w:t>
            </w:r>
            <w:proofErr w:type="spellStart"/>
            <w:r w:rsidRPr="00FC5507">
              <w:rPr>
                <w:sz w:val="20"/>
                <w:lang w:val="fr-CA"/>
              </w:rPr>
              <w:t>Encana</w:t>
            </w:r>
            <w:proofErr w:type="spellEnd"/>
            <w:r w:rsidRPr="00FC5507">
              <w:rPr>
                <w:sz w:val="20"/>
                <w:lang w:val="fr-CA"/>
              </w:rPr>
              <w:t>.</w:t>
            </w:r>
          </w:p>
        </w:tc>
      </w:tr>
      <w:tr w:rsidR="001E56A6" w:rsidRPr="00FC5507" w:rsidTr="00602075">
        <w:tc>
          <w:tcPr>
            <w:tcW w:w="2427" w:type="pct"/>
            <w:gridSpan w:val="2"/>
          </w:tcPr>
          <w:p w:rsidR="001E56A6" w:rsidRPr="00FC5507" w:rsidRDefault="001E56A6" w:rsidP="00FC5507">
            <w:pPr>
              <w:jc w:val="both"/>
              <w:rPr>
                <w:b/>
                <w:i/>
                <w:sz w:val="20"/>
                <w:lang w:val="fr-CA"/>
              </w:rPr>
            </w:pPr>
            <w:proofErr w:type="spellStart"/>
            <w:r w:rsidRPr="00FC5507">
              <w:rPr>
                <w:b/>
                <w:i/>
                <w:sz w:val="20"/>
                <w:lang w:val="fr-CA"/>
              </w:rPr>
              <w:t>Geophysical</w:t>
            </w:r>
            <w:proofErr w:type="spellEnd"/>
            <w:r w:rsidRPr="00FC5507">
              <w:rPr>
                <w:b/>
                <w:i/>
                <w:sz w:val="20"/>
                <w:lang w:val="fr-CA"/>
              </w:rPr>
              <w:t xml:space="preserve"> c. Murphy </w:t>
            </w:r>
            <w:proofErr w:type="spellStart"/>
            <w:r w:rsidRPr="00FC5507">
              <w:rPr>
                <w:b/>
                <w:i/>
                <w:sz w:val="20"/>
                <w:lang w:val="fr-CA"/>
              </w:rPr>
              <w:t>Oil</w:t>
            </w:r>
            <w:proofErr w:type="spellEnd"/>
          </w:p>
          <w:p w:rsidR="001E56A6" w:rsidRPr="00FC5507" w:rsidRDefault="001E56A6" w:rsidP="00FC5507">
            <w:pPr>
              <w:jc w:val="both"/>
              <w:rPr>
                <w:sz w:val="20"/>
                <w:lang w:val="fr-CA"/>
              </w:rPr>
            </w:pP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p>
        </w:tc>
      </w:tr>
      <w:tr w:rsidR="001E56A6" w:rsidRPr="00A6684F" w:rsidTr="00602075">
        <w:tc>
          <w:tcPr>
            <w:tcW w:w="2427" w:type="pct"/>
            <w:gridSpan w:val="2"/>
          </w:tcPr>
          <w:p w:rsidR="001E56A6" w:rsidRPr="00FC5507" w:rsidRDefault="001E56A6" w:rsidP="00FC5507">
            <w:pPr>
              <w:jc w:val="both"/>
              <w:rPr>
                <w:sz w:val="20"/>
                <w:lang w:val="fr-CA"/>
              </w:rPr>
            </w:pPr>
            <w:r w:rsidRPr="00FC5507">
              <w:rPr>
                <w:sz w:val="20"/>
                <w:lang w:val="fr-CA"/>
              </w:rPr>
              <w:t>26 juillet 2017</w:t>
            </w:r>
          </w:p>
          <w:p w:rsidR="001E56A6" w:rsidRPr="00FC5507" w:rsidRDefault="001E56A6" w:rsidP="00FC5507">
            <w:pPr>
              <w:jc w:val="both"/>
              <w:rPr>
                <w:sz w:val="20"/>
                <w:lang w:val="fr-CA"/>
              </w:rPr>
            </w:pPr>
            <w:r w:rsidRPr="00FC5507">
              <w:rPr>
                <w:sz w:val="20"/>
                <w:lang w:val="fr-CA"/>
              </w:rPr>
              <w:t>Cour du Banc de la Reine de l’Alberta</w:t>
            </w:r>
          </w:p>
          <w:p w:rsidR="001E56A6" w:rsidRPr="00FC5507" w:rsidRDefault="001E56A6" w:rsidP="00FC5507">
            <w:pPr>
              <w:jc w:val="both"/>
              <w:rPr>
                <w:sz w:val="20"/>
                <w:lang w:val="fr-CA"/>
              </w:rPr>
            </w:pPr>
            <w:r w:rsidRPr="00FC5507">
              <w:rPr>
                <w:sz w:val="20"/>
                <w:lang w:val="fr-CA"/>
              </w:rPr>
              <w:t xml:space="preserve">(Juge </w:t>
            </w:r>
            <w:proofErr w:type="spellStart"/>
            <w:r w:rsidRPr="00FC5507">
              <w:rPr>
                <w:sz w:val="20"/>
                <w:lang w:val="fr-CA"/>
              </w:rPr>
              <w:t>Eidsvik</w:t>
            </w:r>
            <w:proofErr w:type="spellEnd"/>
            <w:r w:rsidRPr="00FC5507">
              <w:rPr>
                <w:sz w:val="20"/>
                <w:lang w:val="fr-CA"/>
              </w:rPr>
              <w:t>)</w:t>
            </w:r>
          </w:p>
          <w:p w:rsidR="001E56A6" w:rsidRPr="00FC5507" w:rsidRDefault="00685225" w:rsidP="00FC5507">
            <w:pPr>
              <w:jc w:val="both"/>
              <w:rPr>
                <w:sz w:val="20"/>
                <w:lang w:val="fr-CA"/>
              </w:rPr>
            </w:pPr>
            <w:hyperlink r:id="rId51" w:history="1">
              <w:r w:rsidR="001E56A6" w:rsidRPr="00FC5507">
                <w:rPr>
                  <w:rStyle w:val="Hyperlink"/>
                  <w:sz w:val="20"/>
                  <w:lang w:val="fr-CA"/>
                </w:rPr>
                <w:t>2017 ABQB 464</w:t>
              </w:r>
            </w:hyperlink>
          </w:p>
          <w:p w:rsidR="001E56A6" w:rsidRPr="00FC5507" w:rsidRDefault="001E56A6" w:rsidP="00FC5507">
            <w:pPr>
              <w:jc w:val="both"/>
              <w:rPr>
                <w:sz w:val="20"/>
                <w:lang w:val="fr-CA"/>
              </w:rPr>
            </w:pP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r w:rsidRPr="00FC5507">
              <w:rPr>
                <w:sz w:val="20"/>
                <w:lang w:val="fr-CA"/>
              </w:rPr>
              <w:t xml:space="preserve">Jugement accueillant la demande de Murphy </w:t>
            </w:r>
            <w:proofErr w:type="spellStart"/>
            <w:r w:rsidRPr="00FC5507">
              <w:rPr>
                <w:sz w:val="20"/>
                <w:lang w:val="fr-CA"/>
              </w:rPr>
              <w:t>Oil</w:t>
            </w:r>
            <w:proofErr w:type="spellEnd"/>
            <w:r w:rsidRPr="00FC5507">
              <w:rPr>
                <w:sz w:val="20"/>
                <w:lang w:val="fr-CA"/>
              </w:rPr>
              <w:t xml:space="preserve"> en jugement sommaire et rejetant l’action de GSI.</w:t>
            </w:r>
          </w:p>
        </w:tc>
      </w:tr>
      <w:tr w:rsidR="001E56A6" w:rsidRPr="00FC5507" w:rsidTr="00602075">
        <w:tc>
          <w:tcPr>
            <w:tcW w:w="2427" w:type="pct"/>
            <w:gridSpan w:val="2"/>
          </w:tcPr>
          <w:p w:rsidR="001E56A6" w:rsidRPr="00FC5507" w:rsidRDefault="001E56A6" w:rsidP="00FC5507">
            <w:pPr>
              <w:jc w:val="both"/>
              <w:rPr>
                <w:sz w:val="20"/>
                <w:lang w:val="fr-CA"/>
              </w:rPr>
            </w:pPr>
            <w:r w:rsidRPr="00FC5507">
              <w:rPr>
                <w:sz w:val="20"/>
                <w:lang w:val="fr-CA"/>
              </w:rPr>
              <w:t>21 novembre 2018</w:t>
            </w:r>
          </w:p>
          <w:p w:rsidR="001E56A6" w:rsidRPr="00FC5507" w:rsidRDefault="001E56A6" w:rsidP="00FC5507">
            <w:pPr>
              <w:jc w:val="both"/>
              <w:rPr>
                <w:sz w:val="20"/>
                <w:lang w:val="fr-CA"/>
              </w:rPr>
            </w:pPr>
            <w:r w:rsidRPr="00FC5507">
              <w:rPr>
                <w:sz w:val="20"/>
                <w:lang w:val="fr-CA"/>
              </w:rPr>
              <w:t>Cour d’appel de l’Alberta (Calgary)</w:t>
            </w:r>
          </w:p>
          <w:p w:rsidR="001E56A6" w:rsidRPr="00FC5507" w:rsidRDefault="001E56A6" w:rsidP="00FC5507">
            <w:pPr>
              <w:jc w:val="both"/>
              <w:rPr>
                <w:sz w:val="20"/>
                <w:lang w:val="fr-CA"/>
              </w:rPr>
            </w:pPr>
            <w:r w:rsidRPr="00FC5507">
              <w:rPr>
                <w:sz w:val="20"/>
                <w:lang w:val="fr-CA"/>
              </w:rPr>
              <w:t xml:space="preserve">(Juges </w:t>
            </w:r>
            <w:proofErr w:type="spellStart"/>
            <w:r w:rsidRPr="00FC5507">
              <w:rPr>
                <w:sz w:val="20"/>
                <w:lang w:val="fr-CA"/>
              </w:rPr>
              <w:t>Paperny</w:t>
            </w:r>
            <w:proofErr w:type="spellEnd"/>
            <w:r w:rsidRPr="00FC5507">
              <w:rPr>
                <w:sz w:val="20"/>
                <w:lang w:val="fr-CA"/>
              </w:rPr>
              <w:t xml:space="preserve">, </w:t>
            </w:r>
            <w:proofErr w:type="spellStart"/>
            <w:r w:rsidRPr="00FC5507">
              <w:rPr>
                <w:sz w:val="20"/>
                <w:lang w:val="fr-CA"/>
              </w:rPr>
              <w:t>Rowbotham</w:t>
            </w:r>
            <w:proofErr w:type="spellEnd"/>
            <w:r w:rsidRPr="00FC5507">
              <w:rPr>
                <w:sz w:val="20"/>
                <w:lang w:val="fr-CA"/>
              </w:rPr>
              <w:t xml:space="preserve"> et </w:t>
            </w:r>
            <w:proofErr w:type="spellStart"/>
            <w:r w:rsidRPr="00FC5507">
              <w:rPr>
                <w:sz w:val="20"/>
                <w:lang w:val="fr-CA"/>
              </w:rPr>
              <w:t>O’Ferrall</w:t>
            </w:r>
            <w:proofErr w:type="spellEnd"/>
            <w:r w:rsidRPr="00FC5507">
              <w:rPr>
                <w:sz w:val="20"/>
                <w:lang w:val="fr-CA"/>
              </w:rPr>
              <w:t xml:space="preserve"> (dissident))</w:t>
            </w:r>
          </w:p>
          <w:p w:rsidR="001E56A6" w:rsidRPr="00FC5507" w:rsidRDefault="00685225" w:rsidP="00FC5507">
            <w:pPr>
              <w:jc w:val="both"/>
              <w:rPr>
                <w:sz w:val="20"/>
                <w:lang w:val="fr-CA"/>
              </w:rPr>
            </w:pPr>
            <w:hyperlink r:id="rId52" w:history="1">
              <w:r w:rsidR="001E56A6" w:rsidRPr="00FC5507">
                <w:rPr>
                  <w:rStyle w:val="Hyperlink"/>
                  <w:sz w:val="20"/>
                  <w:lang w:val="fr-CA"/>
                </w:rPr>
                <w:t>2018 ABCA 380</w:t>
              </w:r>
            </w:hyperlink>
          </w:p>
          <w:p w:rsidR="001E56A6" w:rsidRPr="00FC5507" w:rsidRDefault="001E56A6" w:rsidP="00FC5507">
            <w:pPr>
              <w:jc w:val="both"/>
              <w:rPr>
                <w:sz w:val="20"/>
                <w:lang w:val="fr-CA"/>
              </w:rPr>
            </w:pPr>
            <w:r w:rsidRPr="00FC5507">
              <w:rPr>
                <w:sz w:val="20"/>
                <w:lang w:val="fr-CA"/>
              </w:rPr>
              <w:t>N</w:t>
            </w:r>
            <w:r w:rsidRPr="00FC5507">
              <w:rPr>
                <w:sz w:val="20"/>
                <w:vertAlign w:val="superscript"/>
                <w:lang w:val="fr-CA"/>
              </w:rPr>
              <w:t>o</w:t>
            </w:r>
            <w:r w:rsidRPr="00FC5507">
              <w:rPr>
                <w:sz w:val="20"/>
                <w:lang w:val="fr-CA"/>
              </w:rPr>
              <w:t xml:space="preserve"> du greffe : 1701</w:t>
            </w:r>
            <w:r w:rsidRPr="00FC5507">
              <w:rPr>
                <w:sz w:val="20"/>
                <w:lang w:val="fr-CA"/>
              </w:rPr>
              <w:noBreakHyphen/>
              <w:t>0257</w:t>
            </w:r>
            <w:r w:rsidRPr="00FC5507">
              <w:rPr>
                <w:sz w:val="20"/>
                <w:lang w:val="fr-CA"/>
              </w:rPr>
              <w:noBreakHyphen/>
              <w:t>AC</w:t>
            </w:r>
          </w:p>
          <w:p w:rsidR="001E56A6" w:rsidRPr="00FC5507" w:rsidRDefault="001E56A6" w:rsidP="00FC5507">
            <w:pPr>
              <w:jc w:val="both"/>
              <w:rPr>
                <w:sz w:val="20"/>
                <w:lang w:val="fr-CA"/>
              </w:rPr>
            </w:pP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r w:rsidRPr="00FC5507">
              <w:rPr>
                <w:sz w:val="20"/>
                <w:lang w:val="fr-CA"/>
              </w:rPr>
              <w:t>Rejet de l’appel.</w:t>
            </w:r>
          </w:p>
          <w:p w:rsidR="001E56A6" w:rsidRPr="00FC5507" w:rsidRDefault="001E56A6" w:rsidP="00FC5507">
            <w:pPr>
              <w:jc w:val="both"/>
              <w:rPr>
                <w:sz w:val="20"/>
                <w:lang w:val="fr-CA"/>
              </w:rPr>
            </w:pPr>
          </w:p>
        </w:tc>
      </w:tr>
      <w:tr w:rsidR="001E56A6" w:rsidRPr="00A6684F" w:rsidTr="00602075">
        <w:tc>
          <w:tcPr>
            <w:tcW w:w="2427" w:type="pct"/>
            <w:gridSpan w:val="2"/>
          </w:tcPr>
          <w:p w:rsidR="001E56A6" w:rsidRPr="00FC5507" w:rsidRDefault="001E56A6" w:rsidP="00FC5507">
            <w:pPr>
              <w:jc w:val="both"/>
              <w:rPr>
                <w:sz w:val="20"/>
                <w:lang w:val="fr-CA"/>
              </w:rPr>
            </w:pPr>
            <w:r w:rsidRPr="00FC5507">
              <w:rPr>
                <w:sz w:val="20"/>
                <w:lang w:val="fr-CA"/>
              </w:rPr>
              <w:t>21 janvier 2019</w:t>
            </w:r>
          </w:p>
          <w:p w:rsidR="001E56A6" w:rsidRPr="00FC5507" w:rsidRDefault="001E56A6" w:rsidP="00FC5507">
            <w:pPr>
              <w:jc w:val="both"/>
              <w:rPr>
                <w:sz w:val="20"/>
                <w:lang w:val="fr-CA"/>
              </w:rPr>
            </w:pPr>
            <w:r w:rsidRPr="00FC5507">
              <w:rPr>
                <w:sz w:val="20"/>
                <w:lang w:val="fr-CA"/>
              </w:rPr>
              <w:t>Cour suprême du Canada</w:t>
            </w: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602075">
            <w:pPr>
              <w:jc w:val="both"/>
              <w:rPr>
                <w:sz w:val="20"/>
                <w:lang w:val="fr-CA"/>
              </w:rPr>
            </w:pPr>
            <w:r w:rsidRPr="00FC5507">
              <w:rPr>
                <w:sz w:val="20"/>
                <w:lang w:val="fr-CA"/>
              </w:rPr>
              <w:t>Dépôt de la demande d’autorisation d’appel et de la requête en réunion des deux demandes.</w:t>
            </w:r>
          </w:p>
        </w:tc>
      </w:tr>
    </w:tbl>
    <w:p w:rsidR="001E56A6" w:rsidRPr="00FC5507" w:rsidRDefault="001E56A6" w:rsidP="00FC5507">
      <w:pPr>
        <w:jc w:val="both"/>
        <w:rPr>
          <w:sz w:val="20"/>
          <w:lang w:val="fr-CA"/>
        </w:rPr>
      </w:pPr>
    </w:p>
    <w:p w:rsidR="001E56A6" w:rsidRDefault="00A6684F" w:rsidP="00FC5507">
      <w:pPr>
        <w:ind w:left="142" w:hanging="142"/>
        <w:jc w:val="both"/>
        <w:rPr>
          <w:sz w:val="20"/>
          <w:lang w:val="fr-CA"/>
        </w:rPr>
      </w:pPr>
      <w:r>
        <w:rPr>
          <w:sz w:val="20"/>
        </w:rPr>
        <w:pict>
          <v:rect id="_x0000_i1036" style="width:2in;height:1pt" o:hrpct="0" o:hralign="center" o:hrstd="t" o:hrnoshade="t" o:hr="t" fillcolor="black [3213]" stroked="f"/>
        </w:pict>
      </w:r>
    </w:p>
    <w:p w:rsidR="00A6684F" w:rsidRPr="00FC5507" w:rsidRDefault="00A6684F"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6A6" w:rsidRPr="00FC5507" w:rsidTr="00602075">
        <w:tc>
          <w:tcPr>
            <w:tcW w:w="543" w:type="pct"/>
          </w:tcPr>
          <w:p w:rsidR="001E56A6" w:rsidRPr="00FC5507" w:rsidRDefault="001E56A6" w:rsidP="00FC5507">
            <w:pPr>
              <w:jc w:val="both"/>
              <w:rPr>
                <w:sz w:val="20"/>
              </w:rPr>
            </w:pPr>
            <w:r w:rsidRPr="00FC5507">
              <w:rPr>
                <w:rStyle w:val="SCCFileNumberChar"/>
                <w:sz w:val="20"/>
                <w:szCs w:val="20"/>
              </w:rPr>
              <w:t>38485</w:t>
            </w:r>
          </w:p>
        </w:tc>
        <w:tc>
          <w:tcPr>
            <w:tcW w:w="4457" w:type="pct"/>
            <w:gridSpan w:val="3"/>
          </w:tcPr>
          <w:p w:rsidR="001E56A6" w:rsidRPr="00602075" w:rsidRDefault="001E56A6" w:rsidP="00FC5507">
            <w:pPr>
              <w:pStyle w:val="SCCLsocParty"/>
              <w:jc w:val="both"/>
              <w:rPr>
                <w:b/>
                <w:sz w:val="20"/>
                <w:szCs w:val="20"/>
                <w:lang w:val="en-US"/>
              </w:rPr>
            </w:pPr>
            <w:r w:rsidRPr="00602075">
              <w:rPr>
                <w:b/>
                <w:sz w:val="20"/>
                <w:szCs w:val="20"/>
                <w:lang w:val="en-US"/>
              </w:rPr>
              <w:t>Apotex Inc. v. Eli Lilly and Company, Eli Lilly Canada Inc.</w:t>
            </w:r>
          </w:p>
          <w:p w:rsidR="001E56A6" w:rsidRPr="00FC5507" w:rsidRDefault="001E56A6" w:rsidP="00FC5507">
            <w:pPr>
              <w:jc w:val="both"/>
              <w:rPr>
                <w:sz w:val="20"/>
              </w:rPr>
            </w:pPr>
            <w:r w:rsidRPr="00FC5507">
              <w:rPr>
                <w:sz w:val="20"/>
              </w:rPr>
              <w:t>(F</w:t>
            </w:r>
            <w:r w:rsidR="00602075">
              <w:rPr>
                <w:sz w:val="20"/>
              </w:rPr>
              <w:t>.</w:t>
            </w:r>
            <w:r w:rsidRPr="00FC5507">
              <w:rPr>
                <w:sz w:val="20"/>
              </w:rPr>
              <w:t>C</w:t>
            </w:r>
            <w:r w:rsidR="00602075">
              <w:rPr>
                <w:sz w:val="20"/>
              </w:rPr>
              <w:t>.</w:t>
            </w:r>
            <w:r w:rsidRPr="00FC5507">
              <w:rPr>
                <w:sz w:val="20"/>
              </w:rPr>
              <w:t>) (Civil) (By Leave)</w:t>
            </w:r>
          </w:p>
        </w:tc>
      </w:tr>
      <w:tr w:rsidR="001E56A6" w:rsidRPr="00FC5507" w:rsidTr="00602075">
        <w:tc>
          <w:tcPr>
            <w:tcW w:w="5000" w:type="pct"/>
            <w:gridSpan w:val="4"/>
          </w:tcPr>
          <w:p w:rsidR="001E56A6" w:rsidRPr="00FC5507" w:rsidRDefault="001E56A6" w:rsidP="00FC5507">
            <w:pPr>
              <w:autoSpaceDE w:val="0"/>
              <w:autoSpaceDN w:val="0"/>
              <w:adjustRightInd w:val="0"/>
              <w:jc w:val="both"/>
              <w:rPr>
                <w:sz w:val="20"/>
              </w:rPr>
            </w:pPr>
            <w:r w:rsidRPr="00FC5507">
              <w:rPr>
                <w:sz w:val="20"/>
              </w:rPr>
              <w:t>Intellectual property — Patents — Medicines — Infringement — Damages — Damages assessed for patent infringement — Whether awarding damages for non</w:t>
            </w:r>
            <w:r w:rsidRPr="00FC5507">
              <w:rPr>
                <w:sz w:val="20"/>
              </w:rPr>
              <w:noBreakHyphen/>
              <w:t xml:space="preserve">infringing acts is commensurate with policy objectives of </w:t>
            </w:r>
            <w:r w:rsidRPr="00FC5507">
              <w:rPr>
                <w:i/>
                <w:sz w:val="20"/>
              </w:rPr>
              <w:t>Patent Act</w:t>
            </w:r>
            <w:r w:rsidRPr="00FC5507">
              <w:rPr>
                <w:sz w:val="20"/>
              </w:rPr>
              <w:t xml:space="preserve"> and principle remoteness — Whether it is appropriate to assume that party would not have made non</w:t>
            </w:r>
            <w:r w:rsidRPr="00FC5507">
              <w:rPr>
                <w:sz w:val="20"/>
              </w:rPr>
              <w:noBreakHyphen/>
              <w:t>infringing sales that were made in real world when constructing but</w:t>
            </w:r>
            <w:r w:rsidRPr="00FC5507">
              <w:rPr>
                <w:sz w:val="20"/>
              </w:rPr>
              <w:noBreakHyphen/>
              <w:t>for world — What is non</w:t>
            </w:r>
            <w:r w:rsidRPr="00FC5507">
              <w:rPr>
                <w:sz w:val="20"/>
              </w:rPr>
              <w:noBreakHyphen/>
              <w:t>infringing alternative and when should it be considered?</w:t>
            </w:r>
          </w:p>
        </w:tc>
      </w:tr>
      <w:tr w:rsidR="001E56A6" w:rsidRPr="00FC5507" w:rsidTr="00602075">
        <w:tc>
          <w:tcPr>
            <w:tcW w:w="5000" w:type="pct"/>
            <w:gridSpan w:val="4"/>
          </w:tcPr>
          <w:p w:rsidR="001E56A6" w:rsidRPr="00FC5507" w:rsidRDefault="001E56A6" w:rsidP="00FC5507">
            <w:pPr>
              <w:jc w:val="both"/>
              <w:rPr>
                <w:sz w:val="20"/>
              </w:rPr>
            </w:pPr>
          </w:p>
        </w:tc>
      </w:tr>
      <w:tr w:rsidR="001E56A6" w:rsidRPr="00FC5507" w:rsidTr="00602075">
        <w:tc>
          <w:tcPr>
            <w:tcW w:w="5000" w:type="pct"/>
            <w:gridSpan w:val="4"/>
          </w:tcPr>
          <w:p w:rsidR="001E56A6" w:rsidRPr="00FC5507" w:rsidRDefault="001E56A6" w:rsidP="00FC5507">
            <w:pPr>
              <w:shd w:val="clear" w:color="auto" w:fill="FFFFFF"/>
              <w:tabs>
                <w:tab w:val="num" w:pos="0"/>
              </w:tabs>
              <w:jc w:val="both"/>
              <w:rPr>
                <w:sz w:val="20"/>
                <w:lang w:val="en"/>
              </w:rPr>
            </w:pPr>
            <w:r w:rsidRPr="00FC5507">
              <w:rPr>
                <w:sz w:val="20"/>
                <w:lang w:val="en"/>
              </w:rPr>
              <w:t>The respondents (collectively, “Lilly”) own eight Canadian patents for the processes related to the making of a key intermediate compound required to make the antibiotic, cefaclor, a drug used to treat certain bacterial infections.</w:t>
            </w:r>
            <w:bookmarkStart w:id="0" w:name="par3"/>
            <w:bookmarkEnd w:id="0"/>
            <w:r w:rsidRPr="00FC5507">
              <w:rPr>
                <w:sz w:val="20"/>
                <w:lang w:val="en"/>
              </w:rPr>
              <w:t xml:space="preserve"> In 1993, Apotex filed a Notice of Compliance (“NOC”) submission for its generic version of cefaclor with Health Canada. Lilly’s application for an order prohibiting Apotex from selling its cefaclor product in Canada was dismissed. Apotex obtained its NOC for Apo</w:t>
            </w:r>
            <w:r w:rsidRPr="00FC5507">
              <w:rPr>
                <w:sz w:val="20"/>
                <w:lang w:val="en"/>
              </w:rPr>
              <w:noBreakHyphen/>
            </w:r>
            <w:proofErr w:type="spellStart"/>
            <w:r w:rsidRPr="00FC5507">
              <w:rPr>
                <w:sz w:val="20"/>
                <w:lang w:val="en"/>
              </w:rPr>
              <w:t>cefaclor</w:t>
            </w:r>
            <w:proofErr w:type="spellEnd"/>
            <w:r w:rsidRPr="00FC5507">
              <w:rPr>
                <w:sz w:val="20"/>
                <w:lang w:val="en"/>
              </w:rPr>
              <w:t xml:space="preserve"> in January 1997 and began selling it in Canada. Apotex had two suppliers of cefaclor: South Korean Kyong Bo Chemical Ltd. (“Kyong Bo”) and Lupin Laboratories Ltd. (“Lupin”) of India. Apotex received batches of commercial Kyong Bo and </w:t>
            </w:r>
            <w:proofErr w:type="spellStart"/>
            <w:r w:rsidRPr="00FC5507">
              <w:rPr>
                <w:sz w:val="20"/>
                <w:lang w:val="en"/>
              </w:rPr>
              <w:t>Lupin</w:t>
            </w:r>
            <w:proofErr w:type="spellEnd"/>
            <w:r w:rsidRPr="00FC5507">
              <w:rPr>
                <w:sz w:val="20"/>
                <w:lang w:val="en"/>
              </w:rPr>
              <w:t xml:space="preserve"> 1 </w:t>
            </w:r>
            <w:proofErr w:type="spellStart"/>
            <w:r w:rsidRPr="00FC5507">
              <w:rPr>
                <w:sz w:val="20"/>
                <w:lang w:val="en"/>
              </w:rPr>
              <w:t>cefaclor</w:t>
            </w:r>
            <w:proofErr w:type="spellEnd"/>
            <w:r w:rsidRPr="00FC5507">
              <w:rPr>
                <w:sz w:val="20"/>
                <w:lang w:val="en"/>
              </w:rPr>
              <w:t>. In 1998, Apotex received a shipment of “Lupin 2 cefaclor”.</w:t>
            </w:r>
          </w:p>
          <w:p w:rsidR="001E56A6" w:rsidRPr="00FC5507" w:rsidRDefault="001E56A6" w:rsidP="00FC5507">
            <w:pPr>
              <w:jc w:val="both"/>
              <w:rPr>
                <w:sz w:val="20"/>
                <w:lang w:val="en"/>
              </w:rPr>
            </w:pPr>
          </w:p>
          <w:p w:rsidR="001E56A6" w:rsidRPr="00FC5507" w:rsidRDefault="001E56A6" w:rsidP="00FC5507">
            <w:pPr>
              <w:jc w:val="both"/>
              <w:rPr>
                <w:sz w:val="20"/>
                <w:lang w:val="en"/>
              </w:rPr>
            </w:pPr>
            <w:r w:rsidRPr="00FC5507">
              <w:rPr>
                <w:sz w:val="20"/>
                <w:lang w:val="en"/>
              </w:rPr>
              <w:t xml:space="preserve">Lilly instituted an action for infringement. At the liability trial, the court found that Lilly patents were valid and infringed by Apotex as a result of its importation and use of the Kyong Bo and Lupin 1 cefaclor. </w:t>
            </w:r>
            <w:bookmarkStart w:id="1" w:name="par2"/>
            <w:bookmarkEnd w:id="1"/>
            <w:r w:rsidRPr="00FC5507">
              <w:rPr>
                <w:sz w:val="20"/>
                <w:lang w:val="en"/>
              </w:rPr>
              <w:t xml:space="preserve">The Lupin 2 cefaclor was not found to be infringing. Lilly then elected to proceed by way of a trial on the issue of damages. The Federal Court ordered Apotex to pay Lilly $31,234,000.00 in damages pursuant to </w:t>
            </w:r>
            <w:hyperlink r:id="rId53" w:anchor="sec55subsec1_smooth" w:history="1">
              <w:r w:rsidRPr="00FC5507">
                <w:rPr>
                  <w:sz w:val="20"/>
                  <w:lang w:val="en"/>
                </w:rPr>
                <w:t>s. 55(1)</w:t>
              </w:r>
            </w:hyperlink>
            <w:r w:rsidRPr="00FC5507">
              <w:rPr>
                <w:sz w:val="20"/>
                <w:lang w:val="en"/>
              </w:rPr>
              <w:t xml:space="preserve"> of the </w:t>
            </w:r>
            <w:hyperlink r:id="rId54" w:history="1">
              <w:r w:rsidRPr="00FC5507">
                <w:rPr>
                  <w:i/>
                  <w:sz w:val="20"/>
                  <w:lang w:val="en"/>
                </w:rPr>
                <w:t>Patent Act</w:t>
              </w:r>
              <w:r w:rsidRPr="00FC5507">
                <w:rPr>
                  <w:sz w:val="20"/>
                  <w:lang w:val="en"/>
                </w:rPr>
                <w:t>, R.S.C. 1985, c. P</w:t>
              </w:r>
              <w:r w:rsidRPr="00FC5507">
                <w:rPr>
                  <w:sz w:val="20"/>
                  <w:lang w:val="en"/>
                </w:rPr>
                <w:noBreakHyphen/>
                <w:t>4</w:t>
              </w:r>
            </w:hyperlink>
            <w:r w:rsidRPr="00FC5507">
              <w:rPr>
                <w:sz w:val="20"/>
                <w:lang w:val="en"/>
              </w:rPr>
              <w:t>. Lilly was also awarded $75,040,649.00 in prejudgment compound interest. Apotex appealed. The Court of Appeal upheld the award of s. 55 damages but remitted the award of compound interest to the trial judge for reconsideration.</w:t>
            </w:r>
          </w:p>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t>January 23, 2015</w:t>
            </w:r>
          </w:p>
          <w:p w:rsidR="001E56A6" w:rsidRPr="00FC5507" w:rsidRDefault="001E56A6" w:rsidP="00FC5507">
            <w:pPr>
              <w:jc w:val="both"/>
              <w:rPr>
                <w:sz w:val="20"/>
              </w:rPr>
            </w:pPr>
            <w:r w:rsidRPr="00FC5507">
              <w:rPr>
                <w:sz w:val="20"/>
              </w:rPr>
              <w:t>Federal Court</w:t>
            </w:r>
          </w:p>
          <w:p w:rsidR="001E56A6" w:rsidRPr="00FC5507" w:rsidRDefault="001E56A6" w:rsidP="00FC5507">
            <w:pPr>
              <w:jc w:val="both"/>
              <w:rPr>
                <w:sz w:val="20"/>
              </w:rPr>
            </w:pPr>
            <w:r w:rsidRPr="00FC5507">
              <w:rPr>
                <w:sz w:val="20"/>
              </w:rPr>
              <w:t>(Zinn J.)</w:t>
            </w:r>
          </w:p>
          <w:p w:rsidR="001E56A6" w:rsidRPr="00FC5507" w:rsidRDefault="00685225" w:rsidP="00FC5507">
            <w:pPr>
              <w:jc w:val="both"/>
              <w:rPr>
                <w:sz w:val="20"/>
              </w:rPr>
            </w:pPr>
            <w:hyperlink r:id="rId55" w:history="1">
              <w:r w:rsidR="001E56A6" w:rsidRPr="00FC5507">
                <w:rPr>
                  <w:rStyle w:val="Hyperlink"/>
                  <w:sz w:val="20"/>
                </w:rPr>
                <w:t>2014 FC 1254</w:t>
              </w:r>
            </w:hyperlink>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r w:rsidRPr="00FC5507">
              <w:rPr>
                <w:sz w:val="20"/>
              </w:rPr>
              <w:t>Damages for patent infringement awarded to respondent</w:t>
            </w:r>
          </w:p>
          <w:p w:rsidR="001E56A6" w:rsidRPr="00FC5507" w:rsidRDefault="001E56A6" w:rsidP="00FC5507">
            <w:pPr>
              <w:jc w:val="both"/>
              <w:rPr>
                <w:sz w:val="20"/>
              </w:rPr>
            </w:pPr>
          </w:p>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t>November 23, 2018</w:t>
            </w:r>
          </w:p>
          <w:p w:rsidR="001E56A6" w:rsidRPr="00FC5507" w:rsidRDefault="001E56A6" w:rsidP="00FC5507">
            <w:pPr>
              <w:jc w:val="both"/>
              <w:rPr>
                <w:sz w:val="20"/>
              </w:rPr>
            </w:pPr>
            <w:r w:rsidRPr="00FC5507">
              <w:rPr>
                <w:sz w:val="20"/>
              </w:rPr>
              <w:t>Federal Court of Appeal</w:t>
            </w:r>
          </w:p>
          <w:p w:rsidR="001E56A6" w:rsidRPr="00FC5507" w:rsidRDefault="001E56A6" w:rsidP="00FC5507">
            <w:pPr>
              <w:jc w:val="both"/>
              <w:rPr>
                <w:sz w:val="20"/>
              </w:rPr>
            </w:pPr>
            <w:r w:rsidRPr="00FC5507">
              <w:rPr>
                <w:sz w:val="20"/>
              </w:rPr>
              <w:t>(Gauthier, Gleason and Laskin JJ.A.)</w:t>
            </w:r>
          </w:p>
          <w:p w:rsidR="001E56A6" w:rsidRPr="00FC5507" w:rsidRDefault="00685225" w:rsidP="00FC5507">
            <w:pPr>
              <w:jc w:val="both"/>
              <w:rPr>
                <w:sz w:val="20"/>
              </w:rPr>
            </w:pPr>
            <w:hyperlink r:id="rId56" w:history="1">
              <w:r w:rsidR="001E56A6" w:rsidRPr="00FC5507">
                <w:rPr>
                  <w:rStyle w:val="Hyperlink"/>
                  <w:sz w:val="20"/>
                </w:rPr>
                <w:t>2018 FCA 217</w:t>
              </w:r>
            </w:hyperlink>
          </w:p>
          <w:p w:rsidR="001E56A6" w:rsidRPr="00FC5507" w:rsidRDefault="001E56A6" w:rsidP="00FC5507">
            <w:pPr>
              <w:jc w:val="both"/>
              <w:rPr>
                <w:sz w:val="20"/>
              </w:rPr>
            </w:pP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r w:rsidRPr="00FC5507">
              <w:rPr>
                <w:sz w:val="20"/>
              </w:rPr>
              <w:t>Applicant’s appeal dismissed except with respect to award of interest; Interest issue remitted to trial judge for reconsideration</w:t>
            </w:r>
          </w:p>
          <w:p w:rsidR="001E56A6" w:rsidRPr="00FC5507" w:rsidRDefault="001E56A6" w:rsidP="00FC5507">
            <w:pPr>
              <w:jc w:val="both"/>
              <w:rPr>
                <w:sz w:val="20"/>
              </w:rPr>
            </w:pPr>
          </w:p>
          <w:p w:rsidR="001E56A6" w:rsidRPr="00FC5507" w:rsidRDefault="001E56A6" w:rsidP="00FC5507">
            <w:pPr>
              <w:jc w:val="both"/>
              <w:rPr>
                <w:sz w:val="20"/>
              </w:rPr>
            </w:pPr>
          </w:p>
        </w:tc>
      </w:tr>
      <w:tr w:rsidR="001E56A6" w:rsidRPr="00FC5507" w:rsidTr="00602075">
        <w:tc>
          <w:tcPr>
            <w:tcW w:w="2427" w:type="pct"/>
            <w:gridSpan w:val="2"/>
          </w:tcPr>
          <w:p w:rsidR="001E56A6" w:rsidRPr="00FC5507" w:rsidRDefault="001E56A6" w:rsidP="00FC5507">
            <w:pPr>
              <w:jc w:val="both"/>
              <w:rPr>
                <w:sz w:val="20"/>
              </w:rPr>
            </w:pPr>
            <w:r w:rsidRPr="00FC5507">
              <w:rPr>
                <w:sz w:val="20"/>
              </w:rPr>
              <w:t>January 22, 2019</w:t>
            </w:r>
          </w:p>
          <w:p w:rsidR="001E56A6" w:rsidRPr="00FC5507" w:rsidRDefault="001E56A6" w:rsidP="00FC5507">
            <w:pPr>
              <w:jc w:val="both"/>
              <w:rPr>
                <w:sz w:val="20"/>
              </w:rPr>
            </w:pPr>
            <w:r w:rsidRPr="00FC5507">
              <w:rPr>
                <w:sz w:val="20"/>
              </w:rPr>
              <w:t>Supreme Court of Canada</w:t>
            </w:r>
          </w:p>
        </w:tc>
        <w:tc>
          <w:tcPr>
            <w:tcW w:w="243" w:type="pct"/>
          </w:tcPr>
          <w:p w:rsidR="001E56A6" w:rsidRPr="00FC5507" w:rsidRDefault="001E56A6" w:rsidP="00FC5507">
            <w:pPr>
              <w:jc w:val="both"/>
              <w:rPr>
                <w:sz w:val="20"/>
              </w:rPr>
            </w:pPr>
          </w:p>
        </w:tc>
        <w:tc>
          <w:tcPr>
            <w:tcW w:w="2330" w:type="pct"/>
          </w:tcPr>
          <w:p w:rsidR="001E56A6" w:rsidRPr="00FC5507" w:rsidRDefault="001E56A6" w:rsidP="00FC5507">
            <w:pPr>
              <w:jc w:val="both"/>
              <w:rPr>
                <w:sz w:val="20"/>
              </w:rPr>
            </w:pPr>
            <w:r w:rsidRPr="00FC5507">
              <w:rPr>
                <w:sz w:val="20"/>
              </w:rPr>
              <w:t>Application for leave to appeal filed</w:t>
            </w:r>
          </w:p>
          <w:p w:rsidR="001E56A6" w:rsidRPr="00FC5507" w:rsidRDefault="001E56A6" w:rsidP="00FC5507">
            <w:pPr>
              <w:jc w:val="both"/>
              <w:rPr>
                <w:sz w:val="20"/>
              </w:rPr>
            </w:pPr>
          </w:p>
        </w:tc>
      </w:tr>
    </w:tbl>
    <w:p w:rsidR="001E56A6" w:rsidRDefault="001E56A6" w:rsidP="00FC5507">
      <w:pPr>
        <w:jc w:val="both"/>
        <w:rPr>
          <w:sz w:val="20"/>
        </w:rPr>
      </w:pPr>
    </w:p>
    <w:p w:rsidR="00A6684F" w:rsidRDefault="00A6684F" w:rsidP="00FC5507">
      <w:pPr>
        <w:jc w:val="both"/>
        <w:rPr>
          <w:sz w:val="20"/>
        </w:rPr>
      </w:pPr>
      <w:r>
        <w:rPr>
          <w:sz w:val="20"/>
        </w:rPr>
        <w:pict>
          <v:rect id="_x0000_i1037" style="width:2in;height:1pt" o:hrpct="0" o:hralign="center" o:hrstd="t" o:hrnoshade="t" o:hr="t" fillcolor="black [3213]" stroked="f"/>
        </w:pict>
      </w:r>
    </w:p>
    <w:p w:rsidR="00602075" w:rsidRPr="00FC5507" w:rsidRDefault="00602075"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6A6" w:rsidRPr="00602075" w:rsidTr="00602075">
        <w:tc>
          <w:tcPr>
            <w:tcW w:w="543" w:type="pct"/>
          </w:tcPr>
          <w:p w:rsidR="001E56A6" w:rsidRPr="00FC5507" w:rsidRDefault="001E56A6" w:rsidP="00FC5507">
            <w:pPr>
              <w:jc w:val="both"/>
              <w:rPr>
                <w:sz w:val="20"/>
                <w:lang w:val="fr-CA"/>
              </w:rPr>
            </w:pPr>
            <w:r w:rsidRPr="00FC5507">
              <w:rPr>
                <w:rStyle w:val="SCCFileNumberChar"/>
                <w:sz w:val="20"/>
                <w:szCs w:val="20"/>
                <w:lang w:val="fr-CA"/>
              </w:rPr>
              <w:t>38485</w:t>
            </w:r>
          </w:p>
        </w:tc>
        <w:tc>
          <w:tcPr>
            <w:tcW w:w="4457" w:type="pct"/>
            <w:gridSpan w:val="3"/>
          </w:tcPr>
          <w:p w:rsidR="001E56A6" w:rsidRPr="00602075" w:rsidRDefault="001E56A6" w:rsidP="00FC5507">
            <w:pPr>
              <w:pStyle w:val="SCCLsocParty"/>
              <w:jc w:val="both"/>
              <w:rPr>
                <w:b/>
                <w:sz w:val="20"/>
                <w:szCs w:val="20"/>
                <w:lang w:val="en-US"/>
              </w:rPr>
            </w:pPr>
            <w:r w:rsidRPr="00602075">
              <w:rPr>
                <w:b/>
                <w:sz w:val="20"/>
                <w:szCs w:val="20"/>
                <w:lang w:val="en-US"/>
              </w:rPr>
              <w:t>Apotex Inc. c. Eli Lilly and Company, Eli Lilly Canada Inc.</w:t>
            </w:r>
          </w:p>
          <w:p w:rsidR="001E56A6" w:rsidRPr="00FC5507" w:rsidRDefault="001E56A6" w:rsidP="00FC5507">
            <w:pPr>
              <w:jc w:val="both"/>
              <w:rPr>
                <w:sz w:val="20"/>
                <w:lang w:val="fr-CA"/>
              </w:rPr>
            </w:pPr>
            <w:r w:rsidRPr="00FC5507">
              <w:rPr>
                <w:sz w:val="20"/>
                <w:lang w:val="fr-CA"/>
              </w:rPr>
              <w:t>(C</w:t>
            </w:r>
            <w:r w:rsidR="00602075">
              <w:rPr>
                <w:sz w:val="20"/>
                <w:lang w:val="fr-CA"/>
              </w:rPr>
              <w:t>.</w:t>
            </w:r>
            <w:r w:rsidRPr="00FC5507">
              <w:rPr>
                <w:sz w:val="20"/>
                <w:lang w:val="fr-CA"/>
              </w:rPr>
              <w:t>F</w:t>
            </w:r>
            <w:r w:rsidR="00602075">
              <w:rPr>
                <w:sz w:val="20"/>
                <w:lang w:val="fr-CA"/>
              </w:rPr>
              <w:t>.</w:t>
            </w:r>
            <w:r w:rsidRPr="00FC5507">
              <w:rPr>
                <w:sz w:val="20"/>
                <w:lang w:val="fr-CA"/>
              </w:rPr>
              <w:t>) (Civile) (Autorisation)</w:t>
            </w:r>
          </w:p>
        </w:tc>
      </w:tr>
      <w:tr w:rsidR="001E56A6" w:rsidRPr="00A6684F" w:rsidTr="00602075">
        <w:tc>
          <w:tcPr>
            <w:tcW w:w="5000" w:type="pct"/>
            <w:gridSpan w:val="4"/>
          </w:tcPr>
          <w:p w:rsidR="001E56A6" w:rsidRPr="00FC5507" w:rsidRDefault="001E56A6" w:rsidP="00FC5507">
            <w:pPr>
              <w:autoSpaceDE w:val="0"/>
              <w:autoSpaceDN w:val="0"/>
              <w:adjustRightInd w:val="0"/>
              <w:jc w:val="both"/>
              <w:rPr>
                <w:sz w:val="20"/>
                <w:lang w:val="fr-CA"/>
              </w:rPr>
            </w:pPr>
            <w:r w:rsidRPr="00FC5507">
              <w:rPr>
                <w:sz w:val="20"/>
                <w:lang w:val="fr-CA"/>
              </w:rPr>
              <w:t>Propriété intellectuelle — Brevets — Médicaments — Contrefaçon — Dommages</w:t>
            </w:r>
            <w:r w:rsidRPr="00FC5507">
              <w:rPr>
                <w:sz w:val="20"/>
                <w:lang w:val="fr-CA"/>
              </w:rPr>
              <w:noBreakHyphen/>
              <w:t>intérêts — Dommages</w:t>
            </w:r>
            <w:r w:rsidRPr="00FC5507">
              <w:rPr>
                <w:sz w:val="20"/>
                <w:lang w:val="fr-CA"/>
              </w:rPr>
              <w:noBreakHyphen/>
              <w:t>intérêts octroyés pour la contrefaçon d’un brevet — L’octroi de dommages</w:t>
            </w:r>
            <w:r w:rsidRPr="00FC5507">
              <w:rPr>
                <w:sz w:val="20"/>
                <w:lang w:val="fr-CA"/>
              </w:rPr>
              <w:noBreakHyphen/>
              <w:t>intérêts pour des actes n’emportant pas contrefaçon est</w:t>
            </w:r>
            <w:r w:rsidRPr="00FC5507">
              <w:rPr>
                <w:sz w:val="20"/>
                <w:lang w:val="fr-CA"/>
              </w:rPr>
              <w:noBreakHyphen/>
              <w:t xml:space="preserve">il conforme aux objectifs de la politique de la </w:t>
            </w:r>
            <w:r w:rsidRPr="00FC5507">
              <w:rPr>
                <w:i/>
                <w:sz w:val="20"/>
                <w:lang w:val="fr-CA"/>
              </w:rPr>
              <w:t>Loi sur les brevets</w:t>
            </w:r>
            <w:r w:rsidRPr="00FC5507">
              <w:rPr>
                <w:sz w:val="20"/>
                <w:lang w:val="fr-CA"/>
              </w:rPr>
              <w:t xml:space="preserve"> et au principe de l’éloignement? — Est-il juste de présumer, dans l’élaboration d’une situation hypothétique, qu’une partie n’aurait pas réalisé des ventes n’emportant pas contrefaçon qui ont été réalisées dans les faits? — Quelle est la solution n’emportant pas contrefaçon et dans quelles situations doit</w:t>
            </w:r>
            <w:r w:rsidRPr="00FC5507">
              <w:rPr>
                <w:sz w:val="20"/>
                <w:lang w:val="fr-CA"/>
              </w:rPr>
              <w:noBreakHyphen/>
              <w:t>elle être examinée?</w:t>
            </w:r>
          </w:p>
        </w:tc>
      </w:tr>
      <w:tr w:rsidR="001E56A6" w:rsidRPr="00A6684F" w:rsidTr="00602075">
        <w:tc>
          <w:tcPr>
            <w:tcW w:w="5000" w:type="pct"/>
            <w:gridSpan w:val="4"/>
          </w:tcPr>
          <w:p w:rsidR="001E56A6" w:rsidRPr="00FC5507" w:rsidRDefault="001E56A6" w:rsidP="00FC5507">
            <w:pPr>
              <w:jc w:val="both"/>
              <w:rPr>
                <w:sz w:val="20"/>
                <w:lang w:val="fr-CA"/>
              </w:rPr>
            </w:pPr>
          </w:p>
        </w:tc>
      </w:tr>
      <w:tr w:rsidR="001E56A6" w:rsidRPr="00A6684F" w:rsidTr="00602075">
        <w:tc>
          <w:tcPr>
            <w:tcW w:w="5000" w:type="pct"/>
            <w:gridSpan w:val="4"/>
          </w:tcPr>
          <w:p w:rsidR="001E56A6" w:rsidRPr="00FC5507" w:rsidRDefault="001E56A6" w:rsidP="00FC5507">
            <w:pPr>
              <w:shd w:val="clear" w:color="auto" w:fill="FFFFFF"/>
              <w:tabs>
                <w:tab w:val="num" w:pos="0"/>
              </w:tabs>
              <w:jc w:val="both"/>
              <w:rPr>
                <w:sz w:val="20"/>
                <w:lang w:val="fr-CA"/>
              </w:rPr>
            </w:pPr>
            <w:r w:rsidRPr="00FC5507">
              <w:rPr>
                <w:sz w:val="20"/>
                <w:lang w:val="fr-CA"/>
              </w:rPr>
              <w:lastRenderedPageBreak/>
              <w:t>Les intimées (collectivement, « Lilly ») sont propriétaires de huit brevets canadiens portant sur des procédés liés à la fabrication d’un composé intermédiaire clé nécessaire pour produire un antibiotique, le céfaclor, un médicament employé pour traiter certaines infections bactériennes. En 1993, Apotex a déposé une demande d’avis de conformité (« AC ») à Santé Canada relativement à sa version générique du céfaclor. La demande de Lilly pour une ordonnance interdisant à Apotex de vendre son produit de céfaclor au Canada a été rejetée. Apotex a obtenu son AC pour Apo</w:t>
            </w:r>
            <w:r w:rsidRPr="00FC5507">
              <w:rPr>
                <w:sz w:val="20"/>
                <w:lang w:val="fr-CA"/>
              </w:rPr>
              <w:noBreakHyphen/>
              <w:t>cefaclor en janvier 1997 et a commencé à le vendre au Canada. Apotex avait deux fournisseurs de céfaclor : Kyong Bo Chemical Ltd. (« Kyong Bo »), une entreprise de la Corée du Sud et Lupin Laboratories Ltd. (« Lupin ») une entreprise de l’Inde. Apotex a reçu des lots de céfaclor commercial, le céfaclor Kyong Bo et le céfaclor Lupin 1. En 1998, Apotex a reçu un envoi de « céfaclor Lupin 2 ».</w:t>
            </w:r>
          </w:p>
          <w:p w:rsidR="001E56A6" w:rsidRPr="00FC5507" w:rsidRDefault="001E56A6" w:rsidP="00FC5507">
            <w:pPr>
              <w:jc w:val="both"/>
              <w:rPr>
                <w:sz w:val="20"/>
                <w:lang w:val="fr-CA"/>
              </w:rPr>
            </w:pPr>
          </w:p>
          <w:p w:rsidR="001E56A6" w:rsidRPr="00FC5507" w:rsidRDefault="001E56A6" w:rsidP="00FC5507">
            <w:pPr>
              <w:jc w:val="both"/>
              <w:rPr>
                <w:sz w:val="20"/>
                <w:lang w:val="fr-CA"/>
              </w:rPr>
            </w:pPr>
            <w:r w:rsidRPr="00FC5507">
              <w:rPr>
                <w:sz w:val="20"/>
                <w:lang w:val="fr-CA"/>
              </w:rPr>
              <w:t>Lilly a intenté une action en contrefaçon. Au procès portant sur la responsabilité, le tribunal a conclu que les brevets de Lilly étaient valides et qu’Apotex les contrefaisait en important et en utilisant le céfaclor Kyong Bo et le céfaclor Lupin 1. Le tribunal a conclu que le céfaclor Lupin 2 n’était pas une contrefaçon. Lilly a alors choisi de demander un procès sur la question des dommages</w:t>
            </w:r>
            <w:r w:rsidRPr="00FC5507">
              <w:rPr>
                <w:sz w:val="20"/>
                <w:lang w:val="fr-CA"/>
              </w:rPr>
              <w:noBreakHyphen/>
              <w:t>intérêts. La Cour fédérale a condamné Apotex à verser à Lilly la somme de 31 234 000 $ en dommages</w:t>
            </w:r>
            <w:r w:rsidRPr="00FC5507">
              <w:rPr>
                <w:sz w:val="20"/>
                <w:lang w:val="fr-CA"/>
              </w:rPr>
              <w:noBreakHyphen/>
              <w:t>intérêts en application du par</w:t>
            </w:r>
            <w:hyperlink r:id="rId57" w:anchor="art55par1" w:history="1">
              <w:r w:rsidRPr="00FC5507">
                <w:rPr>
                  <w:sz w:val="20"/>
                  <w:lang w:val="fr-CA"/>
                </w:rPr>
                <w:t>. 55(1)</w:t>
              </w:r>
            </w:hyperlink>
            <w:r w:rsidRPr="00FC5507">
              <w:rPr>
                <w:sz w:val="20"/>
                <w:lang w:val="fr-CA"/>
              </w:rPr>
              <w:t xml:space="preserve"> de la </w:t>
            </w:r>
            <w:hyperlink r:id="rId58" w:history="1">
              <w:r w:rsidRPr="00FC5507">
                <w:rPr>
                  <w:i/>
                  <w:sz w:val="20"/>
                  <w:lang w:val="fr-CA"/>
                </w:rPr>
                <w:t>Loi sur les brevets</w:t>
              </w:r>
              <w:r w:rsidRPr="00FC5507">
                <w:rPr>
                  <w:sz w:val="20"/>
                  <w:lang w:val="fr-CA"/>
                </w:rPr>
                <w:t>, L.R.C. 1985, ch. P</w:t>
              </w:r>
              <w:r w:rsidRPr="00FC5507">
                <w:rPr>
                  <w:sz w:val="20"/>
                  <w:lang w:val="fr-CA"/>
                </w:rPr>
                <w:noBreakHyphen/>
                <w:t>4</w:t>
              </w:r>
            </w:hyperlink>
            <w:r w:rsidRPr="00FC5507">
              <w:rPr>
                <w:sz w:val="20"/>
                <w:lang w:val="fr-CA"/>
              </w:rPr>
              <w:t>. Lilly s’est également vu octroyer la somme de 75 040 649 $ en intérêts composés avant jugement. Apotex a interjeté appel. La Cour d’appel a confirmé l’octroi de dommages</w:t>
            </w:r>
            <w:r w:rsidRPr="00FC5507">
              <w:rPr>
                <w:sz w:val="20"/>
                <w:lang w:val="fr-CA"/>
              </w:rPr>
              <w:noBreakHyphen/>
              <w:t>intérêts fondés sur l’art. 55, mais elle a renvoyé la condamnation aux intérêts composés au juge de première instance pour réexamen.</w:t>
            </w:r>
          </w:p>
          <w:p w:rsidR="001E56A6" w:rsidRPr="00FC5507" w:rsidRDefault="001E56A6" w:rsidP="00FC5507">
            <w:pPr>
              <w:jc w:val="both"/>
              <w:rPr>
                <w:sz w:val="20"/>
                <w:lang w:val="fr-CA"/>
              </w:rPr>
            </w:pPr>
          </w:p>
        </w:tc>
      </w:tr>
      <w:tr w:rsidR="001E56A6" w:rsidRPr="00A6684F" w:rsidTr="00602075">
        <w:tc>
          <w:tcPr>
            <w:tcW w:w="2427" w:type="pct"/>
            <w:gridSpan w:val="2"/>
          </w:tcPr>
          <w:p w:rsidR="001E56A6" w:rsidRPr="00FC5507" w:rsidRDefault="001E56A6" w:rsidP="00FC5507">
            <w:pPr>
              <w:jc w:val="both"/>
              <w:rPr>
                <w:sz w:val="20"/>
                <w:lang w:val="fr-CA"/>
              </w:rPr>
            </w:pPr>
            <w:r w:rsidRPr="00FC5507">
              <w:rPr>
                <w:sz w:val="20"/>
                <w:lang w:val="fr-CA"/>
              </w:rPr>
              <w:t>23 janvier 2015</w:t>
            </w:r>
          </w:p>
          <w:p w:rsidR="001E56A6" w:rsidRPr="00FC5507" w:rsidRDefault="001E56A6" w:rsidP="00FC5507">
            <w:pPr>
              <w:jc w:val="both"/>
              <w:rPr>
                <w:sz w:val="20"/>
                <w:lang w:val="fr-CA"/>
              </w:rPr>
            </w:pPr>
            <w:r w:rsidRPr="00FC5507">
              <w:rPr>
                <w:sz w:val="20"/>
                <w:lang w:val="fr-CA"/>
              </w:rPr>
              <w:t>Cour fédérale</w:t>
            </w:r>
          </w:p>
          <w:p w:rsidR="001E56A6" w:rsidRPr="00FC5507" w:rsidRDefault="001E56A6" w:rsidP="00FC5507">
            <w:pPr>
              <w:jc w:val="both"/>
              <w:rPr>
                <w:sz w:val="20"/>
                <w:lang w:val="fr-CA"/>
              </w:rPr>
            </w:pPr>
            <w:r w:rsidRPr="00FC5507">
              <w:rPr>
                <w:sz w:val="20"/>
                <w:lang w:val="fr-CA"/>
              </w:rPr>
              <w:t>(Juge Zinn)</w:t>
            </w:r>
          </w:p>
          <w:p w:rsidR="001E56A6" w:rsidRPr="00FC5507" w:rsidRDefault="00685225" w:rsidP="00FC5507">
            <w:pPr>
              <w:jc w:val="both"/>
              <w:rPr>
                <w:sz w:val="20"/>
                <w:lang w:val="fr-CA"/>
              </w:rPr>
            </w:pPr>
            <w:hyperlink r:id="rId59" w:history="1">
              <w:r w:rsidR="001E56A6" w:rsidRPr="00FC5507">
                <w:rPr>
                  <w:rStyle w:val="Hyperlink"/>
                  <w:sz w:val="20"/>
                  <w:lang w:val="fr-CA"/>
                </w:rPr>
                <w:t>2014 CF 1254</w:t>
              </w:r>
            </w:hyperlink>
          </w:p>
          <w:p w:rsidR="001E56A6" w:rsidRPr="00FC5507" w:rsidRDefault="001E56A6" w:rsidP="00FC5507">
            <w:pPr>
              <w:jc w:val="both"/>
              <w:rPr>
                <w:sz w:val="20"/>
                <w:lang w:val="fr-CA"/>
              </w:rPr>
            </w:pP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r w:rsidRPr="00FC5507">
              <w:rPr>
                <w:sz w:val="20"/>
                <w:lang w:val="fr-CA"/>
              </w:rPr>
              <w:t>Jugement octroyant à l’intimée des dommages-intérêts pour contrefaçon de brevet</w:t>
            </w:r>
          </w:p>
          <w:p w:rsidR="001E56A6" w:rsidRPr="00FC5507" w:rsidRDefault="001E56A6" w:rsidP="00FC5507">
            <w:pPr>
              <w:jc w:val="both"/>
              <w:rPr>
                <w:sz w:val="20"/>
                <w:lang w:val="fr-CA"/>
              </w:rPr>
            </w:pPr>
          </w:p>
          <w:p w:rsidR="001E56A6" w:rsidRPr="00FC5507" w:rsidRDefault="001E56A6" w:rsidP="00FC5507">
            <w:pPr>
              <w:jc w:val="both"/>
              <w:rPr>
                <w:sz w:val="20"/>
                <w:lang w:val="fr-CA"/>
              </w:rPr>
            </w:pPr>
          </w:p>
        </w:tc>
      </w:tr>
      <w:tr w:rsidR="001E56A6" w:rsidRPr="00A6684F" w:rsidTr="00602075">
        <w:tc>
          <w:tcPr>
            <w:tcW w:w="2427" w:type="pct"/>
            <w:gridSpan w:val="2"/>
          </w:tcPr>
          <w:p w:rsidR="001E56A6" w:rsidRPr="00FC5507" w:rsidRDefault="001E56A6" w:rsidP="00FC5507">
            <w:pPr>
              <w:jc w:val="both"/>
              <w:rPr>
                <w:sz w:val="20"/>
                <w:lang w:val="fr-CA"/>
              </w:rPr>
            </w:pPr>
            <w:r w:rsidRPr="00FC5507">
              <w:rPr>
                <w:sz w:val="20"/>
                <w:lang w:val="fr-CA"/>
              </w:rPr>
              <w:t>23 novembre 2018</w:t>
            </w:r>
          </w:p>
          <w:p w:rsidR="001E56A6" w:rsidRPr="00FC5507" w:rsidRDefault="001E56A6" w:rsidP="00FC5507">
            <w:pPr>
              <w:jc w:val="both"/>
              <w:rPr>
                <w:sz w:val="20"/>
                <w:lang w:val="fr-CA"/>
              </w:rPr>
            </w:pPr>
            <w:r w:rsidRPr="00FC5507">
              <w:rPr>
                <w:sz w:val="20"/>
                <w:lang w:val="fr-CA"/>
              </w:rPr>
              <w:t>Cour d’appel fédérale</w:t>
            </w:r>
          </w:p>
          <w:p w:rsidR="001E56A6" w:rsidRPr="00FC5507" w:rsidRDefault="001E56A6" w:rsidP="00FC5507">
            <w:pPr>
              <w:jc w:val="both"/>
              <w:rPr>
                <w:sz w:val="20"/>
                <w:lang w:val="fr-CA"/>
              </w:rPr>
            </w:pPr>
            <w:r w:rsidRPr="00FC5507">
              <w:rPr>
                <w:sz w:val="20"/>
                <w:lang w:val="fr-CA"/>
              </w:rPr>
              <w:t>(Juges Gauthier, Gleason et Laskin)</w:t>
            </w:r>
          </w:p>
          <w:p w:rsidR="001E56A6" w:rsidRPr="00FC5507" w:rsidRDefault="00685225" w:rsidP="00FC5507">
            <w:pPr>
              <w:jc w:val="both"/>
              <w:rPr>
                <w:sz w:val="20"/>
                <w:lang w:val="fr-CA"/>
              </w:rPr>
            </w:pPr>
            <w:hyperlink r:id="rId60" w:history="1">
              <w:r w:rsidR="001E56A6" w:rsidRPr="00FC5507">
                <w:rPr>
                  <w:rStyle w:val="Hyperlink"/>
                  <w:sz w:val="20"/>
                  <w:lang w:val="fr-CA"/>
                </w:rPr>
                <w:t>2018 FCA 217</w:t>
              </w:r>
            </w:hyperlink>
          </w:p>
          <w:p w:rsidR="001E56A6" w:rsidRPr="00FC5507" w:rsidRDefault="001E56A6" w:rsidP="00FC5507">
            <w:pPr>
              <w:jc w:val="both"/>
              <w:rPr>
                <w:sz w:val="20"/>
                <w:lang w:val="fr-CA"/>
              </w:rPr>
            </w:pP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r w:rsidRPr="00FC5507">
              <w:rPr>
                <w:sz w:val="20"/>
                <w:lang w:val="fr-CA"/>
              </w:rPr>
              <w:t>Arrêt rejetant l’appel de la demanderesse, sauf en ce qui concerne la condamnation aux intérêts, et renvoyant la question des intérêts au juge de première instance pour réexamen</w:t>
            </w:r>
          </w:p>
          <w:p w:rsidR="001E56A6" w:rsidRPr="00FC5507" w:rsidRDefault="001E56A6" w:rsidP="00FC5507">
            <w:pPr>
              <w:jc w:val="both"/>
              <w:rPr>
                <w:sz w:val="20"/>
                <w:lang w:val="fr-CA"/>
              </w:rPr>
            </w:pPr>
          </w:p>
          <w:p w:rsidR="001E56A6" w:rsidRPr="00FC5507" w:rsidRDefault="001E56A6" w:rsidP="00FC5507">
            <w:pPr>
              <w:jc w:val="both"/>
              <w:rPr>
                <w:sz w:val="20"/>
                <w:lang w:val="fr-CA"/>
              </w:rPr>
            </w:pPr>
          </w:p>
        </w:tc>
      </w:tr>
      <w:tr w:rsidR="001E56A6" w:rsidRPr="00A6684F" w:rsidTr="00602075">
        <w:tc>
          <w:tcPr>
            <w:tcW w:w="2427" w:type="pct"/>
            <w:gridSpan w:val="2"/>
          </w:tcPr>
          <w:p w:rsidR="001E56A6" w:rsidRPr="00FC5507" w:rsidRDefault="001E56A6" w:rsidP="00FC5507">
            <w:pPr>
              <w:jc w:val="both"/>
              <w:rPr>
                <w:sz w:val="20"/>
                <w:lang w:val="fr-CA"/>
              </w:rPr>
            </w:pPr>
            <w:r w:rsidRPr="00FC5507">
              <w:rPr>
                <w:sz w:val="20"/>
                <w:lang w:val="fr-CA"/>
              </w:rPr>
              <w:t>22 janvier 2019</w:t>
            </w:r>
          </w:p>
          <w:p w:rsidR="001E56A6" w:rsidRPr="00FC5507" w:rsidRDefault="001E56A6" w:rsidP="00FC5507">
            <w:pPr>
              <w:jc w:val="both"/>
              <w:rPr>
                <w:sz w:val="20"/>
                <w:lang w:val="fr-CA"/>
              </w:rPr>
            </w:pPr>
            <w:r w:rsidRPr="00FC5507">
              <w:rPr>
                <w:sz w:val="20"/>
                <w:lang w:val="fr-CA"/>
              </w:rPr>
              <w:t>Cour suprême du Canada</w:t>
            </w:r>
          </w:p>
        </w:tc>
        <w:tc>
          <w:tcPr>
            <w:tcW w:w="243" w:type="pct"/>
          </w:tcPr>
          <w:p w:rsidR="001E56A6" w:rsidRPr="00FC5507" w:rsidRDefault="001E56A6" w:rsidP="00FC5507">
            <w:pPr>
              <w:jc w:val="both"/>
              <w:rPr>
                <w:sz w:val="20"/>
                <w:lang w:val="fr-CA"/>
              </w:rPr>
            </w:pPr>
          </w:p>
        </w:tc>
        <w:tc>
          <w:tcPr>
            <w:tcW w:w="2330" w:type="pct"/>
          </w:tcPr>
          <w:p w:rsidR="001E56A6" w:rsidRPr="00FC5507" w:rsidRDefault="001E56A6" w:rsidP="00FC5507">
            <w:pPr>
              <w:jc w:val="both"/>
              <w:rPr>
                <w:sz w:val="20"/>
                <w:lang w:val="fr-CA"/>
              </w:rPr>
            </w:pPr>
            <w:r w:rsidRPr="00FC5507">
              <w:rPr>
                <w:sz w:val="20"/>
                <w:lang w:val="fr-CA"/>
              </w:rPr>
              <w:t>Dépôt de la demande d’autorisation d’appel</w:t>
            </w:r>
          </w:p>
          <w:p w:rsidR="001E56A6" w:rsidRPr="00FC5507" w:rsidRDefault="001E56A6" w:rsidP="00FC5507">
            <w:pPr>
              <w:jc w:val="both"/>
              <w:rPr>
                <w:sz w:val="20"/>
                <w:lang w:val="fr-CA"/>
              </w:rPr>
            </w:pPr>
          </w:p>
        </w:tc>
      </w:tr>
    </w:tbl>
    <w:p w:rsidR="001E56A6" w:rsidRDefault="001E56A6" w:rsidP="00FC5507">
      <w:pPr>
        <w:jc w:val="both"/>
        <w:rPr>
          <w:sz w:val="20"/>
          <w:lang w:val="fr-CA"/>
        </w:rPr>
      </w:pPr>
    </w:p>
    <w:p w:rsidR="00A6684F" w:rsidRPr="00FC5507" w:rsidRDefault="00A6684F" w:rsidP="00FC5507">
      <w:pPr>
        <w:jc w:val="both"/>
        <w:rPr>
          <w:sz w:val="20"/>
          <w:lang w:val="fr-CA"/>
        </w:rPr>
      </w:pPr>
      <w:r>
        <w:rPr>
          <w:sz w:val="20"/>
        </w:rPr>
        <w:pict>
          <v:rect id="_x0000_i1038"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1E56A6" w:rsidRPr="00FC5507" w:rsidTr="00602075">
        <w:trPr>
          <w:gridAfter w:val="1"/>
          <w:wAfter w:w="48" w:type="pct"/>
        </w:trPr>
        <w:tc>
          <w:tcPr>
            <w:tcW w:w="537" w:type="pct"/>
          </w:tcPr>
          <w:p w:rsidR="001E56A6" w:rsidRPr="00FC5507" w:rsidRDefault="001E56A6" w:rsidP="00FC5507">
            <w:pPr>
              <w:jc w:val="both"/>
              <w:rPr>
                <w:sz w:val="20"/>
              </w:rPr>
            </w:pPr>
            <w:r w:rsidRPr="00FC5507">
              <w:rPr>
                <w:rStyle w:val="SCCFileNumberChar"/>
                <w:sz w:val="20"/>
                <w:szCs w:val="20"/>
              </w:rPr>
              <w:t>38443</w:t>
            </w:r>
          </w:p>
        </w:tc>
        <w:tc>
          <w:tcPr>
            <w:tcW w:w="4415" w:type="pct"/>
            <w:gridSpan w:val="3"/>
          </w:tcPr>
          <w:p w:rsidR="001E56A6" w:rsidRPr="00602075" w:rsidRDefault="001E56A6" w:rsidP="00FC5507">
            <w:pPr>
              <w:pStyle w:val="SCCLsocParty"/>
              <w:jc w:val="both"/>
              <w:rPr>
                <w:b/>
                <w:sz w:val="20"/>
                <w:szCs w:val="20"/>
                <w:lang w:val="en-US"/>
              </w:rPr>
            </w:pPr>
            <w:r w:rsidRPr="00602075">
              <w:rPr>
                <w:b/>
                <w:sz w:val="20"/>
                <w:szCs w:val="20"/>
                <w:lang w:val="en-US"/>
              </w:rPr>
              <w:t>Aviva Insurance Company of Canada v. Évêque catholique romain de Bathurst</w:t>
            </w:r>
          </w:p>
          <w:p w:rsidR="001E56A6" w:rsidRPr="00FC5507" w:rsidRDefault="001E56A6" w:rsidP="00FC5507">
            <w:pPr>
              <w:jc w:val="both"/>
              <w:rPr>
                <w:sz w:val="20"/>
              </w:rPr>
            </w:pPr>
            <w:r w:rsidRPr="00FC5507">
              <w:rPr>
                <w:sz w:val="20"/>
              </w:rPr>
              <w:t>(N.B.) (Civil) (By Leave)</w:t>
            </w:r>
          </w:p>
        </w:tc>
      </w:tr>
      <w:tr w:rsidR="001E56A6" w:rsidRPr="00FC5507" w:rsidTr="00602075">
        <w:trPr>
          <w:gridAfter w:val="1"/>
          <w:wAfter w:w="48" w:type="pct"/>
        </w:trPr>
        <w:tc>
          <w:tcPr>
            <w:tcW w:w="4952" w:type="pct"/>
            <w:gridSpan w:val="4"/>
          </w:tcPr>
          <w:p w:rsidR="001E56A6" w:rsidRPr="00FC5507" w:rsidRDefault="001E56A6" w:rsidP="00FC5507">
            <w:pPr>
              <w:pStyle w:val="SCCBanSummary"/>
              <w:rPr>
                <w:sz w:val="20"/>
                <w:szCs w:val="20"/>
              </w:rPr>
            </w:pPr>
            <w:r w:rsidRPr="00FC5507">
              <w:rPr>
                <w:sz w:val="20"/>
                <w:szCs w:val="20"/>
              </w:rPr>
              <w:t>(Publication ban in case) (Sealing order) (Court file contains information that is not available for inspection by the public)</w:t>
            </w:r>
          </w:p>
          <w:p w:rsidR="001E56A6" w:rsidRPr="00FC5507" w:rsidRDefault="001E56A6" w:rsidP="00FC5507">
            <w:pPr>
              <w:jc w:val="both"/>
              <w:rPr>
                <w:sz w:val="20"/>
              </w:rPr>
            </w:pPr>
          </w:p>
        </w:tc>
      </w:tr>
      <w:tr w:rsidR="001E56A6" w:rsidRPr="00FC5507" w:rsidTr="00602075">
        <w:trPr>
          <w:gridAfter w:val="1"/>
          <w:wAfter w:w="48" w:type="pct"/>
        </w:trPr>
        <w:tc>
          <w:tcPr>
            <w:tcW w:w="4952" w:type="pct"/>
            <w:gridSpan w:val="4"/>
          </w:tcPr>
          <w:p w:rsidR="001E56A6" w:rsidRPr="00FC5507" w:rsidRDefault="001E56A6" w:rsidP="00FC5507">
            <w:pPr>
              <w:jc w:val="both"/>
              <w:rPr>
                <w:sz w:val="20"/>
              </w:rPr>
            </w:pPr>
            <w:r w:rsidRPr="00FC5507">
              <w:rPr>
                <w:sz w:val="20"/>
              </w:rPr>
              <w:t>Insurance — Extent of risk — Intentional acts — Whether a claims process initiated by an insured inviting claimants to come forward based on total anonymity constitutes the basis upon which “reasonable” settlements can be achieved — Whether the “reasonable” settlement must be assessed on the application of objective criteria only or can the criteria be subjective — Whether an insured continues to be bound by the terms of the insurance contract where the insurer has wrongfully denied coverage and to what extent — Whether a breach by the insurer entitles the insured to recovered amounts paid voluntarily and not based upon any liability imposed by law, where the contract limits recovery to liability imposed by law.</w:t>
            </w:r>
          </w:p>
        </w:tc>
      </w:tr>
      <w:tr w:rsidR="001E56A6" w:rsidRPr="00FC5507" w:rsidTr="00602075">
        <w:trPr>
          <w:gridAfter w:val="1"/>
          <w:wAfter w:w="48" w:type="pct"/>
        </w:trPr>
        <w:tc>
          <w:tcPr>
            <w:tcW w:w="4952" w:type="pct"/>
            <w:gridSpan w:val="4"/>
          </w:tcPr>
          <w:p w:rsidR="001E56A6" w:rsidRPr="00FC5507" w:rsidRDefault="001E56A6" w:rsidP="00FC5507">
            <w:pPr>
              <w:jc w:val="both"/>
              <w:rPr>
                <w:sz w:val="20"/>
              </w:rPr>
            </w:pPr>
          </w:p>
          <w:p w:rsidR="001E56A6" w:rsidRPr="00FC5507" w:rsidRDefault="001E56A6" w:rsidP="00FC5507">
            <w:pPr>
              <w:jc w:val="both"/>
              <w:rPr>
                <w:sz w:val="20"/>
              </w:rPr>
            </w:pPr>
            <w:r w:rsidRPr="00FC5507">
              <w:rPr>
                <w:sz w:val="20"/>
              </w:rPr>
              <w:t xml:space="preserve">Following the sexual abuse of youth perpetrated by various priests in the respondent Diocese of Bathurst between the late 1950s and the early 1980s, and the criminal conviction of two of them, claims were made against the Diocese. The Diocese’s insurer, the applicant Aviva Insurance Company of Canada participated in one settlement and denied coverage for subsequent cases. The Diocese responded by setting up a </w:t>
            </w:r>
            <w:proofErr w:type="spellStart"/>
            <w:r w:rsidRPr="00FC5507">
              <w:rPr>
                <w:sz w:val="20"/>
              </w:rPr>
              <w:t>concilitation</w:t>
            </w:r>
            <w:proofErr w:type="spellEnd"/>
            <w:r w:rsidRPr="00FC5507">
              <w:rPr>
                <w:sz w:val="20"/>
              </w:rPr>
              <w:t xml:space="preserve"> system that would resolve the </w:t>
            </w:r>
            <w:r w:rsidRPr="00FC5507">
              <w:rPr>
                <w:sz w:val="20"/>
              </w:rPr>
              <w:lastRenderedPageBreak/>
              <w:t>claims, a parallel system to the conventional procedure that was also used by other claimants. The Diocese paid out over $7 million before commencing an action against Aviva for breach of contract.</w:t>
            </w:r>
            <w:r w:rsidRPr="00FC5507">
              <w:rPr>
                <w:b/>
                <w:sz w:val="20"/>
              </w:rPr>
              <w:t xml:space="preserve"> </w:t>
            </w:r>
            <w:r w:rsidRPr="00FC5507">
              <w:rPr>
                <w:sz w:val="20"/>
              </w:rPr>
              <w:t>The trial judge found that the conciliation claims were not covered by the Diocese’s insurance policies as they were voluntary payments, whereas the claims resolved by the traditional process were found to be covered by those same policies.</w:t>
            </w:r>
            <w:r w:rsidRPr="00FC5507">
              <w:rPr>
                <w:b/>
                <w:sz w:val="20"/>
              </w:rPr>
              <w:t xml:space="preserve"> </w:t>
            </w:r>
            <w:r w:rsidRPr="00FC5507">
              <w:rPr>
                <w:sz w:val="20"/>
              </w:rPr>
              <w:t>The Court of Appeal found that Aviva is responsible for both the conciliation claims and those resolved by the traditional process.</w:t>
            </w:r>
          </w:p>
          <w:p w:rsidR="001E56A6" w:rsidRPr="00FC5507" w:rsidRDefault="001E56A6" w:rsidP="00FC5507">
            <w:pPr>
              <w:jc w:val="both"/>
              <w:rPr>
                <w:sz w:val="20"/>
              </w:rPr>
            </w:pPr>
          </w:p>
        </w:tc>
      </w:tr>
      <w:tr w:rsidR="001E56A6" w:rsidRPr="00FC5507" w:rsidTr="00602075">
        <w:tblPrEx>
          <w:tblCellMar>
            <w:bottom w:w="0" w:type="dxa"/>
          </w:tblCellMar>
        </w:tblPrEx>
        <w:tc>
          <w:tcPr>
            <w:tcW w:w="2367" w:type="pct"/>
            <w:gridSpan w:val="2"/>
          </w:tcPr>
          <w:p w:rsidR="001E56A6" w:rsidRPr="00FC5507" w:rsidRDefault="001E56A6" w:rsidP="00FC5507">
            <w:pPr>
              <w:jc w:val="both"/>
              <w:rPr>
                <w:sz w:val="20"/>
              </w:rPr>
            </w:pPr>
            <w:r w:rsidRPr="00FC5507">
              <w:rPr>
                <w:sz w:val="20"/>
              </w:rPr>
              <w:lastRenderedPageBreak/>
              <w:t>October 7, 2016</w:t>
            </w:r>
          </w:p>
          <w:p w:rsidR="001E56A6" w:rsidRPr="00FC5507" w:rsidRDefault="001E56A6" w:rsidP="00FC5507">
            <w:pPr>
              <w:jc w:val="both"/>
              <w:rPr>
                <w:sz w:val="20"/>
              </w:rPr>
            </w:pPr>
            <w:r w:rsidRPr="00FC5507">
              <w:rPr>
                <w:sz w:val="20"/>
              </w:rPr>
              <w:t>Court of Queen’s Bench of New Brunswick</w:t>
            </w:r>
          </w:p>
          <w:p w:rsidR="001E56A6" w:rsidRPr="00FC5507" w:rsidRDefault="001E56A6" w:rsidP="00FC5507">
            <w:pPr>
              <w:jc w:val="both"/>
              <w:rPr>
                <w:sz w:val="20"/>
              </w:rPr>
            </w:pPr>
            <w:r w:rsidRPr="00FC5507">
              <w:rPr>
                <w:sz w:val="20"/>
              </w:rPr>
              <w:t>(McNally J.)</w:t>
            </w:r>
          </w:p>
          <w:p w:rsidR="001E56A6" w:rsidRPr="00FC5507" w:rsidRDefault="001E56A6" w:rsidP="00FC5507">
            <w:pPr>
              <w:jc w:val="both"/>
              <w:rPr>
                <w:sz w:val="20"/>
              </w:rPr>
            </w:pPr>
            <w:r w:rsidRPr="00FC5507">
              <w:rPr>
                <w:color w:val="000000"/>
                <w:sz w:val="20"/>
                <w:shd w:val="clear" w:color="auto" w:fill="FFFFFF"/>
              </w:rPr>
              <w:t>2016 NBQB 174</w:t>
            </w:r>
          </w:p>
          <w:p w:rsidR="001E56A6" w:rsidRPr="00FC5507" w:rsidRDefault="001E56A6" w:rsidP="00FC5507">
            <w:pPr>
              <w:jc w:val="both"/>
              <w:rPr>
                <w:sz w:val="20"/>
              </w:rPr>
            </w:pPr>
          </w:p>
        </w:tc>
        <w:tc>
          <w:tcPr>
            <w:tcW w:w="267" w:type="pct"/>
          </w:tcPr>
          <w:p w:rsidR="001E56A6" w:rsidRPr="00FC5507" w:rsidRDefault="001E56A6" w:rsidP="00FC5507">
            <w:pPr>
              <w:jc w:val="both"/>
              <w:rPr>
                <w:sz w:val="20"/>
              </w:rPr>
            </w:pPr>
          </w:p>
        </w:tc>
        <w:tc>
          <w:tcPr>
            <w:tcW w:w="2366" w:type="pct"/>
            <w:gridSpan w:val="2"/>
          </w:tcPr>
          <w:p w:rsidR="001E56A6" w:rsidRPr="00FC5507" w:rsidRDefault="001E56A6" w:rsidP="00FC5507">
            <w:pPr>
              <w:jc w:val="both"/>
              <w:rPr>
                <w:sz w:val="20"/>
              </w:rPr>
            </w:pPr>
            <w:r w:rsidRPr="00FC5507">
              <w:rPr>
                <w:sz w:val="20"/>
              </w:rPr>
              <w:t>The trial judge found Aviva liable for the claims resolved by the traditional process but not those resolved through the conciliation process.</w:t>
            </w:r>
          </w:p>
          <w:p w:rsidR="001E56A6" w:rsidRPr="00FC5507" w:rsidRDefault="001E56A6" w:rsidP="00FC5507">
            <w:pPr>
              <w:jc w:val="both"/>
              <w:rPr>
                <w:sz w:val="20"/>
              </w:rPr>
            </w:pPr>
          </w:p>
        </w:tc>
      </w:tr>
      <w:tr w:rsidR="001E56A6" w:rsidRPr="00FC5507" w:rsidTr="00602075">
        <w:tblPrEx>
          <w:tblCellMar>
            <w:bottom w:w="0" w:type="dxa"/>
          </w:tblCellMar>
        </w:tblPrEx>
        <w:tc>
          <w:tcPr>
            <w:tcW w:w="2367" w:type="pct"/>
            <w:gridSpan w:val="2"/>
          </w:tcPr>
          <w:p w:rsidR="001E56A6" w:rsidRPr="00FC5507" w:rsidRDefault="001E56A6" w:rsidP="00FC5507">
            <w:pPr>
              <w:jc w:val="both"/>
              <w:rPr>
                <w:sz w:val="20"/>
              </w:rPr>
            </w:pPr>
            <w:r w:rsidRPr="00FC5507">
              <w:rPr>
                <w:sz w:val="20"/>
              </w:rPr>
              <w:t>October 18, 2018</w:t>
            </w:r>
          </w:p>
          <w:p w:rsidR="001E56A6" w:rsidRPr="00FC5507" w:rsidRDefault="001E56A6" w:rsidP="00FC5507">
            <w:pPr>
              <w:jc w:val="both"/>
              <w:rPr>
                <w:sz w:val="20"/>
              </w:rPr>
            </w:pPr>
            <w:r w:rsidRPr="00FC5507">
              <w:rPr>
                <w:sz w:val="20"/>
              </w:rPr>
              <w:t>Court of Appeal of New Brunswick</w:t>
            </w:r>
          </w:p>
          <w:p w:rsidR="001E56A6" w:rsidRPr="00FC5507" w:rsidRDefault="001E56A6" w:rsidP="00FC5507">
            <w:pPr>
              <w:jc w:val="both"/>
              <w:rPr>
                <w:sz w:val="20"/>
              </w:rPr>
            </w:pPr>
            <w:r w:rsidRPr="00FC5507">
              <w:rPr>
                <w:sz w:val="20"/>
              </w:rPr>
              <w:t>(</w:t>
            </w:r>
            <w:proofErr w:type="spellStart"/>
            <w:r w:rsidRPr="00FC5507">
              <w:rPr>
                <w:sz w:val="20"/>
              </w:rPr>
              <w:t>Larlee</w:t>
            </w:r>
            <w:proofErr w:type="spellEnd"/>
            <w:r w:rsidRPr="00FC5507">
              <w:rPr>
                <w:sz w:val="20"/>
              </w:rPr>
              <w:t xml:space="preserve">, Richard and </w:t>
            </w:r>
            <w:proofErr w:type="spellStart"/>
            <w:r w:rsidRPr="00FC5507">
              <w:rPr>
                <w:sz w:val="20"/>
              </w:rPr>
              <w:t>Quigg</w:t>
            </w:r>
            <w:proofErr w:type="spellEnd"/>
            <w:r w:rsidRPr="00FC5507">
              <w:rPr>
                <w:sz w:val="20"/>
              </w:rPr>
              <w:t xml:space="preserve"> JJ.A.)</w:t>
            </w:r>
          </w:p>
          <w:p w:rsidR="001E56A6" w:rsidRPr="00FC5507" w:rsidRDefault="00685225" w:rsidP="00FC5507">
            <w:pPr>
              <w:jc w:val="both"/>
              <w:rPr>
                <w:sz w:val="20"/>
              </w:rPr>
            </w:pPr>
            <w:hyperlink r:id="rId61" w:history="1">
              <w:r w:rsidR="001E56A6" w:rsidRPr="00FC5507">
                <w:rPr>
                  <w:rStyle w:val="Hyperlink"/>
                  <w:sz w:val="20"/>
                  <w:shd w:val="clear" w:color="auto" w:fill="FFFFFF"/>
                </w:rPr>
                <w:t>2018 NBCA 64</w:t>
              </w:r>
            </w:hyperlink>
          </w:p>
          <w:p w:rsidR="001E56A6" w:rsidRPr="00FC5507" w:rsidRDefault="001E56A6" w:rsidP="00FC5507">
            <w:pPr>
              <w:jc w:val="both"/>
              <w:rPr>
                <w:sz w:val="20"/>
              </w:rPr>
            </w:pPr>
          </w:p>
        </w:tc>
        <w:tc>
          <w:tcPr>
            <w:tcW w:w="267" w:type="pct"/>
          </w:tcPr>
          <w:p w:rsidR="001E56A6" w:rsidRPr="00FC5507" w:rsidRDefault="001E56A6" w:rsidP="00FC5507">
            <w:pPr>
              <w:jc w:val="both"/>
              <w:rPr>
                <w:sz w:val="20"/>
              </w:rPr>
            </w:pPr>
          </w:p>
        </w:tc>
        <w:tc>
          <w:tcPr>
            <w:tcW w:w="2366" w:type="pct"/>
            <w:gridSpan w:val="2"/>
          </w:tcPr>
          <w:p w:rsidR="001E56A6" w:rsidRPr="00FC5507" w:rsidRDefault="001E56A6" w:rsidP="00FC5507">
            <w:pPr>
              <w:jc w:val="both"/>
              <w:rPr>
                <w:sz w:val="20"/>
              </w:rPr>
            </w:pPr>
            <w:r w:rsidRPr="00FC5507">
              <w:rPr>
                <w:sz w:val="20"/>
              </w:rPr>
              <w:t>The Court of Appeal found Aviva liable for both the conciliation claims and those resolved by the traditional process.</w:t>
            </w:r>
          </w:p>
          <w:p w:rsidR="001E56A6" w:rsidRPr="00FC5507" w:rsidRDefault="001E56A6" w:rsidP="00FC5507">
            <w:pPr>
              <w:jc w:val="both"/>
              <w:rPr>
                <w:sz w:val="20"/>
              </w:rPr>
            </w:pPr>
          </w:p>
        </w:tc>
      </w:tr>
      <w:tr w:rsidR="001E56A6" w:rsidRPr="00FC5507" w:rsidTr="00602075">
        <w:tblPrEx>
          <w:tblCellMar>
            <w:bottom w:w="0" w:type="dxa"/>
          </w:tblCellMar>
        </w:tblPrEx>
        <w:tc>
          <w:tcPr>
            <w:tcW w:w="2367" w:type="pct"/>
            <w:gridSpan w:val="2"/>
          </w:tcPr>
          <w:p w:rsidR="001E56A6" w:rsidRPr="00FC5507" w:rsidRDefault="001E56A6" w:rsidP="00FC5507">
            <w:pPr>
              <w:jc w:val="both"/>
              <w:rPr>
                <w:sz w:val="20"/>
              </w:rPr>
            </w:pPr>
            <w:r w:rsidRPr="00FC5507">
              <w:rPr>
                <w:sz w:val="20"/>
              </w:rPr>
              <w:t>December 14, 2018</w:t>
            </w:r>
          </w:p>
          <w:p w:rsidR="001E56A6" w:rsidRPr="00FC5507" w:rsidRDefault="001E56A6" w:rsidP="00FC5507">
            <w:pPr>
              <w:jc w:val="both"/>
              <w:rPr>
                <w:sz w:val="20"/>
              </w:rPr>
            </w:pPr>
            <w:r w:rsidRPr="00FC5507">
              <w:rPr>
                <w:sz w:val="20"/>
              </w:rPr>
              <w:t>Supreme Court of Canada</w:t>
            </w:r>
          </w:p>
        </w:tc>
        <w:tc>
          <w:tcPr>
            <w:tcW w:w="267" w:type="pct"/>
          </w:tcPr>
          <w:p w:rsidR="001E56A6" w:rsidRPr="00FC5507" w:rsidRDefault="001E56A6" w:rsidP="00FC5507">
            <w:pPr>
              <w:jc w:val="both"/>
              <w:rPr>
                <w:sz w:val="20"/>
              </w:rPr>
            </w:pPr>
          </w:p>
        </w:tc>
        <w:tc>
          <w:tcPr>
            <w:tcW w:w="2366" w:type="pct"/>
            <w:gridSpan w:val="2"/>
          </w:tcPr>
          <w:p w:rsidR="001E56A6" w:rsidRPr="00FC5507" w:rsidRDefault="001E56A6" w:rsidP="00FC5507">
            <w:pPr>
              <w:jc w:val="both"/>
              <w:rPr>
                <w:sz w:val="20"/>
              </w:rPr>
            </w:pPr>
            <w:r w:rsidRPr="00FC5507">
              <w:rPr>
                <w:sz w:val="20"/>
              </w:rPr>
              <w:t>Application for leave to appeal filed.</w:t>
            </w:r>
          </w:p>
          <w:p w:rsidR="001E56A6" w:rsidRPr="00FC5507" w:rsidRDefault="001E56A6" w:rsidP="00FC5507">
            <w:pPr>
              <w:jc w:val="both"/>
              <w:rPr>
                <w:sz w:val="20"/>
              </w:rPr>
            </w:pPr>
          </w:p>
        </w:tc>
      </w:tr>
    </w:tbl>
    <w:p w:rsidR="001E56A6" w:rsidRDefault="001E56A6" w:rsidP="00FC5507">
      <w:pPr>
        <w:jc w:val="both"/>
        <w:rPr>
          <w:sz w:val="20"/>
        </w:rPr>
      </w:pPr>
    </w:p>
    <w:p w:rsidR="00A6684F" w:rsidRPr="00FC5507" w:rsidRDefault="00A6684F" w:rsidP="00FC5507">
      <w:pPr>
        <w:jc w:val="both"/>
        <w:rPr>
          <w:sz w:val="20"/>
        </w:rPr>
      </w:pPr>
      <w:r>
        <w:rPr>
          <w:sz w:val="20"/>
        </w:rPr>
        <w:pict>
          <v:rect id="_x0000_i1039" style="width:2in;height:1pt" o:hrpct="0" o:hralign="center" o:hrstd="t" o:hrnoshade="t" o:hr="t" fillcolor="black [3213]" stroked="f"/>
        </w:pict>
      </w:r>
    </w:p>
    <w:p w:rsidR="001E56A6" w:rsidRPr="00FC5507" w:rsidRDefault="001E56A6" w:rsidP="00FC5507">
      <w:pPr>
        <w:ind w:left="142" w:hanging="142"/>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1E56A6" w:rsidRPr="00FC5507" w:rsidTr="00602075">
        <w:trPr>
          <w:gridAfter w:val="1"/>
          <w:wAfter w:w="48" w:type="pct"/>
        </w:trPr>
        <w:tc>
          <w:tcPr>
            <w:tcW w:w="537" w:type="pct"/>
          </w:tcPr>
          <w:p w:rsidR="001E56A6" w:rsidRPr="00FC5507" w:rsidRDefault="001E56A6" w:rsidP="00FC5507">
            <w:pPr>
              <w:jc w:val="both"/>
              <w:rPr>
                <w:sz w:val="20"/>
                <w:lang w:val="fr-CA"/>
              </w:rPr>
            </w:pPr>
            <w:r w:rsidRPr="00FC5507">
              <w:rPr>
                <w:rStyle w:val="SCCFileNumberChar"/>
                <w:sz w:val="20"/>
                <w:szCs w:val="20"/>
                <w:lang w:val="fr-CA"/>
              </w:rPr>
              <w:t>38443</w:t>
            </w:r>
          </w:p>
        </w:tc>
        <w:tc>
          <w:tcPr>
            <w:tcW w:w="4415" w:type="pct"/>
            <w:gridSpan w:val="3"/>
          </w:tcPr>
          <w:p w:rsidR="001E56A6" w:rsidRPr="00602075" w:rsidRDefault="001E56A6" w:rsidP="00FC5507">
            <w:pPr>
              <w:pStyle w:val="SCCLsocParty"/>
              <w:jc w:val="both"/>
              <w:rPr>
                <w:b/>
                <w:sz w:val="20"/>
                <w:szCs w:val="20"/>
              </w:rPr>
            </w:pPr>
            <w:r w:rsidRPr="00602075">
              <w:rPr>
                <w:b/>
                <w:sz w:val="20"/>
                <w:szCs w:val="20"/>
              </w:rPr>
              <w:t>Aviva, Compagnie d’Assurance du Canada c. Évêque catholique romain de Bathurst</w:t>
            </w:r>
          </w:p>
          <w:p w:rsidR="001E56A6" w:rsidRPr="00FC5507" w:rsidRDefault="001E56A6" w:rsidP="00FC5507">
            <w:pPr>
              <w:jc w:val="both"/>
              <w:rPr>
                <w:sz w:val="20"/>
                <w:lang w:val="fr-CA"/>
              </w:rPr>
            </w:pPr>
            <w:r w:rsidRPr="00FC5507">
              <w:rPr>
                <w:sz w:val="20"/>
                <w:lang w:val="fr-CA"/>
              </w:rPr>
              <w:t>(N.-B.) (Civile) (Autorisation)</w:t>
            </w:r>
          </w:p>
        </w:tc>
      </w:tr>
      <w:tr w:rsidR="001E56A6" w:rsidRPr="00A6684F" w:rsidTr="00602075">
        <w:trPr>
          <w:gridAfter w:val="1"/>
          <w:wAfter w:w="48" w:type="pct"/>
        </w:trPr>
        <w:tc>
          <w:tcPr>
            <w:tcW w:w="4952" w:type="pct"/>
            <w:gridSpan w:val="4"/>
          </w:tcPr>
          <w:p w:rsidR="001E56A6" w:rsidRPr="00FC5507" w:rsidRDefault="001E56A6" w:rsidP="00FC5507">
            <w:pPr>
              <w:pStyle w:val="SCCBanSummary"/>
              <w:rPr>
                <w:sz w:val="20"/>
                <w:szCs w:val="20"/>
                <w:lang w:val="fr-CA"/>
              </w:rPr>
            </w:pPr>
            <w:r w:rsidRPr="00FC5507">
              <w:rPr>
                <w:sz w:val="20"/>
                <w:szCs w:val="20"/>
                <w:lang w:val="fr-CA"/>
              </w:rPr>
              <w:t>(Ordonnance de non-publication dans le dossier) (Ordonnance de mise sous scellés) (Le dossier de la Cour renferme des données que le public n’est pas autorisé à consulter)</w:t>
            </w:r>
          </w:p>
          <w:p w:rsidR="001E56A6" w:rsidRPr="00FC5507" w:rsidRDefault="001E56A6" w:rsidP="00FC5507">
            <w:pPr>
              <w:jc w:val="both"/>
              <w:rPr>
                <w:sz w:val="20"/>
                <w:lang w:val="fr-CA"/>
              </w:rPr>
            </w:pPr>
          </w:p>
        </w:tc>
      </w:tr>
      <w:tr w:rsidR="001E56A6" w:rsidRPr="00A6684F" w:rsidTr="00602075">
        <w:trPr>
          <w:gridAfter w:val="1"/>
          <w:wAfter w:w="48" w:type="pct"/>
        </w:trPr>
        <w:tc>
          <w:tcPr>
            <w:tcW w:w="4952" w:type="pct"/>
            <w:gridSpan w:val="4"/>
          </w:tcPr>
          <w:p w:rsidR="001E56A6" w:rsidRPr="00FC5507" w:rsidRDefault="001E56A6" w:rsidP="00FC5507">
            <w:pPr>
              <w:jc w:val="both"/>
              <w:rPr>
                <w:sz w:val="20"/>
                <w:lang w:val="fr-CA"/>
              </w:rPr>
            </w:pPr>
            <w:r w:rsidRPr="00FC5507">
              <w:rPr>
                <w:sz w:val="20"/>
                <w:lang w:val="fr-CA"/>
              </w:rPr>
              <w:t>Assurance — Étendue du risque — Actes intentionnels — Des règlements « raisonnables » peuvent-ils être conclus sur le fondement d’un processus de réclamation initié par un assuré invitant des demandeurs à se manifester de façon totalement anonyme? — Le règlement « raisonnable » doit-il être évalué par l’application de critères objectifs seulement ou est-ce que les critères peuvent être subjectifs? — Un assuré continue-t-il d’être lié par les conditions du contrat d’assurance lorsque l’assureur a refusé à tort d’honorer la garantie et dans quelle mesure l’est-il? — Un manquement par l’assureur donne-t-il à l’assuré le droit aux montants recouvrés payés volontairement et non fondés sur une responsabilité imposée par la loi lorsque le contrat limite le recouvrement à la responsabilité imposée par la loi?</w:t>
            </w:r>
          </w:p>
        </w:tc>
      </w:tr>
      <w:tr w:rsidR="001E56A6" w:rsidRPr="00A6684F" w:rsidTr="00602075">
        <w:trPr>
          <w:gridAfter w:val="1"/>
          <w:wAfter w:w="48" w:type="pct"/>
        </w:trPr>
        <w:tc>
          <w:tcPr>
            <w:tcW w:w="4952" w:type="pct"/>
            <w:gridSpan w:val="4"/>
          </w:tcPr>
          <w:p w:rsidR="001E56A6" w:rsidRPr="00FC5507" w:rsidRDefault="001E56A6" w:rsidP="00FC5507">
            <w:pPr>
              <w:jc w:val="both"/>
              <w:rPr>
                <w:sz w:val="20"/>
                <w:lang w:val="fr-CA"/>
              </w:rPr>
            </w:pPr>
          </w:p>
          <w:p w:rsidR="001E56A6" w:rsidRPr="00FC5507" w:rsidRDefault="001E56A6" w:rsidP="00FC5507">
            <w:pPr>
              <w:jc w:val="both"/>
              <w:rPr>
                <w:sz w:val="20"/>
                <w:lang w:val="fr-CA"/>
              </w:rPr>
            </w:pPr>
            <w:r w:rsidRPr="00FC5507">
              <w:rPr>
                <w:sz w:val="20"/>
                <w:lang w:val="fr-CA"/>
              </w:rPr>
              <w:t xml:space="preserve">À la suite d’abus sexuels perpétrés par des prêtres dans le diocèse de Bathurst entre la fin des années 1950 et le début des années 1980, et la déclaration de culpabilité criminelle de deux d’entre eux, des réclamations ont été présentées contre le diocèse. L’assureur du diocèse, la demanderesse Aviva, Compagnie d’Assurance du Canada, a participé au règlement d’une des demandes et a refusé toute indemnisation par la suite. Le diocèse a réagi en mettant en place un système de conciliation pour régler les demandes, un système parallèle à la procédure conventionnelle dont se sont aussi prévalus d’autres demandeurs. Le diocèse </w:t>
            </w:r>
            <w:proofErr w:type="gramStart"/>
            <w:r w:rsidRPr="00FC5507">
              <w:rPr>
                <w:sz w:val="20"/>
                <w:lang w:val="fr-CA"/>
              </w:rPr>
              <w:t>a</w:t>
            </w:r>
            <w:proofErr w:type="gramEnd"/>
            <w:r w:rsidRPr="00FC5507">
              <w:rPr>
                <w:sz w:val="20"/>
                <w:lang w:val="fr-CA"/>
              </w:rPr>
              <w:t xml:space="preserve"> versé plus de sept millions de dollars avant d’intenter une action contre Aviva pour violation de contrat.</w:t>
            </w:r>
            <w:r w:rsidRPr="00FC5507">
              <w:rPr>
                <w:b/>
                <w:sz w:val="20"/>
                <w:lang w:val="fr-CA"/>
              </w:rPr>
              <w:t xml:space="preserve"> </w:t>
            </w:r>
            <w:r w:rsidRPr="00FC5507">
              <w:rPr>
                <w:sz w:val="20"/>
                <w:lang w:val="fr-CA"/>
              </w:rPr>
              <w:t>Le juge de première instance a conclu que les demandes présentées dans le cadre du processus de conciliation n’étaient pas couvertes par les polices d’assurance du diocèse, puisqu’il s’agissait de paiements volontaires, tandis que celles qui ont été réglées dans le cadre d’une procédure traditionnelle l’étaient.</w:t>
            </w:r>
            <w:r w:rsidRPr="00FC5507">
              <w:rPr>
                <w:b/>
                <w:sz w:val="20"/>
                <w:lang w:val="fr-CA"/>
              </w:rPr>
              <w:t xml:space="preserve"> </w:t>
            </w:r>
            <w:r w:rsidRPr="00FC5507">
              <w:rPr>
                <w:sz w:val="20"/>
                <w:lang w:val="fr-CA"/>
              </w:rPr>
              <w:t>La Cour d’appel a conclu qu’Aviva était responsable à l’égard des demandes présentées dans le cadre du processus de conciliation et de celles qui ont été réglées dans le cadre du processus traditionnel.</w:t>
            </w:r>
          </w:p>
          <w:p w:rsidR="001E56A6" w:rsidRPr="00FC5507" w:rsidRDefault="001E56A6" w:rsidP="00FC5507">
            <w:pPr>
              <w:jc w:val="both"/>
              <w:rPr>
                <w:sz w:val="20"/>
                <w:lang w:val="fr-CA"/>
              </w:rPr>
            </w:pPr>
          </w:p>
        </w:tc>
      </w:tr>
      <w:tr w:rsidR="001E56A6" w:rsidRPr="00A6684F" w:rsidTr="00602075">
        <w:tblPrEx>
          <w:tblCellMar>
            <w:bottom w:w="0" w:type="dxa"/>
          </w:tblCellMar>
        </w:tblPrEx>
        <w:tc>
          <w:tcPr>
            <w:tcW w:w="2367" w:type="pct"/>
            <w:gridSpan w:val="2"/>
          </w:tcPr>
          <w:p w:rsidR="001E56A6" w:rsidRPr="00FC5507" w:rsidRDefault="001E56A6" w:rsidP="00FC5507">
            <w:pPr>
              <w:jc w:val="both"/>
              <w:rPr>
                <w:sz w:val="20"/>
                <w:lang w:val="fr-CA"/>
              </w:rPr>
            </w:pPr>
            <w:r w:rsidRPr="00FC5507">
              <w:rPr>
                <w:sz w:val="20"/>
                <w:lang w:val="fr-CA"/>
              </w:rPr>
              <w:t>7 octobre 2016</w:t>
            </w:r>
          </w:p>
          <w:p w:rsidR="001E56A6" w:rsidRPr="00FC5507" w:rsidRDefault="001E56A6" w:rsidP="00FC5507">
            <w:pPr>
              <w:jc w:val="both"/>
              <w:rPr>
                <w:sz w:val="20"/>
                <w:lang w:val="fr-CA"/>
              </w:rPr>
            </w:pPr>
            <w:r w:rsidRPr="00FC5507">
              <w:rPr>
                <w:sz w:val="20"/>
                <w:lang w:val="fr-CA"/>
              </w:rPr>
              <w:t>Cour du Banc de la Reine du Nouveau-Brunswick</w:t>
            </w:r>
          </w:p>
          <w:p w:rsidR="001E56A6" w:rsidRPr="00FC5507" w:rsidRDefault="001E56A6" w:rsidP="00FC5507">
            <w:pPr>
              <w:jc w:val="both"/>
              <w:rPr>
                <w:sz w:val="20"/>
                <w:lang w:val="fr-CA"/>
              </w:rPr>
            </w:pPr>
            <w:r w:rsidRPr="00FC5507">
              <w:rPr>
                <w:sz w:val="20"/>
                <w:lang w:val="fr-CA"/>
              </w:rPr>
              <w:t>(Juge McNally)</w:t>
            </w:r>
          </w:p>
          <w:p w:rsidR="001E56A6" w:rsidRPr="00FC5507" w:rsidRDefault="001E56A6" w:rsidP="00FC5507">
            <w:pPr>
              <w:jc w:val="both"/>
              <w:rPr>
                <w:sz w:val="20"/>
                <w:lang w:val="fr-CA"/>
              </w:rPr>
            </w:pPr>
            <w:r w:rsidRPr="00FC5507">
              <w:rPr>
                <w:color w:val="000000"/>
                <w:sz w:val="20"/>
                <w:shd w:val="clear" w:color="auto" w:fill="FFFFFF"/>
                <w:lang w:val="fr-CA"/>
              </w:rPr>
              <w:t>2016 NBQB 174</w:t>
            </w:r>
          </w:p>
          <w:p w:rsidR="001E56A6" w:rsidRPr="00FC5507" w:rsidRDefault="001E56A6" w:rsidP="00FC5507">
            <w:pPr>
              <w:jc w:val="both"/>
              <w:rPr>
                <w:sz w:val="20"/>
                <w:lang w:val="fr-CA"/>
              </w:rPr>
            </w:pPr>
          </w:p>
        </w:tc>
        <w:tc>
          <w:tcPr>
            <w:tcW w:w="267" w:type="pct"/>
          </w:tcPr>
          <w:p w:rsidR="001E56A6" w:rsidRPr="00FC5507" w:rsidRDefault="001E56A6" w:rsidP="00FC5507">
            <w:pPr>
              <w:jc w:val="both"/>
              <w:rPr>
                <w:sz w:val="20"/>
                <w:lang w:val="fr-CA"/>
              </w:rPr>
            </w:pPr>
          </w:p>
        </w:tc>
        <w:tc>
          <w:tcPr>
            <w:tcW w:w="2366" w:type="pct"/>
            <w:gridSpan w:val="2"/>
          </w:tcPr>
          <w:p w:rsidR="001E56A6" w:rsidRPr="00FC5507" w:rsidRDefault="001E56A6" w:rsidP="00FC5507">
            <w:pPr>
              <w:jc w:val="both"/>
              <w:rPr>
                <w:sz w:val="20"/>
                <w:lang w:val="fr-CA"/>
              </w:rPr>
            </w:pPr>
            <w:r w:rsidRPr="00FC5507">
              <w:rPr>
                <w:sz w:val="20"/>
                <w:lang w:val="fr-CA"/>
              </w:rPr>
              <w:t>Jugement concluant qu’Aviva est responsable à l’égard des demandes réglées par le processus traditionnel, mais non à l’égard de celles réglées par le processus de conciliation.</w:t>
            </w:r>
          </w:p>
          <w:p w:rsidR="001E56A6" w:rsidRPr="00FC5507" w:rsidRDefault="001E56A6" w:rsidP="00FC5507">
            <w:pPr>
              <w:jc w:val="both"/>
              <w:rPr>
                <w:sz w:val="20"/>
                <w:lang w:val="fr-CA"/>
              </w:rPr>
            </w:pPr>
          </w:p>
        </w:tc>
      </w:tr>
      <w:tr w:rsidR="001E56A6" w:rsidRPr="00A6684F" w:rsidTr="00602075">
        <w:tblPrEx>
          <w:tblCellMar>
            <w:bottom w:w="0" w:type="dxa"/>
          </w:tblCellMar>
        </w:tblPrEx>
        <w:tc>
          <w:tcPr>
            <w:tcW w:w="2367" w:type="pct"/>
            <w:gridSpan w:val="2"/>
          </w:tcPr>
          <w:p w:rsidR="001E56A6" w:rsidRPr="00FC5507" w:rsidRDefault="001E56A6" w:rsidP="00FC5507">
            <w:pPr>
              <w:jc w:val="both"/>
              <w:rPr>
                <w:sz w:val="20"/>
                <w:lang w:val="fr-CA"/>
              </w:rPr>
            </w:pPr>
            <w:r w:rsidRPr="00FC5507">
              <w:rPr>
                <w:sz w:val="20"/>
                <w:lang w:val="fr-CA"/>
              </w:rPr>
              <w:t>18 octobre 2018</w:t>
            </w:r>
          </w:p>
          <w:p w:rsidR="001E56A6" w:rsidRPr="00FC5507" w:rsidRDefault="001E56A6" w:rsidP="00FC5507">
            <w:pPr>
              <w:jc w:val="both"/>
              <w:rPr>
                <w:sz w:val="20"/>
                <w:lang w:val="fr-CA"/>
              </w:rPr>
            </w:pPr>
            <w:r w:rsidRPr="00FC5507">
              <w:rPr>
                <w:sz w:val="20"/>
                <w:lang w:val="fr-CA"/>
              </w:rPr>
              <w:t>Cour d’appel du Nouveau-Brunswick</w:t>
            </w:r>
          </w:p>
          <w:p w:rsidR="001E56A6" w:rsidRPr="00FC5507" w:rsidRDefault="001E56A6" w:rsidP="00FC5507">
            <w:pPr>
              <w:jc w:val="both"/>
              <w:rPr>
                <w:sz w:val="20"/>
                <w:lang w:val="fr-CA"/>
              </w:rPr>
            </w:pPr>
            <w:r w:rsidRPr="00FC5507">
              <w:rPr>
                <w:sz w:val="20"/>
                <w:lang w:val="fr-CA"/>
              </w:rPr>
              <w:lastRenderedPageBreak/>
              <w:t>(Juges Larlee, Richard et Quigg)</w:t>
            </w:r>
          </w:p>
          <w:p w:rsidR="001E56A6" w:rsidRPr="00FC5507" w:rsidRDefault="00685225" w:rsidP="00FC5507">
            <w:pPr>
              <w:jc w:val="both"/>
              <w:rPr>
                <w:sz w:val="20"/>
                <w:lang w:val="fr-CA"/>
              </w:rPr>
            </w:pPr>
            <w:hyperlink r:id="rId62" w:history="1">
              <w:r w:rsidR="001E56A6" w:rsidRPr="00FC5507">
                <w:rPr>
                  <w:rStyle w:val="Hyperlink"/>
                  <w:sz w:val="20"/>
                  <w:shd w:val="clear" w:color="auto" w:fill="FFFFFF"/>
                  <w:lang w:val="fr-CA"/>
                </w:rPr>
                <w:t>2018 NBCA 64</w:t>
              </w:r>
            </w:hyperlink>
          </w:p>
          <w:p w:rsidR="001E56A6" w:rsidRPr="00FC5507" w:rsidRDefault="001E56A6" w:rsidP="00FC5507">
            <w:pPr>
              <w:jc w:val="both"/>
              <w:rPr>
                <w:sz w:val="20"/>
                <w:lang w:val="fr-CA"/>
              </w:rPr>
            </w:pPr>
          </w:p>
        </w:tc>
        <w:tc>
          <w:tcPr>
            <w:tcW w:w="267" w:type="pct"/>
          </w:tcPr>
          <w:p w:rsidR="001E56A6" w:rsidRPr="00FC5507" w:rsidRDefault="001E56A6" w:rsidP="00FC5507">
            <w:pPr>
              <w:jc w:val="both"/>
              <w:rPr>
                <w:sz w:val="20"/>
                <w:lang w:val="fr-CA"/>
              </w:rPr>
            </w:pPr>
          </w:p>
        </w:tc>
        <w:tc>
          <w:tcPr>
            <w:tcW w:w="2366" w:type="pct"/>
            <w:gridSpan w:val="2"/>
          </w:tcPr>
          <w:p w:rsidR="001E56A6" w:rsidRPr="00FC5507" w:rsidRDefault="001E56A6" w:rsidP="00FC5507">
            <w:pPr>
              <w:jc w:val="both"/>
              <w:rPr>
                <w:sz w:val="20"/>
                <w:lang w:val="fr-CA"/>
              </w:rPr>
            </w:pPr>
            <w:r w:rsidRPr="00FC5507">
              <w:rPr>
                <w:sz w:val="20"/>
                <w:lang w:val="fr-CA"/>
              </w:rPr>
              <w:t xml:space="preserve">Arrêt concluant qu’Aviva est responsable à l’égard des demandes présentées dans le cadre du processus de </w:t>
            </w:r>
            <w:r w:rsidRPr="00FC5507">
              <w:rPr>
                <w:sz w:val="20"/>
                <w:lang w:val="fr-CA"/>
              </w:rPr>
              <w:lastRenderedPageBreak/>
              <w:t>conciliation et celles réglées dans le cadre du processus traditionnel.</w:t>
            </w:r>
          </w:p>
          <w:p w:rsidR="001E56A6" w:rsidRPr="00FC5507" w:rsidRDefault="001E56A6" w:rsidP="00FC5507">
            <w:pPr>
              <w:jc w:val="both"/>
              <w:rPr>
                <w:sz w:val="20"/>
                <w:lang w:val="fr-CA"/>
              </w:rPr>
            </w:pPr>
          </w:p>
        </w:tc>
      </w:tr>
      <w:tr w:rsidR="001E56A6" w:rsidRPr="00A6684F" w:rsidTr="00602075">
        <w:tblPrEx>
          <w:tblCellMar>
            <w:bottom w:w="0" w:type="dxa"/>
          </w:tblCellMar>
        </w:tblPrEx>
        <w:tc>
          <w:tcPr>
            <w:tcW w:w="2367" w:type="pct"/>
            <w:gridSpan w:val="2"/>
          </w:tcPr>
          <w:p w:rsidR="001E56A6" w:rsidRPr="00FC5507" w:rsidRDefault="001E56A6" w:rsidP="00FC5507">
            <w:pPr>
              <w:jc w:val="both"/>
              <w:rPr>
                <w:sz w:val="20"/>
                <w:lang w:val="fr-CA"/>
              </w:rPr>
            </w:pPr>
            <w:r w:rsidRPr="00FC5507">
              <w:rPr>
                <w:sz w:val="20"/>
                <w:lang w:val="fr-CA"/>
              </w:rPr>
              <w:lastRenderedPageBreak/>
              <w:t>14 décembre 2018</w:t>
            </w:r>
          </w:p>
          <w:p w:rsidR="001E56A6" w:rsidRPr="00FC5507" w:rsidRDefault="001E56A6" w:rsidP="00FC5507">
            <w:pPr>
              <w:jc w:val="both"/>
              <w:rPr>
                <w:sz w:val="20"/>
                <w:lang w:val="fr-CA"/>
              </w:rPr>
            </w:pPr>
            <w:r w:rsidRPr="00FC5507">
              <w:rPr>
                <w:sz w:val="20"/>
                <w:lang w:val="fr-CA"/>
              </w:rPr>
              <w:t>Cour suprême du Canada</w:t>
            </w:r>
          </w:p>
        </w:tc>
        <w:tc>
          <w:tcPr>
            <w:tcW w:w="267" w:type="pct"/>
          </w:tcPr>
          <w:p w:rsidR="001E56A6" w:rsidRPr="00FC5507" w:rsidRDefault="001E56A6" w:rsidP="00FC5507">
            <w:pPr>
              <w:jc w:val="both"/>
              <w:rPr>
                <w:sz w:val="20"/>
                <w:lang w:val="fr-CA"/>
              </w:rPr>
            </w:pPr>
          </w:p>
        </w:tc>
        <w:tc>
          <w:tcPr>
            <w:tcW w:w="2366" w:type="pct"/>
            <w:gridSpan w:val="2"/>
          </w:tcPr>
          <w:p w:rsidR="001E56A6" w:rsidRPr="00FC5507" w:rsidRDefault="001E56A6" w:rsidP="00FC5507">
            <w:pPr>
              <w:jc w:val="both"/>
              <w:rPr>
                <w:sz w:val="20"/>
                <w:lang w:val="fr-CA"/>
              </w:rPr>
            </w:pPr>
            <w:r w:rsidRPr="00FC5507">
              <w:rPr>
                <w:sz w:val="20"/>
                <w:lang w:val="fr-CA"/>
              </w:rPr>
              <w:t>Dépôt de la demande d’autorisation d’appel.</w:t>
            </w:r>
          </w:p>
          <w:p w:rsidR="001E56A6" w:rsidRPr="00FC5507" w:rsidRDefault="001E56A6" w:rsidP="00FC5507">
            <w:pPr>
              <w:jc w:val="both"/>
              <w:rPr>
                <w:sz w:val="20"/>
                <w:lang w:val="fr-CA"/>
              </w:rPr>
            </w:pPr>
          </w:p>
        </w:tc>
      </w:tr>
    </w:tbl>
    <w:p w:rsidR="001E56A6" w:rsidRDefault="001E56A6" w:rsidP="00FC5507">
      <w:pPr>
        <w:jc w:val="both"/>
        <w:rPr>
          <w:sz w:val="20"/>
          <w:lang w:val="fr-CA"/>
        </w:rPr>
      </w:pPr>
    </w:p>
    <w:p w:rsidR="00A6684F" w:rsidRPr="00FC5507" w:rsidRDefault="00A6684F" w:rsidP="00FC5507">
      <w:pPr>
        <w:jc w:val="both"/>
        <w:rPr>
          <w:sz w:val="20"/>
          <w:lang w:val="fr-CA"/>
        </w:rPr>
      </w:pPr>
      <w:r>
        <w:rPr>
          <w:sz w:val="20"/>
        </w:rPr>
        <w:pict>
          <v:rect id="_x0000_i1040"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FC5507" w:rsidTr="00602075">
        <w:tc>
          <w:tcPr>
            <w:tcW w:w="543" w:type="pct"/>
          </w:tcPr>
          <w:p w:rsidR="00A16319" w:rsidRPr="00FC5507" w:rsidRDefault="00A16319" w:rsidP="00FC5507">
            <w:pPr>
              <w:jc w:val="both"/>
              <w:rPr>
                <w:sz w:val="20"/>
                <w:lang w:val="en-CA"/>
              </w:rPr>
            </w:pPr>
            <w:r w:rsidRPr="00FC5507">
              <w:rPr>
                <w:rStyle w:val="SCCFileNumberChar"/>
                <w:sz w:val="20"/>
                <w:szCs w:val="20"/>
              </w:rPr>
              <w:t>38414</w:t>
            </w:r>
          </w:p>
        </w:tc>
        <w:tc>
          <w:tcPr>
            <w:tcW w:w="4457" w:type="pct"/>
            <w:gridSpan w:val="3"/>
          </w:tcPr>
          <w:p w:rsidR="00A16319" w:rsidRPr="00602075" w:rsidRDefault="00A16319" w:rsidP="00FC5507">
            <w:pPr>
              <w:pStyle w:val="SCCLsocParty"/>
              <w:jc w:val="both"/>
              <w:rPr>
                <w:b/>
                <w:sz w:val="20"/>
                <w:szCs w:val="20"/>
              </w:rPr>
            </w:pPr>
            <w:r w:rsidRPr="00602075">
              <w:rPr>
                <w:b/>
                <w:sz w:val="20"/>
                <w:szCs w:val="20"/>
              </w:rPr>
              <w:t>Ville de Lévis v. Albertine Leclerc</w:t>
            </w:r>
          </w:p>
          <w:p w:rsidR="00A16319" w:rsidRPr="00602075" w:rsidRDefault="00A16319" w:rsidP="00FC5507">
            <w:pPr>
              <w:pStyle w:val="SCCLsocOtherPartySeparator"/>
              <w:rPr>
                <w:sz w:val="20"/>
                <w:szCs w:val="20"/>
                <w:lang w:val="en-CA"/>
              </w:rPr>
            </w:pPr>
            <w:r w:rsidRPr="00602075">
              <w:rPr>
                <w:sz w:val="20"/>
                <w:szCs w:val="20"/>
                <w:lang w:val="en-CA"/>
              </w:rPr>
              <w:t>— and —</w:t>
            </w:r>
          </w:p>
          <w:p w:rsidR="00A16319" w:rsidRPr="00602075" w:rsidRDefault="00A16319" w:rsidP="00FC5507">
            <w:pPr>
              <w:pStyle w:val="SCCLsocParty"/>
              <w:jc w:val="both"/>
              <w:rPr>
                <w:b/>
                <w:sz w:val="20"/>
                <w:szCs w:val="20"/>
                <w:lang w:val="en-CA"/>
              </w:rPr>
            </w:pPr>
            <w:r w:rsidRPr="00602075">
              <w:rPr>
                <w:b/>
                <w:sz w:val="20"/>
                <w:szCs w:val="20"/>
                <w:lang w:val="en-CA"/>
              </w:rPr>
              <w:t>Attorney General of Quebec, Attorney General of Canada</w:t>
            </w:r>
          </w:p>
          <w:p w:rsidR="00A16319" w:rsidRPr="00FC5507" w:rsidRDefault="00A16319" w:rsidP="00FC5507">
            <w:pPr>
              <w:jc w:val="both"/>
              <w:rPr>
                <w:sz w:val="20"/>
                <w:lang w:val="en-CA"/>
              </w:rPr>
            </w:pPr>
            <w:r w:rsidRPr="00FC5507">
              <w:rPr>
                <w:sz w:val="20"/>
                <w:lang w:val="en-CA"/>
              </w:rPr>
              <w:t>(Que.) (Civil) (By Leave)</w:t>
            </w:r>
          </w:p>
        </w:tc>
      </w:tr>
      <w:tr w:rsidR="00A16319" w:rsidRPr="00FC5507" w:rsidTr="00602075">
        <w:tc>
          <w:tcPr>
            <w:tcW w:w="5000" w:type="pct"/>
            <w:gridSpan w:val="4"/>
          </w:tcPr>
          <w:p w:rsidR="00A16319" w:rsidRPr="00FC5507" w:rsidRDefault="00A16319" w:rsidP="00FC5507">
            <w:pPr>
              <w:jc w:val="both"/>
              <w:rPr>
                <w:sz w:val="20"/>
                <w:lang w:val="en-CA"/>
              </w:rPr>
            </w:pPr>
            <w:proofErr w:type="gramStart"/>
            <w:r w:rsidRPr="00FC5507">
              <w:rPr>
                <w:sz w:val="20"/>
                <w:lang w:val="en-CA"/>
              </w:rPr>
              <w:t>Constitutional law — Interjurisdictional immunity — Federal aeronautics power — Skydiving — Municipal by</w:t>
            </w:r>
            <w:r w:rsidRPr="00FC5507">
              <w:rPr>
                <w:sz w:val="20"/>
                <w:lang w:val="en-CA"/>
              </w:rPr>
              <w:noBreakHyphen/>
              <w:t xml:space="preserve">laws prohibiting skydiving on agricultural lands and requiring permit to build aerodrome — Whether doctrine of interjurisdictional immunity could apply in absence of specific precedent or exceptional reasons — Whether skydiving falls within core of federal power — Whether definition of aircraft in </w:t>
            </w:r>
            <w:r w:rsidRPr="00FC5507">
              <w:rPr>
                <w:i/>
                <w:sz w:val="20"/>
                <w:lang w:val="en-CA"/>
              </w:rPr>
              <w:t>Aeronautics Act</w:t>
            </w:r>
            <w:r w:rsidRPr="00FC5507">
              <w:rPr>
                <w:sz w:val="20"/>
                <w:lang w:val="en-CA"/>
              </w:rPr>
              <w:t>, R.S.C. 1985, c. A</w:t>
            </w:r>
            <w:r w:rsidRPr="00FC5507">
              <w:rPr>
                <w:sz w:val="20"/>
                <w:lang w:val="en-CA"/>
              </w:rPr>
              <w:noBreakHyphen/>
              <w:t xml:space="preserve">2, can be used to circumscribe core of federal power — Whether permit was required to build hangar intended exclusively for skydiving activities, storage and maintenance of aircraft — Whether Court of Appeal’s analysis concerning absence of impairment was consistent with prior case law — </w:t>
            </w:r>
            <w:r w:rsidRPr="00FC5507">
              <w:rPr>
                <w:i/>
                <w:iCs/>
                <w:sz w:val="20"/>
                <w:lang w:val="en-CA"/>
              </w:rPr>
              <w:t>Règlement RV</w:t>
            </w:r>
            <w:r w:rsidRPr="00FC5507">
              <w:rPr>
                <w:i/>
                <w:iCs/>
                <w:sz w:val="20"/>
                <w:lang w:val="en-CA"/>
              </w:rPr>
              <w:noBreakHyphen/>
              <w:t>2011</w:t>
            </w:r>
            <w:r w:rsidRPr="00FC5507">
              <w:rPr>
                <w:i/>
                <w:iCs/>
                <w:sz w:val="20"/>
                <w:lang w:val="en-CA"/>
              </w:rPr>
              <w:noBreakHyphen/>
              <w:t>11</w:t>
            </w:r>
            <w:r w:rsidRPr="00FC5507">
              <w:rPr>
                <w:i/>
                <w:iCs/>
                <w:sz w:val="20"/>
                <w:lang w:val="en-CA"/>
              </w:rPr>
              <w:noBreakHyphen/>
              <w:t>23 sur le zonage et le lotissement</w:t>
            </w:r>
            <w:r w:rsidRPr="00FC5507">
              <w:rPr>
                <w:iCs/>
                <w:sz w:val="20"/>
                <w:lang w:val="en-CA"/>
              </w:rPr>
              <w:t xml:space="preserve">, s. 15 — </w:t>
            </w:r>
            <w:r w:rsidRPr="00FC5507">
              <w:rPr>
                <w:i/>
                <w:iCs/>
                <w:sz w:val="20"/>
                <w:lang w:val="en-CA"/>
              </w:rPr>
              <w:t>Règlement RV</w:t>
            </w:r>
            <w:r w:rsidRPr="00FC5507">
              <w:rPr>
                <w:i/>
                <w:iCs/>
                <w:sz w:val="20"/>
                <w:lang w:val="en-CA"/>
              </w:rPr>
              <w:noBreakHyphen/>
              <w:t>2011</w:t>
            </w:r>
            <w:r w:rsidRPr="00FC5507">
              <w:rPr>
                <w:i/>
                <w:iCs/>
                <w:sz w:val="20"/>
                <w:lang w:val="en-CA"/>
              </w:rPr>
              <w:noBreakHyphen/>
              <w:t>11</w:t>
            </w:r>
            <w:r w:rsidRPr="00FC5507">
              <w:rPr>
                <w:i/>
                <w:iCs/>
                <w:sz w:val="20"/>
                <w:lang w:val="en-CA"/>
              </w:rPr>
              <w:noBreakHyphen/>
              <w:t>28 sur les permis et les certificats</w:t>
            </w:r>
            <w:r w:rsidRPr="00FC5507">
              <w:rPr>
                <w:iCs/>
                <w:sz w:val="20"/>
                <w:lang w:val="en-CA"/>
              </w:rPr>
              <w:t>, s. 12.</w:t>
            </w:r>
            <w:proofErr w:type="gramEnd"/>
          </w:p>
        </w:tc>
      </w:tr>
      <w:tr w:rsidR="00A16319" w:rsidRPr="00FC5507" w:rsidTr="00602075">
        <w:tc>
          <w:tcPr>
            <w:tcW w:w="5000" w:type="pct"/>
            <w:gridSpan w:val="4"/>
          </w:tcPr>
          <w:p w:rsidR="00A16319" w:rsidRPr="00FC5507" w:rsidRDefault="00A16319" w:rsidP="00FC5507">
            <w:pPr>
              <w:jc w:val="both"/>
              <w:rPr>
                <w:sz w:val="20"/>
                <w:lang w:val="en-CA"/>
              </w:rPr>
            </w:pPr>
          </w:p>
        </w:tc>
      </w:tr>
      <w:tr w:rsidR="00A16319" w:rsidRPr="00FC5507" w:rsidTr="00602075">
        <w:tc>
          <w:tcPr>
            <w:tcW w:w="5000" w:type="pct"/>
            <w:gridSpan w:val="4"/>
          </w:tcPr>
          <w:p w:rsidR="00A16319" w:rsidRPr="00FC5507" w:rsidRDefault="00A16319" w:rsidP="00FC5507">
            <w:pPr>
              <w:jc w:val="both"/>
              <w:rPr>
                <w:sz w:val="20"/>
                <w:lang w:val="en-CA"/>
              </w:rPr>
            </w:pPr>
            <w:r w:rsidRPr="00FC5507">
              <w:rPr>
                <w:sz w:val="20"/>
                <w:lang w:val="en-CA"/>
              </w:rPr>
              <w:t>The respondent, Ms. Leclerc, owned three lots in the applicant municipality that were limited to agricultural uses under the applicable zoning by</w:t>
            </w:r>
            <w:r w:rsidRPr="00FC5507">
              <w:rPr>
                <w:sz w:val="20"/>
                <w:lang w:val="en-CA"/>
              </w:rPr>
              <w:noBreakHyphen/>
              <w:t>law. Ms. Leclerc operated an aerodrome on the lots and leased part of the lots for the operation of a skydiving centre. In 2012, the applicant municipality issued several statements of offence against Ms. Leclerc for violating the applicable zoning and building by</w:t>
            </w:r>
            <w:r w:rsidRPr="00FC5507">
              <w:rPr>
                <w:sz w:val="20"/>
                <w:lang w:val="en-CA"/>
              </w:rPr>
              <w:noBreakHyphen/>
              <w:t xml:space="preserve">laws. She </w:t>
            </w:r>
            <w:proofErr w:type="gramStart"/>
            <w:r w:rsidRPr="00FC5507">
              <w:rPr>
                <w:sz w:val="20"/>
                <w:lang w:val="en-CA"/>
              </w:rPr>
              <w:t>was charged</w:t>
            </w:r>
            <w:proofErr w:type="gramEnd"/>
            <w:r w:rsidRPr="00FC5507">
              <w:rPr>
                <w:sz w:val="20"/>
                <w:lang w:val="en-CA"/>
              </w:rPr>
              <w:t>, among other things, with engaging in an unauthorized use, namely [</w:t>
            </w:r>
            <w:r w:rsidRPr="00FC5507">
              <w:rPr>
                <w:smallCaps/>
                <w:sz w:val="20"/>
                <w:lang w:val="en-CA"/>
              </w:rPr>
              <w:t>translation</w:t>
            </w:r>
            <w:r w:rsidRPr="00FC5507">
              <w:rPr>
                <w:rFonts w:asciiTheme="minorBidi" w:hAnsiTheme="minorBidi"/>
                <w:sz w:val="20"/>
                <w:lang w:val="en-CA"/>
              </w:rPr>
              <w:t>]</w:t>
            </w:r>
            <w:r w:rsidRPr="00FC5507">
              <w:rPr>
                <w:sz w:val="20"/>
                <w:lang w:val="en-CA"/>
              </w:rPr>
              <w:t xml:space="preserve"> “skydiving or a skydiving training centre”, and building a second aerodrome without first obtaining the building permit required for that type of structure. Relying on the doctrine of interjurisdictional immunity, Ms. Leclerc took the view that the municipal by</w:t>
            </w:r>
            <w:r w:rsidRPr="00FC5507">
              <w:rPr>
                <w:sz w:val="20"/>
                <w:lang w:val="en-CA"/>
              </w:rPr>
              <w:noBreakHyphen/>
              <w:t xml:space="preserve">laws could not be set up against her. She argued, in other words, that the defendant municipality could not regulate her activities because they fell within the core of the federal aeronautics power. The Municipal Court found the doctrine inapplicable in the circumstances on the ground that skydiving was not within the core of the federal power absent any precedent to that effect. The Superior Court overturned that conclusion and allowed the appeal in part. </w:t>
            </w:r>
            <w:proofErr w:type="gramStart"/>
            <w:r w:rsidRPr="00FC5507">
              <w:rPr>
                <w:sz w:val="20"/>
                <w:lang w:val="en-CA"/>
              </w:rPr>
              <w:t>In its view, there was a precedent from the Alberta Court of Appeal that made it possible to apply the doctrine to skydiving.</w:t>
            </w:r>
            <w:proofErr w:type="gramEnd"/>
            <w:r w:rsidRPr="00FC5507">
              <w:rPr>
                <w:sz w:val="20"/>
                <w:lang w:val="en-CA"/>
              </w:rPr>
              <w:t xml:space="preserve"> The Court of Appeal rejected the Superior Court’s reasoning concerning the existence of a precedent, but it nonetheless found the doctrine applicable to the [</w:t>
            </w:r>
            <w:r w:rsidRPr="00FC5507">
              <w:rPr>
                <w:smallCaps/>
                <w:sz w:val="20"/>
                <w:lang w:val="en-CA"/>
              </w:rPr>
              <w:t>translation</w:t>
            </w:r>
            <w:r w:rsidRPr="00FC5507">
              <w:rPr>
                <w:sz w:val="20"/>
                <w:lang w:val="en-CA"/>
              </w:rPr>
              <w:t xml:space="preserve">] “new field” of skydiving. It was of the view that skydiving is an activity that makes use of airspace and </w:t>
            </w:r>
            <w:proofErr w:type="gramStart"/>
            <w:r w:rsidRPr="00FC5507">
              <w:rPr>
                <w:sz w:val="20"/>
                <w:lang w:val="en-CA"/>
              </w:rPr>
              <w:t>cannot be sepa</w:t>
            </w:r>
            <w:r w:rsidRPr="00FC5507">
              <w:rPr>
                <w:sz w:val="20"/>
                <w:lang w:val="en-CA"/>
              </w:rPr>
              <w:softHyphen/>
              <w:t>rated</w:t>
            </w:r>
            <w:proofErr w:type="gramEnd"/>
            <w:r w:rsidRPr="00FC5507">
              <w:rPr>
                <w:sz w:val="20"/>
                <w:lang w:val="en-CA"/>
              </w:rPr>
              <w:t xml:space="preserve"> from aerial navigation as a whole. By prohibiting it, the applicant municipality was impairing a power that </w:t>
            </w:r>
            <w:proofErr w:type="gramStart"/>
            <w:r w:rsidRPr="00FC5507">
              <w:rPr>
                <w:sz w:val="20"/>
                <w:lang w:val="en-CA"/>
              </w:rPr>
              <w:t>was held</w:t>
            </w:r>
            <w:proofErr w:type="gramEnd"/>
            <w:r w:rsidRPr="00FC5507">
              <w:rPr>
                <w:sz w:val="20"/>
                <w:lang w:val="en-CA"/>
              </w:rPr>
              <w:t xml:space="preserve"> exclusively by Parliament. The Court of Appeal declared the provision of the zoning by</w:t>
            </w:r>
            <w:r w:rsidRPr="00FC5507">
              <w:rPr>
                <w:sz w:val="20"/>
                <w:lang w:val="en-CA"/>
              </w:rPr>
              <w:noBreakHyphen/>
              <w:t>law inapplicable, but not the provision of the permits by</w:t>
            </w:r>
            <w:r w:rsidRPr="00FC5507">
              <w:rPr>
                <w:sz w:val="20"/>
                <w:lang w:val="en-CA"/>
              </w:rPr>
              <w:noBreakHyphen/>
              <w:t>law. In the latter case, it found that compliance with building standards does not encroach on the federal power in the sense of a constitutional impairment.</w:t>
            </w:r>
          </w:p>
          <w:p w:rsidR="00A16319" w:rsidRPr="00FC5507" w:rsidRDefault="00A16319" w:rsidP="00FC5507">
            <w:pPr>
              <w:jc w:val="both"/>
              <w:rPr>
                <w:sz w:val="20"/>
                <w:lang w:val="en-CA"/>
              </w:rPr>
            </w:pPr>
          </w:p>
        </w:tc>
      </w:tr>
      <w:tr w:rsidR="00A16319" w:rsidRPr="00FC5507" w:rsidTr="00602075">
        <w:tc>
          <w:tcPr>
            <w:tcW w:w="2427" w:type="pct"/>
            <w:gridSpan w:val="2"/>
          </w:tcPr>
          <w:p w:rsidR="00A16319" w:rsidRPr="00FC5507" w:rsidRDefault="00A16319" w:rsidP="00FC5507">
            <w:pPr>
              <w:jc w:val="both"/>
              <w:rPr>
                <w:sz w:val="20"/>
                <w:lang w:val="en-CA"/>
              </w:rPr>
            </w:pPr>
            <w:r w:rsidRPr="00FC5507">
              <w:rPr>
                <w:sz w:val="20"/>
                <w:lang w:val="en-CA"/>
              </w:rPr>
              <w:t>September 10, 2015</w:t>
            </w:r>
          </w:p>
          <w:p w:rsidR="00A16319" w:rsidRPr="00FC5507" w:rsidRDefault="00A16319" w:rsidP="00FC5507">
            <w:pPr>
              <w:jc w:val="both"/>
              <w:rPr>
                <w:sz w:val="20"/>
                <w:lang w:val="en-CA"/>
              </w:rPr>
            </w:pPr>
            <w:r w:rsidRPr="00FC5507">
              <w:rPr>
                <w:sz w:val="20"/>
                <w:lang w:val="en-CA"/>
              </w:rPr>
              <w:t>Municipal Court of Lévis</w:t>
            </w:r>
          </w:p>
          <w:p w:rsidR="00A16319" w:rsidRPr="00FC5507" w:rsidRDefault="00A16319" w:rsidP="00FC5507">
            <w:pPr>
              <w:jc w:val="both"/>
              <w:rPr>
                <w:sz w:val="20"/>
                <w:lang w:val="en-CA"/>
              </w:rPr>
            </w:pPr>
            <w:r w:rsidRPr="00FC5507">
              <w:rPr>
                <w:sz w:val="20"/>
                <w:lang w:val="en-CA"/>
              </w:rPr>
              <w:t>(Municipal Judge Vachon)</w:t>
            </w:r>
          </w:p>
          <w:p w:rsidR="00A16319" w:rsidRPr="00FC5507" w:rsidRDefault="00685225" w:rsidP="00FC5507">
            <w:pPr>
              <w:jc w:val="both"/>
              <w:rPr>
                <w:sz w:val="20"/>
                <w:lang w:val="en-CA"/>
              </w:rPr>
            </w:pPr>
            <w:hyperlink r:id="rId63" w:history="1">
              <w:r w:rsidR="00A16319" w:rsidRPr="00FC5507">
                <w:rPr>
                  <w:rStyle w:val="Hyperlink"/>
                  <w:sz w:val="20"/>
                  <w:lang w:val="en-CA"/>
                </w:rPr>
                <w:t>2015 CanLII 62548</w:t>
              </w:r>
            </w:hyperlink>
          </w:p>
          <w:p w:rsidR="00A16319" w:rsidRPr="00FC5507" w:rsidRDefault="00A16319" w:rsidP="00FC5507">
            <w:pPr>
              <w:jc w:val="both"/>
              <w:rPr>
                <w:sz w:val="20"/>
                <w:lang w:val="en-CA"/>
              </w:rPr>
            </w:pPr>
          </w:p>
        </w:tc>
        <w:tc>
          <w:tcPr>
            <w:tcW w:w="243" w:type="pct"/>
          </w:tcPr>
          <w:p w:rsidR="00A16319" w:rsidRPr="00FC5507" w:rsidRDefault="00A16319" w:rsidP="00FC5507">
            <w:pPr>
              <w:jc w:val="both"/>
              <w:rPr>
                <w:sz w:val="20"/>
                <w:lang w:val="en-CA"/>
              </w:rPr>
            </w:pPr>
          </w:p>
        </w:tc>
        <w:tc>
          <w:tcPr>
            <w:tcW w:w="2330" w:type="pct"/>
          </w:tcPr>
          <w:p w:rsidR="00A16319" w:rsidRPr="00FC5507" w:rsidRDefault="00A16319" w:rsidP="00FC5507">
            <w:pPr>
              <w:jc w:val="both"/>
              <w:rPr>
                <w:sz w:val="20"/>
                <w:lang w:val="en-CA"/>
              </w:rPr>
            </w:pPr>
            <w:r w:rsidRPr="00FC5507">
              <w:rPr>
                <w:sz w:val="20"/>
                <w:lang w:val="en-CA"/>
              </w:rPr>
              <w:t xml:space="preserve">Defendants convicted of offence relating to prohibited uses; motion to declare s. 15 of </w:t>
            </w:r>
            <w:r w:rsidRPr="00FC5507">
              <w:rPr>
                <w:i/>
                <w:sz w:val="20"/>
                <w:lang w:val="en-CA"/>
              </w:rPr>
              <w:t>Règlement RV</w:t>
            </w:r>
            <w:r w:rsidRPr="00FC5507">
              <w:rPr>
                <w:i/>
                <w:sz w:val="20"/>
                <w:lang w:val="en-CA"/>
              </w:rPr>
              <w:noBreakHyphen/>
              <w:t>2011</w:t>
            </w:r>
            <w:r w:rsidRPr="00FC5507">
              <w:rPr>
                <w:i/>
                <w:sz w:val="20"/>
                <w:lang w:val="en-CA"/>
              </w:rPr>
              <w:noBreakHyphen/>
              <w:t>23</w:t>
            </w:r>
            <w:r w:rsidRPr="00FC5507">
              <w:rPr>
                <w:i/>
                <w:iCs/>
                <w:sz w:val="20"/>
                <w:lang w:val="en-CA"/>
              </w:rPr>
              <w:t xml:space="preserve"> sur le zonage et le lotissement</w:t>
            </w:r>
            <w:r w:rsidRPr="00FC5507">
              <w:rPr>
                <w:sz w:val="20"/>
                <w:lang w:val="en-CA"/>
              </w:rPr>
              <w:t xml:space="preserve"> inapplicable dismissed; defendants acquitted of offences relating to prohibited portable signs; motion to declare s. 244 of </w:t>
            </w:r>
            <w:r w:rsidRPr="00FC5507">
              <w:rPr>
                <w:i/>
                <w:sz w:val="20"/>
                <w:lang w:val="en-CA"/>
              </w:rPr>
              <w:t>Règlement RV</w:t>
            </w:r>
            <w:r w:rsidRPr="00FC5507">
              <w:rPr>
                <w:i/>
                <w:sz w:val="20"/>
                <w:lang w:val="en-CA"/>
              </w:rPr>
              <w:noBreakHyphen/>
              <w:t>2011</w:t>
            </w:r>
            <w:r w:rsidRPr="00FC5507">
              <w:rPr>
                <w:i/>
                <w:sz w:val="20"/>
                <w:lang w:val="en-CA"/>
              </w:rPr>
              <w:noBreakHyphen/>
              <w:t>23</w:t>
            </w:r>
            <w:r w:rsidRPr="00FC5507">
              <w:rPr>
                <w:i/>
                <w:iCs/>
                <w:sz w:val="20"/>
                <w:lang w:val="en-CA"/>
              </w:rPr>
              <w:t xml:space="preserve"> sur le zonage et le lotissement</w:t>
            </w:r>
            <w:r w:rsidRPr="00FC5507">
              <w:rPr>
                <w:sz w:val="20"/>
                <w:lang w:val="en-CA"/>
              </w:rPr>
              <w:t xml:space="preserve"> inapplicable found to be moot; defendant Ms. Leclerc convicted of failing to request permit; motion to declare s. 12 of </w:t>
            </w:r>
            <w:r w:rsidRPr="00FC5507">
              <w:rPr>
                <w:i/>
                <w:iCs/>
                <w:sz w:val="20"/>
                <w:lang w:val="en-CA"/>
              </w:rPr>
              <w:t>Règlement RV</w:t>
            </w:r>
            <w:r w:rsidRPr="00FC5507">
              <w:rPr>
                <w:i/>
                <w:iCs/>
                <w:sz w:val="20"/>
                <w:lang w:val="en-CA"/>
              </w:rPr>
              <w:noBreakHyphen/>
              <w:t>2011</w:t>
            </w:r>
            <w:r w:rsidRPr="00FC5507">
              <w:rPr>
                <w:i/>
                <w:iCs/>
                <w:sz w:val="20"/>
                <w:lang w:val="en-CA"/>
              </w:rPr>
              <w:noBreakHyphen/>
              <w:t>11</w:t>
            </w:r>
            <w:r w:rsidRPr="00FC5507">
              <w:rPr>
                <w:i/>
                <w:iCs/>
                <w:sz w:val="20"/>
                <w:lang w:val="en-CA"/>
              </w:rPr>
              <w:noBreakHyphen/>
              <w:t xml:space="preserve">28 sur les permis et certificats </w:t>
            </w:r>
            <w:r w:rsidRPr="00FC5507">
              <w:rPr>
                <w:iCs/>
                <w:sz w:val="20"/>
                <w:lang w:val="en-CA"/>
              </w:rPr>
              <w:t>inapplicable dismissed; defendant Ms. Leclerc convicted of having pile of earth constituting nuisance</w:t>
            </w:r>
            <w:r w:rsidRPr="00FC5507">
              <w:rPr>
                <w:sz w:val="20"/>
                <w:lang w:val="en-CA"/>
              </w:rPr>
              <w:t xml:space="preserve">; motion to declare s. 7(12) of </w:t>
            </w:r>
            <w:r w:rsidRPr="00FC5507">
              <w:rPr>
                <w:i/>
                <w:sz w:val="20"/>
                <w:lang w:val="en-CA"/>
              </w:rPr>
              <w:t xml:space="preserve">Règlement </w:t>
            </w:r>
            <w:r w:rsidRPr="00FC5507">
              <w:rPr>
                <w:i/>
                <w:iCs/>
                <w:sz w:val="20"/>
                <w:lang w:val="en-CA"/>
              </w:rPr>
              <w:lastRenderedPageBreak/>
              <w:t>RV</w:t>
            </w:r>
            <w:r w:rsidRPr="00FC5507">
              <w:rPr>
                <w:i/>
                <w:iCs/>
                <w:sz w:val="20"/>
                <w:lang w:val="en-CA"/>
              </w:rPr>
              <w:noBreakHyphen/>
              <w:t>2010</w:t>
            </w:r>
            <w:r w:rsidRPr="00FC5507">
              <w:rPr>
                <w:i/>
                <w:iCs/>
                <w:sz w:val="20"/>
                <w:lang w:val="en-CA"/>
              </w:rPr>
              <w:noBreakHyphen/>
              <w:t>09</w:t>
            </w:r>
            <w:r w:rsidRPr="00FC5507">
              <w:rPr>
                <w:i/>
                <w:iCs/>
                <w:sz w:val="20"/>
                <w:lang w:val="en-CA"/>
              </w:rPr>
              <w:noBreakHyphen/>
              <w:t>41 sur les nuisances, la paix, le bon ordre, le bon gouvernement, le bien</w:t>
            </w:r>
            <w:r w:rsidRPr="00FC5507">
              <w:rPr>
                <w:i/>
                <w:iCs/>
                <w:sz w:val="20"/>
                <w:lang w:val="en-CA"/>
              </w:rPr>
              <w:noBreakHyphen/>
              <w:t xml:space="preserve">être général, la sécurité et les animaux </w:t>
            </w:r>
            <w:r w:rsidRPr="00FC5507">
              <w:rPr>
                <w:sz w:val="20"/>
                <w:lang w:val="en-CA"/>
              </w:rPr>
              <w:t>inapplicable dismissed</w:t>
            </w:r>
          </w:p>
          <w:p w:rsidR="00A16319" w:rsidRPr="00FC5507" w:rsidRDefault="00A16319" w:rsidP="00FC5507">
            <w:pPr>
              <w:jc w:val="both"/>
              <w:rPr>
                <w:sz w:val="20"/>
                <w:lang w:val="en-CA"/>
              </w:rPr>
            </w:pPr>
          </w:p>
        </w:tc>
      </w:tr>
      <w:tr w:rsidR="00A16319" w:rsidRPr="00FC5507" w:rsidTr="00602075">
        <w:tc>
          <w:tcPr>
            <w:tcW w:w="2427" w:type="pct"/>
            <w:gridSpan w:val="2"/>
          </w:tcPr>
          <w:p w:rsidR="00A16319" w:rsidRPr="00FC5507" w:rsidRDefault="00A16319" w:rsidP="00FC5507">
            <w:pPr>
              <w:jc w:val="both"/>
              <w:rPr>
                <w:sz w:val="20"/>
                <w:lang w:val="en-CA"/>
              </w:rPr>
            </w:pPr>
            <w:r w:rsidRPr="00FC5507">
              <w:rPr>
                <w:sz w:val="20"/>
                <w:lang w:val="en-CA"/>
              </w:rPr>
              <w:lastRenderedPageBreak/>
              <w:t>December 21, 2016</w:t>
            </w:r>
          </w:p>
          <w:p w:rsidR="00A16319" w:rsidRPr="00FC5507" w:rsidRDefault="00A16319" w:rsidP="00FC5507">
            <w:pPr>
              <w:jc w:val="both"/>
              <w:rPr>
                <w:sz w:val="20"/>
                <w:lang w:val="en-CA"/>
              </w:rPr>
            </w:pPr>
            <w:r w:rsidRPr="00FC5507">
              <w:rPr>
                <w:sz w:val="20"/>
                <w:lang w:val="en-CA"/>
              </w:rPr>
              <w:t>Quebec Superior Court</w:t>
            </w:r>
          </w:p>
          <w:p w:rsidR="00A16319" w:rsidRPr="00FC5507" w:rsidRDefault="00A16319" w:rsidP="00FC5507">
            <w:pPr>
              <w:jc w:val="both"/>
              <w:rPr>
                <w:sz w:val="20"/>
                <w:lang w:val="en-CA"/>
              </w:rPr>
            </w:pPr>
            <w:r w:rsidRPr="00FC5507">
              <w:rPr>
                <w:sz w:val="20"/>
                <w:lang w:val="en-CA"/>
              </w:rPr>
              <w:t>(Dionne J.)</w:t>
            </w:r>
          </w:p>
          <w:p w:rsidR="00A16319" w:rsidRPr="00FC5507" w:rsidRDefault="00685225" w:rsidP="00FC5507">
            <w:pPr>
              <w:jc w:val="both"/>
              <w:rPr>
                <w:sz w:val="20"/>
                <w:lang w:val="en-CA"/>
              </w:rPr>
            </w:pPr>
            <w:hyperlink r:id="rId64" w:history="1">
              <w:r w:rsidR="00A16319" w:rsidRPr="00FC5507">
                <w:rPr>
                  <w:rStyle w:val="Hyperlink"/>
                  <w:sz w:val="20"/>
                  <w:lang w:val="en-CA"/>
                </w:rPr>
                <w:t>2016 QCCS 6328</w:t>
              </w:r>
            </w:hyperlink>
          </w:p>
          <w:p w:rsidR="00A16319" w:rsidRPr="00FC5507" w:rsidRDefault="00A16319" w:rsidP="00FC5507">
            <w:pPr>
              <w:jc w:val="both"/>
              <w:rPr>
                <w:sz w:val="20"/>
                <w:lang w:val="en-CA"/>
              </w:rPr>
            </w:pPr>
          </w:p>
        </w:tc>
        <w:tc>
          <w:tcPr>
            <w:tcW w:w="243" w:type="pct"/>
          </w:tcPr>
          <w:p w:rsidR="00A16319" w:rsidRPr="00FC5507" w:rsidRDefault="00A16319" w:rsidP="00FC5507">
            <w:pPr>
              <w:jc w:val="both"/>
              <w:rPr>
                <w:sz w:val="20"/>
                <w:lang w:val="en-CA"/>
              </w:rPr>
            </w:pPr>
          </w:p>
        </w:tc>
        <w:tc>
          <w:tcPr>
            <w:tcW w:w="2330" w:type="pct"/>
          </w:tcPr>
          <w:p w:rsidR="00A16319" w:rsidRPr="00FC5507" w:rsidRDefault="00A16319" w:rsidP="00FC5507">
            <w:pPr>
              <w:jc w:val="both"/>
              <w:rPr>
                <w:sz w:val="20"/>
                <w:lang w:val="en-CA"/>
              </w:rPr>
            </w:pPr>
            <w:r w:rsidRPr="00FC5507">
              <w:rPr>
                <w:sz w:val="20"/>
                <w:lang w:val="en-CA"/>
              </w:rPr>
              <w:t xml:space="preserve">Appeal allowed in part; s. 15 of </w:t>
            </w:r>
            <w:r w:rsidRPr="00FC5507">
              <w:rPr>
                <w:i/>
                <w:iCs/>
                <w:sz w:val="20"/>
                <w:lang w:val="en-CA"/>
              </w:rPr>
              <w:t>Règlement RV</w:t>
            </w:r>
            <w:r w:rsidRPr="00FC5507">
              <w:rPr>
                <w:i/>
                <w:iCs/>
                <w:sz w:val="20"/>
                <w:lang w:val="en-CA"/>
              </w:rPr>
              <w:noBreakHyphen/>
              <w:t>2011</w:t>
            </w:r>
            <w:r w:rsidRPr="00FC5507">
              <w:rPr>
                <w:i/>
                <w:iCs/>
                <w:sz w:val="20"/>
                <w:lang w:val="en-CA"/>
              </w:rPr>
              <w:noBreakHyphen/>
              <w:t>11</w:t>
            </w:r>
            <w:r w:rsidRPr="00FC5507">
              <w:rPr>
                <w:i/>
                <w:iCs/>
                <w:sz w:val="20"/>
                <w:lang w:val="en-CA"/>
              </w:rPr>
              <w:noBreakHyphen/>
              <w:t xml:space="preserve">23 sur le zonage et le lotissement </w:t>
            </w:r>
            <w:r w:rsidRPr="00FC5507">
              <w:rPr>
                <w:sz w:val="20"/>
                <w:lang w:val="en-CA"/>
              </w:rPr>
              <w:t xml:space="preserve">and s. 12 of </w:t>
            </w:r>
            <w:r w:rsidRPr="00FC5507">
              <w:rPr>
                <w:i/>
                <w:iCs/>
                <w:sz w:val="20"/>
                <w:lang w:val="en-CA"/>
              </w:rPr>
              <w:t>Règlement RV</w:t>
            </w:r>
            <w:r w:rsidRPr="00FC5507">
              <w:rPr>
                <w:i/>
                <w:iCs/>
                <w:sz w:val="20"/>
                <w:lang w:val="en-CA"/>
              </w:rPr>
              <w:noBreakHyphen/>
              <w:t>2011</w:t>
            </w:r>
            <w:r w:rsidRPr="00FC5507">
              <w:rPr>
                <w:i/>
                <w:iCs/>
                <w:sz w:val="20"/>
                <w:lang w:val="en-CA"/>
              </w:rPr>
              <w:noBreakHyphen/>
              <w:t>11</w:t>
            </w:r>
            <w:r w:rsidRPr="00FC5507">
              <w:rPr>
                <w:i/>
                <w:iCs/>
                <w:sz w:val="20"/>
                <w:lang w:val="en-CA"/>
              </w:rPr>
              <w:noBreakHyphen/>
              <w:t xml:space="preserve">28 sur les permis et certificats </w:t>
            </w:r>
            <w:r w:rsidRPr="00FC5507">
              <w:rPr>
                <w:iCs/>
                <w:sz w:val="20"/>
                <w:lang w:val="en-CA"/>
              </w:rPr>
              <w:t>declared constitutionally inapplicable in relation to appellant Ms. Leclerc</w:t>
            </w:r>
          </w:p>
          <w:p w:rsidR="00A16319" w:rsidRPr="00FC5507" w:rsidRDefault="00A16319" w:rsidP="00FC5507">
            <w:pPr>
              <w:jc w:val="both"/>
              <w:rPr>
                <w:sz w:val="20"/>
                <w:lang w:val="en-CA"/>
              </w:rPr>
            </w:pPr>
          </w:p>
        </w:tc>
      </w:tr>
      <w:tr w:rsidR="00A16319" w:rsidRPr="00FC5507" w:rsidTr="00602075">
        <w:tc>
          <w:tcPr>
            <w:tcW w:w="2427" w:type="pct"/>
            <w:gridSpan w:val="2"/>
          </w:tcPr>
          <w:p w:rsidR="00A16319" w:rsidRPr="00FC5507" w:rsidRDefault="00A16319" w:rsidP="00FC5507">
            <w:pPr>
              <w:jc w:val="both"/>
              <w:rPr>
                <w:sz w:val="20"/>
                <w:lang w:val="en-CA"/>
              </w:rPr>
            </w:pPr>
            <w:r w:rsidRPr="00FC5507">
              <w:rPr>
                <w:sz w:val="20"/>
                <w:lang w:val="en-CA"/>
              </w:rPr>
              <w:t>September 26, 2018</w:t>
            </w:r>
          </w:p>
          <w:p w:rsidR="00A16319" w:rsidRPr="00FC5507" w:rsidRDefault="00A16319" w:rsidP="00FC5507">
            <w:pPr>
              <w:jc w:val="both"/>
              <w:rPr>
                <w:sz w:val="20"/>
                <w:lang w:val="en-CA"/>
              </w:rPr>
            </w:pPr>
            <w:r w:rsidRPr="00FC5507">
              <w:rPr>
                <w:sz w:val="20"/>
                <w:lang w:val="en-CA"/>
              </w:rPr>
              <w:t>Quebec Court of Appeal (Québec)</w:t>
            </w:r>
          </w:p>
          <w:p w:rsidR="00A16319" w:rsidRPr="00FC5507" w:rsidRDefault="00A16319" w:rsidP="00FC5507">
            <w:pPr>
              <w:jc w:val="both"/>
              <w:rPr>
                <w:sz w:val="20"/>
                <w:lang w:val="fr-CA"/>
              </w:rPr>
            </w:pPr>
            <w:r w:rsidRPr="00FC5507">
              <w:rPr>
                <w:sz w:val="20"/>
                <w:lang w:val="fr-CA"/>
              </w:rPr>
              <w:t>(</w:t>
            </w:r>
            <w:proofErr w:type="spellStart"/>
            <w:r w:rsidRPr="00FC5507">
              <w:rPr>
                <w:sz w:val="20"/>
                <w:lang w:val="fr-CA"/>
              </w:rPr>
              <w:t>Hogue</w:t>
            </w:r>
            <w:proofErr w:type="spellEnd"/>
            <w:r w:rsidRPr="00FC5507">
              <w:rPr>
                <w:sz w:val="20"/>
                <w:lang w:val="fr-CA"/>
              </w:rPr>
              <w:t>, Gagné and Bélanger JJ.A.)</w:t>
            </w:r>
          </w:p>
          <w:p w:rsidR="00A16319" w:rsidRPr="00FC5507" w:rsidRDefault="00685225" w:rsidP="00FC5507">
            <w:pPr>
              <w:jc w:val="both"/>
              <w:rPr>
                <w:sz w:val="20"/>
                <w:lang w:val="en-CA"/>
              </w:rPr>
            </w:pPr>
            <w:hyperlink r:id="rId65" w:history="1">
              <w:r w:rsidR="00A16319" w:rsidRPr="00FC5507">
                <w:rPr>
                  <w:rStyle w:val="Hyperlink"/>
                  <w:sz w:val="20"/>
                  <w:lang w:val="en-CA"/>
                </w:rPr>
                <w:t>2018 QCCA 1567</w:t>
              </w:r>
            </w:hyperlink>
          </w:p>
          <w:p w:rsidR="00A16319" w:rsidRPr="00FC5507" w:rsidRDefault="00A16319" w:rsidP="00FC5507">
            <w:pPr>
              <w:jc w:val="both"/>
              <w:rPr>
                <w:sz w:val="20"/>
                <w:lang w:val="en-CA"/>
              </w:rPr>
            </w:pPr>
          </w:p>
        </w:tc>
        <w:tc>
          <w:tcPr>
            <w:tcW w:w="243" w:type="pct"/>
          </w:tcPr>
          <w:p w:rsidR="00A16319" w:rsidRPr="00FC5507" w:rsidRDefault="00A16319" w:rsidP="00FC5507">
            <w:pPr>
              <w:jc w:val="both"/>
              <w:rPr>
                <w:sz w:val="20"/>
                <w:lang w:val="en-CA"/>
              </w:rPr>
            </w:pPr>
          </w:p>
        </w:tc>
        <w:tc>
          <w:tcPr>
            <w:tcW w:w="2330" w:type="pct"/>
          </w:tcPr>
          <w:p w:rsidR="00A16319" w:rsidRPr="00FC5507" w:rsidRDefault="00A16319" w:rsidP="00FC5507">
            <w:pPr>
              <w:jc w:val="both"/>
              <w:rPr>
                <w:sz w:val="20"/>
                <w:lang w:val="en-CA"/>
              </w:rPr>
            </w:pPr>
            <w:r w:rsidRPr="00FC5507">
              <w:rPr>
                <w:sz w:val="20"/>
                <w:lang w:val="en-CA"/>
              </w:rPr>
              <w:t xml:space="preserve">Appeals allowed in part; guilty verdict on statement of offence relating to building without permit restored; para. 168 of Superior Court’s judgment varied to acquit respondent Ms. Leclerc of offences relating to unauthorized use; s. 15 of </w:t>
            </w:r>
            <w:r w:rsidRPr="00FC5507">
              <w:rPr>
                <w:i/>
                <w:iCs/>
                <w:sz w:val="20"/>
                <w:lang w:val="en-CA"/>
              </w:rPr>
              <w:t>Règlement RV</w:t>
            </w:r>
            <w:r w:rsidRPr="00FC5507">
              <w:rPr>
                <w:i/>
                <w:iCs/>
                <w:sz w:val="20"/>
                <w:lang w:val="en-CA"/>
              </w:rPr>
              <w:noBreakHyphen/>
              <w:t>2011</w:t>
            </w:r>
            <w:r w:rsidRPr="00FC5507">
              <w:rPr>
                <w:i/>
                <w:iCs/>
                <w:sz w:val="20"/>
                <w:lang w:val="en-CA"/>
              </w:rPr>
              <w:noBreakHyphen/>
              <w:t>11</w:t>
            </w:r>
            <w:r w:rsidRPr="00FC5507">
              <w:rPr>
                <w:i/>
                <w:iCs/>
                <w:sz w:val="20"/>
                <w:lang w:val="en-CA"/>
              </w:rPr>
              <w:noBreakHyphen/>
              <w:t xml:space="preserve">23 sur le zonage et le lotissement </w:t>
            </w:r>
            <w:r w:rsidRPr="00FC5507">
              <w:rPr>
                <w:iCs/>
                <w:sz w:val="20"/>
                <w:lang w:val="en-CA"/>
              </w:rPr>
              <w:t xml:space="preserve">declared constitutionally inapplicable in relation to respondent </w:t>
            </w:r>
            <w:r w:rsidRPr="00FC5507">
              <w:rPr>
                <w:sz w:val="20"/>
                <w:lang w:val="en-CA"/>
              </w:rPr>
              <w:t xml:space="preserve">Ms. Leclerc; application to declare s. 12 of </w:t>
            </w:r>
            <w:r w:rsidRPr="00FC5507">
              <w:rPr>
                <w:i/>
                <w:iCs/>
                <w:sz w:val="20"/>
                <w:lang w:val="en-CA"/>
              </w:rPr>
              <w:t>Règlement RV</w:t>
            </w:r>
            <w:r w:rsidRPr="00FC5507">
              <w:rPr>
                <w:i/>
                <w:iCs/>
                <w:sz w:val="20"/>
                <w:lang w:val="en-CA"/>
              </w:rPr>
              <w:noBreakHyphen/>
              <w:t>2011</w:t>
            </w:r>
            <w:r w:rsidRPr="00FC5507">
              <w:rPr>
                <w:i/>
                <w:iCs/>
                <w:sz w:val="20"/>
                <w:lang w:val="en-CA"/>
              </w:rPr>
              <w:noBreakHyphen/>
              <w:t>11</w:t>
            </w:r>
            <w:r w:rsidRPr="00FC5507">
              <w:rPr>
                <w:i/>
                <w:iCs/>
                <w:sz w:val="20"/>
                <w:lang w:val="en-CA"/>
              </w:rPr>
              <w:noBreakHyphen/>
              <w:t xml:space="preserve">28 sur les permis et les certificats </w:t>
            </w:r>
            <w:r w:rsidRPr="00FC5507">
              <w:rPr>
                <w:iCs/>
                <w:sz w:val="20"/>
                <w:lang w:val="en-CA"/>
              </w:rPr>
              <w:t>constitutionally inapplicable dismissed</w:t>
            </w:r>
          </w:p>
          <w:p w:rsidR="00A16319" w:rsidRPr="00FC5507" w:rsidRDefault="00A16319" w:rsidP="00FC5507">
            <w:pPr>
              <w:jc w:val="both"/>
              <w:rPr>
                <w:sz w:val="20"/>
                <w:lang w:val="en-CA"/>
              </w:rPr>
            </w:pPr>
          </w:p>
        </w:tc>
      </w:tr>
      <w:tr w:rsidR="00A16319" w:rsidRPr="00FC5507" w:rsidTr="00602075">
        <w:tc>
          <w:tcPr>
            <w:tcW w:w="2427" w:type="pct"/>
            <w:gridSpan w:val="2"/>
          </w:tcPr>
          <w:p w:rsidR="00A16319" w:rsidRPr="00FC5507" w:rsidRDefault="00A16319" w:rsidP="00FC5507">
            <w:pPr>
              <w:jc w:val="both"/>
              <w:rPr>
                <w:sz w:val="20"/>
                <w:lang w:val="en-CA"/>
              </w:rPr>
            </w:pPr>
            <w:r w:rsidRPr="00FC5507">
              <w:rPr>
                <w:sz w:val="20"/>
                <w:lang w:val="en-CA"/>
              </w:rPr>
              <w:t>November 26, 2018</w:t>
            </w:r>
          </w:p>
          <w:p w:rsidR="00A16319" w:rsidRPr="00FC5507" w:rsidRDefault="00A16319" w:rsidP="00FC5507">
            <w:pPr>
              <w:jc w:val="both"/>
              <w:rPr>
                <w:sz w:val="20"/>
                <w:lang w:val="en-CA"/>
              </w:rPr>
            </w:pPr>
            <w:r w:rsidRPr="00FC5507">
              <w:rPr>
                <w:sz w:val="20"/>
                <w:lang w:val="en-CA"/>
              </w:rPr>
              <w:t>Supreme Court of Canada</w:t>
            </w:r>
          </w:p>
          <w:p w:rsidR="00A16319" w:rsidRPr="00FC5507" w:rsidRDefault="00A16319" w:rsidP="00FC5507">
            <w:pPr>
              <w:jc w:val="both"/>
              <w:rPr>
                <w:sz w:val="20"/>
                <w:lang w:val="en-CA"/>
              </w:rPr>
            </w:pPr>
          </w:p>
        </w:tc>
        <w:tc>
          <w:tcPr>
            <w:tcW w:w="243" w:type="pct"/>
          </w:tcPr>
          <w:p w:rsidR="00A16319" w:rsidRPr="00FC5507" w:rsidRDefault="00A16319" w:rsidP="00FC5507">
            <w:pPr>
              <w:jc w:val="both"/>
              <w:rPr>
                <w:sz w:val="20"/>
                <w:lang w:val="en-CA"/>
              </w:rPr>
            </w:pPr>
          </w:p>
        </w:tc>
        <w:tc>
          <w:tcPr>
            <w:tcW w:w="2330" w:type="pct"/>
          </w:tcPr>
          <w:p w:rsidR="00A16319" w:rsidRPr="00FC5507" w:rsidRDefault="00A16319" w:rsidP="00FC5507">
            <w:pPr>
              <w:jc w:val="both"/>
              <w:rPr>
                <w:sz w:val="20"/>
                <w:lang w:val="en-CA"/>
              </w:rPr>
            </w:pPr>
            <w:r w:rsidRPr="00FC5507">
              <w:rPr>
                <w:sz w:val="20"/>
                <w:lang w:val="en-CA"/>
              </w:rPr>
              <w:t>Application for leave to appeal filed</w:t>
            </w:r>
          </w:p>
        </w:tc>
      </w:tr>
      <w:tr w:rsidR="00A16319" w:rsidRPr="00FC5507" w:rsidTr="00602075">
        <w:tc>
          <w:tcPr>
            <w:tcW w:w="2427" w:type="pct"/>
            <w:gridSpan w:val="2"/>
          </w:tcPr>
          <w:p w:rsidR="00A16319" w:rsidRPr="00FC5507" w:rsidRDefault="00A16319" w:rsidP="00FC5507">
            <w:pPr>
              <w:jc w:val="both"/>
              <w:rPr>
                <w:sz w:val="20"/>
                <w:lang w:val="en-CA"/>
              </w:rPr>
            </w:pPr>
            <w:r w:rsidRPr="00FC5507">
              <w:rPr>
                <w:sz w:val="20"/>
                <w:lang w:val="en-CA"/>
              </w:rPr>
              <w:t>January 11, 2019</w:t>
            </w:r>
          </w:p>
          <w:p w:rsidR="00A16319" w:rsidRPr="00FC5507" w:rsidRDefault="00A16319" w:rsidP="00FC5507">
            <w:pPr>
              <w:jc w:val="both"/>
              <w:rPr>
                <w:sz w:val="20"/>
                <w:lang w:val="en-CA"/>
              </w:rPr>
            </w:pPr>
            <w:r w:rsidRPr="00FC5507">
              <w:rPr>
                <w:sz w:val="20"/>
                <w:lang w:val="en-CA"/>
              </w:rPr>
              <w:t>Supreme Court of Canada</w:t>
            </w:r>
          </w:p>
          <w:p w:rsidR="00A16319" w:rsidRPr="00FC5507" w:rsidRDefault="00A16319" w:rsidP="00FC5507">
            <w:pPr>
              <w:jc w:val="both"/>
              <w:rPr>
                <w:sz w:val="20"/>
                <w:lang w:val="en-CA"/>
              </w:rPr>
            </w:pPr>
          </w:p>
        </w:tc>
        <w:tc>
          <w:tcPr>
            <w:tcW w:w="243" w:type="pct"/>
          </w:tcPr>
          <w:p w:rsidR="00A16319" w:rsidRPr="00FC5507" w:rsidRDefault="00A16319" w:rsidP="00FC5507">
            <w:pPr>
              <w:jc w:val="both"/>
              <w:rPr>
                <w:sz w:val="20"/>
                <w:lang w:val="en-CA"/>
              </w:rPr>
            </w:pPr>
          </w:p>
        </w:tc>
        <w:tc>
          <w:tcPr>
            <w:tcW w:w="2330" w:type="pct"/>
          </w:tcPr>
          <w:p w:rsidR="00A16319" w:rsidRPr="00FC5507" w:rsidRDefault="00A16319" w:rsidP="00FC5507">
            <w:pPr>
              <w:jc w:val="both"/>
              <w:rPr>
                <w:sz w:val="20"/>
                <w:lang w:val="en-CA"/>
              </w:rPr>
            </w:pPr>
            <w:r w:rsidRPr="00FC5507">
              <w:rPr>
                <w:sz w:val="20"/>
                <w:lang w:val="en-CA"/>
              </w:rPr>
              <w:t>Conditional application for leave to cross</w:t>
            </w:r>
            <w:r w:rsidRPr="00FC5507">
              <w:rPr>
                <w:sz w:val="20"/>
                <w:lang w:val="en-CA"/>
              </w:rPr>
              <w:noBreakHyphen/>
              <w:t>appeal filed</w:t>
            </w:r>
          </w:p>
        </w:tc>
      </w:tr>
      <w:tr w:rsidR="00A16319" w:rsidRPr="00FC5507" w:rsidTr="00602075">
        <w:trPr>
          <w:trHeight w:val="315"/>
        </w:trPr>
        <w:tc>
          <w:tcPr>
            <w:tcW w:w="2427" w:type="pct"/>
            <w:gridSpan w:val="2"/>
          </w:tcPr>
          <w:p w:rsidR="00A16319" w:rsidRPr="00FC5507" w:rsidRDefault="00A16319" w:rsidP="00FC5507">
            <w:pPr>
              <w:jc w:val="both"/>
              <w:rPr>
                <w:sz w:val="20"/>
                <w:lang w:val="en-CA"/>
              </w:rPr>
            </w:pPr>
            <w:r w:rsidRPr="00FC5507">
              <w:rPr>
                <w:sz w:val="20"/>
                <w:lang w:val="en-CA"/>
              </w:rPr>
              <w:t>January 14, 2019</w:t>
            </w:r>
          </w:p>
          <w:p w:rsidR="00A16319" w:rsidRPr="00FC5507" w:rsidRDefault="00A16319" w:rsidP="00FC5507">
            <w:pPr>
              <w:jc w:val="both"/>
              <w:rPr>
                <w:sz w:val="20"/>
                <w:lang w:val="en-CA"/>
              </w:rPr>
            </w:pPr>
            <w:r w:rsidRPr="00FC5507">
              <w:rPr>
                <w:sz w:val="20"/>
                <w:lang w:val="en-CA"/>
              </w:rPr>
              <w:t>Supreme Court of Canada</w:t>
            </w:r>
          </w:p>
        </w:tc>
        <w:tc>
          <w:tcPr>
            <w:tcW w:w="243" w:type="pct"/>
          </w:tcPr>
          <w:p w:rsidR="00A16319" w:rsidRPr="00FC5507" w:rsidRDefault="00A16319" w:rsidP="00FC5507">
            <w:pPr>
              <w:jc w:val="both"/>
              <w:rPr>
                <w:sz w:val="20"/>
                <w:lang w:val="en-CA"/>
              </w:rPr>
            </w:pPr>
          </w:p>
        </w:tc>
        <w:tc>
          <w:tcPr>
            <w:tcW w:w="2330" w:type="pct"/>
          </w:tcPr>
          <w:p w:rsidR="00A16319" w:rsidRPr="00FC5507" w:rsidRDefault="00A16319" w:rsidP="00FC5507">
            <w:pPr>
              <w:jc w:val="both"/>
              <w:rPr>
                <w:sz w:val="20"/>
                <w:lang w:val="en-CA"/>
              </w:rPr>
            </w:pPr>
            <w:r w:rsidRPr="00FC5507">
              <w:rPr>
                <w:sz w:val="20"/>
                <w:lang w:val="en-CA"/>
              </w:rPr>
              <w:t>Conditional application for leave to cross</w:t>
            </w:r>
            <w:r w:rsidRPr="00FC5507">
              <w:rPr>
                <w:sz w:val="20"/>
                <w:lang w:val="en-CA"/>
              </w:rPr>
              <w:noBreakHyphen/>
              <w:t>appeal filed</w:t>
            </w:r>
          </w:p>
        </w:tc>
      </w:tr>
    </w:tbl>
    <w:p w:rsidR="00A16319" w:rsidRDefault="00A16319" w:rsidP="00FC5507">
      <w:pPr>
        <w:jc w:val="both"/>
        <w:rPr>
          <w:sz w:val="20"/>
          <w:lang w:val="en-CA"/>
        </w:rPr>
      </w:pPr>
    </w:p>
    <w:p w:rsidR="00A6684F" w:rsidRPr="00FC5507" w:rsidRDefault="00A6684F" w:rsidP="00FC5507">
      <w:pPr>
        <w:jc w:val="both"/>
        <w:rPr>
          <w:sz w:val="20"/>
          <w:lang w:val="en-CA"/>
        </w:rPr>
      </w:pPr>
      <w:r>
        <w:rPr>
          <w:sz w:val="20"/>
        </w:rPr>
        <w:pict>
          <v:rect id="_x0000_i1041" style="width:2in;height:1pt" o:hrpct="0" o:hralign="center" o:hrstd="t" o:hrnoshade="t" o:hr="t" fillcolor="black [3213]" stroked="f"/>
        </w:pict>
      </w:r>
    </w:p>
    <w:p w:rsidR="00A16319" w:rsidRPr="00FC5507" w:rsidRDefault="00A16319" w:rsidP="00FC550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FC5507" w:rsidTr="00602075">
        <w:tc>
          <w:tcPr>
            <w:tcW w:w="543" w:type="pct"/>
          </w:tcPr>
          <w:p w:rsidR="00A16319" w:rsidRPr="00FC5507" w:rsidRDefault="00A16319" w:rsidP="00FC5507">
            <w:pPr>
              <w:jc w:val="both"/>
              <w:rPr>
                <w:sz w:val="20"/>
              </w:rPr>
            </w:pPr>
            <w:r w:rsidRPr="00FC5507">
              <w:rPr>
                <w:rStyle w:val="SCCFileNumberChar"/>
                <w:sz w:val="20"/>
                <w:szCs w:val="20"/>
              </w:rPr>
              <w:t>38414</w:t>
            </w:r>
          </w:p>
        </w:tc>
        <w:tc>
          <w:tcPr>
            <w:tcW w:w="4457" w:type="pct"/>
            <w:gridSpan w:val="3"/>
          </w:tcPr>
          <w:p w:rsidR="00A16319" w:rsidRPr="00602075" w:rsidRDefault="00A16319" w:rsidP="00FC5507">
            <w:pPr>
              <w:pStyle w:val="SCCLsocParty"/>
              <w:jc w:val="both"/>
              <w:rPr>
                <w:b/>
                <w:sz w:val="20"/>
                <w:szCs w:val="20"/>
              </w:rPr>
            </w:pPr>
            <w:r w:rsidRPr="00602075">
              <w:rPr>
                <w:b/>
                <w:sz w:val="20"/>
                <w:szCs w:val="20"/>
              </w:rPr>
              <w:t>Ville de Lévis c. Albertine Leclerc</w:t>
            </w:r>
          </w:p>
          <w:p w:rsidR="00A16319" w:rsidRPr="00602075" w:rsidRDefault="00A16319" w:rsidP="00FC5507">
            <w:pPr>
              <w:pStyle w:val="SCCLsocOtherPartySeparator"/>
              <w:rPr>
                <w:sz w:val="20"/>
                <w:szCs w:val="20"/>
              </w:rPr>
            </w:pPr>
            <w:r w:rsidRPr="00602075">
              <w:rPr>
                <w:sz w:val="20"/>
                <w:szCs w:val="20"/>
              </w:rPr>
              <w:t>— et —</w:t>
            </w:r>
          </w:p>
          <w:p w:rsidR="00A16319" w:rsidRPr="00602075" w:rsidRDefault="00A16319" w:rsidP="00FC5507">
            <w:pPr>
              <w:pStyle w:val="SCCLsocParty"/>
              <w:jc w:val="both"/>
              <w:rPr>
                <w:b/>
                <w:sz w:val="20"/>
                <w:szCs w:val="20"/>
              </w:rPr>
            </w:pPr>
            <w:r w:rsidRPr="00602075">
              <w:rPr>
                <w:b/>
                <w:sz w:val="20"/>
                <w:szCs w:val="20"/>
              </w:rPr>
              <w:t>Procureure générale du Québec, Procureur général du Canada</w:t>
            </w:r>
          </w:p>
          <w:p w:rsidR="00A16319" w:rsidRPr="00FC5507" w:rsidRDefault="00A16319" w:rsidP="00FC5507">
            <w:pPr>
              <w:jc w:val="both"/>
              <w:rPr>
                <w:sz w:val="20"/>
              </w:rPr>
            </w:pPr>
            <w:r w:rsidRPr="00FC5507">
              <w:rPr>
                <w:sz w:val="20"/>
              </w:rPr>
              <w:t>(Qc) (Civile) (Autorisation)</w:t>
            </w:r>
          </w:p>
        </w:tc>
      </w:tr>
      <w:tr w:rsidR="00A16319" w:rsidRPr="00A6684F" w:rsidTr="00602075">
        <w:tc>
          <w:tcPr>
            <w:tcW w:w="5000" w:type="pct"/>
            <w:gridSpan w:val="4"/>
          </w:tcPr>
          <w:p w:rsidR="00A16319" w:rsidRPr="00FC5507" w:rsidRDefault="00A16319" w:rsidP="00FC5507">
            <w:pPr>
              <w:jc w:val="both"/>
              <w:rPr>
                <w:sz w:val="20"/>
                <w:lang w:val="fr-FR"/>
              </w:rPr>
            </w:pPr>
            <w:r w:rsidRPr="00FC5507">
              <w:rPr>
                <w:sz w:val="20"/>
                <w:lang w:val="fr-CA"/>
              </w:rPr>
              <w:t>Droit constitutionnel — Doctrine de l’exclusivité des compétences — Compétence fédérale en matière d’aéronautique — Parachutisme — Règlements municipaux interdisant le parachutisme sur des terrains agricoles et exigeant un permis pour la construction d’un aérodrome — La doctrine de l’exclusivité des compétences pouvait</w:t>
            </w:r>
            <w:r w:rsidRPr="00FC5507">
              <w:rPr>
                <w:sz w:val="20"/>
                <w:lang w:val="fr-CA"/>
              </w:rPr>
              <w:noBreakHyphen/>
              <w:t>elle trouver application en l’absence d’un précédent spécifique ou de raisons exceptionnelles? — Le parachutisme fait</w:t>
            </w:r>
            <w:r w:rsidRPr="00FC5507">
              <w:rPr>
                <w:sz w:val="20"/>
                <w:lang w:val="fr-CA"/>
              </w:rPr>
              <w:noBreakHyphen/>
              <w:t xml:space="preserve">il partie du cœur de la compétence fédérale? — La définition d’aéronef dans la </w:t>
            </w:r>
            <w:r w:rsidRPr="00FC5507">
              <w:rPr>
                <w:i/>
                <w:sz w:val="20"/>
                <w:lang w:val="fr-CA"/>
              </w:rPr>
              <w:t>Loi sur l’aéronautique</w:t>
            </w:r>
            <w:r w:rsidRPr="00FC5507">
              <w:rPr>
                <w:sz w:val="20"/>
                <w:lang w:val="fr-CA"/>
              </w:rPr>
              <w:t xml:space="preserve">, </w:t>
            </w:r>
            <w:r w:rsidRPr="00FC5507">
              <w:rPr>
                <w:sz w:val="20"/>
                <w:lang w:val="fr-FR"/>
              </w:rPr>
              <w:t>L.R.C. 1985, c. A</w:t>
            </w:r>
            <w:r w:rsidRPr="00FC5507">
              <w:rPr>
                <w:sz w:val="20"/>
                <w:lang w:val="fr-FR"/>
              </w:rPr>
              <w:noBreakHyphen/>
              <w:t>2</w:t>
            </w:r>
            <w:r w:rsidRPr="00FC5507">
              <w:rPr>
                <w:sz w:val="20"/>
                <w:lang w:val="fr-CA"/>
              </w:rPr>
              <w:t>, peut</w:t>
            </w:r>
            <w:r w:rsidRPr="00FC5507">
              <w:rPr>
                <w:sz w:val="20"/>
                <w:lang w:val="fr-CA"/>
              </w:rPr>
              <w:noBreakHyphen/>
              <w:t>elle servir à circonscrire le cœur de cette compétence fédérale? — Un permis pour la construction d’un hangar destiné exclusivement aux activités de parachutisme, à l’entreposage et à l’entretien d’aéronefs était-il nécessaire? — L’analyse effectuée par la Cour d’appel quant à l’absence d’entrave est</w:t>
            </w:r>
            <w:r w:rsidRPr="00FC5507">
              <w:rPr>
                <w:sz w:val="20"/>
                <w:lang w:val="fr-CA"/>
              </w:rPr>
              <w:noBreakHyphen/>
              <w:t xml:space="preserve">elle réconciliable avec la jurisprudence antérieure? — </w:t>
            </w:r>
            <w:r w:rsidRPr="00FC5507">
              <w:rPr>
                <w:i/>
                <w:iCs/>
                <w:sz w:val="20"/>
                <w:lang w:val="fr-FR"/>
              </w:rPr>
              <w:t>Règlement RV</w:t>
            </w:r>
            <w:r w:rsidRPr="00FC5507">
              <w:rPr>
                <w:i/>
                <w:iCs/>
                <w:sz w:val="20"/>
                <w:lang w:val="fr-FR"/>
              </w:rPr>
              <w:noBreakHyphen/>
              <w:t>2011</w:t>
            </w:r>
            <w:r w:rsidRPr="00FC5507">
              <w:rPr>
                <w:i/>
                <w:iCs/>
                <w:sz w:val="20"/>
                <w:lang w:val="fr-FR"/>
              </w:rPr>
              <w:noBreakHyphen/>
              <w:t>11</w:t>
            </w:r>
            <w:r w:rsidRPr="00FC5507">
              <w:rPr>
                <w:i/>
                <w:iCs/>
                <w:sz w:val="20"/>
                <w:lang w:val="fr-FR"/>
              </w:rPr>
              <w:noBreakHyphen/>
              <w:t>23 sur le zonage et le lotissement</w:t>
            </w:r>
            <w:r w:rsidRPr="00FC5507">
              <w:rPr>
                <w:iCs/>
                <w:sz w:val="20"/>
                <w:lang w:val="fr-FR"/>
              </w:rPr>
              <w:t xml:space="preserve">, art. 15 — </w:t>
            </w:r>
            <w:r w:rsidRPr="00FC5507">
              <w:rPr>
                <w:i/>
                <w:iCs/>
                <w:sz w:val="20"/>
                <w:lang w:val="fr-FR"/>
              </w:rPr>
              <w:t>Règlement RV</w:t>
            </w:r>
            <w:r w:rsidRPr="00FC5507">
              <w:rPr>
                <w:i/>
                <w:iCs/>
                <w:sz w:val="20"/>
                <w:lang w:val="fr-FR"/>
              </w:rPr>
              <w:noBreakHyphen/>
              <w:t>2011</w:t>
            </w:r>
            <w:r w:rsidRPr="00FC5507">
              <w:rPr>
                <w:i/>
                <w:iCs/>
                <w:sz w:val="20"/>
                <w:lang w:val="fr-FR"/>
              </w:rPr>
              <w:noBreakHyphen/>
              <w:t>11</w:t>
            </w:r>
            <w:r w:rsidRPr="00FC5507">
              <w:rPr>
                <w:i/>
                <w:iCs/>
                <w:sz w:val="20"/>
                <w:lang w:val="fr-FR"/>
              </w:rPr>
              <w:noBreakHyphen/>
              <w:t>28 sur les permis et les certificats</w:t>
            </w:r>
            <w:r w:rsidRPr="00FC5507">
              <w:rPr>
                <w:iCs/>
                <w:sz w:val="20"/>
                <w:lang w:val="fr-FR"/>
              </w:rPr>
              <w:t>, art. 12.</w:t>
            </w:r>
          </w:p>
        </w:tc>
      </w:tr>
      <w:tr w:rsidR="00A16319" w:rsidRPr="00A6684F" w:rsidTr="00602075">
        <w:tc>
          <w:tcPr>
            <w:tcW w:w="5000" w:type="pct"/>
            <w:gridSpan w:val="4"/>
          </w:tcPr>
          <w:p w:rsidR="00A16319" w:rsidRPr="00FC5507" w:rsidRDefault="00A16319" w:rsidP="00FC5507">
            <w:pPr>
              <w:jc w:val="both"/>
              <w:rPr>
                <w:sz w:val="20"/>
                <w:lang w:val="fr-CA"/>
              </w:rPr>
            </w:pPr>
          </w:p>
        </w:tc>
      </w:tr>
      <w:tr w:rsidR="00A16319" w:rsidRPr="00A6684F" w:rsidTr="00602075">
        <w:tc>
          <w:tcPr>
            <w:tcW w:w="5000" w:type="pct"/>
            <w:gridSpan w:val="4"/>
          </w:tcPr>
          <w:p w:rsidR="00A16319" w:rsidRPr="00FC5507" w:rsidRDefault="00A16319" w:rsidP="00FC5507">
            <w:pPr>
              <w:jc w:val="both"/>
              <w:rPr>
                <w:sz w:val="20"/>
                <w:lang w:val="fr-FR"/>
              </w:rPr>
            </w:pPr>
            <w:r w:rsidRPr="00FC5507">
              <w:rPr>
                <w:sz w:val="20"/>
                <w:lang w:val="fr-CA"/>
              </w:rPr>
              <w:t xml:space="preserve">L’intimée, Mme Leclerc, est propriétaire de trois lots dans la municipalité demanderesse qui sont limités à des usages agricoles par le règlement de zonage applicable. Mme Leclerc y exploite un aérodrome, et loue une partie de ses lots pour des fins d’opération d’un centre de parachutisme. En 2012, la municipalité demanderesse a logé plusieurs constats d’infraction à l’encontre de Mme Leclerc en violation des règlements de zonage et de construction applicables. Il lui était entre autres reproché d’avoir exercé un usage non autorisé, soit « le parachutisme ou le centre </w:t>
            </w:r>
            <w:r w:rsidRPr="00FC5507">
              <w:rPr>
                <w:sz w:val="20"/>
                <w:lang w:val="fr-CA"/>
              </w:rPr>
              <w:lastRenderedPageBreak/>
              <w:t xml:space="preserve">de formation en parachutisme », et d’avoir construit un deuxième aérodrome sans l’obtention au préalable du permis de construction requis pour ce type d’ouvrage. Mme Leclerc est d’avis que la règlementation municipale ne lui est pas opposable en vertu de la doctrine de l’exclusivité des compétences. En d’autres termes, elle soumet que la municipalité défenderesse ne peut règlementer ses activités parce qu’elles relèvent du cœur de la compétence fédérale en matière d’aéronautique. La Cour municipale a écarté l’application de la doctrine dans les circonstances, ayant conclu que le parachutisme ne relevait pas du cœur de la compétence fédérale en l’absence d’un précédent à cet effet. La Cour supérieure a renversé cette conclusion et a accueilli en partie l’appel. À son avis, il y avait un précédent issu de la Cour d’appel de l’Alberta permettant de faire appliquer la doctrine au parachutisme. La Cour d’appel a mis de côté le raisonnement de la Cour supérieure relativement à l’existence d’un précédent, mais a tout de même donné droit à l’application de la doctrine au « nouveau domaine » du parachutisme. À son avis, </w:t>
            </w:r>
            <w:r w:rsidRPr="00FC5507">
              <w:rPr>
                <w:sz w:val="20"/>
                <w:lang w:val="fr-FR"/>
              </w:rPr>
              <w:t>le parachutisme est une activité qui se pratique dans l’espace aérien et qui est indissociable de la navigation aérienne prise comme un tout. En interdisant cette pratique, la municipalité demanderesse entrave une compétence qui est du ressort exclusif du Parlement. La Cour d’appel a déclaré inapplicable la disposition du règlement de zonage, mais pas celle relevant du règlement sur les permis. Dans ce dernier cas, la cour a reconnu que le respect des normes de construction n’empiète pas sur la compétence fédérale dans le sens d’une entrave sur le plan constitutionnel.</w:t>
            </w:r>
          </w:p>
          <w:p w:rsidR="00A16319" w:rsidRPr="00FC5507" w:rsidRDefault="00A16319" w:rsidP="00FC5507">
            <w:pPr>
              <w:jc w:val="both"/>
              <w:rPr>
                <w:sz w:val="20"/>
                <w:lang w:val="fr-FR"/>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lastRenderedPageBreak/>
              <w:t>Le 10 septembre 2015</w:t>
            </w:r>
          </w:p>
          <w:p w:rsidR="00A16319" w:rsidRPr="00FC5507" w:rsidRDefault="00A16319" w:rsidP="00FC5507">
            <w:pPr>
              <w:jc w:val="both"/>
              <w:rPr>
                <w:sz w:val="20"/>
                <w:lang w:val="fr-CA"/>
              </w:rPr>
            </w:pPr>
            <w:r w:rsidRPr="00FC5507">
              <w:rPr>
                <w:sz w:val="20"/>
                <w:lang w:val="fr-CA"/>
              </w:rPr>
              <w:t>Cour municipale de Lévis</w:t>
            </w:r>
          </w:p>
          <w:p w:rsidR="00A16319" w:rsidRPr="00FC5507" w:rsidRDefault="00A16319" w:rsidP="00FC5507">
            <w:pPr>
              <w:jc w:val="both"/>
              <w:rPr>
                <w:sz w:val="20"/>
                <w:lang w:val="fr-CA"/>
              </w:rPr>
            </w:pPr>
            <w:r w:rsidRPr="00FC5507">
              <w:rPr>
                <w:sz w:val="20"/>
                <w:lang w:val="fr-CA"/>
              </w:rPr>
              <w:t>(la juge municipale Vachon)</w:t>
            </w:r>
          </w:p>
          <w:p w:rsidR="00A16319" w:rsidRPr="00FC5507" w:rsidRDefault="00685225" w:rsidP="00FC5507">
            <w:pPr>
              <w:jc w:val="both"/>
              <w:rPr>
                <w:sz w:val="20"/>
                <w:lang w:val="fr-CA"/>
              </w:rPr>
            </w:pPr>
            <w:hyperlink r:id="rId66" w:history="1">
              <w:r w:rsidR="00A16319" w:rsidRPr="00FC5507">
                <w:rPr>
                  <w:rStyle w:val="Hyperlink"/>
                  <w:sz w:val="20"/>
                  <w:lang w:val="fr-FR"/>
                </w:rPr>
                <w:t>2015 CanLII 62548</w:t>
              </w:r>
            </w:hyperlink>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FR"/>
              </w:rPr>
            </w:pPr>
            <w:r w:rsidRPr="00FC5507">
              <w:rPr>
                <w:sz w:val="20"/>
                <w:lang w:val="fr-FR"/>
              </w:rPr>
              <w:t xml:space="preserve">Culpabilité des défenderesses quant à l’infraction relative aux usages prohibés déclarée; requête en inapplicabilité de l’article15 du </w:t>
            </w:r>
            <w:r w:rsidRPr="00FC5507">
              <w:rPr>
                <w:i/>
                <w:sz w:val="20"/>
                <w:lang w:val="fr-FR"/>
              </w:rPr>
              <w:t>Règlement RV</w:t>
            </w:r>
            <w:r w:rsidRPr="00FC5507">
              <w:rPr>
                <w:i/>
                <w:sz w:val="20"/>
                <w:lang w:val="fr-FR"/>
              </w:rPr>
              <w:noBreakHyphen/>
              <w:t>2011</w:t>
            </w:r>
            <w:r w:rsidRPr="00FC5507">
              <w:rPr>
                <w:i/>
                <w:sz w:val="20"/>
                <w:lang w:val="fr-FR"/>
              </w:rPr>
              <w:noBreakHyphen/>
              <w:t>23</w:t>
            </w:r>
            <w:r w:rsidRPr="00FC5507">
              <w:rPr>
                <w:i/>
                <w:iCs/>
                <w:sz w:val="20"/>
                <w:lang w:val="fr-FR"/>
              </w:rPr>
              <w:t xml:space="preserve"> sur le zonage et le lotissement</w:t>
            </w:r>
            <w:r w:rsidRPr="00FC5507">
              <w:rPr>
                <w:sz w:val="20"/>
                <w:lang w:val="fr-CA"/>
              </w:rPr>
              <w:t xml:space="preserve"> </w:t>
            </w:r>
            <w:r w:rsidRPr="00FC5507">
              <w:rPr>
                <w:sz w:val="20"/>
                <w:lang w:val="fr-FR"/>
              </w:rPr>
              <w:t>rejetée;</w:t>
            </w:r>
            <w:r w:rsidRPr="00FC5507">
              <w:rPr>
                <w:sz w:val="20"/>
                <w:lang w:val="fr-CA"/>
              </w:rPr>
              <w:t xml:space="preserve"> </w:t>
            </w:r>
            <w:r w:rsidRPr="00FC5507">
              <w:rPr>
                <w:sz w:val="20"/>
                <w:lang w:val="fr-FR"/>
              </w:rPr>
              <w:t>défenderesses acquittées des infractions relatives aux enseignes portatives prohibées;</w:t>
            </w:r>
            <w:r w:rsidRPr="00FC5507">
              <w:rPr>
                <w:sz w:val="20"/>
                <w:lang w:val="fr-CA"/>
              </w:rPr>
              <w:t xml:space="preserve"> </w:t>
            </w:r>
            <w:r w:rsidRPr="00FC5507">
              <w:rPr>
                <w:sz w:val="20"/>
                <w:lang w:val="fr-FR"/>
              </w:rPr>
              <w:t xml:space="preserve">requête en inapplicabilité de l’article 244 du </w:t>
            </w:r>
            <w:r w:rsidRPr="00FC5507">
              <w:rPr>
                <w:i/>
                <w:sz w:val="20"/>
                <w:lang w:val="fr-FR"/>
              </w:rPr>
              <w:t>Règlement RV</w:t>
            </w:r>
            <w:r w:rsidRPr="00FC5507">
              <w:rPr>
                <w:i/>
                <w:sz w:val="20"/>
                <w:lang w:val="fr-FR"/>
              </w:rPr>
              <w:noBreakHyphen/>
              <w:t>2011</w:t>
            </w:r>
            <w:r w:rsidRPr="00FC5507">
              <w:rPr>
                <w:i/>
                <w:sz w:val="20"/>
                <w:lang w:val="fr-FR"/>
              </w:rPr>
              <w:noBreakHyphen/>
              <w:t>23</w:t>
            </w:r>
            <w:r w:rsidRPr="00FC5507">
              <w:rPr>
                <w:i/>
                <w:iCs/>
                <w:sz w:val="20"/>
                <w:lang w:val="fr-FR"/>
              </w:rPr>
              <w:t xml:space="preserve"> sur le zonage et le lotissement</w:t>
            </w:r>
            <w:r w:rsidRPr="00FC5507">
              <w:rPr>
                <w:sz w:val="20"/>
                <w:lang w:val="fr-CA"/>
              </w:rPr>
              <w:t xml:space="preserve"> </w:t>
            </w:r>
            <w:r w:rsidRPr="00FC5507">
              <w:rPr>
                <w:sz w:val="20"/>
                <w:lang w:val="fr-FR"/>
              </w:rPr>
              <w:t xml:space="preserve">déclarée sans objet; culpabilité de la défenderesse Mme Leclerc quant à l’omission de requérir un permis déclarée; requête en inapplicabilité de l’article 12 du </w:t>
            </w:r>
            <w:r w:rsidRPr="00FC5507">
              <w:rPr>
                <w:i/>
                <w:iCs/>
                <w:sz w:val="20"/>
                <w:lang w:val="fr-FR"/>
              </w:rPr>
              <w:t>Règlement RV</w:t>
            </w:r>
            <w:r w:rsidRPr="00FC5507">
              <w:rPr>
                <w:i/>
                <w:iCs/>
                <w:sz w:val="20"/>
                <w:lang w:val="fr-FR"/>
              </w:rPr>
              <w:noBreakHyphen/>
              <w:t>2011</w:t>
            </w:r>
            <w:r w:rsidRPr="00FC5507">
              <w:rPr>
                <w:i/>
                <w:iCs/>
                <w:sz w:val="20"/>
                <w:lang w:val="fr-FR"/>
              </w:rPr>
              <w:noBreakHyphen/>
              <w:t>11</w:t>
            </w:r>
            <w:r w:rsidRPr="00FC5507">
              <w:rPr>
                <w:i/>
                <w:iCs/>
                <w:sz w:val="20"/>
                <w:lang w:val="fr-FR"/>
              </w:rPr>
              <w:noBreakHyphen/>
              <w:t xml:space="preserve">28 sur les permis et certificats </w:t>
            </w:r>
            <w:r w:rsidRPr="00FC5507">
              <w:rPr>
                <w:iCs/>
                <w:sz w:val="20"/>
                <w:lang w:val="fr-FR"/>
              </w:rPr>
              <w:t>rejetée</w:t>
            </w:r>
            <w:r w:rsidRPr="00FC5507">
              <w:rPr>
                <w:sz w:val="20"/>
                <w:lang w:val="fr-FR"/>
              </w:rPr>
              <w:t xml:space="preserve">; culpabilité de la défenderesse Mme. Leclerc quant à la présence d’amoncellement de terre constituant une nuisance déclarée; requête en inapplicabilité de l’article 7(12) du </w:t>
            </w:r>
            <w:r w:rsidRPr="00FC5507">
              <w:rPr>
                <w:i/>
                <w:sz w:val="20"/>
                <w:lang w:val="fr-FR"/>
              </w:rPr>
              <w:t xml:space="preserve">Règlement </w:t>
            </w:r>
            <w:r w:rsidRPr="00FC5507">
              <w:rPr>
                <w:i/>
                <w:iCs/>
                <w:sz w:val="20"/>
                <w:lang w:val="fr-FR"/>
              </w:rPr>
              <w:t>RV</w:t>
            </w:r>
            <w:r w:rsidRPr="00FC5507">
              <w:rPr>
                <w:i/>
                <w:iCs/>
                <w:sz w:val="20"/>
                <w:lang w:val="fr-FR"/>
              </w:rPr>
              <w:noBreakHyphen/>
              <w:t>2010</w:t>
            </w:r>
            <w:r w:rsidRPr="00FC5507">
              <w:rPr>
                <w:i/>
                <w:iCs/>
                <w:sz w:val="20"/>
                <w:lang w:val="fr-FR"/>
              </w:rPr>
              <w:noBreakHyphen/>
              <w:t>09</w:t>
            </w:r>
            <w:r w:rsidRPr="00FC5507">
              <w:rPr>
                <w:i/>
                <w:iCs/>
                <w:sz w:val="20"/>
                <w:lang w:val="fr-FR"/>
              </w:rPr>
              <w:noBreakHyphen/>
              <w:t>41 sur les nuisances, la paix, le bon ordre, le bon gouvernement, le bien</w:t>
            </w:r>
            <w:r w:rsidRPr="00FC5507">
              <w:rPr>
                <w:i/>
                <w:iCs/>
                <w:sz w:val="20"/>
                <w:lang w:val="fr-FR"/>
              </w:rPr>
              <w:noBreakHyphen/>
              <w:t xml:space="preserve">être général, la sécurité et les animaux </w:t>
            </w:r>
            <w:r w:rsidRPr="00FC5507">
              <w:rPr>
                <w:sz w:val="20"/>
                <w:lang w:val="fr-FR"/>
              </w:rPr>
              <w:t>rejetée.</w:t>
            </w:r>
          </w:p>
          <w:p w:rsidR="00A16319" w:rsidRPr="00FC5507" w:rsidRDefault="00A16319" w:rsidP="00FC5507">
            <w:pPr>
              <w:jc w:val="both"/>
              <w:rPr>
                <w:sz w:val="20"/>
                <w:lang w:val="fr-FR"/>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Le 21 décembre 2016</w:t>
            </w:r>
          </w:p>
          <w:p w:rsidR="00A16319" w:rsidRPr="00FC5507" w:rsidRDefault="00A16319" w:rsidP="00FC5507">
            <w:pPr>
              <w:jc w:val="both"/>
              <w:rPr>
                <w:sz w:val="20"/>
                <w:lang w:val="fr-CA"/>
              </w:rPr>
            </w:pPr>
            <w:r w:rsidRPr="00FC5507">
              <w:rPr>
                <w:sz w:val="20"/>
                <w:lang w:val="fr-CA"/>
              </w:rPr>
              <w:t>Cour supérieure du Québec</w:t>
            </w:r>
          </w:p>
          <w:p w:rsidR="00A16319" w:rsidRPr="00FC5507" w:rsidRDefault="00A16319" w:rsidP="00FC5507">
            <w:pPr>
              <w:jc w:val="both"/>
              <w:rPr>
                <w:sz w:val="20"/>
              </w:rPr>
            </w:pPr>
            <w:r w:rsidRPr="00FC5507">
              <w:rPr>
                <w:sz w:val="20"/>
              </w:rPr>
              <w:t>(le juge Dionne)</w:t>
            </w:r>
          </w:p>
          <w:p w:rsidR="00A16319" w:rsidRPr="00FC5507" w:rsidRDefault="00685225" w:rsidP="00FC5507">
            <w:pPr>
              <w:jc w:val="both"/>
              <w:rPr>
                <w:sz w:val="20"/>
                <w:lang w:val="fr-FR"/>
              </w:rPr>
            </w:pPr>
            <w:hyperlink r:id="rId67" w:history="1">
              <w:r w:rsidR="00A16319" w:rsidRPr="00FC5507">
                <w:rPr>
                  <w:rStyle w:val="Hyperlink"/>
                  <w:sz w:val="20"/>
                  <w:lang w:val="fr-FR"/>
                </w:rPr>
                <w:t>2016 QCCS 6328</w:t>
              </w:r>
            </w:hyperlink>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lang w:val="fr-CA"/>
              </w:rPr>
            </w:pPr>
            <w:r w:rsidRPr="00FC5507">
              <w:rPr>
                <w:sz w:val="20"/>
                <w:lang w:val="fr-CA"/>
              </w:rPr>
              <w:t xml:space="preserve">Appel accueilli en partie; </w:t>
            </w:r>
            <w:r w:rsidRPr="00FC5507">
              <w:rPr>
                <w:sz w:val="20"/>
                <w:lang w:val="fr-FR"/>
              </w:rPr>
              <w:t xml:space="preserve">article 15 du </w:t>
            </w:r>
            <w:r w:rsidRPr="00FC5507">
              <w:rPr>
                <w:i/>
                <w:iCs/>
                <w:sz w:val="20"/>
                <w:lang w:val="fr-FR"/>
              </w:rPr>
              <w:t>Règlement RV</w:t>
            </w:r>
            <w:r w:rsidRPr="00FC5507">
              <w:rPr>
                <w:i/>
                <w:iCs/>
                <w:sz w:val="20"/>
                <w:lang w:val="fr-FR"/>
              </w:rPr>
              <w:noBreakHyphen/>
              <w:t>2011</w:t>
            </w:r>
            <w:r w:rsidRPr="00FC5507">
              <w:rPr>
                <w:i/>
                <w:iCs/>
                <w:sz w:val="20"/>
                <w:lang w:val="fr-FR"/>
              </w:rPr>
              <w:noBreakHyphen/>
              <w:t>11</w:t>
            </w:r>
            <w:r w:rsidRPr="00FC5507">
              <w:rPr>
                <w:i/>
                <w:iCs/>
                <w:sz w:val="20"/>
                <w:lang w:val="fr-FR"/>
              </w:rPr>
              <w:noBreakHyphen/>
              <w:t xml:space="preserve">23 sur le zonage et le lotissement </w:t>
            </w:r>
            <w:r w:rsidRPr="00FC5507">
              <w:rPr>
                <w:sz w:val="20"/>
                <w:lang w:val="fr-FR"/>
              </w:rPr>
              <w:t xml:space="preserve">et article 12 du </w:t>
            </w:r>
            <w:r w:rsidRPr="00FC5507">
              <w:rPr>
                <w:i/>
                <w:iCs/>
                <w:sz w:val="20"/>
                <w:lang w:val="fr-FR"/>
              </w:rPr>
              <w:t>Règlement RV</w:t>
            </w:r>
            <w:r w:rsidRPr="00FC5507">
              <w:rPr>
                <w:i/>
                <w:iCs/>
                <w:sz w:val="20"/>
                <w:lang w:val="fr-FR"/>
              </w:rPr>
              <w:noBreakHyphen/>
              <w:t>2011</w:t>
            </w:r>
            <w:r w:rsidRPr="00FC5507">
              <w:rPr>
                <w:i/>
                <w:iCs/>
                <w:sz w:val="20"/>
                <w:lang w:val="fr-FR"/>
              </w:rPr>
              <w:noBreakHyphen/>
              <w:t>11</w:t>
            </w:r>
            <w:r w:rsidRPr="00FC5507">
              <w:rPr>
                <w:i/>
                <w:iCs/>
                <w:sz w:val="20"/>
                <w:lang w:val="fr-FR"/>
              </w:rPr>
              <w:noBreakHyphen/>
              <w:t xml:space="preserve">28 sur les permis et certificats </w:t>
            </w:r>
            <w:r w:rsidRPr="00FC5507">
              <w:rPr>
                <w:iCs/>
                <w:sz w:val="20"/>
                <w:lang w:val="fr-FR"/>
              </w:rPr>
              <w:t>déclarés inapplicables constitutionnellement à l’égard de l’appelante Mme Leclerc.</w:t>
            </w:r>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Le 26 septembre 2018</w:t>
            </w:r>
          </w:p>
          <w:p w:rsidR="00A16319" w:rsidRPr="00FC5507" w:rsidRDefault="00A16319" w:rsidP="00FC5507">
            <w:pPr>
              <w:jc w:val="both"/>
              <w:rPr>
                <w:sz w:val="20"/>
                <w:lang w:val="fr-CA"/>
              </w:rPr>
            </w:pPr>
            <w:r w:rsidRPr="00FC5507">
              <w:rPr>
                <w:sz w:val="20"/>
                <w:lang w:val="fr-CA"/>
              </w:rPr>
              <w:t>Cour d’appel du Québec (Québec)</w:t>
            </w:r>
          </w:p>
          <w:p w:rsidR="00A16319" w:rsidRPr="00FC5507" w:rsidRDefault="00A16319" w:rsidP="00FC5507">
            <w:pPr>
              <w:jc w:val="both"/>
              <w:rPr>
                <w:sz w:val="20"/>
                <w:lang w:val="fr-CA"/>
              </w:rPr>
            </w:pPr>
            <w:r w:rsidRPr="00FC5507">
              <w:rPr>
                <w:sz w:val="20"/>
                <w:lang w:val="fr-CA"/>
              </w:rPr>
              <w:t xml:space="preserve">(les juges </w:t>
            </w:r>
            <w:proofErr w:type="spellStart"/>
            <w:r w:rsidRPr="00FC5507">
              <w:rPr>
                <w:sz w:val="20"/>
                <w:lang w:val="fr-CA"/>
              </w:rPr>
              <w:t>Hogue</w:t>
            </w:r>
            <w:proofErr w:type="spellEnd"/>
            <w:r w:rsidRPr="00FC5507">
              <w:rPr>
                <w:sz w:val="20"/>
                <w:lang w:val="fr-CA"/>
              </w:rPr>
              <w:t>, Gagné et Bélanger)</w:t>
            </w:r>
          </w:p>
          <w:p w:rsidR="00A16319" w:rsidRPr="00FC5507" w:rsidRDefault="00685225" w:rsidP="00FC5507">
            <w:pPr>
              <w:jc w:val="both"/>
              <w:rPr>
                <w:sz w:val="20"/>
                <w:lang w:val="fr-FR"/>
              </w:rPr>
            </w:pPr>
            <w:hyperlink r:id="rId68" w:history="1">
              <w:r w:rsidR="00A16319" w:rsidRPr="00FC5507">
                <w:rPr>
                  <w:rStyle w:val="Hyperlink"/>
                  <w:sz w:val="20"/>
                  <w:lang w:val="fr-FR"/>
                </w:rPr>
                <w:t>2018 QCCA 1567</w:t>
              </w:r>
            </w:hyperlink>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lang w:val="fr-CA"/>
              </w:rPr>
            </w:pPr>
            <w:r w:rsidRPr="00FC5507">
              <w:rPr>
                <w:sz w:val="20"/>
                <w:lang w:val="fr-CA"/>
              </w:rPr>
              <w:t xml:space="preserve">Appels accueillis en partie; </w:t>
            </w:r>
            <w:r w:rsidRPr="00FC5507">
              <w:rPr>
                <w:sz w:val="20"/>
                <w:lang w:val="fr-FR"/>
              </w:rPr>
              <w:t xml:space="preserve">verdict de culpabilité sur le constat d’infraction de construction sans permis rétablit; paragraphe [168] du jugement de la Cour supérieure modifié pour acquitter l’intimée Mme Leclerc des condamnations reliées aux infractions d’usage non autorisé; article 15 du </w:t>
            </w:r>
            <w:r w:rsidRPr="00FC5507">
              <w:rPr>
                <w:i/>
                <w:iCs/>
                <w:sz w:val="20"/>
                <w:lang w:val="fr-FR"/>
              </w:rPr>
              <w:t>Règlement RV</w:t>
            </w:r>
            <w:r w:rsidRPr="00FC5507">
              <w:rPr>
                <w:i/>
                <w:iCs/>
                <w:sz w:val="20"/>
                <w:lang w:val="fr-FR"/>
              </w:rPr>
              <w:noBreakHyphen/>
              <w:t>2011</w:t>
            </w:r>
            <w:r w:rsidRPr="00FC5507">
              <w:rPr>
                <w:i/>
                <w:iCs/>
                <w:sz w:val="20"/>
                <w:lang w:val="fr-FR"/>
              </w:rPr>
              <w:noBreakHyphen/>
              <w:t>11</w:t>
            </w:r>
            <w:r w:rsidRPr="00FC5507">
              <w:rPr>
                <w:i/>
                <w:iCs/>
                <w:sz w:val="20"/>
                <w:lang w:val="fr-FR"/>
              </w:rPr>
              <w:noBreakHyphen/>
              <w:t xml:space="preserve">23 sur le zonage et le lotissement </w:t>
            </w:r>
            <w:r w:rsidRPr="00FC5507">
              <w:rPr>
                <w:iCs/>
                <w:sz w:val="20"/>
                <w:lang w:val="fr-FR"/>
              </w:rPr>
              <w:t>déclaré inapplicable constitutionnellement</w:t>
            </w:r>
            <w:r w:rsidRPr="00FC5507">
              <w:rPr>
                <w:sz w:val="20"/>
                <w:lang w:val="fr-FR"/>
              </w:rPr>
              <w:t xml:space="preserve"> à l’égard de l’intimée Mme. Leclerc; demande de déclaration d’inapplicabilité constitutionnelle de l’article 12 du </w:t>
            </w:r>
            <w:r w:rsidRPr="00FC5507">
              <w:rPr>
                <w:i/>
                <w:iCs/>
                <w:sz w:val="20"/>
                <w:lang w:val="fr-FR"/>
              </w:rPr>
              <w:t>Règlement RV</w:t>
            </w:r>
            <w:r w:rsidRPr="00FC5507">
              <w:rPr>
                <w:i/>
                <w:iCs/>
                <w:sz w:val="20"/>
                <w:lang w:val="fr-FR"/>
              </w:rPr>
              <w:noBreakHyphen/>
              <w:t>2011</w:t>
            </w:r>
            <w:r w:rsidRPr="00FC5507">
              <w:rPr>
                <w:i/>
                <w:iCs/>
                <w:sz w:val="20"/>
                <w:lang w:val="fr-FR"/>
              </w:rPr>
              <w:noBreakHyphen/>
              <w:t>11</w:t>
            </w:r>
            <w:r w:rsidRPr="00FC5507">
              <w:rPr>
                <w:i/>
                <w:iCs/>
                <w:sz w:val="20"/>
                <w:lang w:val="fr-FR"/>
              </w:rPr>
              <w:noBreakHyphen/>
              <w:t xml:space="preserve">28 sur les permis et les certificats </w:t>
            </w:r>
            <w:r w:rsidRPr="00FC5507">
              <w:rPr>
                <w:iCs/>
                <w:sz w:val="20"/>
                <w:lang w:val="fr-FR"/>
              </w:rPr>
              <w:t>rejetée.</w:t>
            </w:r>
          </w:p>
          <w:p w:rsidR="00A16319" w:rsidRPr="00FC5507" w:rsidRDefault="00A16319" w:rsidP="00FC5507">
            <w:pPr>
              <w:jc w:val="both"/>
              <w:rPr>
                <w:sz w:val="20"/>
                <w:lang w:val="fr-CA"/>
              </w:rPr>
            </w:pPr>
          </w:p>
        </w:tc>
      </w:tr>
      <w:tr w:rsidR="00A16319" w:rsidRPr="00FC5507" w:rsidTr="00602075">
        <w:tc>
          <w:tcPr>
            <w:tcW w:w="2427" w:type="pct"/>
            <w:gridSpan w:val="2"/>
          </w:tcPr>
          <w:p w:rsidR="00A16319" w:rsidRPr="00FC5507" w:rsidRDefault="00A16319" w:rsidP="00FC5507">
            <w:pPr>
              <w:jc w:val="both"/>
              <w:rPr>
                <w:sz w:val="20"/>
                <w:lang w:val="fr-CA"/>
              </w:rPr>
            </w:pPr>
            <w:r w:rsidRPr="00FC5507">
              <w:rPr>
                <w:sz w:val="20"/>
                <w:lang w:val="fr-CA"/>
              </w:rPr>
              <w:lastRenderedPageBreak/>
              <w:t>Le 26 novembre 2018</w:t>
            </w:r>
          </w:p>
          <w:p w:rsidR="00A16319" w:rsidRPr="00FC5507" w:rsidRDefault="00A16319" w:rsidP="00FC5507">
            <w:pPr>
              <w:jc w:val="both"/>
              <w:rPr>
                <w:sz w:val="20"/>
                <w:lang w:val="fr-CA"/>
              </w:rPr>
            </w:pPr>
            <w:r w:rsidRPr="00FC5507">
              <w:rPr>
                <w:sz w:val="20"/>
                <w:lang w:val="fr-CA"/>
              </w:rPr>
              <w:t>Cour suprême du Canada</w:t>
            </w:r>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rPr>
            </w:pPr>
            <w:r w:rsidRPr="00FC5507">
              <w:rPr>
                <w:sz w:val="20"/>
              </w:rPr>
              <w:t xml:space="preserve">Demande d’autorisation d’appel </w:t>
            </w:r>
            <w:proofErr w:type="spellStart"/>
            <w:r w:rsidRPr="00FC5507">
              <w:rPr>
                <w:sz w:val="20"/>
              </w:rPr>
              <w:t>déposée</w:t>
            </w:r>
            <w:proofErr w:type="spellEnd"/>
            <w:r w:rsidRPr="00FC5507">
              <w:rPr>
                <w:sz w:val="20"/>
              </w:rPr>
              <w:t>.</w:t>
            </w: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Le 11 janvier 2019</w:t>
            </w:r>
          </w:p>
          <w:p w:rsidR="00A16319" w:rsidRPr="00FC5507" w:rsidRDefault="00A16319" w:rsidP="00FC5507">
            <w:pPr>
              <w:jc w:val="both"/>
              <w:rPr>
                <w:sz w:val="20"/>
                <w:lang w:val="fr-CA"/>
              </w:rPr>
            </w:pPr>
            <w:r w:rsidRPr="00FC5507">
              <w:rPr>
                <w:sz w:val="20"/>
                <w:lang w:val="fr-CA"/>
              </w:rPr>
              <w:t>Cour suprême du Canada</w:t>
            </w:r>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Demande d’autorisation d’appel incident conditionnelle déposée.</w:t>
            </w:r>
          </w:p>
        </w:tc>
      </w:tr>
      <w:tr w:rsidR="00A16319" w:rsidRPr="00A6684F" w:rsidTr="00602075">
        <w:trPr>
          <w:trHeight w:val="315"/>
        </w:trPr>
        <w:tc>
          <w:tcPr>
            <w:tcW w:w="2427" w:type="pct"/>
            <w:gridSpan w:val="2"/>
          </w:tcPr>
          <w:p w:rsidR="00A16319" w:rsidRPr="00FC5507" w:rsidRDefault="00A16319" w:rsidP="00FC5507">
            <w:pPr>
              <w:jc w:val="both"/>
              <w:rPr>
                <w:sz w:val="20"/>
                <w:lang w:val="fr-CA"/>
              </w:rPr>
            </w:pPr>
            <w:r w:rsidRPr="00FC5507">
              <w:rPr>
                <w:sz w:val="20"/>
                <w:lang w:val="fr-CA"/>
              </w:rPr>
              <w:t>Le 14 janvier 2019</w:t>
            </w:r>
          </w:p>
          <w:p w:rsidR="00A16319" w:rsidRPr="00FC5507" w:rsidRDefault="00A16319" w:rsidP="00FC5507">
            <w:pPr>
              <w:jc w:val="both"/>
              <w:rPr>
                <w:sz w:val="20"/>
                <w:lang w:val="fr-CA"/>
              </w:rPr>
            </w:pPr>
            <w:r w:rsidRPr="00FC5507">
              <w:rPr>
                <w:sz w:val="20"/>
                <w:lang w:val="fr-CA"/>
              </w:rPr>
              <w:t>Cour suprême du Canada</w:t>
            </w: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Demande d’autorisation d’appel incident conditionnelle déposée.</w:t>
            </w:r>
          </w:p>
        </w:tc>
      </w:tr>
    </w:tbl>
    <w:p w:rsidR="00A16319" w:rsidRPr="00FC5507" w:rsidRDefault="00A16319" w:rsidP="00FC5507">
      <w:pPr>
        <w:jc w:val="both"/>
        <w:rPr>
          <w:sz w:val="20"/>
          <w:lang w:val="fr-CA"/>
        </w:rPr>
      </w:pPr>
    </w:p>
    <w:p w:rsidR="001E56A6" w:rsidRDefault="00A6684F" w:rsidP="00FC5507">
      <w:pPr>
        <w:ind w:left="142" w:hanging="142"/>
        <w:jc w:val="both"/>
        <w:rPr>
          <w:sz w:val="20"/>
          <w:lang w:val="fr-CA"/>
        </w:rPr>
      </w:pPr>
      <w:r>
        <w:rPr>
          <w:sz w:val="20"/>
        </w:rPr>
        <w:pict>
          <v:rect id="_x0000_i1042" style="width:2in;height:1pt" o:hrpct="0" o:hralign="center" o:hrstd="t" o:hrnoshade="t" o:hr="t" fillcolor="black [3213]" stroked="f"/>
        </w:pict>
      </w:r>
    </w:p>
    <w:p w:rsidR="00A6684F" w:rsidRPr="00FC5507" w:rsidRDefault="00A6684F"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FC5507" w:rsidTr="00602075">
        <w:tc>
          <w:tcPr>
            <w:tcW w:w="543" w:type="pct"/>
          </w:tcPr>
          <w:p w:rsidR="00A16319" w:rsidRPr="00FC5507" w:rsidRDefault="00A16319" w:rsidP="00FC5507">
            <w:pPr>
              <w:jc w:val="both"/>
              <w:rPr>
                <w:sz w:val="20"/>
              </w:rPr>
            </w:pPr>
            <w:r w:rsidRPr="00FC5507">
              <w:rPr>
                <w:rStyle w:val="SCCFileNumberChar"/>
                <w:sz w:val="20"/>
                <w:szCs w:val="20"/>
              </w:rPr>
              <w:t>38541</w:t>
            </w:r>
          </w:p>
        </w:tc>
        <w:tc>
          <w:tcPr>
            <w:tcW w:w="4457" w:type="pct"/>
            <w:gridSpan w:val="3"/>
          </w:tcPr>
          <w:p w:rsidR="00A16319" w:rsidRPr="00602075" w:rsidRDefault="00A16319" w:rsidP="00FC5507">
            <w:pPr>
              <w:pStyle w:val="SCCLsocParty"/>
              <w:jc w:val="both"/>
              <w:rPr>
                <w:b/>
                <w:sz w:val="20"/>
                <w:szCs w:val="20"/>
                <w:lang w:val="en-US"/>
              </w:rPr>
            </w:pPr>
            <w:r w:rsidRPr="00602075">
              <w:rPr>
                <w:b/>
                <w:sz w:val="20"/>
                <w:szCs w:val="20"/>
                <w:lang w:val="en-US"/>
              </w:rPr>
              <w:t>Timothy Edward Leahy v. Law Society of Ontario</w:t>
            </w:r>
          </w:p>
          <w:p w:rsidR="00A16319" w:rsidRPr="00FC5507" w:rsidRDefault="00A16319" w:rsidP="00FC5507">
            <w:pPr>
              <w:jc w:val="both"/>
              <w:rPr>
                <w:sz w:val="20"/>
              </w:rPr>
            </w:pPr>
            <w:r w:rsidRPr="00FC5507">
              <w:rPr>
                <w:sz w:val="20"/>
              </w:rPr>
              <w:t>(Ont.) (Civil) (By Leave)</w:t>
            </w:r>
          </w:p>
        </w:tc>
      </w:tr>
      <w:tr w:rsidR="00A16319" w:rsidRPr="00FC5507" w:rsidTr="00602075">
        <w:tc>
          <w:tcPr>
            <w:tcW w:w="5000" w:type="pct"/>
            <w:gridSpan w:val="4"/>
          </w:tcPr>
          <w:p w:rsidR="00A16319" w:rsidRPr="00FC5507" w:rsidRDefault="00A16319" w:rsidP="00FC5507">
            <w:pPr>
              <w:jc w:val="both"/>
              <w:rPr>
                <w:sz w:val="20"/>
              </w:rPr>
            </w:pPr>
            <w:r w:rsidRPr="00FC5507">
              <w:rPr>
                <w:i/>
                <w:sz w:val="20"/>
              </w:rPr>
              <w:t>Charter of Rights</w:t>
            </w:r>
            <w:r w:rsidRPr="00FC5507">
              <w:rPr>
                <w:sz w:val="20"/>
              </w:rPr>
              <w:t xml:space="preserve"> — Freedom of expression — Right to life, liberty and security of person — Law of professions — Barristers and solicitors — Disbarred lawyer enjoined from continuing to practice law — Whether lower courts erred, </w:t>
            </w:r>
            <w:r w:rsidRPr="00FC5507">
              <w:rPr>
                <w:i/>
                <w:sz w:val="20"/>
              </w:rPr>
              <w:t>inter alia</w:t>
            </w:r>
            <w:r w:rsidRPr="00FC5507">
              <w:rPr>
                <w:sz w:val="20"/>
              </w:rPr>
              <w:t>, in granting injunctions and in denying applicant procedural fairness — Whether lower courts breached and exceeded constitutional authority</w:t>
            </w:r>
          </w:p>
        </w:tc>
      </w:tr>
      <w:tr w:rsidR="00A16319" w:rsidRPr="00FC5507" w:rsidTr="00602075">
        <w:tc>
          <w:tcPr>
            <w:tcW w:w="5000" w:type="pct"/>
            <w:gridSpan w:val="4"/>
          </w:tcPr>
          <w:p w:rsidR="00A16319" w:rsidRPr="00FC5507" w:rsidRDefault="00A16319" w:rsidP="00FC5507">
            <w:pPr>
              <w:jc w:val="both"/>
              <w:rPr>
                <w:sz w:val="20"/>
              </w:rPr>
            </w:pPr>
          </w:p>
        </w:tc>
      </w:tr>
      <w:tr w:rsidR="00A16319" w:rsidRPr="00FC5507" w:rsidTr="00602075">
        <w:tc>
          <w:tcPr>
            <w:tcW w:w="5000" w:type="pct"/>
            <w:gridSpan w:val="4"/>
          </w:tcPr>
          <w:p w:rsidR="00A16319" w:rsidRPr="00FC5507" w:rsidRDefault="00A16319" w:rsidP="00FC5507">
            <w:pPr>
              <w:jc w:val="both"/>
              <w:rPr>
                <w:sz w:val="20"/>
              </w:rPr>
            </w:pPr>
            <w:r w:rsidRPr="00FC5507">
              <w:rPr>
                <w:sz w:val="20"/>
              </w:rPr>
              <w:t>The applicant’s licence to practice law in Ontario was revoked on December 10, 2014 and has not been reinstated. He did not appeal his disbarment but continued to hold himself out as a lawyer entitled to practice law in Ontario on various websites, in other media and through corporations that he controlled. The applicant maintained that he was entitled to practice law, particularly in the area of immigration and to appear in the Federal Court. The Law Society of Ontario obtained permanent injunctions to preclude the applicant from continuing to practice law in Ontario. Those decisions were upheld on appeal.</w:t>
            </w:r>
          </w:p>
          <w:p w:rsidR="00A16319" w:rsidRPr="00FC5507" w:rsidRDefault="00A16319" w:rsidP="00FC5507">
            <w:pPr>
              <w:jc w:val="both"/>
              <w:rPr>
                <w:sz w:val="20"/>
              </w:rPr>
            </w:pPr>
          </w:p>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t>March 7, 2018</w:t>
            </w:r>
          </w:p>
          <w:p w:rsidR="00A16319" w:rsidRPr="00FC5507" w:rsidRDefault="00A16319" w:rsidP="00FC5507">
            <w:pPr>
              <w:jc w:val="both"/>
              <w:rPr>
                <w:sz w:val="20"/>
              </w:rPr>
            </w:pPr>
            <w:r w:rsidRPr="00FC5507">
              <w:rPr>
                <w:sz w:val="20"/>
              </w:rPr>
              <w:t>Ontario Superior Court of Justice</w:t>
            </w:r>
          </w:p>
          <w:p w:rsidR="00A16319" w:rsidRPr="00FC5507" w:rsidRDefault="00A16319" w:rsidP="00FC5507">
            <w:pPr>
              <w:jc w:val="both"/>
              <w:rPr>
                <w:sz w:val="20"/>
              </w:rPr>
            </w:pPr>
            <w:r w:rsidRPr="00FC5507">
              <w:rPr>
                <w:sz w:val="20"/>
              </w:rPr>
              <w:t>(Chiapetta J.)</w:t>
            </w:r>
          </w:p>
          <w:p w:rsidR="00A16319" w:rsidRPr="00FC5507" w:rsidRDefault="00A16319" w:rsidP="00FC5507">
            <w:pPr>
              <w:jc w:val="both"/>
              <w:rPr>
                <w:sz w:val="20"/>
              </w:rPr>
            </w:pPr>
            <w:r w:rsidRPr="00FC5507">
              <w:rPr>
                <w:sz w:val="20"/>
              </w:rPr>
              <w:t>Unreported</w:t>
            </w:r>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 xml:space="preserve">Order, </w:t>
            </w:r>
            <w:r w:rsidRPr="00FC5507">
              <w:rPr>
                <w:i/>
                <w:sz w:val="20"/>
              </w:rPr>
              <w:t>inter alia</w:t>
            </w:r>
            <w:r w:rsidRPr="00FC5507">
              <w:rPr>
                <w:sz w:val="20"/>
              </w:rPr>
              <w:t>, enjoining applicant and business controlled by him from advertising or holding applicant out as a person who may practice law or provide legal services</w:t>
            </w:r>
          </w:p>
        </w:tc>
      </w:tr>
      <w:tr w:rsidR="00A16319" w:rsidRPr="00FC5507" w:rsidTr="00602075">
        <w:tc>
          <w:tcPr>
            <w:tcW w:w="2427" w:type="pct"/>
            <w:gridSpan w:val="2"/>
          </w:tcPr>
          <w:p w:rsidR="00A16319" w:rsidRPr="00FC5507" w:rsidRDefault="00A16319" w:rsidP="00FC5507">
            <w:pPr>
              <w:jc w:val="both"/>
              <w:rPr>
                <w:sz w:val="20"/>
              </w:rPr>
            </w:pPr>
            <w:r w:rsidRPr="00FC5507">
              <w:rPr>
                <w:sz w:val="20"/>
              </w:rPr>
              <w:t>August 1, 2018</w:t>
            </w:r>
          </w:p>
          <w:p w:rsidR="00A16319" w:rsidRPr="00FC5507" w:rsidRDefault="00A16319" w:rsidP="00FC5507">
            <w:pPr>
              <w:jc w:val="both"/>
              <w:rPr>
                <w:sz w:val="20"/>
              </w:rPr>
            </w:pPr>
            <w:r w:rsidRPr="00FC5507">
              <w:rPr>
                <w:sz w:val="20"/>
              </w:rPr>
              <w:t>Ontario Superior Court of Justice</w:t>
            </w:r>
          </w:p>
          <w:p w:rsidR="00A16319" w:rsidRPr="00FC5507" w:rsidRDefault="00A16319" w:rsidP="00FC5507">
            <w:pPr>
              <w:jc w:val="both"/>
              <w:rPr>
                <w:sz w:val="20"/>
              </w:rPr>
            </w:pPr>
            <w:r w:rsidRPr="00FC5507">
              <w:rPr>
                <w:sz w:val="20"/>
              </w:rPr>
              <w:t>(Morgan J.)</w:t>
            </w:r>
          </w:p>
          <w:p w:rsidR="00A16319" w:rsidRPr="00FC5507" w:rsidRDefault="00685225" w:rsidP="00FC5507">
            <w:pPr>
              <w:jc w:val="both"/>
              <w:rPr>
                <w:sz w:val="20"/>
              </w:rPr>
            </w:pPr>
            <w:hyperlink r:id="rId69" w:history="1">
              <w:r w:rsidR="00A16319" w:rsidRPr="00FC5507">
                <w:rPr>
                  <w:rStyle w:val="Hyperlink"/>
                  <w:sz w:val="20"/>
                </w:rPr>
                <w:t>2018 ONSC 4722</w:t>
              </w:r>
            </w:hyperlink>
            <w:r w:rsidR="00A16319" w:rsidRPr="00FC5507">
              <w:rPr>
                <w:sz w:val="20"/>
              </w:rPr>
              <w:t xml:space="preserve"> </w:t>
            </w: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Law Society granted permanent injunction restraining applicant from practicing law and providing legal services in Ontario either personally or through any corporate vehicle</w:t>
            </w:r>
          </w:p>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t>December 10, 2018</w:t>
            </w:r>
          </w:p>
          <w:p w:rsidR="00A16319" w:rsidRPr="00FC5507" w:rsidRDefault="00A16319" w:rsidP="00FC5507">
            <w:pPr>
              <w:jc w:val="both"/>
              <w:rPr>
                <w:sz w:val="20"/>
              </w:rPr>
            </w:pPr>
            <w:r w:rsidRPr="00FC5507">
              <w:rPr>
                <w:sz w:val="20"/>
              </w:rPr>
              <w:t>Court of Appeal for Ontario</w:t>
            </w:r>
          </w:p>
          <w:p w:rsidR="00A16319" w:rsidRPr="00FC5507" w:rsidRDefault="00A16319" w:rsidP="00FC5507">
            <w:pPr>
              <w:jc w:val="both"/>
              <w:rPr>
                <w:sz w:val="20"/>
              </w:rPr>
            </w:pPr>
            <w:r w:rsidRPr="00FC5507">
              <w:rPr>
                <w:sz w:val="20"/>
              </w:rPr>
              <w:t>(Juriansz, Brown and Roberts JJ.A.)</w:t>
            </w:r>
          </w:p>
          <w:p w:rsidR="00A16319" w:rsidRPr="00FC5507" w:rsidRDefault="00685225" w:rsidP="00FC5507">
            <w:pPr>
              <w:jc w:val="both"/>
              <w:rPr>
                <w:sz w:val="20"/>
              </w:rPr>
            </w:pPr>
            <w:hyperlink r:id="rId70" w:history="1">
              <w:r w:rsidR="00A16319" w:rsidRPr="00FC5507">
                <w:rPr>
                  <w:rStyle w:val="Hyperlink"/>
                  <w:sz w:val="20"/>
                </w:rPr>
                <w:t>2018 ONCA 1010</w:t>
              </w:r>
            </w:hyperlink>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Applicant’s appeals dismissed</w:t>
            </w:r>
          </w:p>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t>February 5, 2019</w:t>
            </w:r>
          </w:p>
          <w:p w:rsidR="00A16319" w:rsidRPr="00FC5507" w:rsidRDefault="00A16319" w:rsidP="00FC5507">
            <w:pPr>
              <w:jc w:val="both"/>
              <w:rPr>
                <w:sz w:val="20"/>
              </w:rPr>
            </w:pPr>
            <w:r w:rsidRPr="00FC5507">
              <w:rPr>
                <w:sz w:val="20"/>
              </w:rPr>
              <w:t>Supreme Court of Canada</w:t>
            </w: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Application for leave to appeal filed</w:t>
            </w:r>
          </w:p>
          <w:p w:rsidR="00A16319" w:rsidRPr="00FC5507" w:rsidRDefault="00A16319" w:rsidP="00FC5507">
            <w:pPr>
              <w:jc w:val="both"/>
              <w:rPr>
                <w:sz w:val="20"/>
              </w:rPr>
            </w:pPr>
          </w:p>
        </w:tc>
      </w:tr>
    </w:tbl>
    <w:p w:rsidR="00A16319" w:rsidRDefault="00A16319" w:rsidP="00FC5507">
      <w:pPr>
        <w:jc w:val="both"/>
        <w:rPr>
          <w:sz w:val="20"/>
        </w:rPr>
      </w:pPr>
    </w:p>
    <w:p w:rsidR="00A6684F" w:rsidRDefault="00A6684F" w:rsidP="00FC5507">
      <w:pPr>
        <w:jc w:val="both"/>
        <w:rPr>
          <w:sz w:val="20"/>
        </w:rPr>
      </w:pPr>
      <w:r>
        <w:rPr>
          <w:sz w:val="20"/>
        </w:rPr>
        <w:pict>
          <v:rect id="_x0000_i1043" style="width:2in;height:1pt" o:hrpct="0" o:hralign="center" o:hrstd="t" o:hrnoshade="t" o:hr="t" fillcolor="black [3213]" stroked="f"/>
        </w:pict>
      </w:r>
    </w:p>
    <w:p w:rsidR="00602075" w:rsidRPr="00FC5507" w:rsidRDefault="00602075"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A6684F" w:rsidTr="00602075">
        <w:tc>
          <w:tcPr>
            <w:tcW w:w="543" w:type="pct"/>
          </w:tcPr>
          <w:p w:rsidR="00A16319" w:rsidRPr="00FC5507" w:rsidRDefault="00A16319" w:rsidP="00FC5507">
            <w:pPr>
              <w:jc w:val="both"/>
              <w:rPr>
                <w:sz w:val="20"/>
                <w:lang w:val="fr-CA"/>
              </w:rPr>
            </w:pPr>
            <w:r w:rsidRPr="00FC5507">
              <w:rPr>
                <w:rStyle w:val="SCCFileNumberChar"/>
                <w:sz w:val="20"/>
                <w:szCs w:val="20"/>
                <w:lang w:val="fr-CA"/>
              </w:rPr>
              <w:t>38541</w:t>
            </w:r>
          </w:p>
        </w:tc>
        <w:tc>
          <w:tcPr>
            <w:tcW w:w="4457" w:type="pct"/>
            <w:gridSpan w:val="3"/>
          </w:tcPr>
          <w:p w:rsidR="00A16319" w:rsidRPr="00602075" w:rsidRDefault="00A16319" w:rsidP="00FC5507">
            <w:pPr>
              <w:pStyle w:val="SCCLsocParty"/>
              <w:jc w:val="both"/>
              <w:rPr>
                <w:b/>
                <w:sz w:val="20"/>
                <w:szCs w:val="20"/>
              </w:rPr>
            </w:pPr>
            <w:r w:rsidRPr="00602075">
              <w:rPr>
                <w:b/>
                <w:sz w:val="20"/>
                <w:szCs w:val="20"/>
              </w:rPr>
              <w:t>Timothy Edward Leahy c. Barreau de l’Ontario</w:t>
            </w:r>
          </w:p>
          <w:p w:rsidR="00A16319" w:rsidRPr="00FC5507" w:rsidRDefault="00A16319" w:rsidP="00FC5507">
            <w:pPr>
              <w:jc w:val="both"/>
              <w:rPr>
                <w:sz w:val="20"/>
                <w:lang w:val="fr-CA"/>
              </w:rPr>
            </w:pPr>
            <w:r w:rsidRPr="00FC5507">
              <w:rPr>
                <w:sz w:val="20"/>
                <w:lang w:val="fr-CA"/>
              </w:rPr>
              <w:t>(Ont.) (Civile) (Autorisation)</w:t>
            </w:r>
          </w:p>
        </w:tc>
      </w:tr>
      <w:tr w:rsidR="00A16319" w:rsidRPr="00A6684F" w:rsidTr="00602075">
        <w:tc>
          <w:tcPr>
            <w:tcW w:w="5000" w:type="pct"/>
            <w:gridSpan w:val="4"/>
          </w:tcPr>
          <w:p w:rsidR="00A16319" w:rsidRPr="00FC5507" w:rsidRDefault="00A16319" w:rsidP="00FC5507">
            <w:pPr>
              <w:jc w:val="both"/>
              <w:rPr>
                <w:sz w:val="20"/>
                <w:lang w:val="fr-CA"/>
              </w:rPr>
            </w:pPr>
            <w:r w:rsidRPr="00FC5507">
              <w:rPr>
                <w:i/>
                <w:sz w:val="20"/>
                <w:lang w:val="fr-CA"/>
              </w:rPr>
              <w:lastRenderedPageBreak/>
              <w:t>Charte des droits</w:t>
            </w:r>
            <w:r w:rsidRPr="00FC5507">
              <w:rPr>
                <w:sz w:val="20"/>
                <w:lang w:val="fr-CA"/>
              </w:rPr>
              <w:t xml:space="preserve"> — Liberté d’expression — Droit à la vie, à la liberté et à la sécurité de la personne — Droit des professions — Avocats et procureurs — Un avocat radié du tableau de l’ordre s’est vu interdire dorénavant la pratique du droit — Les juridictions inférieures </w:t>
            </w:r>
            <w:proofErr w:type="spellStart"/>
            <w:r w:rsidRPr="00FC5507">
              <w:rPr>
                <w:sz w:val="20"/>
                <w:lang w:val="fr-CA"/>
              </w:rPr>
              <w:t>ont</w:t>
            </w:r>
            <w:r w:rsidRPr="00FC5507">
              <w:rPr>
                <w:sz w:val="20"/>
                <w:lang w:val="fr-CA"/>
              </w:rPr>
              <w:noBreakHyphen/>
              <w:t>elles</w:t>
            </w:r>
            <w:proofErr w:type="spellEnd"/>
            <w:r w:rsidRPr="00FC5507">
              <w:rPr>
                <w:sz w:val="20"/>
                <w:lang w:val="fr-CA"/>
              </w:rPr>
              <w:t xml:space="preserve"> commis des erreurs, notamment en délivrant des injonctions et en privant le demandeur de l’équité procédurale? — Les juridictions inférieures </w:t>
            </w:r>
            <w:proofErr w:type="spellStart"/>
            <w:r w:rsidRPr="00FC5507">
              <w:rPr>
                <w:sz w:val="20"/>
                <w:lang w:val="fr-CA"/>
              </w:rPr>
              <w:t>ont</w:t>
            </w:r>
            <w:r w:rsidRPr="00FC5507">
              <w:rPr>
                <w:sz w:val="20"/>
                <w:lang w:val="fr-CA"/>
              </w:rPr>
              <w:noBreakHyphen/>
              <w:t>elles</w:t>
            </w:r>
            <w:proofErr w:type="spellEnd"/>
            <w:r w:rsidRPr="00FC5507">
              <w:rPr>
                <w:sz w:val="20"/>
                <w:lang w:val="fr-CA"/>
              </w:rPr>
              <w:t xml:space="preserve"> outrepassé leur compétence constitutionnelle?</w:t>
            </w:r>
          </w:p>
        </w:tc>
      </w:tr>
      <w:tr w:rsidR="00A16319" w:rsidRPr="00A6684F" w:rsidTr="00602075">
        <w:tc>
          <w:tcPr>
            <w:tcW w:w="5000" w:type="pct"/>
            <w:gridSpan w:val="4"/>
          </w:tcPr>
          <w:p w:rsidR="00A16319" w:rsidRPr="00FC5507" w:rsidRDefault="00A16319" w:rsidP="00FC5507">
            <w:pPr>
              <w:jc w:val="both"/>
              <w:rPr>
                <w:sz w:val="20"/>
                <w:lang w:val="fr-CA"/>
              </w:rPr>
            </w:pPr>
          </w:p>
        </w:tc>
      </w:tr>
      <w:tr w:rsidR="00A16319" w:rsidRPr="00FC5507" w:rsidTr="00602075">
        <w:tc>
          <w:tcPr>
            <w:tcW w:w="5000" w:type="pct"/>
            <w:gridSpan w:val="4"/>
          </w:tcPr>
          <w:p w:rsidR="00A16319" w:rsidRPr="00FC5507" w:rsidRDefault="00A16319" w:rsidP="00FC5507">
            <w:pPr>
              <w:jc w:val="both"/>
              <w:rPr>
                <w:sz w:val="20"/>
                <w:lang w:val="fr-CA"/>
              </w:rPr>
            </w:pPr>
            <w:r w:rsidRPr="00FC5507">
              <w:rPr>
                <w:sz w:val="20"/>
                <w:lang w:val="fr-CA"/>
              </w:rPr>
              <w:t>Le permis du demandeur lui permettant de pratiquer le droit en Ontario a été révoqué le 10 décembre 2019 et n’a pas été rétabli. Il n’a pas interjeté appel de sa radiation du tableau de l’ordre, mais il continue de se présenter comme avocat autorisé à pratiquer le droit en Ontario sur divers sites Web, dans d’autres médias et par des sociétés par actions qu’il contrôlait. Le demandeur soutenait qu’il avait le droit de pratiquer le droit, particulièrement dans le domaine de l’immigration, et de comparaître en Cour fédérale. Le Barreau de l’Ontario a obtenu des injonctions permanentes pour empêcher le demandeur de continuer à pratiquer le droit en Ontario. Ces décisions ont été confirmées en appel.</w:t>
            </w:r>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7 mars 2018</w:t>
            </w:r>
          </w:p>
          <w:p w:rsidR="00A16319" w:rsidRPr="00FC5507" w:rsidRDefault="00A16319" w:rsidP="00FC5507">
            <w:pPr>
              <w:jc w:val="both"/>
              <w:rPr>
                <w:sz w:val="20"/>
                <w:lang w:val="fr-CA"/>
              </w:rPr>
            </w:pPr>
            <w:r w:rsidRPr="00FC5507">
              <w:rPr>
                <w:sz w:val="20"/>
                <w:lang w:val="fr-CA"/>
              </w:rPr>
              <w:t>Cour supérieure de justice de l’Ontario</w:t>
            </w:r>
          </w:p>
          <w:p w:rsidR="00A16319" w:rsidRPr="00FC5507" w:rsidRDefault="00A16319" w:rsidP="00FC5507">
            <w:pPr>
              <w:jc w:val="both"/>
              <w:rPr>
                <w:sz w:val="20"/>
                <w:lang w:val="fr-CA"/>
              </w:rPr>
            </w:pPr>
            <w:r w:rsidRPr="00FC5507">
              <w:rPr>
                <w:sz w:val="20"/>
                <w:lang w:val="fr-CA"/>
              </w:rPr>
              <w:t>(Juge Chiapetta)</w:t>
            </w:r>
          </w:p>
          <w:p w:rsidR="00A16319" w:rsidRPr="00FC5507" w:rsidRDefault="00A16319" w:rsidP="00FC5507">
            <w:pPr>
              <w:jc w:val="both"/>
              <w:rPr>
                <w:sz w:val="20"/>
                <w:lang w:val="fr-CA"/>
              </w:rPr>
            </w:pPr>
            <w:r w:rsidRPr="00FC5507">
              <w:rPr>
                <w:sz w:val="20"/>
                <w:lang w:val="fr-CA"/>
              </w:rPr>
              <w:t>Non publié</w:t>
            </w:r>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 xml:space="preserve">Ordonnance interdisant notamment au demandeur et à l’entreprise qu’il contrôle d’annoncer ou de présenter le demandeur comme une personne autorisée à pratiquer le droit ou à fournir des services juridiques </w:t>
            </w: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1</w:t>
            </w:r>
            <w:r w:rsidRPr="00FC5507">
              <w:rPr>
                <w:sz w:val="20"/>
                <w:vertAlign w:val="superscript"/>
                <w:lang w:val="fr-CA"/>
              </w:rPr>
              <w:t>er</w:t>
            </w:r>
            <w:r w:rsidRPr="00FC5507">
              <w:rPr>
                <w:sz w:val="20"/>
                <w:lang w:val="fr-CA"/>
              </w:rPr>
              <w:t> août 2018</w:t>
            </w:r>
          </w:p>
          <w:p w:rsidR="00A16319" w:rsidRPr="00FC5507" w:rsidRDefault="00A16319" w:rsidP="00FC5507">
            <w:pPr>
              <w:jc w:val="both"/>
              <w:rPr>
                <w:sz w:val="20"/>
                <w:lang w:val="fr-CA"/>
              </w:rPr>
            </w:pPr>
            <w:r w:rsidRPr="00FC5507">
              <w:rPr>
                <w:sz w:val="20"/>
                <w:lang w:val="fr-CA"/>
              </w:rPr>
              <w:t>Cour supérieure de justice de l’Ontario</w:t>
            </w:r>
          </w:p>
          <w:p w:rsidR="00A16319" w:rsidRPr="00FC5507" w:rsidRDefault="00A16319" w:rsidP="00FC5507">
            <w:pPr>
              <w:jc w:val="both"/>
              <w:rPr>
                <w:sz w:val="20"/>
                <w:lang w:val="fr-CA"/>
              </w:rPr>
            </w:pPr>
            <w:r w:rsidRPr="00FC5507">
              <w:rPr>
                <w:sz w:val="20"/>
                <w:lang w:val="fr-CA"/>
              </w:rPr>
              <w:t>(Juge Morgan)</w:t>
            </w:r>
          </w:p>
          <w:p w:rsidR="00A16319" w:rsidRPr="00FC5507" w:rsidRDefault="00685225" w:rsidP="00FC5507">
            <w:pPr>
              <w:jc w:val="both"/>
              <w:rPr>
                <w:sz w:val="20"/>
                <w:lang w:val="fr-CA"/>
              </w:rPr>
            </w:pPr>
            <w:hyperlink r:id="rId71" w:history="1">
              <w:r w:rsidR="00A16319" w:rsidRPr="00FC5507">
                <w:rPr>
                  <w:rStyle w:val="Hyperlink"/>
                  <w:sz w:val="20"/>
                  <w:lang w:val="fr-CA"/>
                </w:rPr>
                <w:t>2018 ONSC 4722</w:t>
              </w:r>
            </w:hyperlink>
            <w:r w:rsidR="00A16319" w:rsidRPr="00FC5507">
              <w:rPr>
                <w:sz w:val="20"/>
                <w:lang w:val="fr-CA"/>
              </w:rPr>
              <w:t xml:space="preserve"> </w:t>
            </w: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Jugement accordant au Barreau de l’Ontario une injonction permanente empêchant le demandeur à pratiquer le droit et à fournir des services juridiques en Ontario, que ce soit personnellement ou par une personne morale</w:t>
            </w:r>
          </w:p>
          <w:p w:rsidR="00A16319" w:rsidRPr="00FC5507" w:rsidRDefault="00A16319" w:rsidP="00FC5507">
            <w:pPr>
              <w:jc w:val="both"/>
              <w:rPr>
                <w:sz w:val="20"/>
                <w:lang w:val="fr-CA"/>
              </w:rPr>
            </w:pPr>
          </w:p>
        </w:tc>
      </w:tr>
      <w:tr w:rsidR="00A16319" w:rsidRPr="00FC5507" w:rsidTr="00602075">
        <w:tc>
          <w:tcPr>
            <w:tcW w:w="2427" w:type="pct"/>
            <w:gridSpan w:val="2"/>
          </w:tcPr>
          <w:p w:rsidR="00A16319" w:rsidRPr="00FC5507" w:rsidRDefault="00A16319" w:rsidP="00FC5507">
            <w:pPr>
              <w:jc w:val="both"/>
              <w:rPr>
                <w:sz w:val="20"/>
                <w:lang w:val="fr-CA"/>
              </w:rPr>
            </w:pPr>
            <w:r w:rsidRPr="00FC5507">
              <w:rPr>
                <w:sz w:val="20"/>
                <w:lang w:val="fr-CA"/>
              </w:rPr>
              <w:t>10 décembre 2018</w:t>
            </w:r>
          </w:p>
          <w:p w:rsidR="00A16319" w:rsidRPr="00FC5507" w:rsidRDefault="00A16319" w:rsidP="00FC5507">
            <w:pPr>
              <w:jc w:val="both"/>
              <w:rPr>
                <w:sz w:val="20"/>
                <w:lang w:val="fr-CA"/>
              </w:rPr>
            </w:pPr>
            <w:r w:rsidRPr="00FC5507">
              <w:rPr>
                <w:sz w:val="20"/>
                <w:lang w:val="fr-CA"/>
              </w:rPr>
              <w:t>Cour d’appel de l’Ontario</w:t>
            </w:r>
          </w:p>
          <w:p w:rsidR="00A16319" w:rsidRPr="00FC5507" w:rsidRDefault="00A16319" w:rsidP="00FC5507">
            <w:pPr>
              <w:jc w:val="both"/>
              <w:rPr>
                <w:sz w:val="20"/>
                <w:lang w:val="fr-CA"/>
              </w:rPr>
            </w:pPr>
            <w:r w:rsidRPr="00FC5507">
              <w:rPr>
                <w:sz w:val="20"/>
                <w:lang w:val="fr-CA"/>
              </w:rPr>
              <w:t>(Juges Juriansz, Brown et Roberts)</w:t>
            </w:r>
          </w:p>
          <w:p w:rsidR="00A16319" w:rsidRPr="00FC5507" w:rsidRDefault="00685225" w:rsidP="00FC5507">
            <w:pPr>
              <w:jc w:val="both"/>
              <w:rPr>
                <w:sz w:val="20"/>
                <w:lang w:val="fr-CA"/>
              </w:rPr>
            </w:pPr>
            <w:hyperlink r:id="rId72" w:history="1">
              <w:r w:rsidR="00A16319" w:rsidRPr="00FC5507">
                <w:rPr>
                  <w:rStyle w:val="Hyperlink"/>
                  <w:sz w:val="20"/>
                  <w:lang w:val="fr-CA"/>
                </w:rPr>
                <w:t>2018 ONCA 1010</w:t>
              </w:r>
            </w:hyperlink>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Rejet des appels du demandeur</w:t>
            </w:r>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5 février 2019</w:t>
            </w:r>
          </w:p>
          <w:p w:rsidR="00A16319" w:rsidRPr="00FC5507" w:rsidRDefault="00A16319" w:rsidP="00FC5507">
            <w:pPr>
              <w:jc w:val="both"/>
              <w:rPr>
                <w:sz w:val="20"/>
                <w:lang w:val="fr-CA"/>
              </w:rPr>
            </w:pPr>
            <w:r w:rsidRPr="00FC5507">
              <w:rPr>
                <w:sz w:val="20"/>
                <w:lang w:val="fr-CA"/>
              </w:rPr>
              <w:t>Cour suprême du Canada</w:t>
            </w: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Dépôt de la demande d’autorisation d’appel</w:t>
            </w:r>
          </w:p>
          <w:p w:rsidR="00A16319" w:rsidRPr="00FC5507" w:rsidRDefault="00A16319" w:rsidP="00FC5507">
            <w:pPr>
              <w:jc w:val="both"/>
              <w:rPr>
                <w:sz w:val="20"/>
                <w:lang w:val="fr-CA"/>
              </w:rPr>
            </w:pPr>
          </w:p>
        </w:tc>
      </w:tr>
    </w:tbl>
    <w:p w:rsidR="00A16319" w:rsidRDefault="00A16319" w:rsidP="00FC5507">
      <w:pPr>
        <w:jc w:val="both"/>
        <w:rPr>
          <w:sz w:val="20"/>
          <w:lang w:val="fr-CA"/>
        </w:rPr>
      </w:pPr>
    </w:p>
    <w:p w:rsidR="00A6684F" w:rsidRPr="00FC5507" w:rsidRDefault="00A6684F" w:rsidP="00FC5507">
      <w:pPr>
        <w:jc w:val="both"/>
        <w:rPr>
          <w:sz w:val="20"/>
          <w:lang w:val="fr-CA"/>
        </w:rPr>
      </w:pPr>
      <w:r>
        <w:rPr>
          <w:sz w:val="20"/>
        </w:rPr>
        <w:pict>
          <v:rect id="_x0000_i1044"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493"/>
        <w:gridCol w:w="451"/>
        <w:gridCol w:w="4322"/>
      </w:tblGrid>
      <w:tr w:rsidR="00A16319" w:rsidRPr="00FC5507" w:rsidTr="00116BF5">
        <w:tc>
          <w:tcPr>
            <w:tcW w:w="542" w:type="pct"/>
          </w:tcPr>
          <w:p w:rsidR="00A16319" w:rsidRPr="00FC5507" w:rsidRDefault="00A16319" w:rsidP="00116BF5">
            <w:pPr>
              <w:ind w:left="90"/>
              <w:jc w:val="both"/>
              <w:rPr>
                <w:sz w:val="20"/>
              </w:rPr>
            </w:pPr>
            <w:r w:rsidRPr="00FC5507">
              <w:rPr>
                <w:rStyle w:val="SCCFileNumberChar"/>
                <w:sz w:val="20"/>
                <w:szCs w:val="20"/>
              </w:rPr>
              <w:t>38538</w:t>
            </w:r>
          </w:p>
        </w:tc>
        <w:tc>
          <w:tcPr>
            <w:tcW w:w="4458" w:type="pct"/>
            <w:gridSpan w:val="3"/>
          </w:tcPr>
          <w:p w:rsidR="00A16319" w:rsidRPr="00116BF5" w:rsidRDefault="00A16319" w:rsidP="00FC5507">
            <w:pPr>
              <w:pStyle w:val="SCCLsocParty"/>
              <w:jc w:val="both"/>
              <w:rPr>
                <w:b/>
                <w:sz w:val="20"/>
                <w:szCs w:val="20"/>
                <w:lang w:val="en-US"/>
              </w:rPr>
            </w:pPr>
            <w:r w:rsidRPr="00116BF5">
              <w:rPr>
                <w:b/>
                <w:sz w:val="20"/>
                <w:szCs w:val="20"/>
                <w:lang w:val="en-US"/>
              </w:rPr>
              <w:t>A.J., D.K. v. British Columbia (Director of Child, Family and Community Service)</w:t>
            </w:r>
          </w:p>
          <w:p w:rsidR="00A16319" w:rsidRPr="00FC5507" w:rsidRDefault="00A16319" w:rsidP="00FC5507">
            <w:pPr>
              <w:jc w:val="both"/>
              <w:rPr>
                <w:sz w:val="20"/>
              </w:rPr>
            </w:pPr>
            <w:r w:rsidRPr="00FC5507">
              <w:rPr>
                <w:sz w:val="20"/>
              </w:rPr>
              <w:t>(B.C.) (Civil) (By Leave)</w:t>
            </w:r>
          </w:p>
        </w:tc>
      </w:tr>
      <w:tr w:rsidR="00A16319" w:rsidRPr="00FC5507" w:rsidTr="00116BF5">
        <w:tc>
          <w:tcPr>
            <w:tcW w:w="5000" w:type="pct"/>
            <w:gridSpan w:val="4"/>
          </w:tcPr>
          <w:p w:rsidR="00A16319" w:rsidRPr="00FC5507" w:rsidRDefault="00A16319" w:rsidP="00FC5507">
            <w:pPr>
              <w:jc w:val="both"/>
              <w:rPr>
                <w:sz w:val="20"/>
              </w:rPr>
            </w:pPr>
            <w:r w:rsidRPr="00FC5507">
              <w:rPr>
                <w:i/>
                <w:sz w:val="20"/>
              </w:rPr>
              <w:t>Charter of Rights</w:t>
            </w:r>
            <w:r w:rsidRPr="00FC5507">
              <w:rPr>
                <w:sz w:val="20"/>
              </w:rPr>
              <w:t xml:space="preserve"> — Discrimination — Status of persons — Child protection — Director of Child, Family and Community Services obtaining order that child in need of protection and for continuing custody of child — Whether Court of Appeal erred in dismissing appeal of parents of child</w:t>
            </w:r>
          </w:p>
        </w:tc>
      </w:tr>
      <w:tr w:rsidR="00A16319" w:rsidRPr="00FC5507" w:rsidTr="00116BF5">
        <w:tc>
          <w:tcPr>
            <w:tcW w:w="5000" w:type="pct"/>
            <w:gridSpan w:val="4"/>
          </w:tcPr>
          <w:p w:rsidR="00A16319" w:rsidRPr="00FC5507" w:rsidRDefault="00A16319" w:rsidP="00FC5507">
            <w:pPr>
              <w:jc w:val="both"/>
              <w:rPr>
                <w:sz w:val="20"/>
              </w:rPr>
            </w:pPr>
          </w:p>
        </w:tc>
      </w:tr>
      <w:tr w:rsidR="00A16319" w:rsidRPr="00FC5507" w:rsidTr="00116BF5">
        <w:tc>
          <w:tcPr>
            <w:tcW w:w="5000" w:type="pct"/>
            <w:gridSpan w:val="4"/>
          </w:tcPr>
          <w:p w:rsidR="00A16319" w:rsidRPr="00FC5507" w:rsidRDefault="00A16319" w:rsidP="00FC5507">
            <w:pPr>
              <w:jc w:val="both"/>
              <w:rPr>
                <w:sz w:val="20"/>
              </w:rPr>
            </w:pPr>
            <w:r w:rsidRPr="00FC5507">
              <w:rPr>
                <w:sz w:val="20"/>
              </w:rPr>
              <w:t>The applicants are the biological parents of the child who was born in 2016. The Ministry of Children and Family Development received a complaint about domestic violence regarding the parents. They decided to sign a voluntary care agreement and the child was placed with a foster family. An interim order was then made placing the child in the custody of the Director with supervised access for the parents. The parents refused to participate in the court</w:t>
            </w:r>
            <w:r w:rsidRPr="00FC5507">
              <w:rPr>
                <w:sz w:val="20"/>
              </w:rPr>
              <w:noBreakHyphen/>
              <w:t>ordered parental assessment. The Director had concerns about mental health, domestic violence, the parents’ unwillingness to follow medical directions for the child and their inability to cooperate with those who could support them. The trial judge concluded that the child was in need of protection and placed the child in the continuing custody of the Director. That decision was upheld on appeal. A single judge of the Court of Appeal refused to grant the parents leave to appeal. The Court of Appeal declined to vary that order.</w:t>
            </w:r>
          </w:p>
          <w:p w:rsidR="00A16319" w:rsidRPr="00FC5507" w:rsidRDefault="00A16319" w:rsidP="00FC5507">
            <w:pPr>
              <w:jc w:val="both"/>
              <w:rPr>
                <w:sz w:val="20"/>
              </w:rPr>
            </w:pPr>
          </w:p>
        </w:tc>
      </w:tr>
      <w:tr w:rsidR="00A16319" w:rsidRPr="00FC5507" w:rsidTr="00116BF5">
        <w:tc>
          <w:tcPr>
            <w:tcW w:w="2426" w:type="pct"/>
            <w:gridSpan w:val="2"/>
          </w:tcPr>
          <w:p w:rsidR="00A16319" w:rsidRPr="00FC5507" w:rsidRDefault="00A16319" w:rsidP="00FC5507">
            <w:pPr>
              <w:jc w:val="both"/>
              <w:rPr>
                <w:sz w:val="20"/>
              </w:rPr>
            </w:pPr>
            <w:r w:rsidRPr="00FC5507">
              <w:rPr>
                <w:sz w:val="20"/>
              </w:rPr>
              <w:lastRenderedPageBreak/>
              <w:t>November 17, 2017</w:t>
            </w:r>
          </w:p>
          <w:p w:rsidR="00A16319" w:rsidRPr="00FC5507" w:rsidRDefault="00A16319" w:rsidP="00FC5507">
            <w:pPr>
              <w:jc w:val="both"/>
              <w:rPr>
                <w:sz w:val="20"/>
              </w:rPr>
            </w:pPr>
            <w:r w:rsidRPr="00FC5507">
              <w:rPr>
                <w:sz w:val="20"/>
              </w:rPr>
              <w:t>Provincial Court of British Columbia</w:t>
            </w:r>
          </w:p>
          <w:p w:rsidR="00A16319" w:rsidRPr="00FC5507" w:rsidRDefault="00A16319" w:rsidP="00FC5507">
            <w:pPr>
              <w:jc w:val="both"/>
              <w:rPr>
                <w:sz w:val="20"/>
              </w:rPr>
            </w:pPr>
            <w:r w:rsidRPr="00FC5507">
              <w:rPr>
                <w:sz w:val="20"/>
              </w:rPr>
              <w:t>Unreported</w:t>
            </w:r>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1" w:type="pct"/>
          </w:tcPr>
          <w:p w:rsidR="00A16319" w:rsidRPr="00FC5507" w:rsidRDefault="00A16319" w:rsidP="00FC5507">
            <w:pPr>
              <w:jc w:val="both"/>
              <w:rPr>
                <w:sz w:val="20"/>
              </w:rPr>
            </w:pPr>
            <w:r w:rsidRPr="00FC5507">
              <w:rPr>
                <w:sz w:val="20"/>
              </w:rPr>
              <w:t>Child found to be in need of protection and placed in continuing custody of Director of Family and Community Services</w:t>
            </w:r>
          </w:p>
        </w:tc>
      </w:tr>
      <w:tr w:rsidR="00A16319" w:rsidRPr="00FC5507" w:rsidTr="00116BF5">
        <w:tc>
          <w:tcPr>
            <w:tcW w:w="2426" w:type="pct"/>
            <w:gridSpan w:val="2"/>
          </w:tcPr>
          <w:p w:rsidR="00A16319" w:rsidRPr="00FC5507" w:rsidRDefault="00A16319" w:rsidP="00FC5507">
            <w:pPr>
              <w:jc w:val="both"/>
              <w:rPr>
                <w:sz w:val="20"/>
              </w:rPr>
            </w:pPr>
            <w:r w:rsidRPr="00FC5507">
              <w:rPr>
                <w:sz w:val="20"/>
              </w:rPr>
              <w:t>June 1, 2018</w:t>
            </w:r>
          </w:p>
          <w:p w:rsidR="00A16319" w:rsidRPr="00FC5507" w:rsidRDefault="00A16319" w:rsidP="00FC5507">
            <w:pPr>
              <w:jc w:val="both"/>
              <w:rPr>
                <w:sz w:val="20"/>
              </w:rPr>
            </w:pPr>
            <w:r w:rsidRPr="00FC5507">
              <w:rPr>
                <w:sz w:val="20"/>
              </w:rPr>
              <w:t>Supreme Court of British Columbia</w:t>
            </w:r>
          </w:p>
          <w:p w:rsidR="00A16319" w:rsidRPr="00FC5507" w:rsidRDefault="00A16319" w:rsidP="00FC5507">
            <w:pPr>
              <w:jc w:val="both"/>
              <w:rPr>
                <w:sz w:val="20"/>
              </w:rPr>
            </w:pPr>
            <w:r w:rsidRPr="00FC5507">
              <w:rPr>
                <w:sz w:val="20"/>
              </w:rPr>
              <w:t>(MacDonald J.)</w:t>
            </w:r>
          </w:p>
          <w:p w:rsidR="00A16319" w:rsidRPr="00FC5507" w:rsidRDefault="00685225" w:rsidP="00FC5507">
            <w:pPr>
              <w:jc w:val="both"/>
              <w:rPr>
                <w:sz w:val="20"/>
              </w:rPr>
            </w:pPr>
            <w:hyperlink r:id="rId73" w:history="1">
              <w:r w:rsidR="00A16319" w:rsidRPr="00FC5507">
                <w:rPr>
                  <w:rStyle w:val="Hyperlink"/>
                  <w:sz w:val="20"/>
                </w:rPr>
                <w:t>2018 BCSC 903</w:t>
              </w:r>
            </w:hyperlink>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1" w:type="pct"/>
          </w:tcPr>
          <w:p w:rsidR="00A16319" w:rsidRPr="00FC5507" w:rsidRDefault="00A16319" w:rsidP="00FC5507">
            <w:pPr>
              <w:jc w:val="both"/>
              <w:rPr>
                <w:sz w:val="20"/>
              </w:rPr>
            </w:pPr>
            <w:r w:rsidRPr="00FC5507">
              <w:rPr>
                <w:sz w:val="20"/>
              </w:rPr>
              <w:t>Applicant’s appeal dismissed</w:t>
            </w:r>
          </w:p>
          <w:p w:rsidR="00A16319" w:rsidRPr="00FC5507" w:rsidRDefault="00A16319" w:rsidP="00FC5507">
            <w:pPr>
              <w:jc w:val="both"/>
              <w:rPr>
                <w:sz w:val="20"/>
              </w:rPr>
            </w:pPr>
          </w:p>
        </w:tc>
      </w:tr>
      <w:tr w:rsidR="00A16319" w:rsidRPr="00FC5507" w:rsidTr="00116BF5">
        <w:tc>
          <w:tcPr>
            <w:tcW w:w="2426" w:type="pct"/>
            <w:gridSpan w:val="2"/>
          </w:tcPr>
          <w:p w:rsidR="00A16319" w:rsidRPr="00FC5507" w:rsidRDefault="00A16319" w:rsidP="00FC5507">
            <w:pPr>
              <w:jc w:val="both"/>
              <w:rPr>
                <w:sz w:val="20"/>
              </w:rPr>
            </w:pPr>
            <w:r w:rsidRPr="00FC5507">
              <w:rPr>
                <w:sz w:val="20"/>
              </w:rPr>
              <w:t>September 4, 2018</w:t>
            </w:r>
          </w:p>
          <w:p w:rsidR="00A16319" w:rsidRPr="00FC5507" w:rsidRDefault="00A16319" w:rsidP="00FC5507">
            <w:pPr>
              <w:jc w:val="both"/>
              <w:rPr>
                <w:sz w:val="20"/>
              </w:rPr>
            </w:pPr>
            <w:r w:rsidRPr="00FC5507">
              <w:rPr>
                <w:sz w:val="20"/>
              </w:rPr>
              <w:t>Court of Appeal for British Columbia</w:t>
            </w:r>
          </w:p>
          <w:p w:rsidR="00A16319" w:rsidRPr="00FC5507" w:rsidRDefault="00A16319" w:rsidP="00FC5507">
            <w:pPr>
              <w:jc w:val="both"/>
              <w:rPr>
                <w:sz w:val="20"/>
              </w:rPr>
            </w:pPr>
            <w:r w:rsidRPr="00FC5507">
              <w:rPr>
                <w:sz w:val="20"/>
              </w:rPr>
              <w:t>(Newbury J.A.)</w:t>
            </w:r>
          </w:p>
          <w:p w:rsidR="00A16319" w:rsidRPr="00FC5507" w:rsidRDefault="00A16319" w:rsidP="00FC5507">
            <w:pPr>
              <w:jc w:val="both"/>
              <w:rPr>
                <w:sz w:val="20"/>
              </w:rPr>
            </w:pPr>
            <w:r w:rsidRPr="00FC5507">
              <w:rPr>
                <w:sz w:val="20"/>
              </w:rPr>
              <w:t>Unreported</w:t>
            </w:r>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1" w:type="pct"/>
          </w:tcPr>
          <w:p w:rsidR="00A16319" w:rsidRPr="00FC5507" w:rsidRDefault="00A16319" w:rsidP="00FC5507">
            <w:pPr>
              <w:jc w:val="both"/>
              <w:rPr>
                <w:sz w:val="20"/>
              </w:rPr>
            </w:pPr>
            <w:r w:rsidRPr="00FC5507">
              <w:rPr>
                <w:sz w:val="20"/>
              </w:rPr>
              <w:t>Applicants’ application for leave to appeal dismissed</w:t>
            </w:r>
          </w:p>
        </w:tc>
      </w:tr>
      <w:tr w:rsidR="00A16319" w:rsidRPr="00FC5507" w:rsidTr="00116BF5">
        <w:tc>
          <w:tcPr>
            <w:tcW w:w="2426" w:type="pct"/>
            <w:gridSpan w:val="2"/>
          </w:tcPr>
          <w:p w:rsidR="00A16319" w:rsidRPr="00FC5507" w:rsidRDefault="00A16319" w:rsidP="00FC5507">
            <w:pPr>
              <w:jc w:val="both"/>
              <w:rPr>
                <w:sz w:val="20"/>
              </w:rPr>
            </w:pPr>
            <w:r w:rsidRPr="00FC5507">
              <w:rPr>
                <w:sz w:val="20"/>
              </w:rPr>
              <w:t>November 23, 2018</w:t>
            </w:r>
          </w:p>
          <w:p w:rsidR="00A16319" w:rsidRPr="00FC5507" w:rsidRDefault="00A16319" w:rsidP="00FC5507">
            <w:pPr>
              <w:jc w:val="both"/>
              <w:rPr>
                <w:sz w:val="20"/>
              </w:rPr>
            </w:pPr>
            <w:r w:rsidRPr="00FC5507">
              <w:rPr>
                <w:sz w:val="20"/>
              </w:rPr>
              <w:t xml:space="preserve">Court of Appeal for British Columbia </w:t>
            </w:r>
          </w:p>
          <w:p w:rsidR="00A16319" w:rsidRPr="00FC5507" w:rsidRDefault="00A16319" w:rsidP="00FC5507">
            <w:pPr>
              <w:jc w:val="both"/>
              <w:rPr>
                <w:sz w:val="20"/>
              </w:rPr>
            </w:pPr>
            <w:r w:rsidRPr="00FC5507">
              <w:rPr>
                <w:sz w:val="20"/>
              </w:rPr>
              <w:t>(Vancouver)</w:t>
            </w:r>
          </w:p>
          <w:p w:rsidR="00A16319" w:rsidRPr="00FC5507" w:rsidRDefault="00A16319" w:rsidP="00FC5507">
            <w:pPr>
              <w:jc w:val="both"/>
              <w:rPr>
                <w:sz w:val="20"/>
              </w:rPr>
            </w:pPr>
            <w:r w:rsidRPr="00FC5507">
              <w:rPr>
                <w:sz w:val="20"/>
              </w:rPr>
              <w:t>(Bennett, Savage and Butler JJ.A.)</w:t>
            </w:r>
          </w:p>
          <w:p w:rsidR="00A16319" w:rsidRPr="00FC5507" w:rsidRDefault="00685225" w:rsidP="00FC5507">
            <w:pPr>
              <w:jc w:val="both"/>
              <w:rPr>
                <w:sz w:val="20"/>
              </w:rPr>
            </w:pPr>
            <w:hyperlink r:id="rId74" w:history="1">
              <w:r w:rsidR="00A16319" w:rsidRPr="00FC5507">
                <w:rPr>
                  <w:rStyle w:val="Hyperlink"/>
                  <w:sz w:val="20"/>
                </w:rPr>
                <w:t>2018 BCCA 438</w:t>
              </w:r>
            </w:hyperlink>
            <w:r w:rsidR="00A16319" w:rsidRPr="00FC5507">
              <w:rPr>
                <w:sz w:val="20"/>
              </w:rPr>
              <w:t xml:space="preserve"> </w:t>
            </w:r>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1" w:type="pct"/>
          </w:tcPr>
          <w:p w:rsidR="00A16319" w:rsidRPr="00FC5507" w:rsidRDefault="00A16319" w:rsidP="00FC5507">
            <w:pPr>
              <w:jc w:val="both"/>
              <w:rPr>
                <w:sz w:val="20"/>
              </w:rPr>
            </w:pPr>
            <w:r w:rsidRPr="00FC5507">
              <w:rPr>
                <w:sz w:val="20"/>
              </w:rPr>
              <w:t>Applicants’ application to vary decision of the Justice dismissed</w:t>
            </w:r>
          </w:p>
          <w:p w:rsidR="00A16319" w:rsidRPr="00FC5507" w:rsidRDefault="00A16319" w:rsidP="00FC5507">
            <w:pPr>
              <w:jc w:val="both"/>
              <w:rPr>
                <w:sz w:val="20"/>
              </w:rPr>
            </w:pPr>
          </w:p>
          <w:p w:rsidR="00A16319" w:rsidRPr="00FC5507" w:rsidRDefault="00A16319" w:rsidP="00FC5507">
            <w:pPr>
              <w:jc w:val="both"/>
              <w:rPr>
                <w:sz w:val="20"/>
              </w:rPr>
            </w:pPr>
          </w:p>
        </w:tc>
      </w:tr>
      <w:tr w:rsidR="00A16319" w:rsidRPr="00FC5507" w:rsidTr="00116BF5">
        <w:tc>
          <w:tcPr>
            <w:tcW w:w="2426" w:type="pct"/>
            <w:gridSpan w:val="2"/>
          </w:tcPr>
          <w:p w:rsidR="00A16319" w:rsidRPr="00FC5507" w:rsidRDefault="00A16319" w:rsidP="00FC5507">
            <w:pPr>
              <w:jc w:val="both"/>
              <w:rPr>
                <w:sz w:val="20"/>
              </w:rPr>
            </w:pPr>
            <w:r w:rsidRPr="00FC5507">
              <w:rPr>
                <w:sz w:val="20"/>
              </w:rPr>
              <w:t>January 18, 2019</w:t>
            </w:r>
          </w:p>
          <w:p w:rsidR="00A16319" w:rsidRPr="00FC5507" w:rsidRDefault="00A16319" w:rsidP="00FC5507">
            <w:pPr>
              <w:jc w:val="both"/>
              <w:rPr>
                <w:sz w:val="20"/>
              </w:rPr>
            </w:pPr>
            <w:r w:rsidRPr="00FC5507">
              <w:rPr>
                <w:sz w:val="20"/>
              </w:rPr>
              <w:t>Supreme Court of Canada</w:t>
            </w:r>
          </w:p>
        </w:tc>
        <w:tc>
          <w:tcPr>
            <w:tcW w:w="243" w:type="pct"/>
          </w:tcPr>
          <w:p w:rsidR="00A16319" w:rsidRPr="00FC5507" w:rsidRDefault="00A16319" w:rsidP="00FC5507">
            <w:pPr>
              <w:jc w:val="both"/>
              <w:rPr>
                <w:sz w:val="20"/>
              </w:rPr>
            </w:pPr>
          </w:p>
        </w:tc>
        <w:tc>
          <w:tcPr>
            <w:tcW w:w="2331" w:type="pct"/>
          </w:tcPr>
          <w:p w:rsidR="00A16319" w:rsidRPr="00FC5507" w:rsidRDefault="00A16319" w:rsidP="00FC5507">
            <w:pPr>
              <w:jc w:val="both"/>
              <w:rPr>
                <w:sz w:val="20"/>
              </w:rPr>
            </w:pPr>
            <w:r w:rsidRPr="00FC5507">
              <w:rPr>
                <w:sz w:val="20"/>
              </w:rPr>
              <w:t>Application for leave to appeal filed</w:t>
            </w:r>
          </w:p>
          <w:p w:rsidR="00A16319" w:rsidRPr="00FC5507" w:rsidRDefault="00A16319" w:rsidP="00FC5507">
            <w:pPr>
              <w:jc w:val="both"/>
              <w:rPr>
                <w:sz w:val="20"/>
              </w:rPr>
            </w:pPr>
          </w:p>
        </w:tc>
      </w:tr>
    </w:tbl>
    <w:p w:rsidR="00A16319" w:rsidRDefault="00A16319" w:rsidP="00FC5507">
      <w:pPr>
        <w:jc w:val="both"/>
        <w:rPr>
          <w:sz w:val="20"/>
        </w:rPr>
      </w:pPr>
    </w:p>
    <w:p w:rsidR="00A6684F" w:rsidRDefault="00A6684F" w:rsidP="00FC5507">
      <w:pPr>
        <w:jc w:val="both"/>
        <w:rPr>
          <w:sz w:val="20"/>
        </w:rPr>
      </w:pPr>
      <w:r>
        <w:rPr>
          <w:sz w:val="20"/>
        </w:rPr>
        <w:pict>
          <v:rect id="_x0000_i1045" style="width:2in;height:1pt" o:hrpct="0" o:hralign="center" o:hrstd="t" o:hrnoshade="t" o:hr="t" fillcolor="black [3213]" stroked="f"/>
        </w:pict>
      </w:r>
    </w:p>
    <w:p w:rsidR="00A6684F" w:rsidRPr="00FC5507" w:rsidRDefault="00A6684F"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493"/>
        <w:gridCol w:w="451"/>
        <w:gridCol w:w="4322"/>
      </w:tblGrid>
      <w:tr w:rsidR="00A16319" w:rsidRPr="00FC5507" w:rsidTr="00844FD3">
        <w:tc>
          <w:tcPr>
            <w:tcW w:w="542" w:type="pct"/>
          </w:tcPr>
          <w:p w:rsidR="00A16319" w:rsidRPr="00FC5507" w:rsidRDefault="00A16319" w:rsidP="00844FD3">
            <w:pPr>
              <w:ind w:left="90"/>
              <w:jc w:val="both"/>
              <w:rPr>
                <w:sz w:val="20"/>
                <w:lang w:val="fr-CA"/>
              </w:rPr>
            </w:pPr>
            <w:r w:rsidRPr="00FC5507">
              <w:rPr>
                <w:rStyle w:val="SCCFileNumberChar"/>
                <w:sz w:val="20"/>
                <w:szCs w:val="20"/>
                <w:lang w:val="fr-CA"/>
              </w:rPr>
              <w:t>38538</w:t>
            </w:r>
          </w:p>
        </w:tc>
        <w:tc>
          <w:tcPr>
            <w:tcW w:w="4458" w:type="pct"/>
            <w:gridSpan w:val="3"/>
          </w:tcPr>
          <w:p w:rsidR="00A16319" w:rsidRPr="00844FD3" w:rsidRDefault="00A16319" w:rsidP="00FC5507">
            <w:pPr>
              <w:pStyle w:val="SCCLsocParty"/>
              <w:jc w:val="both"/>
              <w:rPr>
                <w:b/>
                <w:sz w:val="20"/>
                <w:szCs w:val="20"/>
                <w:lang w:val="en-US"/>
              </w:rPr>
            </w:pPr>
            <w:r w:rsidRPr="00844FD3">
              <w:rPr>
                <w:b/>
                <w:sz w:val="20"/>
                <w:szCs w:val="20"/>
                <w:lang w:val="en-US"/>
              </w:rPr>
              <w:t>A.J., D.K. c. Colombie-Britannique (Director of Child, Family and Community Service)</w:t>
            </w:r>
          </w:p>
          <w:p w:rsidR="00A16319" w:rsidRPr="00FC5507" w:rsidRDefault="00A16319" w:rsidP="00FC5507">
            <w:pPr>
              <w:jc w:val="both"/>
              <w:rPr>
                <w:sz w:val="20"/>
                <w:lang w:val="fr-CA"/>
              </w:rPr>
            </w:pPr>
            <w:r w:rsidRPr="00FC5507">
              <w:rPr>
                <w:sz w:val="20"/>
                <w:lang w:val="fr-CA"/>
              </w:rPr>
              <w:t>(C.</w:t>
            </w:r>
            <w:r w:rsidRPr="00FC5507">
              <w:rPr>
                <w:sz w:val="20"/>
                <w:lang w:val="fr-CA"/>
              </w:rPr>
              <w:noBreakHyphen/>
              <w:t>B.) (Civile) (Autorisation)</w:t>
            </w:r>
          </w:p>
        </w:tc>
      </w:tr>
      <w:tr w:rsidR="00A16319" w:rsidRPr="00A6684F" w:rsidTr="00844FD3">
        <w:tc>
          <w:tcPr>
            <w:tcW w:w="5000" w:type="pct"/>
            <w:gridSpan w:val="4"/>
          </w:tcPr>
          <w:p w:rsidR="00A16319" w:rsidRPr="00FC5507" w:rsidRDefault="00A16319" w:rsidP="00FC5507">
            <w:pPr>
              <w:jc w:val="both"/>
              <w:rPr>
                <w:sz w:val="20"/>
                <w:lang w:val="fr-CA"/>
              </w:rPr>
            </w:pPr>
            <w:r w:rsidRPr="00FC5507">
              <w:rPr>
                <w:i/>
                <w:sz w:val="20"/>
                <w:lang w:val="fr-CA"/>
              </w:rPr>
              <w:t>Charte des droits</w:t>
            </w:r>
            <w:r w:rsidRPr="00FC5507">
              <w:rPr>
                <w:sz w:val="20"/>
                <w:lang w:val="fr-CA"/>
              </w:rPr>
              <w:t xml:space="preserve"> — Discrimination — Droit des personnes — Protection de l’enfant — Le directeur des services à l’enfant, à la famille et à la communauté a obtenu une ordonnance portant que l’enfant avait besoin de protection et de garde continue de l’enfant — La Cour d’appel a</w:t>
            </w:r>
            <w:r w:rsidRPr="00FC5507">
              <w:rPr>
                <w:sz w:val="20"/>
                <w:lang w:val="fr-CA"/>
              </w:rPr>
              <w:noBreakHyphen/>
              <w:t>t</w:t>
            </w:r>
            <w:r w:rsidRPr="00FC5507">
              <w:rPr>
                <w:sz w:val="20"/>
                <w:lang w:val="fr-CA"/>
              </w:rPr>
              <w:noBreakHyphen/>
              <w:t>elle eu tort de rejeter l’appel des parents de l’enfant?</w:t>
            </w:r>
          </w:p>
        </w:tc>
      </w:tr>
      <w:tr w:rsidR="00A16319" w:rsidRPr="00A6684F" w:rsidTr="00844FD3">
        <w:tc>
          <w:tcPr>
            <w:tcW w:w="5000" w:type="pct"/>
            <w:gridSpan w:val="4"/>
          </w:tcPr>
          <w:p w:rsidR="00A16319" w:rsidRPr="00FC5507" w:rsidRDefault="00A16319" w:rsidP="00FC5507">
            <w:pPr>
              <w:jc w:val="both"/>
              <w:rPr>
                <w:sz w:val="20"/>
                <w:lang w:val="fr-CA"/>
              </w:rPr>
            </w:pPr>
          </w:p>
        </w:tc>
      </w:tr>
      <w:tr w:rsidR="00A16319" w:rsidRPr="00FC5507" w:rsidTr="00844FD3">
        <w:tc>
          <w:tcPr>
            <w:tcW w:w="5000" w:type="pct"/>
            <w:gridSpan w:val="4"/>
          </w:tcPr>
          <w:p w:rsidR="00A16319" w:rsidRPr="00FC5507" w:rsidRDefault="00A16319" w:rsidP="00FC5507">
            <w:pPr>
              <w:jc w:val="both"/>
              <w:rPr>
                <w:sz w:val="20"/>
                <w:lang w:val="fr-CA"/>
              </w:rPr>
            </w:pPr>
            <w:r w:rsidRPr="00FC5507">
              <w:rPr>
                <w:sz w:val="20"/>
                <w:lang w:val="fr-CA"/>
              </w:rPr>
              <w:t>Les demandeurs sont les parents biologiques de l’enfant qui est né en 2016. Le Ministry of Children and Family Development a reçu une plainte de violence conjugale concernant les parents. Ces derniers ont décidé de signer un accord de soins volontaire et l’enfant a été placé dans une famille d’accueil. Une ordonnance provisoire a ensuite été rendue, plaçant l’enfant sous la garde du directeur, avec droits de visite supervisés pour les parents. Les parents ont refusé de participer à l’évaluation parentale ordonnée par le tribunal. Le directeur avait des préoccupations à l’égard de la santé mentale, de la violence conjugale, du refus des parents de respecter les directives médicales touchant l’enfant et de leur incapacité à collaborer avec ceux qui pourraient les appuyer. Le juge de première instance a conclu que l’enfant avait besoin de protection et a placé l’enfant sous la garde continue du directeur. Cette décision a été confirmée en appel. Une juge de la Cour d’appel siégeant seule a refusé d’accorder aux parents l’autorisation d’appel. La Cour d’appel a refusé de modifier cette ordonnance.</w:t>
            </w:r>
          </w:p>
          <w:p w:rsidR="00A16319" w:rsidRPr="00FC5507" w:rsidRDefault="00A16319" w:rsidP="00FC5507">
            <w:pPr>
              <w:jc w:val="both"/>
              <w:rPr>
                <w:sz w:val="20"/>
                <w:lang w:val="fr-CA"/>
              </w:rPr>
            </w:pPr>
          </w:p>
        </w:tc>
      </w:tr>
      <w:tr w:rsidR="00A16319" w:rsidRPr="00A6684F" w:rsidTr="00844FD3">
        <w:tc>
          <w:tcPr>
            <w:tcW w:w="2426" w:type="pct"/>
            <w:gridSpan w:val="2"/>
          </w:tcPr>
          <w:p w:rsidR="00A16319" w:rsidRPr="00FC5507" w:rsidRDefault="00A16319" w:rsidP="00FC5507">
            <w:pPr>
              <w:jc w:val="both"/>
              <w:rPr>
                <w:sz w:val="20"/>
                <w:lang w:val="fr-CA"/>
              </w:rPr>
            </w:pPr>
            <w:r w:rsidRPr="00FC5507">
              <w:rPr>
                <w:sz w:val="20"/>
                <w:lang w:val="fr-CA"/>
              </w:rPr>
              <w:t>17 novembre 2017</w:t>
            </w:r>
          </w:p>
          <w:p w:rsidR="00A16319" w:rsidRPr="00FC5507" w:rsidRDefault="00A16319" w:rsidP="00FC5507">
            <w:pPr>
              <w:jc w:val="both"/>
              <w:rPr>
                <w:sz w:val="20"/>
                <w:lang w:val="fr-CA"/>
              </w:rPr>
            </w:pPr>
            <w:r w:rsidRPr="00FC5507">
              <w:rPr>
                <w:sz w:val="20"/>
                <w:lang w:val="fr-CA"/>
              </w:rPr>
              <w:t>Cour provinciale de la Colombie-Britannique</w:t>
            </w:r>
          </w:p>
          <w:p w:rsidR="00A16319" w:rsidRPr="00FC5507" w:rsidRDefault="00A16319" w:rsidP="00FC5507">
            <w:pPr>
              <w:jc w:val="both"/>
              <w:rPr>
                <w:sz w:val="20"/>
                <w:lang w:val="fr-CA"/>
              </w:rPr>
            </w:pPr>
            <w:r w:rsidRPr="00FC5507">
              <w:rPr>
                <w:sz w:val="20"/>
                <w:lang w:val="fr-CA"/>
              </w:rPr>
              <w:t>Non publiée</w:t>
            </w:r>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1" w:type="pct"/>
          </w:tcPr>
          <w:p w:rsidR="00A16319" w:rsidRPr="00FC5507" w:rsidRDefault="00A16319" w:rsidP="00FC5507">
            <w:pPr>
              <w:jc w:val="both"/>
              <w:rPr>
                <w:sz w:val="20"/>
                <w:lang w:val="fr-CA"/>
              </w:rPr>
            </w:pPr>
            <w:r w:rsidRPr="00FC5507">
              <w:rPr>
                <w:sz w:val="20"/>
                <w:lang w:val="fr-CA"/>
              </w:rPr>
              <w:t xml:space="preserve">Jugement concluant que l’enfant a besoin de protection et le plaçant sous la garde continue du directeur des services à la famille et à la communauté </w:t>
            </w:r>
          </w:p>
        </w:tc>
      </w:tr>
      <w:tr w:rsidR="00A16319" w:rsidRPr="00FC5507" w:rsidTr="00844FD3">
        <w:tc>
          <w:tcPr>
            <w:tcW w:w="2426" w:type="pct"/>
            <w:gridSpan w:val="2"/>
          </w:tcPr>
          <w:p w:rsidR="00A16319" w:rsidRPr="00FC5507" w:rsidRDefault="00A16319" w:rsidP="00FC5507">
            <w:pPr>
              <w:jc w:val="both"/>
              <w:rPr>
                <w:sz w:val="20"/>
                <w:lang w:val="fr-CA"/>
              </w:rPr>
            </w:pPr>
            <w:r w:rsidRPr="00FC5507">
              <w:rPr>
                <w:sz w:val="20"/>
                <w:lang w:val="fr-CA"/>
              </w:rPr>
              <w:t>1</w:t>
            </w:r>
            <w:r w:rsidRPr="00FC5507">
              <w:rPr>
                <w:sz w:val="20"/>
                <w:vertAlign w:val="superscript"/>
                <w:lang w:val="fr-CA"/>
              </w:rPr>
              <w:t>er</w:t>
            </w:r>
            <w:r w:rsidRPr="00FC5507">
              <w:rPr>
                <w:sz w:val="20"/>
                <w:lang w:val="fr-CA"/>
              </w:rPr>
              <w:t> juin 2018</w:t>
            </w:r>
          </w:p>
          <w:p w:rsidR="00A16319" w:rsidRPr="00FC5507" w:rsidRDefault="00A16319" w:rsidP="00FC5507">
            <w:pPr>
              <w:jc w:val="both"/>
              <w:rPr>
                <w:sz w:val="20"/>
                <w:lang w:val="fr-CA"/>
              </w:rPr>
            </w:pPr>
            <w:r w:rsidRPr="00FC5507">
              <w:rPr>
                <w:sz w:val="20"/>
                <w:lang w:val="fr-CA"/>
              </w:rPr>
              <w:t>Cour suprême de la Colombie-Britannique</w:t>
            </w:r>
          </w:p>
          <w:p w:rsidR="00A16319" w:rsidRPr="00FC5507" w:rsidRDefault="00A16319" w:rsidP="00FC5507">
            <w:pPr>
              <w:jc w:val="both"/>
              <w:rPr>
                <w:sz w:val="20"/>
                <w:lang w:val="fr-CA"/>
              </w:rPr>
            </w:pPr>
            <w:r w:rsidRPr="00FC5507">
              <w:rPr>
                <w:sz w:val="20"/>
                <w:lang w:val="fr-CA"/>
              </w:rPr>
              <w:t>(Juge MacDonald)</w:t>
            </w:r>
          </w:p>
          <w:p w:rsidR="00A16319" w:rsidRPr="00FC5507" w:rsidRDefault="00685225" w:rsidP="00FC5507">
            <w:pPr>
              <w:jc w:val="both"/>
              <w:rPr>
                <w:sz w:val="20"/>
                <w:lang w:val="fr-CA"/>
              </w:rPr>
            </w:pPr>
            <w:hyperlink r:id="rId75" w:history="1">
              <w:r w:rsidR="00A16319" w:rsidRPr="00FC5507">
                <w:rPr>
                  <w:rStyle w:val="Hyperlink"/>
                  <w:sz w:val="20"/>
                  <w:lang w:val="fr-CA"/>
                </w:rPr>
                <w:t>2018 BCSC 903</w:t>
              </w:r>
            </w:hyperlink>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1" w:type="pct"/>
          </w:tcPr>
          <w:p w:rsidR="00A16319" w:rsidRPr="00FC5507" w:rsidRDefault="00A16319" w:rsidP="00FC5507">
            <w:pPr>
              <w:jc w:val="both"/>
              <w:rPr>
                <w:sz w:val="20"/>
                <w:lang w:val="fr-CA"/>
              </w:rPr>
            </w:pPr>
            <w:r w:rsidRPr="00FC5507">
              <w:rPr>
                <w:sz w:val="20"/>
                <w:lang w:val="fr-CA"/>
              </w:rPr>
              <w:t>Rejet de l’appel des demandeurs</w:t>
            </w:r>
          </w:p>
          <w:p w:rsidR="00A16319" w:rsidRPr="00FC5507" w:rsidRDefault="00A16319" w:rsidP="00FC5507">
            <w:pPr>
              <w:jc w:val="both"/>
              <w:rPr>
                <w:sz w:val="20"/>
                <w:lang w:val="fr-CA"/>
              </w:rPr>
            </w:pPr>
          </w:p>
        </w:tc>
      </w:tr>
      <w:tr w:rsidR="00A16319" w:rsidRPr="00A6684F" w:rsidTr="00844FD3">
        <w:tc>
          <w:tcPr>
            <w:tcW w:w="2426" w:type="pct"/>
            <w:gridSpan w:val="2"/>
          </w:tcPr>
          <w:p w:rsidR="00A16319" w:rsidRPr="00FC5507" w:rsidRDefault="00A16319" w:rsidP="00FC5507">
            <w:pPr>
              <w:jc w:val="both"/>
              <w:rPr>
                <w:sz w:val="20"/>
                <w:lang w:val="fr-CA"/>
              </w:rPr>
            </w:pPr>
            <w:proofErr w:type="spellStart"/>
            <w:r w:rsidRPr="00FC5507">
              <w:rPr>
                <w:sz w:val="20"/>
                <w:lang w:val="fr-CA"/>
              </w:rPr>
              <w:lastRenderedPageBreak/>
              <w:t>September</w:t>
            </w:r>
            <w:proofErr w:type="spellEnd"/>
            <w:r w:rsidRPr="00FC5507">
              <w:rPr>
                <w:sz w:val="20"/>
                <w:lang w:val="fr-CA"/>
              </w:rPr>
              <w:t> 4, 2018</w:t>
            </w:r>
          </w:p>
          <w:p w:rsidR="00A16319" w:rsidRPr="00FC5507" w:rsidRDefault="00A16319" w:rsidP="00FC5507">
            <w:pPr>
              <w:jc w:val="both"/>
              <w:rPr>
                <w:sz w:val="20"/>
                <w:lang w:val="fr-CA"/>
              </w:rPr>
            </w:pPr>
            <w:r w:rsidRPr="00FC5507">
              <w:rPr>
                <w:sz w:val="20"/>
                <w:lang w:val="fr-CA"/>
              </w:rPr>
              <w:t>Cour d’appel de la Colombie</w:t>
            </w:r>
            <w:r w:rsidRPr="00FC5507">
              <w:rPr>
                <w:sz w:val="20"/>
                <w:lang w:val="fr-CA"/>
              </w:rPr>
              <w:noBreakHyphen/>
              <w:t>Britannique</w:t>
            </w:r>
          </w:p>
          <w:p w:rsidR="00A16319" w:rsidRPr="00FC5507" w:rsidRDefault="00A16319" w:rsidP="00FC5507">
            <w:pPr>
              <w:jc w:val="both"/>
              <w:rPr>
                <w:sz w:val="20"/>
                <w:lang w:val="fr-CA"/>
              </w:rPr>
            </w:pPr>
            <w:r w:rsidRPr="00FC5507">
              <w:rPr>
                <w:sz w:val="20"/>
                <w:lang w:val="fr-CA"/>
              </w:rPr>
              <w:t>(Juge Newbury)</w:t>
            </w:r>
          </w:p>
          <w:p w:rsidR="00A16319" w:rsidRPr="00FC5507" w:rsidRDefault="00A16319" w:rsidP="00FC5507">
            <w:pPr>
              <w:jc w:val="both"/>
              <w:rPr>
                <w:sz w:val="20"/>
                <w:lang w:val="fr-CA"/>
              </w:rPr>
            </w:pPr>
            <w:r w:rsidRPr="00FC5507">
              <w:rPr>
                <w:sz w:val="20"/>
                <w:lang w:val="fr-CA"/>
              </w:rPr>
              <w:t>Non publié</w:t>
            </w:r>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1" w:type="pct"/>
          </w:tcPr>
          <w:p w:rsidR="00A16319" w:rsidRPr="00FC5507" w:rsidRDefault="00A16319" w:rsidP="00FC5507">
            <w:pPr>
              <w:jc w:val="both"/>
              <w:rPr>
                <w:sz w:val="20"/>
                <w:lang w:val="fr-CA"/>
              </w:rPr>
            </w:pPr>
            <w:r w:rsidRPr="00FC5507">
              <w:rPr>
                <w:sz w:val="20"/>
                <w:lang w:val="fr-CA"/>
              </w:rPr>
              <w:t>Rejet de la demande des demandeurs en autorisation d’interjeter appel</w:t>
            </w:r>
          </w:p>
        </w:tc>
      </w:tr>
      <w:tr w:rsidR="00A16319" w:rsidRPr="00A6684F" w:rsidTr="00844FD3">
        <w:tc>
          <w:tcPr>
            <w:tcW w:w="2426" w:type="pct"/>
            <w:gridSpan w:val="2"/>
          </w:tcPr>
          <w:p w:rsidR="00A16319" w:rsidRPr="00FC5507" w:rsidRDefault="00A16319" w:rsidP="00FC5507">
            <w:pPr>
              <w:jc w:val="both"/>
              <w:rPr>
                <w:sz w:val="20"/>
                <w:lang w:val="fr-CA"/>
              </w:rPr>
            </w:pPr>
            <w:r w:rsidRPr="00FC5507">
              <w:rPr>
                <w:sz w:val="20"/>
                <w:lang w:val="fr-CA"/>
              </w:rPr>
              <w:t>23 novembre 2018</w:t>
            </w:r>
          </w:p>
          <w:p w:rsidR="00A16319" w:rsidRPr="00FC5507" w:rsidRDefault="00A16319" w:rsidP="00FC5507">
            <w:pPr>
              <w:jc w:val="both"/>
              <w:rPr>
                <w:sz w:val="20"/>
                <w:lang w:val="fr-CA"/>
              </w:rPr>
            </w:pPr>
            <w:r w:rsidRPr="00FC5507">
              <w:rPr>
                <w:sz w:val="20"/>
                <w:lang w:val="fr-CA"/>
              </w:rPr>
              <w:t>Cour d’appel de la Colombie-Britannique</w:t>
            </w:r>
          </w:p>
          <w:p w:rsidR="00A16319" w:rsidRPr="00FC5507" w:rsidRDefault="00A16319" w:rsidP="00FC5507">
            <w:pPr>
              <w:jc w:val="both"/>
              <w:rPr>
                <w:sz w:val="20"/>
                <w:lang w:val="fr-CA"/>
              </w:rPr>
            </w:pPr>
            <w:r w:rsidRPr="00FC5507">
              <w:rPr>
                <w:sz w:val="20"/>
                <w:lang w:val="fr-CA"/>
              </w:rPr>
              <w:t>(Vancouver)</w:t>
            </w:r>
          </w:p>
          <w:p w:rsidR="00A16319" w:rsidRPr="00FC5507" w:rsidRDefault="00A16319" w:rsidP="00FC5507">
            <w:pPr>
              <w:jc w:val="both"/>
              <w:rPr>
                <w:sz w:val="20"/>
                <w:lang w:val="fr-CA"/>
              </w:rPr>
            </w:pPr>
            <w:r w:rsidRPr="00FC5507">
              <w:rPr>
                <w:sz w:val="20"/>
                <w:lang w:val="fr-CA"/>
              </w:rPr>
              <w:t>(Juges Bennett, Savage et Butler)</w:t>
            </w:r>
          </w:p>
          <w:p w:rsidR="00A16319" w:rsidRPr="00FC5507" w:rsidRDefault="00685225" w:rsidP="00FC5507">
            <w:pPr>
              <w:jc w:val="both"/>
              <w:rPr>
                <w:sz w:val="20"/>
                <w:lang w:val="fr-CA"/>
              </w:rPr>
            </w:pPr>
            <w:hyperlink r:id="rId76" w:history="1">
              <w:r w:rsidR="00A16319" w:rsidRPr="00FC5507">
                <w:rPr>
                  <w:rStyle w:val="Hyperlink"/>
                  <w:sz w:val="20"/>
                  <w:lang w:val="fr-CA"/>
                </w:rPr>
                <w:t>2018 BCCA 438</w:t>
              </w:r>
            </w:hyperlink>
            <w:r w:rsidR="00A16319" w:rsidRPr="00FC5507">
              <w:rPr>
                <w:sz w:val="20"/>
                <w:lang w:val="fr-CA"/>
              </w:rPr>
              <w:t xml:space="preserve"> </w:t>
            </w:r>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1" w:type="pct"/>
          </w:tcPr>
          <w:p w:rsidR="00A16319" w:rsidRPr="00FC5507" w:rsidRDefault="00A16319" w:rsidP="00FC5507">
            <w:pPr>
              <w:jc w:val="both"/>
              <w:rPr>
                <w:sz w:val="20"/>
                <w:lang w:val="fr-CA"/>
              </w:rPr>
            </w:pPr>
            <w:r w:rsidRPr="00FC5507">
              <w:rPr>
                <w:sz w:val="20"/>
                <w:lang w:val="fr-CA"/>
              </w:rPr>
              <w:t>Rejet de la demande des demandeurs en modification de la décision de la juge</w:t>
            </w:r>
          </w:p>
          <w:p w:rsidR="00A16319" w:rsidRPr="00FC5507" w:rsidRDefault="00A16319" w:rsidP="00FC5507">
            <w:pPr>
              <w:jc w:val="both"/>
              <w:rPr>
                <w:sz w:val="20"/>
                <w:lang w:val="fr-CA"/>
              </w:rPr>
            </w:pPr>
          </w:p>
          <w:p w:rsidR="00A16319" w:rsidRPr="00FC5507" w:rsidRDefault="00A16319" w:rsidP="00FC5507">
            <w:pPr>
              <w:jc w:val="both"/>
              <w:rPr>
                <w:sz w:val="20"/>
                <w:lang w:val="fr-CA"/>
              </w:rPr>
            </w:pPr>
          </w:p>
        </w:tc>
      </w:tr>
      <w:tr w:rsidR="00A16319" w:rsidRPr="00A6684F" w:rsidTr="00844FD3">
        <w:tc>
          <w:tcPr>
            <w:tcW w:w="2426" w:type="pct"/>
            <w:gridSpan w:val="2"/>
          </w:tcPr>
          <w:p w:rsidR="00A16319" w:rsidRPr="00FC5507" w:rsidRDefault="00A16319" w:rsidP="00FC5507">
            <w:pPr>
              <w:jc w:val="both"/>
              <w:rPr>
                <w:sz w:val="20"/>
                <w:lang w:val="fr-CA"/>
              </w:rPr>
            </w:pPr>
            <w:r w:rsidRPr="00FC5507">
              <w:rPr>
                <w:sz w:val="20"/>
                <w:lang w:val="fr-CA"/>
              </w:rPr>
              <w:t>18 janvier 2019</w:t>
            </w:r>
          </w:p>
          <w:p w:rsidR="00A16319" w:rsidRPr="00FC5507" w:rsidRDefault="00A16319" w:rsidP="00FC5507">
            <w:pPr>
              <w:jc w:val="both"/>
              <w:rPr>
                <w:sz w:val="20"/>
                <w:lang w:val="fr-CA"/>
              </w:rPr>
            </w:pPr>
            <w:r w:rsidRPr="00FC5507">
              <w:rPr>
                <w:sz w:val="20"/>
                <w:lang w:val="fr-CA"/>
              </w:rPr>
              <w:t>Cour suprême du Canada</w:t>
            </w:r>
          </w:p>
        </w:tc>
        <w:tc>
          <w:tcPr>
            <w:tcW w:w="243" w:type="pct"/>
          </w:tcPr>
          <w:p w:rsidR="00A16319" w:rsidRPr="00FC5507" w:rsidRDefault="00A16319" w:rsidP="00FC5507">
            <w:pPr>
              <w:jc w:val="both"/>
              <w:rPr>
                <w:sz w:val="20"/>
                <w:lang w:val="fr-CA"/>
              </w:rPr>
            </w:pPr>
          </w:p>
        </w:tc>
        <w:tc>
          <w:tcPr>
            <w:tcW w:w="2331" w:type="pct"/>
          </w:tcPr>
          <w:p w:rsidR="00A16319" w:rsidRPr="00FC5507" w:rsidRDefault="00A16319" w:rsidP="00FC5507">
            <w:pPr>
              <w:jc w:val="both"/>
              <w:rPr>
                <w:sz w:val="20"/>
                <w:lang w:val="fr-CA"/>
              </w:rPr>
            </w:pPr>
            <w:r w:rsidRPr="00FC5507">
              <w:rPr>
                <w:sz w:val="20"/>
                <w:lang w:val="fr-CA"/>
              </w:rPr>
              <w:t>Dépôt de la demande d’autorisation d’appel</w:t>
            </w:r>
          </w:p>
          <w:p w:rsidR="00A16319" w:rsidRPr="00FC5507" w:rsidRDefault="00A16319" w:rsidP="00FC5507">
            <w:pPr>
              <w:jc w:val="both"/>
              <w:rPr>
                <w:sz w:val="20"/>
                <w:lang w:val="fr-CA"/>
              </w:rPr>
            </w:pPr>
          </w:p>
        </w:tc>
      </w:tr>
    </w:tbl>
    <w:p w:rsidR="00A16319" w:rsidRDefault="00A16319" w:rsidP="00FC5507">
      <w:pPr>
        <w:jc w:val="both"/>
        <w:rPr>
          <w:sz w:val="20"/>
          <w:lang w:val="fr-CA"/>
        </w:rPr>
      </w:pPr>
    </w:p>
    <w:p w:rsidR="00A6684F" w:rsidRPr="00FC5507" w:rsidRDefault="00A6684F" w:rsidP="00FC5507">
      <w:pPr>
        <w:jc w:val="both"/>
        <w:rPr>
          <w:sz w:val="20"/>
          <w:lang w:val="fr-CA"/>
        </w:rPr>
      </w:pPr>
      <w:r>
        <w:rPr>
          <w:sz w:val="20"/>
        </w:rPr>
        <w:pict>
          <v:rect id="_x0000_i1046"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FC5507" w:rsidTr="00602075">
        <w:tc>
          <w:tcPr>
            <w:tcW w:w="543" w:type="pct"/>
          </w:tcPr>
          <w:p w:rsidR="00A16319" w:rsidRPr="00FC5507" w:rsidRDefault="00A16319" w:rsidP="00FC5507">
            <w:pPr>
              <w:jc w:val="both"/>
              <w:rPr>
                <w:sz w:val="20"/>
              </w:rPr>
            </w:pPr>
            <w:r w:rsidRPr="00FC5507">
              <w:rPr>
                <w:rStyle w:val="SCCFileNumberChar"/>
                <w:sz w:val="20"/>
                <w:szCs w:val="20"/>
              </w:rPr>
              <w:t>38367</w:t>
            </w:r>
          </w:p>
        </w:tc>
        <w:tc>
          <w:tcPr>
            <w:tcW w:w="4457" w:type="pct"/>
            <w:gridSpan w:val="3"/>
          </w:tcPr>
          <w:p w:rsidR="00A16319" w:rsidRPr="004C3C2F" w:rsidRDefault="00A16319" w:rsidP="00FC5507">
            <w:pPr>
              <w:pStyle w:val="SCCLsocParty"/>
              <w:jc w:val="both"/>
              <w:rPr>
                <w:b/>
                <w:sz w:val="20"/>
                <w:szCs w:val="20"/>
                <w:lang w:val="en-US"/>
              </w:rPr>
            </w:pPr>
            <w:r w:rsidRPr="004C3C2F">
              <w:rPr>
                <w:b/>
                <w:sz w:val="20"/>
                <w:szCs w:val="20"/>
                <w:lang w:val="en-US"/>
              </w:rPr>
              <w:t>EJB v. Her Majesty the Queen</w:t>
            </w:r>
          </w:p>
          <w:p w:rsidR="00A16319" w:rsidRPr="00FC5507" w:rsidRDefault="00A16319" w:rsidP="00FC5507">
            <w:pPr>
              <w:jc w:val="both"/>
              <w:rPr>
                <w:sz w:val="20"/>
              </w:rPr>
            </w:pPr>
            <w:r w:rsidRPr="00FC5507">
              <w:rPr>
                <w:sz w:val="20"/>
              </w:rPr>
              <w:t>(Alta.) (Criminal) (By Leave)</w:t>
            </w:r>
          </w:p>
        </w:tc>
      </w:tr>
      <w:tr w:rsidR="00A16319" w:rsidRPr="00FC5507" w:rsidTr="00602075">
        <w:tc>
          <w:tcPr>
            <w:tcW w:w="5000" w:type="pct"/>
            <w:gridSpan w:val="4"/>
          </w:tcPr>
          <w:p w:rsidR="00A16319" w:rsidRPr="00FC5507" w:rsidRDefault="00A16319" w:rsidP="00FC5507">
            <w:pPr>
              <w:jc w:val="both"/>
              <w:rPr>
                <w:sz w:val="20"/>
              </w:rPr>
            </w:pPr>
            <w:r w:rsidRPr="00FC5507">
              <w:rPr>
                <w:i/>
                <w:sz w:val="20"/>
              </w:rPr>
              <w:t>Charter of Rights and Freedoms</w:t>
            </w:r>
            <w:r w:rsidRPr="00FC5507">
              <w:rPr>
                <w:sz w:val="20"/>
              </w:rPr>
              <w:t xml:space="preserve"> – Cruel and unusual punishment – Criminal law – Sentencing – Mandatory minimum sentence – Whether mandatory minimum sentence for sexual exploitation</w:t>
            </w:r>
            <w:r w:rsidRPr="00FC5507">
              <w:rPr>
                <w:i/>
                <w:sz w:val="20"/>
              </w:rPr>
              <w:t xml:space="preserve"> </w:t>
            </w:r>
            <w:r w:rsidRPr="00FC5507">
              <w:rPr>
                <w:sz w:val="20"/>
              </w:rPr>
              <w:t xml:space="preserve">violates s. 12 of </w:t>
            </w:r>
            <w:r w:rsidRPr="00FC5507">
              <w:rPr>
                <w:i/>
                <w:sz w:val="20"/>
              </w:rPr>
              <w:t>Charter</w:t>
            </w:r>
            <w:r w:rsidRPr="00FC5507">
              <w:rPr>
                <w:sz w:val="20"/>
              </w:rPr>
              <w:t xml:space="preserve"> – Whether Court of Appeal improperly restricts what can be used as reasonably foreseeable hypothetical – Whether Court of Appeal erred with respect to whether sentence imposed at trial was fit and proper?</w:t>
            </w:r>
          </w:p>
        </w:tc>
      </w:tr>
      <w:tr w:rsidR="00A16319" w:rsidRPr="00FC5507" w:rsidTr="00602075">
        <w:tc>
          <w:tcPr>
            <w:tcW w:w="5000" w:type="pct"/>
            <w:gridSpan w:val="4"/>
          </w:tcPr>
          <w:p w:rsidR="00A16319" w:rsidRPr="00FC5507" w:rsidRDefault="00A16319" w:rsidP="00FC5507">
            <w:pPr>
              <w:jc w:val="both"/>
              <w:rPr>
                <w:sz w:val="20"/>
              </w:rPr>
            </w:pPr>
          </w:p>
          <w:p w:rsidR="00A16319" w:rsidRPr="00FC5507" w:rsidRDefault="00A16319" w:rsidP="00FC5507">
            <w:pPr>
              <w:shd w:val="clear" w:color="auto" w:fill="FFFFFF"/>
              <w:jc w:val="both"/>
              <w:rPr>
                <w:sz w:val="20"/>
              </w:rPr>
            </w:pPr>
            <w:r w:rsidRPr="00FC5507">
              <w:rPr>
                <w:sz w:val="20"/>
              </w:rPr>
              <w:t xml:space="preserve">EJB was acquitted of the offence of sexual exploitation at trial in proceedings commenced by indictment. The Court of Appeal substituted a conviction and remitted the matter back to the trial judge for sentencing. </w:t>
            </w:r>
            <w:hyperlink r:id="rId77" w:anchor="sec153subsec1.1_smooth" w:history="1">
              <w:r w:rsidRPr="00FC5507">
                <w:rPr>
                  <w:sz w:val="20"/>
                </w:rPr>
                <w:t>Section 153(1.1)</w:t>
              </w:r>
            </w:hyperlink>
            <w:r w:rsidRPr="00FC5507">
              <w:rPr>
                <w:sz w:val="20"/>
              </w:rPr>
              <w:t xml:space="preserve">(a) of the </w:t>
            </w:r>
            <w:hyperlink r:id="rId78" w:history="1">
              <w:r w:rsidRPr="00FC5507">
                <w:rPr>
                  <w:sz w:val="20"/>
                </w:rPr>
                <w:t>Criminal Code</w:t>
              </w:r>
            </w:hyperlink>
            <w:r w:rsidRPr="00FC5507">
              <w:rPr>
                <w:sz w:val="20"/>
              </w:rPr>
              <w:t xml:space="preserve">, R.S.C. 1985, c. C-46, sets out a minimum punishment of imprisonment for one year for the offence of sexual exploitation if it is prosecuted by indictment. The Court of Queen’s Bench held that the mandatory minimum sentence violates s. 12 of the Charter of Rights and Freedoms and cannot be justified under </w:t>
            </w:r>
            <w:hyperlink r:id="rId79" w:anchor="sec1_smooth" w:history="1">
              <w:r w:rsidRPr="00FC5507">
                <w:rPr>
                  <w:sz w:val="20"/>
                </w:rPr>
                <w:t>s. 1</w:t>
              </w:r>
            </w:hyperlink>
            <w:r w:rsidRPr="00FC5507">
              <w:rPr>
                <w:sz w:val="20"/>
              </w:rPr>
              <w:t xml:space="preserve"> of the </w:t>
            </w:r>
            <w:hyperlink r:id="rId80" w:history="1">
              <w:r w:rsidRPr="00FC5507">
                <w:rPr>
                  <w:sz w:val="20"/>
                </w:rPr>
                <w:t>Charter</w:t>
              </w:r>
            </w:hyperlink>
            <w:r w:rsidRPr="00FC5507">
              <w:rPr>
                <w:sz w:val="20"/>
              </w:rPr>
              <w:t>. She declared the mandatory minimum sentence of no force or effect and imposed a sentence of two years less one day to be served conditionally. The Court of Appeal allowed an appeal and substituted a sentence of four years imprisonment less credit for time served.</w:t>
            </w:r>
          </w:p>
        </w:tc>
      </w:tr>
      <w:tr w:rsidR="00A16319" w:rsidRPr="00FC5507" w:rsidTr="00602075">
        <w:tc>
          <w:tcPr>
            <w:tcW w:w="5000" w:type="pct"/>
            <w:gridSpan w:val="4"/>
          </w:tcPr>
          <w:p w:rsidR="00A16319" w:rsidRPr="00FC5507" w:rsidRDefault="00A16319" w:rsidP="00FC5507">
            <w:pPr>
              <w:shd w:val="clear" w:color="auto" w:fill="FFFFFF"/>
              <w:jc w:val="both"/>
              <w:rPr>
                <w:sz w:val="20"/>
                <w:lang w:val="en"/>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t>November 28, 2017</w:t>
            </w:r>
          </w:p>
          <w:p w:rsidR="00A16319" w:rsidRPr="00FC5507" w:rsidRDefault="00A16319" w:rsidP="00FC5507">
            <w:pPr>
              <w:jc w:val="both"/>
              <w:rPr>
                <w:sz w:val="20"/>
              </w:rPr>
            </w:pPr>
            <w:r w:rsidRPr="00FC5507">
              <w:rPr>
                <w:sz w:val="20"/>
              </w:rPr>
              <w:t>Court of Queen’s Bench of Alberta</w:t>
            </w:r>
          </w:p>
          <w:p w:rsidR="00A16319" w:rsidRPr="00FC5507" w:rsidRDefault="00A16319" w:rsidP="00FC5507">
            <w:pPr>
              <w:jc w:val="both"/>
              <w:rPr>
                <w:sz w:val="20"/>
              </w:rPr>
            </w:pPr>
            <w:r w:rsidRPr="00FC5507">
              <w:rPr>
                <w:sz w:val="20"/>
              </w:rPr>
              <w:t>(Horner J.)</w:t>
            </w:r>
          </w:p>
          <w:p w:rsidR="00A16319" w:rsidRPr="00FC5507" w:rsidRDefault="00685225" w:rsidP="00FC5507">
            <w:pPr>
              <w:jc w:val="both"/>
              <w:rPr>
                <w:sz w:val="20"/>
              </w:rPr>
            </w:pPr>
            <w:hyperlink r:id="rId81" w:history="1">
              <w:r w:rsidR="00A16319" w:rsidRPr="00FC5507">
                <w:rPr>
                  <w:rStyle w:val="Hyperlink"/>
                  <w:sz w:val="20"/>
                </w:rPr>
                <w:t>2017 ABQB 726</w:t>
              </w:r>
            </w:hyperlink>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shd w:val="clear" w:color="auto" w:fill="FFFFFF"/>
              <w:jc w:val="both"/>
              <w:rPr>
                <w:sz w:val="20"/>
                <w:lang w:val="en"/>
              </w:rPr>
            </w:pPr>
            <w:r w:rsidRPr="00FC5507">
              <w:rPr>
                <w:sz w:val="20"/>
              </w:rPr>
              <w:t xml:space="preserve">Declaration that </w:t>
            </w:r>
            <w:r w:rsidRPr="00FC5507">
              <w:rPr>
                <w:sz w:val="20"/>
                <w:lang w:val="en"/>
              </w:rPr>
              <w:t xml:space="preserve">mandatory minimum sentence for sexual exploitation in s. 153(1.1) of </w:t>
            </w:r>
            <w:r w:rsidRPr="00FC5507">
              <w:rPr>
                <w:i/>
                <w:sz w:val="20"/>
                <w:lang w:val="en"/>
              </w:rPr>
              <w:t xml:space="preserve">Criminal Code </w:t>
            </w:r>
            <w:r w:rsidRPr="00FC5507">
              <w:rPr>
                <w:sz w:val="20"/>
                <w:lang w:val="en"/>
              </w:rPr>
              <w:t>of no force or effect; Sentence to conditional sentence of two years less one day</w:t>
            </w:r>
          </w:p>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t>July 24, 2018</w:t>
            </w:r>
          </w:p>
          <w:p w:rsidR="00A16319" w:rsidRPr="00FC5507" w:rsidRDefault="00A16319" w:rsidP="00FC5507">
            <w:pPr>
              <w:jc w:val="both"/>
              <w:rPr>
                <w:sz w:val="20"/>
              </w:rPr>
            </w:pPr>
            <w:r w:rsidRPr="00FC5507">
              <w:rPr>
                <w:sz w:val="20"/>
              </w:rPr>
              <w:t>Court of Appeal of Alberta (Calgary)</w:t>
            </w:r>
          </w:p>
          <w:p w:rsidR="00A16319" w:rsidRPr="00FC5507" w:rsidRDefault="00A16319" w:rsidP="00FC5507">
            <w:pPr>
              <w:jc w:val="both"/>
              <w:rPr>
                <w:sz w:val="20"/>
              </w:rPr>
            </w:pPr>
            <w:r w:rsidRPr="00FC5507">
              <w:rPr>
                <w:sz w:val="20"/>
              </w:rPr>
              <w:t xml:space="preserve">(Watson, McDonald, </w:t>
            </w:r>
            <w:proofErr w:type="spellStart"/>
            <w:r w:rsidRPr="00FC5507">
              <w:rPr>
                <w:sz w:val="20"/>
              </w:rPr>
              <w:t>Bielby</w:t>
            </w:r>
            <w:proofErr w:type="spellEnd"/>
            <w:r w:rsidRPr="00FC5507">
              <w:rPr>
                <w:sz w:val="20"/>
              </w:rPr>
              <w:t xml:space="preserve"> JJ.A.)</w:t>
            </w:r>
          </w:p>
          <w:p w:rsidR="00A16319" w:rsidRPr="00FC5507" w:rsidRDefault="00A16319" w:rsidP="00FC5507">
            <w:pPr>
              <w:jc w:val="both"/>
              <w:rPr>
                <w:sz w:val="20"/>
              </w:rPr>
            </w:pPr>
            <w:r w:rsidRPr="00FC5507">
              <w:rPr>
                <w:sz w:val="20"/>
                <w:lang w:val="en"/>
              </w:rPr>
              <w:t>1801-0001-A</w:t>
            </w:r>
            <w:r w:rsidRPr="00FC5507">
              <w:rPr>
                <w:sz w:val="20"/>
              </w:rPr>
              <w:t xml:space="preserve">; </w:t>
            </w:r>
            <w:hyperlink r:id="rId82" w:history="1">
              <w:r w:rsidRPr="00FC5507">
                <w:rPr>
                  <w:rStyle w:val="Hyperlink"/>
                  <w:sz w:val="20"/>
                </w:rPr>
                <w:t>2018 ABCA 239</w:t>
              </w:r>
            </w:hyperlink>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 xml:space="preserve">Appeal allowed, sentence to </w:t>
            </w:r>
            <w:r w:rsidRPr="00FC5507">
              <w:rPr>
                <w:sz w:val="20"/>
                <w:lang w:val="en"/>
              </w:rPr>
              <w:t xml:space="preserve">four </w:t>
            </w:r>
            <w:proofErr w:type="spellStart"/>
            <w:r w:rsidRPr="00FC5507">
              <w:rPr>
                <w:sz w:val="20"/>
                <w:lang w:val="en"/>
              </w:rPr>
              <w:t>years</w:t>
            </w:r>
            <w:proofErr w:type="spellEnd"/>
            <w:r w:rsidRPr="00FC5507">
              <w:rPr>
                <w:sz w:val="20"/>
                <w:lang w:val="en"/>
              </w:rPr>
              <w:t xml:space="preserve"> incarceration less time served</w:t>
            </w:r>
          </w:p>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t>October 24, 2018</w:t>
            </w:r>
          </w:p>
          <w:p w:rsidR="00A16319" w:rsidRPr="00FC5507" w:rsidRDefault="00A16319" w:rsidP="00FC5507">
            <w:pPr>
              <w:jc w:val="both"/>
              <w:rPr>
                <w:sz w:val="20"/>
              </w:rPr>
            </w:pPr>
            <w:r w:rsidRPr="00FC5507">
              <w:rPr>
                <w:sz w:val="20"/>
              </w:rPr>
              <w:t>Supreme Court of Canada</w:t>
            </w: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Motion for extension of time to serve and file application for leave to appeal and Application for leave to appeal filed</w:t>
            </w:r>
          </w:p>
        </w:tc>
      </w:tr>
    </w:tbl>
    <w:p w:rsidR="00A16319" w:rsidRDefault="00A16319" w:rsidP="00FC5507">
      <w:pPr>
        <w:jc w:val="both"/>
        <w:rPr>
          <w:sz w:val="20"/>
        </w:rPr>
      </w:pPr>
    </w:p>
    <w:p w:rsidR="00A6684F" w:rsidRDefault="00A6684F" w:rsidP="00FC5507">
      <w:pPr>
        <w:jc w:val="both"/>
        <w:rPr>
          <w:sz w:val="20"/>
        </w:rPr>
      </w:pPr>
      <w:r>
        <w:rPr>
          <w:sz w:val="20"/>
        </w:rPr>
        <w:pict>
          <v:rect id="_x0000_i1047" style="width:2in;height:1pt" o:hrpct="0" o:hralign="center" o:hrstd="t" o:hrnoshade="t" o:hr="t" fillcolor="black [3213]" stroked="f"/>
        </w:pict>
      </w:r>
    </w:p>
    <w:p w:rsidR="004C3C2F" w:rsidRPr="00FC5507" w:rsidRDefault="004C3C2F"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FC5507" w:rsidTr="00602075">
        <w:tc>
          <w:tcPr>
            <w:tcW w:w="543" w:type="pct"/>
          </w:tcPr>
          <w:p w:rsidR="00A16319" w:rsidRPr="00FC5507" w:rsidRDefault="00A16319" w:rsidP="00FC5507">
            <w:pPr>
              <w:jc w:val="both"/>
              <w:rPr>
                <w:sz w:val="20"/>
                <w:lang w:val="fr-CA"/>
              </w:rPr>
            </w:pPr>
            <w:r w:rsidRPr="00FC5507">
              <w:rPr>
                <w:rStyle w:val="SCCFileNumberChar"/>
                <w:sz w:val="20"/>
                <w:szCs w:val="20"/>
                <w:lang w:val="fr-CA"/>
              </w:rPr>
              <w:t>38367</w:t>
            </w:r>
          </w:p>
        </w:tc>
        <w:tc>
          <w:tcPr>
            <w:tcW w:w="4457" w:type="pct"/>
            <w:gridSpan w:val="3"/>
          </w:tcPr>
          <w:p w:rsidR="00A16319" w:rsidRPr="004C3C2F" w:rsidRDefault="00A16319" w:rsidP="00FC5507">
            <w:pPr>
              <w:pStyle w:val="SCCLsocParty"/>
              <w:jc w:val="both"/>
              <w:rPr>
                <w:b/>
                <w:sz w:val="20"/>
                <w:szCs w:val="20"/>
              </w:rPr>
            </w:pPr>
            <w:r w:rsidRPr="004C3C2F">
              <w:rPr>
                <w:b/>
                <w:sz w:val="20"/>
                <w:szCs w:val="20"/>
              </w:rPr>
              <w:t>EJB c. Sa Majesté la Reine</w:t>
            </w:r>
          </w:p>
          <w:p w:rsidR="00A16319" w:rsidRPr="00FC5507" w:rsidRDefault="00A16319" w:rsidP="00FC5507">
            <w:pPr>
              <w:jc w:val="both"/>
              <w:rPr>
                <w:sz w:val="20"/>
                <w:lang w:val="fr-CA"/>
              </w:rPr>
            </w:pPr>
            <w:r w:rsidRPr="00FC5507">
              <w:rPr>
                <w:sz w:val="20"/>
                <w:lang w:val="fr-CA"/>
              </w:rPr>
              <w:t>(Alb.) (Criminelle) (Autorisation)</w:t>
            </w:r>
          </w:p>
        </w:tc>
      </w:tr>
      <w:tr w:rsidR="00A16319" w:rsidRPr="00A6684F" w:rsidTr="00602075">
        <w:tc>
          <w:tcPr>
            <w:tcW w:w="5000" w:type="pct"/>
            <w:gridSpan w:val="4"/>
          </w:tcPr>
          <w:p w:rsidR="00A16319" w:rsidRPr="00FC5507" w:rsidRDefault="00A16319" w:rsidP="00FC5507">
            <w:pPr>
              <w:jc w:val="both"/>
              <w:rPr>
                <w:sz w:val="20"/>
                <w:lang w:val="fr-CA"/>
              </w:rPr>
            </w:pPr>
            <w:r w:rsidRPr="00FC5507">
              <w:rPr>
                <w:i/>
                <w:sz w:val="20"/>
                <w:lang w:val="fr-CA"/>
              </w:rPr>
              <w:lastRenderedPageBreak/>
              <w:t>Charte des droits et libertés</w:t>
            </w:r>
            <w:r w:rsidRPr="00FC5507">
              <w:rPr>
                <w:sz w:val="20"/>
                <w:lang w:val="fr-CA"/>
              </w:rPr>
              <w:t xml:space="preserve"> – Peine cruelle et inusitée – Droit criminel – Détermination de la peine – Peine minimale obligatoire – La peine minimale obligatoire pour exploitation sexuelle viole-t-elle l’art. 12 de la </w:t>
            </w:r>
            <w:r w:rsidRPr="00FC5507">
              <w:rPr>
                <w:i/>
                <w:sz w:val="20"/>
                <w:lang w:val="fr-CA"/>
              </w:rPr>
              <w:t>Charte</w:t>
            </w:r>
            <w:r w:rsidRPr="00FC5507">
              <w:rPr>
                <w:sz w:val="20"/>
                <w:lang w:val="fr-CA"/>
              </w:rPr>
              <w:t>? – La Cour d’appel restreint-elle indûment ce qui peut être utilisé comme raisonnablement prévisible dans une situation hypothétique? – La Cour d’appel a-t-elle commis une erreur quant à la question de savoir si la peine infligée au procès était juste et appropriée?</w:t>
            </w:r>
          </w:p>
        </w:tc>
      </w:tr>
      <w:tr w:rsidR="00A16319" w:rsidRPr="00A6684F" w:rsidTr="00602075">
        <w:tc>
          <w:tcPr>
            <w:tcW w:w="5000" w:type="pct"/>
            <w:gridSpan w:val="4"/>
          </w:tcPr>
          <w:p w:rsidR="00A16319" w:rsidRPr="00FC5507" w:rsidRDefault="00A16319" w:rsidP="00FC5507">
            <w:pPr>
              <w:jc w:val="both"/>
              <w:rPr>
                <w:sz w:val="20"/>
                <w:lang w:val="fr-CA"/>
              </w:rPr>
            </w:pPr>
          </w:p>
          <w:p w:rsidR="00A16319" w:rsidRPr="00FC5507" w:rsidRDefault="00A16319" w:rsidP="00FC5507">
            <w:pPr>
              <w:shd w:val="clear" w:color="auto" w:fill="FFFFFF"/>
              <w:jc w:val="both"/>
              <w:rPr>
                <w:sz w:val="20"/>
                <w:lang w:val="fr-CA"/>
              </w:rPr>
            </w:pPr>
            <w:r w:rsidRPr="00FC5507">
              <w:rPr>
                <w:sz w:val="20"/>
                <w:lang w:val="fr-CA"/>
              </w:rPr>
              <w:t xml:space="preserve">EJB a été acquitté de l’infraction d’exploitation sexuelle à un procès dans une instance introduite par mise en accusation. La Cour d’appel a substitué une déclaration de culpabilité et a renvoyé l’affaire à la juge du procès pour qu’elle détermine la peine. </w:t>
            </w:r>
            <w:hyperlink r:id="rId83" w:anchor="sec153subsec1.1_smooth" w:history="1">
              <w:r w:rsidRPr="00FC5507">
                <w:rPr>
                  <w:sz w:val="20"/>
                  <w:lang w:val="fr-CA"/>
                </w:rPr>
                <w:t>L’alinéa 153(1.1)</w:t>
              </w:r>
            </w:hyperlink>
            <w:r w:rsidRPr="00FC5507">
              <w:rPr>
                <w:sz w:val="20"/>
                <w:lang w:val="fr-CA"/>
              </w:rPr>
              <w:t xml:space="preserve">a) du </w:t>
            </w:r>
            <w:r w:rsidRPr="00FC5507">
              <w:rPr>
                <w:i/>
                <w:sz w:val="20"/>
                <w:lang w:val="fr-CA"/>
              </w:rPr>
              <w:t>Code criminel</w:t>
            </w:r>
            <w:r w:rsidRPr="00FC5507">
              <w:rPr>
                <w:sz w:val="20"/>
                <w:lang w:val="fr-CA"/>
              </w:rPr>
              <w:t xml:space="preserve">, L.R.C. 1985, ch. C-46, prescrit une peine minimale d’emprisonnement d’un an pour l’infraction d’exploitation sexuelle s’il y a poursuite par voie de mise en accusation. La Cour du Banc de la Reine a statué que la peine minimale obligatoire violait l’art. 12 de la </w:t>
            </w:r>
            <w:r w:rsidRPr="00FC5507">
              <w:rPr>
                <w:i/>
                <w:sz w:val="20"/>
                <w:lang w:val="fr-CA"/>
              </w:rPr>
              <w:t>Charte des droits et libertés</w:t>
            </w:r>
            <w:r w:rsidRPr="00FC5507">
              <w:rPr>
                <w:sz w:val="20"/>
                <w:lang w:val="fr-CA"/>
              </w:rPr>
              <w:t xml:space="preserve"> et n’était pas justifiée au regard de l’article premier de la </w:t>
            </w:r>
            <w:hyperlink r:id="rId84" w:history="1">
              <w:r w:rsidRPr="00FC5507">
                <w:rPr>
                  <w:i/>
                  <w:sz w:val="20"/>
                  <w:lang w:val="fr-CA"/>
                </w:rPr>
                <w:t>Charte</w:t>
              </w:r>
            </w:hyperlink>
            <w:r w:rsidRPr="00FC5507">
              <w:rPr>
                <w:sz w:val="20"/>
                <w:lang w:val="fr-CA"/>
              </w:rPr>
              <w:t>. Elle a déclaré la peine minimale obligatoire nulle et inopérante et a infligé une peine de deux ans moins un jour avec sursis. La Cour d’appel a accueilli l’appel et a substitué une peine d’emprisonnement de quatre ans, moins le temps crédité pour la détention.</w:t>
            </w:r>
          </w:p>
        </w:tc>
      </w:tr>
      <w:tr w:rsidR="00A16319" w:rsidRPr="00A6684F" w:rsidTr="00602075">
        <w:tc>
          <w:tcPr>
            <w:tcW w:w="5000" w:type="pct"/>
            <w:gridSpan w:val="4"/>
          </w:tcPr>
          <w:p w:rsidR="00A16319" w:rsidRPr="00FC5507" w:rsidRDefault="00A16319" w:rsidP="00FC5507">
            <w:pPr>
              <w:shd w:val="clear" w:color="auto" w:fill="FFFFFF"/>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28 novembre 2017</w:t>
            </w:r>
          </w:p>
          <w:p w:rsidR="00A16319" w:rsidRPr="00FC5507" w:rsidRDefault="00A16319" w:rsidP="00FC5507">
            <w:pPr>
              <w:jc w:val="both"/>
              <w:rPr>
                <w:sz w:val="20"/>
                <w:lang w:val="fr-CA"/>
              </w:rPr>
            </w:pPr>
            <w:r w:rsidRPr="00FC5507">
              <w:rPr>
                <w:sz w:val="20"/>
                <w:lang w:val="fr-CA"/>
              </w:rPr>
              <w:t>Cour du Banc de la Reine de l’Alberta</w:t>
            </w:r>
          </w:p>
          <w:p w:rsidR="00A16319" w:rsidRPr="00FC5507" w:rsidRDefault="00A16319" w:rsidP="00FC5507">
            <w:pPr>
              <w:jc w:val="both"/>
              <w:rPr>
                <w:sz w:val="20"/>
                <w:lang w:val="fr-CA"/>
              </w:rPr>
            </w:pPr>
            <w:r w:rsidRPr="00FC5507">
              <w:rPr>
                <w:sz w:val="20"/>
                <w:lang w:val="fr-CA"/>
              </w:rPr>
              <w:t>(Juge Horner)</w:t>
            </w:r>
          </w:p>
          <w:p w:rsidR="00A16319" w:rsidRPr="00FC5507" w:rsidRDefault="00685225" w:rsidP="00FC5507">
            <w:pPr>
              <w:jc w:val="both"/>
              <w:rPr>
                <w:sz w:val="20"/>
                <w:lang w:val="fr-CA"/>
              </w:rPr>
            </w:pPr>
            <w:hyperlink r:id="rId85" w:history="1">
              <w:r w:rsidR="00A16319" w:rsidRPr="00FC5507">
                <w:rPr>
                  <w:rStyle w:val="Hyperlink"/>
                  <w:sz w:val="20"/>
                  <w:lang w:val="fr-CA"/>
                </w:rPr>
                <w:t>2017 ABQB 726</w:t>
              </w:r>
            </w:hyperlink>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shd w:val="clear" w:color="auto" w:fill="FFFFFF"/>
              <w:jc w:val="both"/>
              <w:rPr>
                <w:sz w:val="20"/>
                <w:lang w:val="fr-CA"/>
              </w:rPr>
            </w:pPr>
            <w:r w:rsidRPr="00FC5507">
              <w:rPr>
                <w:sz w:val="20"/>
                <w:lang w:val="fr-CA"/>
              </w:rPr>
              <w:t xml:space="preserve">Jugement déclarant que la peine minimale obligatoire pour l’exploitation sexuelle prescrite au </w:t>
            </w:r>
            <w:proofErr w:type="spellStart"/>
            <w:r w:rsidRPr="00FC5507">
              <w:rPr>
                <w:sz w:val="20"/>
                <w:lang w:val="fr-CA"/>
              </w:rPr>
              <w:t>par</w:t>
            </w:r>
            <w:proofErr w:type="spellEnd"/>
            <w:r w:rsidRPr="00FC5507">
              <w:rPr>
                <w:sz w:val="20"/>
                <w:lang w:val="fr-CA"/>
              </w:rPr>
              <w:t xml:space="preserve">. 153(1.1) du </w:t>
            </w:r>
            <w:r w:rsidRPr="00FC5507">
              <w:rPr>
                <w:i/>
                <w:sz w:val="20"/>
                <w:lang w:val="fr-CA"/>
              </w:rPr>
              <w:t xml:space="preserve">Code criminel </w:t>
            </w:r>
            <w:r w:rsidRPr="00FC5507">
              <w:rPr>
                <w:sz w:val="20"/>
                <w:lang w:val="fr-CA"/>
              </w:rPr>
              <w:t xml:space="preserve">est inopérante et imposant une peine de deux ans moins un jour avec sursis </w:t>
            </w:r>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24 juillet 2018</w:t>
            </w:r>
          </w:p>
          <w:p w:rsidR="00A16319" w:rsidRPr="00FC5507" w:rsidRDefault="00A16319" w:rsidP="00FC5507">
            <w:pPr>
              <w:jc w:val="both"/>
              <w:rPr>
                <w:sz w:val="20"/>
                <w:lang w:val="fr-CA"/>
              </w:rPr>
            </w:pPr>
            <w:r w:rsidRPr="00FC5507">
              <w:rPr>
                <w:sz w:val="20"/>
                <w:lang w:val="fr-CA"/>
              </w:rPr>
              <w:t>Cour d’appel de l’Alberta (Calgary)</w:t>
            </w:r>
          </w:p>
          <w:p w:rsidR="00A16319" w:rsidRPr="00FC5507" w:rsidRDefault="00A16319" w:rsidP="00FC5507">
            <w:pPr>
              <w:jc w:val="both"/>
              <w:rPr>
                <w:sz w:val="20"/>
                <w:lang w:val="fr-CA"/>
              </w:rPr>
            </w:pPr>
            <w:r w:rsidRPr="00FC5507">
              <w:rPr>
                <w:sz w:val="20"/>
                <w:lang w:val="fr-CA"/>
              </w:rPr>
              <w:t>(Juges Watson, McDonald et Bielby)</w:t>
            </w:r>
          </w:p>
          <w:p w:rsidR="00A16319" w:rsidRPr="00FC5507" w:rsidRDefault="00A16319" w:rsidP="00FC5507">
            <w:pPr>
              <w:jc w:val="both"/>
              <w:rPr>
                <w:sz w:val="20"/>
                <w:lang w:val="fr-CA"/>
              </w:rPr>
            </w:pPr>
            <w:r w:rsidRPr="00FC5507">
              <w:rPr>
                <w:sz w:val="20"/>
                <w:lang w:val="fr-CA"/>
              </w:rPr>
              <w:t xml:space="preserve">1801-0001-A; </w:t>
            </w:r>
            <w:hyperlink r:id="rId86" w:history="1">
              <w:r w:rsidRPr="00FC5507">
                <w:rPr>
                  <w:rStyle w:val="Hyperlink"/>
                  <w:sz w:val="20"/>
                  <w:lang w:val="fr-CA"/>
                </w:rPr>
                <w:t>2018 ABCA 239</w:t>
              </w:r>
            </w:hyperlink>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Arrêt accueillant l’appel et imposant une peine de quatre ans d’emprisonnement moins le temps en détention</w:t>
            </w:r>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24 octobre 2018</w:t>
            </w:r>
          </w:p>
          <w:p w:rsidR="00A16319" w:rsidRPr="00FC5507" w:rsidRDefault="00A16319" w:rsidP="00FC5507">
            <w:pPr>
              <w:jc w:val="both"/>
              <w:rPr>
                <w:sz w:val="20"/>
                <w:lang w:val="fr-CA"/>
              </w:rPr>
            </w:pPr>
            <w:r w:rsidRPr="00FC5507">
              <w:rPr>
                <w:sz w:val="20"/>
                <w:lang w:val="fr-CA"/>
              </w:rPr>
              <w:t>Cour suprême du Canada</w:t>
            </w: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Dépôt de la requête en prorogation du délai de signification et de dépôt de la demande d’autorisation d’appel et de la demande d’autorisation d’appel</w:t>
            </w:r>
          </w:p>
        </w:tc>
      </w:tr>
    </w:tbl>
    <w:p w:rsidR="00A16319" w:rsidRDefault="00A16319" w:rsidP="00FC5507">
      <w:pPr>
        <w:jc w:val="both"/>
        <w:rPr>
          <w:sz w:val="20"/>
          <w:lang w:val="fr-CA"/>
        </w:rPr>
      </w:pPr>
    </w:p>
    <w:p w:rsidR="00A6684F" w:rsidRPr="00FC5507" w:rsidRDefault="00A6684F" w:rsidP="00FC5507">
      <w:pPr>
        <w:jc w:val="both"/>
        <w:rPr>
          <w:sz w:val="20"/>
          <w:lang w:val="fr-CA"/>
        </w:rPr>
      </w:pPr>
      <w:r>
        <w:rPr>
          <w:sz w:val="20"/>
        </w:rPr>
        <w:pict>
          <v:rect id="_x0000_i1048"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FC5507" w:rsidTr="00602075">
        <w:tc>
          <w:tcPr>
            <w:tcW w:w="543" w:type="pct"/>
          </w:tcPr>
          <w:p w:rsidR="00A16319" w:rsidRPr="00FC5507" w:rsidRDefault="00A16319" w:rsidP="00FC5507">
            <w:pPr>
              <w:jc w:val="both"/>
              <w:rPr>
                <w:sz w:val="20"/>
                <w:lang w:val="en-CA"/>
              </w:rPr>
            </w:pPr>
            <w:r w:rsidRPr="00FC5507">
              <w:rPr>
                <w:rStyle w:val="SCCFileNumberChar"/>
                <w:sz w:val="20"/>
                <w:szCs w:val="20"/>
              </w:rPr>
              <w:t>38528</w:t>
            </w:r>
          </w:p>
        </w:tc>
        <w:tc>
          <w:tcPr>
            <w:tcW w:w="4457" w:type="pct"/>
            <w:gridSpan w:val="3"/>
          </w:tcPr>
          <w:p w:rsidR="00A16319" w:rsidRPr="004C3C2F" w:rsidRDefault="00A16319" w:rsidP="00FC5507">
            <w:pPr>
              <w:pStyle w:val="SCCLsocParty"/>
              <w:jc w:val="both"/>
              <w:rPr>
                <w:b/>
                <w:sz w:val="20"/>
                <w:szCs w:val="20"/>
              </w:rPr>
            </w:pPr>
            <w:r w:rsidRPr="004C3C2F">
              <w:rPr>
                <w:b/>
                <w:sz w:val="20"/>
                <w:szCs w:val="20"/>
              </w:rPr>
              <w:t>Yves Montplaisir v. Jacques Mondou, Caisse Desjardins de Bois-Franc-Bordeaux-Cartierville</w:t>
            </w:r>
          </w:p>
          <w:p w:rsidR="00A16319" w:rsidRPr="004C3C2F" w:rsidRDefault="00A16319" w:rsidP="00FC5507">
            <w:pPr>
              <w:pStyle w:val="SCCLsocOtherPartySeparator"/>
              <w:rPr>
                <w:sz w:val="20"/>
                <w:szCs w:val="20"/>
              </w:rPr>
            </w:pPr>
            <w:r w:rsidRPr="004C3C2F">
              <w:rPr>
                <w:sz w:val="20"/>
                <w:szCs w:val="20"/>
              </w:rPr>
              <w:t>— and —</w:t>
            </w:r>
          </w:p>
          <w:p w:rsidR="00A16319" w:rsidRPr="004C3C2F" w:rsidRDefault="00A16319" w:rsidP="00FC5507">
            <w:pPr>
              <w:pStyle w:val="SCCLsocParty"/>
              <w:jc w:val="both"/>
              <w:rPr>
                <w:b/>
                <w:sz w:val="20"/>
                <w:szCs w:val="20"/>
              </w:rPr>
            </w:pPr>
            <w:r w:rsidRPr="004C3C2F">
              <w:rPr>
                <w:b/>
                <w:sz w:val="20"/>
                <w:szCs w:val="20"/>
              </w:rPr>
              <w:t>McGill immobilier Inc., Via Capitale du Mont-Royal, Remax du Cartier bureau Outremont, Groupe Immobilier Londono Inc.</w:t>
            </w:r>
          </w:p>
          <w:p w:rsidR="00A16319" w:rsidRPr="00FC5507" w:rsidRDefault="00A16319" w:rsidP="00FC5507">
            <w:pPr>
              <w:jc w:val="both"/>
              <w:rPr>
                <w:sz w:val="20"/>
                <w:lang w:val="en-CA"/>
              </w:rPr>
            </w:pPr>
            <w:r w:rsidRPr="00FC5507">
              <w:rPr>
                <w:sz w:val="20"/>
                <w:lang w:val="en-CA"/>
              </w:rPr>
              <w:t>(Que.) (Civil) (By Leave)</w:t>
            </w:r>
          </w:p>
        </w:tc>
      </w:tr>
      <w:tr w:rsidR="00A16319" w:rsidRPr="00FC5507" w:rsidTr="00602075">
        <w:tc>
          <w:tcPr>
            <w:tcW w:w="5000" w:type="pct"/>
            <w:gridSpan w:val="4"/>
          </w:tcPr>
          <w:p w:rsidR="00A16319" w:rsidRPr="00FC5507" w:rsidRDefault="00A16319" w:rsidP="00FC5507">
            <w:pPr>
              <w:jc w:val="both"/>
              <w:rPr>
                <w:sz w:val="20"/>
                <w:lang w:val="en-CA"/>
              </w:rPr>
            </w:pPr>
            <w:proofErr w:type="gramStart"/>
            <w:r w:rsidRPr="00FC5507">
              <w:rPr>
                <w:sz w:val="20"/>
                <w:lang w:val="en-CA"/>
              </w:rPr>
              <w:t>Civil procedure — Abuse of process — Originating application against one respondent dismissed as clearly unfounded and ill</w:t>
            </w:r>
            <w:r w:rsidRPr="00FC5507">
              <w:rPr>
                <w:sz w:val="20"/>
                <w:lang w:val="en-CA"/>
              </w:rPr>
              <w:noBreakHyphen/>
              <w:t>advised because prescribed — Application against another respondent dismissed on same ground — Motion for leave to appeal dismissed — Whether trial judge erred in dismissing action at motion to dismiss stage on ground of prescription and in finding action abusive on basis that it was prescribed — Whether Court of Appeal erred in refusing leave to appeal — Whether judges should have exercised their duty to assist applicant so that he could be properly and fairly heard.</w:t>
            </w:r>
            <w:proofErr w:type="gramEnd"/>
          </w:p>
        </w:tc>
      </w:tr>
      <w:tr w:rsidR="00A16319" w:rsidRPr="00FC5507" w:rsidTr="00602075">
        <w:tc>
          <w:tcPr>
            <w:tcW w:w="5000" w:type="pct"/>
            <w:gridSpan w:val="4"/>
          </w:tcPr>
          <w:p w:rsidR="00A16319" w:rsidRPr="00FC5507" w:rsidRDefault="00A16319" w:rsidP="00FC5507">
            <w:pPr>
              <w:jc w:val="both"/>
              <w:rPr>
                <w:sz w:val="20"/>
                <w:lang w:val="en-CA"/>
              </w:rPr>
            </w:pPr>
          </w:p>
        </w:tc>
      </w:tr>
      <w:tr w:rsidR="00A16319" w:rsidRPr="00FC5507" w:rsidTr="00602075">
        <w:tc>
          <w:tcPr>
            <w:tcW w:w="5000" w:type="pct"/>
            <w:gridSpan w:val="4"/>
          </w:tcPr>
          <w:p w:rsidR="00A16319" w:rsidRPr="00FC5507" w:rsidRDefault="00A16319" w:rsidP="00FC5507">
            <w:pPr>
              <w:jc w:val="both"/>
              <w:rPr>
                <w:sz w:val="20"/>
                <w:lang w:val="en-CA"/>
              </w:rPr>
            </w:pPr>
            <w:r w:rsidRPr="00FC5507">
              <w:rPr>
                <w:sz w:val="20"/>
                <w:lang w:val="en-CA"/>
              </w:rPr>
              <w:t xml:space="preserve">Mr. Montplaisir owned two rental triplexes in Montréal. The </w:t>
            </w:r>
            <w:proofErr w:type="spellStart"/>
            <w:r w:rsidRPr="00FC5507">
              <w:rPr>
                <w:sz w:val="20"/>
                <w:lang w:val="en-CA"/>
              </w:rPr>
              <w:t>Caisse</w:t>
            </w:r>
            <w:proofErr w:type="spellEnd"/>
            <w:r w:rsidRPr="00FC5507">
              <w:rPr>
                <w:sz w:val="20"/>
                <w:lang w:val="en-CA"/>
              </w:rPr>
              <w:t xml:space="preserve"> Desjardins de Bois</w:t>
            </w:r>
            <w:r w:rsidRPr="00FC5507">
              <w:rPr>
                <w:sz w:val="20"/>
                <w:lang w:val="en-CA"/>
              </w:rPr>
              <w:noBreakHyphen/>
              <w:t>Franc-Bordeaux</w:t>
            </w:r>
            <w:r w:rsidRPr="00FC5507">
              <w:rPr>
                <w:sz w:val="20"/>
                <w:lang w:val="en-CA"/>
              </w:rPr>
              <w:noBreakHyphen/>
            </w:r>
            <w:proofErr w:type="spellStart"/>
            <w:r w:rsidRPr="00FC5507">
              <w:rPr>
                <w:sz w:val="20"/>
                <w:lang w:val="en-CA"/>
              </w:rPr>
              <w:t>Cartierville</w:t>
            </w:r>
            <w:proofErr w:type="spellEnd"/>
            <w:r w:rsidRPr="00FC5507">
              <w:rPr>
                <w:sz w:val="20"/>
                <w:lang w:val="en-CA"/>
              </w:rPr>
              <w:t xml:space="preserve"> (“</w:t>
            </w:r>
            <w:proofErr w:type="spellStart"/>
            <w:r w:rsidRPr="00FC5507">
              <w:rPr>
                <w:sz w:val="20"/>
                <w:lang w:val="en-CA"/>
              </w:rPr>
              <w:t>Caisse</w:t>
            </w:r>
            <w:proofErr w:type="spellEnd"/>
            <w:r w:rsidRPr="00FC5507">
              <w:rPr>
                <w:sz w:val="20"/>
                <w:lang w:val="en-CA"/>
              </w:rPr>
              <w:t xml:space="preserve">”) was the </w:t>
            </w:r>
            <w:proofErr w:type="spellStart"/>
            <w:r w:rsidRPr="00FC5507">
              <w:rPr>
                <w:sz w:val="20"/>
                <w:lang w:val="en-CA"/>
              </w:rPr>
              <w:t>hypothecary</w:t>
            </w:r>
            <w:proofErr w:type="spellEnd"/>
            <w:r w:rsidRPr="00FC5507">
              <w:rPr>
                <w:sz w:val="20"/>
                <w:lang w:val="en-CA"/>
              </w:rPr>
              <w:t xml:space="preserve"> creditor for one of the triplexes. Mr. Mondou was Mr. Montplaisir’s notary. On the recommendation of his doctor, Mr. Montplaisir decided to sell his triplexes. Rather than putting them up for sale in the condition they were in, he set about renovating them and converting them into undivided co</w:t>
            </w:r>
            <w:r w:rsidRPr="00FC5507">
              <w:rPr>
                <w:sz w:val="20"/>
                <w:lang w:val="en-CA"/>
              </w:rPr>
              <w:noBreakHyphen/>
              <w:t xml:space="preserve">ownership using a “domino” strategy that the Caisse’s representatives allegedly suggested to him in the spring of 2010. Mr. Montplaisir allegedly also sought advice from Mr. Mondou about the domino strategy suggested by the Caisse. That approach did not work, and Mr. Montplaisir had to change his approach so that he could eventually sell his six units. However, he sold them at a lower price than he expected. On December 9, 2015, he brought proceedings against the defendants because of the damage he had allegedly suffered during his renovation project. The defendants sought to have the </w:t>
            </w:r>
            <w:r w:rsidRPr="00FC5507">
              <w:rPr>
                <w:sz w:val="20"/>
                <w:lang w:val="en-CA"/>
              </w:rPr>
              <w:lastRenderedPageBreak/>
              <w:t xml:space="preserve">proceedings against them dismissed under art. 168 (exception to dismiss) and art. 51 (abusive pleading) of the </w:t>
            </w:r>
            <w:r w:rsidRPr="00FC5507">
              <w:rPr>
                <w:i/>
                <w:sz w:val="20"/>
                <w:lang w:val="en-CA"/>
              </w:rPr>
              <w:t>Code of Civil Procedure</w:t>
            </w:r>
            <w:r w:rsidRPr="00FC5507">
              <w:rPr>
                <w:sz w:val="20"/>
                <w:lang w:val="en-CA"/>
              </w:rPr>
              <w:t>.</w:t>
            </w:r>
          </w:p>
          <w:p w:rsidR="00A16319" w:rsidRPr="00FC5507" w:rsidRDefault="00A16319" w:rsidP="00FC5507">
            <w:pPr>
              <w:jc w:val="both"/>
              <w:rPr>
                <w:sz w:val="20"/>
                <w:lang w:val="en-CA"/>
              </w:rPr>
            </w:pPr>
          </w:p>
        </w:tc>
      </w:tr>
      <w:tr w:rsidR="00A16319" w:rsidRPr="00FC5507" w:rsidTr="00602075">
        <w:tc>
          <w:tcPr>
            <w:tcW w:w="2427" w:type="pct"/>
            <w:gridSpan w:val="2"/>
          </w:tcPr>
          <w:p w:rsidR="00A16319" w:rsidRPr="00FC5507" w:rsidRDefault="00A16319" w:rsidP="00FC5507">
            <w:pPr>
              <w:jc w:val="both"/>
              <w:rPr>
                <w:sz w:val="20"/>
                <w:lang w:val="en-CA"/>
              </w:rPr>
            </w:pPr>
            <w:r w:rsidRPr="00FC5507">
              <w:rPr>
                <w:sz w:val="20"/>
                <w:lang w:val="en-CA"/>
              </w:rPr>
              <w:lastRenderedPageBreak/>
              <w:t>July 17, 2017</w:t>
            </w:r>
          </w:p>
          <w:p w:rsidR="00A16319" w:rsidRPr="00FC5507" w:rsidRDefault="00A16319" w:rsidP="00FC5507">
            <w:pPr>
              <w:jc w:val="both"/>
              <w:rPr>
                <w:sz w:val="20"/>
                <w:lang w:val="en-CA"/>
              </w:rPr>
            </w:pPr>
            <w:r w:rsidRPr="00FC5507">
              <w:rPr>
                <w:sz w:val="20"/>
                <w:lang w:val="en-CA"/>
              </w:rPr>
              <w:t>Quebec Superior Court</w:t>
            </w:r>
          </w:p>
          <w:p w:rsidR="00A16319" w:rsidRPr="00FC5507" w:rsidRDefault="00A16319" w:rsidP="00FC5507">
            <w:pPr>
              <w:jc w:val="both"/>
              <w:rPr>
                <w:sz w:val="20"/>
                <w:lang w:val="en-CA"/>
              </w:rPr>
            </w:pPr>
            <w:r w:rsidRPr="00FC5507">
              <w:rPr>
                <w:sz w:val="20"/>
                <w:lang w:val="en-CA"/>
              </w:rPr>
              <w:t>(Lamarche J.)</w:t>
            </w:r>
          </w:p>
          <w:p w:rsidR="00A16319" w:rsidRPr="00FC5507" w:rsidRDefault="00685225" w:rsidP="00FC5507">
            <w:pPr>
              <w:jc w:val="both"/>
              <w:rPr>
                <w:sz w:val="20"/>
                <w:lang w:val="en-CA"/>
              </w:rPr>
            </w:pPr>
            <w:hyperlink r:id="rId87" w:history="1">
              <w:r w:rsidR="00A16319" w:rsidRPr="00FC5507">
                <w:rPr>
                  <w:rStyle w:val="Hyperlink"/>
                  <w:sz w:val="20"/>
                  <w:lang w:val="en-CA"/>
                </w:rPr>
                <w:t>2017 QCCS 3262</w:t>
              </w:r>
            </w:hyperlink>
            <w:r w:rsidR="00A16319" w:rsidRPr="00FC5507">
              <w:rPr>
                <w:sz w:val="20"/>
                <w:lang w:val="en-CA"/>
              </w:rPr>
              <w:t xml:space="preserve"> </w:t>
            </w:r>
          </w:p>
        </w:tc>
        <w:tc>
          <w:tcPr>
            <w:tcW w:w="243" w:type="pct"/>
          </w:tcPr>
          <w:p w:rsidR="00A16319" w:rsidRPr="00FC5507" w:rsidRDefault="00A16319" w:rsidP="00FC5507">
            <w:pPr>
              <w:jc w:val="both"/>
              <w:rPr>
                <w:sz w:val="20"/>
                <w:lang w:val="en-CA"/>
              </w:rPr>
            </w:pPr>
          </w:p>
        </w:tc>
        <w:tc>
          <w:tcPr>
            <w:tcW w:w="2330" w:type="pct"/>
          </w:tcPr>
          <w:p w:rsidR="00A16319" w:rsidRPr="00FC5507" w:rsidRDefault="00A16319" w:rsidP="00FC5507">
            <w:pPr>
              <w:jc w:val="both"/>
              <w:rPr>
                <w:sz w:val="20"/>
                <w:lang w:val="en-CA"/>
              </w:rPr>
            </w:pPr>
            <w:r w:rsidRPr="00FC5507">
              <w:rPr>
                <w:sz w:val="20"/>
                <w:lang w:val="en-CA"/>
              </w:rPr>
              <w:t xml:space="preserve">Originating application against Jacques Mondou dismissed and originating application against </w:t>
            </w:r>
            <w:proofErr w:type="spellStart"/>
            <w:r w:rsidRPr="00FC5507">
              <w:rPr>
                <w:sz w:val="20"/>
                <w:lang w:val="en-CA"/>
              </w:rPr>
              <w:t>Caisse</w:t>
            </w:r>
            <w:proofErr w:type="spellEnd"/>
            <w:r w:rsidRPr="00FC5507">
              <w:rPr>
                <w:sz w:val="20"/>
                <w:lang w:val="en-CA"/>
              </w:rPr>
              <w:t xml:space="preserve"> Desjardins de Bois</w:t>
            </w:r>
            <w:r w:rsidRPr="00FC5507">
              <w:rPr>
                <w:sz w:val="20"/>
                <w:lang w:val="en-CA"/>
              </w:rPr>
              <w:noBreakHyphen/>
              <w:t>Franc</w:t>
            </w:r>
            <w:r w:rsidRPr="00FC5507">
              <w:rPr>
                <w:sz w:val="20"/>
                <w:lang w:val="en-CA"/>
              </w:rPr>
              <w:noBreakHyphen/>
              <w:t>Bordeaux</w:t>
            </w:r>
            <w:r w:rsidRPr="00FC5507">
              <w:rPr>
                <w:sz w:val="20"/>
                <w:lang w:val="en-CA"/>
              </w:rPr>
              <w:noBreakHyphen/>
            </w:r>
            <w:proofErr w:type="spellStart"/>
            <w:r w:rsidRPr="00FC5507">
              <w:rPr>
                <w:sz w:val="20"/>
                <w:lang w:val="en-CA"/>
              </w:rPr>
              <w:t>Cartierville</w:t>
            </w:r>
            <w:proofErr w:type="spellEnd"/>
            <w:r w:rsidRPr="00FC5507">
              <w:rPr>
                <w:sz w:val="20"/>
                <w:lang w:val="en-CA"/>
              </w:rPr>
              <w:t xml:space="preserve"> dismissed in part</w:t>
            </w:r>
          </w:p>
          <w:p w:rsidR="00A16319" w:rsidRPr="00FC5507" w:rsidRDefault="00A16319" w:rsidP="00FC5507">
            <w:pPr>
              <w:jc w:val="both"/>
              <w:rPr>
                <w:sz w:val="20"/>
                <w:lang w:val="en-CA"/>
              </w:rPr>
            </w:pPr>
          </w:p>
        </w:tc>
      </w:tr>
      <w:tr w:rsidR="00A16319" w:rsidRPr="00FC5507" w:rsidTr="00602075">
        <w:tc>
          <w:tcPr>
            <w:tcW w:w="2427" w:type="pct"/>
            <w:gridSpan w:val="2"/>
          </w:tcPr>
          <w:p w:rsidR="00A16319" w:rsidRPr="00FC5507" w:rsidRDefault="00A16319" w:rsidP="00FC5507">
            <w:pPr>
              <w:jc w:val="both"/>
              <w:rPr>
                <w:sz w:val="20"/>
                <w:lang w:val="en-CA"/>
              </w:rPr>
            </w:pPr>
            <w:r w:rsidRPr="00FC5507">
              <w:rPr>
                <w:sz w:val="20"/>
                <w:lang w:val="en-CA"/>
              </w:rPr>
              <w:t>November 20, 2017</w:t>
            </w:r>
          </w:p>
          <w:p w:rsidR="00A16319" w:rsidRPr="00FC5507" w:rsidRDefault="00A16319" w:rsidP="00FC5507">
            <w:pPr>
              <w:jc w:val="both"/>
              <w:rPr>
                <w:sz w:val="20"/>
                <w:lang w:val="en-CA"/>
              </w:rPr>
            </w:pPr>
            <w:r w:rsidRPr="00FC5507">
              <w:rPr>
                <w:sz w:val="20"/>
                <w:lang w:val="en-CA"/>
              </w:rPr>
              <w:t>Quebec Court of Appeal (Montréal)</w:t>
            </w:r>
          </w:p>
          <w:p w:rsidR="00A16319" w:rsidRPr="00FC5507" w:rsidRDefault="00A16319" w:rsidP="00FC5507">
            <w:pPr>
              <w:jc w:val="both"/>
              <w:rPr>
                <w:sz w:val="20"/>
                <w:lang w:val="en-CA"/>
              </w:rPr>
            </w:pPr>
            <w:r w:rsidRPr="00FC5507">
              <w:rPr>
                <w:sz w:val="20"/>
                <w:lang w:val="en-CA"/>
              </w:rPr>
              <w:t>(Vauclair J.A.)</w:t>
            </w:r>
          </w:p>
          <w:p w:rsidR="00A16319" w:rsidRPr="00FC5507" w:rsidRDefault="00685225" w:rsidP="00FC5507">
            <w:pPr>
              <w:jc w:val="both"/>
              <w:rPr>
                <w:sz w:val="20"/>
                <w:lang w:val="en-CA"/>
              </w:rPr>
            </w:pPr>
            <w:hyperlink r:id="rId88" w:history="1">
              <w:r w:rsidR="00A16319" w:rsidRPr="00FC5507">
                <w:rPr>
                  <w:rStyle w:val="Hyperlink"/>
                  <w:sz w:val="20"/>
                  <w:lang w:val="en-CA"/>
                </w:rPr>
                <w:t>2017 QCCA 1841</w:t>
              </w:r>
            </w:hyperlink>
            <w:r w:rsidR="00A16319" w:rsidRPr="00FC5507">
              <w:rPr>
                <w:sz w:val="20"/>
                <w:lang w:val="en-CA"/>
              </w:rPr>
              <w:t xml:space="preserve"> (No. 500</w:t>
            </w:r>
            <w:r w:rsidR="00A16319" w:rsidRPr="00FC5507">
              <w:rPr>
                <w:sz w:val="20"/>
                <w:lang w:val="en-CA"/>
              </w:rPr>
              <w:noBreakHyphen/>
              <w:t>09</w:t>
            </w:r>
            <w:r w:rsidR="00A16319" w:rsidRPr="00FC5507">
              <w:rPr>
                <w:sz w:val="20"/>
                <w:lang w:val="en-CA"/>
              </w:rPr>
              <w:noBreakHyphen/>
              <w:t>026991</w:t>
            </w:r>
            <w:r w:rsidR="00A16319" w:rsidRPr="00FC5507">
              <w:rPr>
                <w:sz w:val="20"/>
                <w:lang w:val="en-CA"/>
              </w:rPr>
              <w:noBreakHyphen/>
              <w:t>174)</w:t>
            </w:r>
          </w:p>
          <w:p w:rsidR="00A16319" w:rsidRPr="00FC5507" w:rsidRDefault="00A16319" w:rsidP="00FC5507">
            <w:pPr>
              <w:jc w:val="both"/>
              <w:rPr>
                <w:sz w:val="20"/>
                <w:lang w:val="en-CA"/>
              </w:rPr>
            </w:pPr>
          </w:p>
        </w:tc>
        <w:tc>
          <w:tcPr>
            <w:tcW w:w="243" w:type="pct"/>
          </w:tcPr>
          <w:p w:rsidR="00A16319" w:rsidRPr="00FC5507" w:rsidRDefault="00A16319" w:rsidP="00FC5507">
            <w:pPr>
              <w:jc w:val="both"/>
              <w:rPr>
                <w:sz w:val="20"/>
                <w:lang w:val="en-CA"/>
              </w:rPr>
            </w:pPr>
          </w:p>
        </w:tc>
        <w:tc>
          <w:tcPr>
            <w:tcW w:w="2330" w:type="pct"/>
          </w:tcPr>
          <w:p w:rsidR="00A16319" w:rsidRPr="00FC5507" w:rsidRDefault="00A16319" w:rsidP="00FC5507">
            <w:pPr>
              <w:jc w:val="both"/>
              <w:rPr>
                <w:sz w:val="20"/>
                <w:lang w:val="en-CA"/>
              </w:rPr>
            </w:pPr>
            <w:r w:rsidRPr="00FC5507">
              <w:rPr>
                <w:sz w:val="20"/>
                <w:lang w:val="en-CA"/>
              </w:rPr>
              <w:t xml:space="preserve">Applicant’s motion for leave to appeal dismissed </w:t>
            </w:r>
          </w:p>
        </w:tc>
      </w:tr>
      <w:tr w:rsidR="00A16319" w:rsidRPr="00FC5507" w:rsidTr="00602075">
        <w:tc>
          <w:tcPr>
            <w:tcW w:w="2427" w:type="pct"/>
            <w:gridSpan w:val="2"/>
          </w:tcPr>
          <w:p w:rsidR="00A16319" w:rsidRPr="00FC5507" w:rsidRDefault="00A16319" w:rsidP="00FC5507">
            <w:pPr>
              <w:jc w:val="both"/>
              <w:rPr>
                <w:sz w:val="20"/>
                <w:lang w:val="en-CA"/>
              </w:rPr>
            </w:pPr>
            <w:r w:rsidRPr="00FC5507">
              <w:rPr>
                <w:sz w:val="20"/>
                <w:lang w:val="en-CA"/>
              </w:rPr>
              <w:t>November 5, 2018</w:t>
            </w:r>
          </w:p>
          <w:p w:rsidR="00A16319" w:rsidRPr="00FC5507" w:rsidRDefault="00A16319" w:rsidP="00FC5507">
            <w:pPr>
              <w:jc w:val="both"/>
              <w:rPr>
                <w:sz w:val="20"/>
                <w:lang w:val="en-CA"/>
              </w:rPr>
            </w:pPr>
            <w:r w:rsidRPr="00FC5507">
              <w:rPr>
                <w:sz w:val="20"/>
                <w:lang w:val="en-CA"/>
              </w:rPr>
              <w:t>Quebec Court of Appeal (Montréal)</w:t>
            </w:r>
          </w:p>
          <w:p w:rsidR="00A16319" w:rsidRPr="00FC5507" w:rsidRDefault="00A16319" w:rsidP="00FC5507">
            <w:pPr>
              <w:jc w:val="both"/>
              <w:rPr>
                <w:sz w:val="20"/>
                <w:lang w:val="en-CA"/>
              </w:rPr>
            </w:pPr>
            <w:r w:rsidRPr="00FC5507">
              <w:rPr>
                <w:sz w:val="20"/>
                <w:lang w:val="en-CA"/>
              </w:rPr>
              <w:t>(Doyon, Roy and Hamilton JJ.A.)</w:t>
            </w:r>
          </w:p>
          <w:p w:rsidR="00A16319" w:rsidRPr="00FC5507" w:rsidRDefault="00685225" w:rsidP="00FC5507">
            <w:pPr>
              <w:jc w:val="both"/>
              <w:rPr>
                <w:sz w:val="20"/>
                <w:lang w:val="en-CA"/>
              </w:rPr>
            </w:pPr>
            <w:hyperlink r:id="rId89" w:history="1">
              <w:r w:rsidR="00A16319" w:rsidRPr="00FC5507">
                <w:rPr>
                  <w:rStyle w:val="Hyperlink"/>
                  <w:sz w:val="20"/>
                  <w:lang w:val="en-CA"/>
                </w:rPr>
                <w:t>2018 QCCA 1880</w:t>
              </w:r>
            </w:hyperlink>
            <w:r w:rsidR="00A16319" w:rsidRPr="00FC5507">
              <w:rPr>
                <w:sz w:val="20"/>
                <w:lang w:val="en-CA"/>
              </w:rPr>
              <w:t xml:space="preserve"> (No. 500</w:t>
            </w:r>
            <w:r w:rsidR="00A16319" w:rsidRPr="00FC5507">
              <w:rPr>
                <w:sz w:val="20"/>
                <w:lang w:val="en-CA"/>
              </w:rPr>
              <w:noBreakHyphen/>
              <w:t>09</w:t>
            </w:r>
            <w:r w:rsidR="00A16319" w:rsidRPr="00FC5507">
              <w:rPr>
                <w:sz w:val="20"/>
                <w:lang w:val="en-CA"/>
              </w:rPr>
              <w:noBreakHyphen/>
              <w:t>026991</w:t>
            </w:r>
            <w:r w:rsidR="00A16319" w:rsidRPr="00FC5507">
              <w:rPr>
                <w:sz w:val="20"/>
                <w:lang w:val="en-CA"/>
              </w:rPr>
              <w:noBreakHyphen/>
              <w:t>174)</w:t>
            </w:r>
          </w:p>
          <w:p w:rsidR="00A16319" w:rsidRPr="00FC5507" w:rsidRDefault="00A16319" w:rsidP="00FC5507">
            <w:pPr>
              <w:jc w:val="both"/>
              <w:rPr>
                <w:sz w:val="20"/>
                <w:lang w:val="en-CA"/>
              </w:rPr>
            </w:pPr>
          </w:p>
        </w:tc>
        <w:tc>
          <w:tcPr>
            <w:tcW w:w="243" w:type="pct"/>
          </w:tcPr>
          <w:p w:rsidR="00A16319" w:rsidRPr="00FC5507" w:rsidRDefault="00A16319" w:rsidP="00FC5507">
            <w:pPr>
              <w:jc w:val="both"/>
              <w:rPr>
                <w:sz w:val="20"/>
                <w:lang w:val="en-CA"/>
              </w:rPr>
            </w:pPr>
          </w:p>
        </w:tc>
        <w:tc>
          <w:tcPr>
            <w:tcW w:w="2330" w:type="pct"/>
          </w:tcPr>
          <w:p w:rsidR="00A16319" w:rsidRPr="00FC5507" w:rsidRDefault="00A16319" w:rsidP="00FC5507">
            <w:pPr>
              <w:jc w:val="both"/>
              <w:rPr>
                <w:sz w:val="20"/>
                <w:lang w:val="en-CA"/>
              </w:rPr>
            </w:pPr>
            <w:r w:rsidRPr="00FC5507">
              <w:rPr>
                <w:sz w:val="20"/>
                <w:lang w:val="en-CA"/>
              </w:rPr>
              <w:t>Applicant’s motion for authorization to present new evidence and applications for revocation of appeal judgment and for leave to appeal out of time dismissed</w:t>
            </w:r>
          </w:p>
          <w:p w:rsidR="00A16319" w:rsidRPr="00FC5507" w:rsidRDefault="00A16319" w:rsidP="00FC5507">
            <w:pPr>
              <w:jc w:val="both"/>
              <w:rPr>
                <w:sz w:val="20"/>
                <w:lang w:val="en-CA"/>
              </w:rPr>
            </w:pPr>
          </w:p>
        </w:tc>
      </w:tr>
      <w:tr w:rsidR="00A16319" w:rsidRPr="00FC5507" w:rsidTr="00602075">
        <w:tc>
          <w:tcPr>
            <w:tcW w:w="2427" w:type="pct"/>
            <w:gridSpan w:val="2"/>
          </w:tcPr>
          <w:p w:rsidR="00A16319" w:rsidRPr="00FC5507" w:rsidRDefault="00A16319" w:rsidP="00FC5507">
            <w:pPr>
              <w:jc w:val="both"/>
              <w:rPr>
                <w:sz w:val="20"/>
                <w:lang w:val="en-CA"/>
              </w:rPr>
            </w:pPr>
            <w:r w:rsidRPr="00FC5507">
              <w:rPr>
                <w:sz w:val="20"/>
                <w:lang w:val="en-CA"/>
              </w:rPr>
              <w:t>January 4, 2019</w:t>
            </w:r>
          </w:p>
          <w:p w:rsidR="00A16319" w:rsidRPr="00FC5507" w:rsidRDefault="00A16319" w:rsidP="00FC5507">
            <w:pPr>
              <w:jc w:val="both"/>
              <w:rPr>
                <w:sz w:val="20"/>
                <w:lang w:val="en-CA"/>
              </w:rPr>
            </w:pPr>
            <w:r w:rsidRPr="00FC5507">
              <w:rPr>
                <w:sz w:val="20"/>
                <w:lang w:val="en-CA"/>
              </w:rPr>
              <w:t>Supreme Court of Canada</w:t>
            </w:r>
          </w:p>
        </w:tc>
        <w:tc>
          <w:tcPr>
            <w:tcW w:w="243" w:type="pct"/>
          </w:tcPr>
          <w:p w:rsidR="00A16319" w:rsidRPr="00FC5507" w:rsidRDefault="00A16319" w:rsidP="00FC5507">
            <w:pPr>
              <w:jc w:val="both"/>
              <w:rPr>
                <w:sz w:val="20"/>
                <w:lang w:val="en-CA"/>
              </w:rPr>
            </w:pPr>
          </w:p>
        </w:tc>
        <w:tc>
          <w:tcPr>
            <w:tcW w:w="2330" w:type="pct"/>
          </w:tcPr>
          <w:p w:rsidR="00A16319" w:rsidRPr="00FC5507" w:rsidRDefault="00A16319" w:rsidP="00FC5507">
            <w:pPr>
              <w:jc w:val="both"/>
              <w:rPr>
                <w:sz w:val="20"/>
                <w:lang w:val="en-CA"/>
              </w:rPr>
            </w:pPr>
            <w:r w:rsidRPr="00FC5507">
              <w:rPr>
                <w:sz w:val="20"/>
                <w:lang w:val="en-CA"/>
              </w:rPr>
              <w:t>Application for leave to appeal filed</w:t>
            </w:r>
          </w:p>
          <w:p w:rsidR="00A16319" w:rsidRPr="00FC5507" w:rsidRDefault="00A16319" w:rsidP="00FC5507">
            <w:pPr>
              <w:jc w:val="both"/>
              <w:rPr>
                <w:sz w:val="20"/>
                <w:lang w:val="en-CA"/>
              </w:rPr>
            </w:pPr>
          </w:p>
        </w:tc>
      </w:tr>
    </w:tbl>
    <w:p w:rsidR="00A16319" w:rsidRDefault="00A16319" w:rsidP="00FC5507">
      <w:pPr>
        <w:jc w:val="both"/>
        <w:rPr>
          <w:sz w:val="20"/>
          <w:lang w:val="en-CA"/>
        </w:rPr>
      </w:pPr>
    </w:p>
    <w:p w:rsidR="00A6684F" w:rsidRDefault="00A6684F" w:rsidP="00FC5507">
      <w:pPr>
        <w:jc w:val="both"/>
        <w:rPr>
          <w:sz w:val="20"/>
          <w:lang w:val="en-CA"/>
        </w:rPr>
      </w:pPr>
      <w:r>
        <w:rPr>
          <w:sz w:val="20"/>
        </w:rPr>
        <w:pict>
          <v:rect id="_x0000_i1049" style="width:2in;height:1pt" o:hrpct="0" o:hralign="center" o:hrstd="t" o:hrnoshade="t" o:hr="t" fillcolor="black [3213]" stroked="f"/>
        </w:pict>
      </w:r>
    </w:p>
    <w:p w:rsidR="004C3C2F" w:rsidRPr="00FC5507" w:rsidRDefault="004C3C2F" w:rsidP="00FC550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FC5507" w:rsidTr="00602075">
        <w:tc>
          <w:tcPr>
            <w:tcW w:w="543" w:type="pct"/>
          </w:tcPr>
          <w:p w:rsidR="00A16319" w:rsidRPr="00FC5507" w:rsidRDefault="00A16319" w:rsidP="00FC5507">
            <w:pPr>
              <w:jc w:val="both"/>
              <w:rPr>
                <w:sz w:val="20"/>
              </w:rPr>
            </w:pPr>
            <w:r w:rsidRPr="00FC5507">
              <w:rPr>
                <w:rStyle w:val="SCCFileNumberChar"/>
                <w:sz w:val="20"/>
                <w:szCs w:val="20"/>
              </w:rPr>
              <w:t>38528</w:t>
            </w:r>
          </w:p>
        </w:tc>
        <w:tc>
          <w:tcPr>
            <w:tcW w:w="4457" w:type="pct"/>
            <w:gridSpan w:val="3"/>
          </w:tcPr>
          <w:p w:rsidR="00A16319" w:rsidRPr="004C3C2F" w:rsidRDefault="00A16319" w:rsidP="00FC5507">
            <w:pPr>
              <w:pStyle w:val="SCCLsocParty"/>
              <w:jc w:val="both"/>
              <w:rPr>
                <w:b/>
                <w:sz w:val="20"/>
                <w:szCs w:val="20"/>
              </w:rPr>
            </w:pPr>
            <w:r w:rsidRPr="004C3C2F">
              <w:rPr>
                <w:b/>
                <w:sz w:val="20"/>
                <w:szCs w:val="20"/>
              </w:rPr>
              <w:t>Yves Montplaisir c. Jacques Mondou, Caisse Desjardins de Bois-Franc-Bordeaux-</w:t>
            </w:r>
            <w:proofErr w:type="spellStart"/>
            <w:r w:rsidRPr="004C3C2F">
              <w:rPr>
                <w:b/>
                <w:sz w:val="20"/>
                <w:szCs w:val="20"/>
              </w:rPr>
              <w:t>Cartierville</w:t>
            </w:r>
            <w:proofErr w:type="spellEnd"/>
          </w:p>
          <w:p w:rsidR="00A16319" w:rsidRPr="004C3C2F" w:rsidRDefault="00A16319" w:rsidP="00FC5507">
            <w:pPr>
              <w:pStyle w:val="SCCLsocOtherPartySeparator"/>
              <w:rPr>
                <w:sz w:val="20"/>
                <w:szCs w:val="20"/>
              </w:rPr>
            </w:pPr>
            <w:r w:rsidRPr="004C3C2F">
              <w:rPr>
                <w:sz w:val="20"/>
                <w:szCs w:val="20"/>
              </w:rPr>
              <w:t>— et —</w:t>
            </w:r>
          </w:p>
          <w:p w:rsidR="00A16319" w:rsidRPr="004C3C2F" w:rsidRDefault="00A16319" w:rsidP="00FC5507">
            <w:pPr>
              <w:pStyle w:val="SCCLsocParty"/>
              <w:jc w:val="both"/>
              <w:rPr>
                <w:b/>
                <w:sz w:val="20"/>
                <w:szCs w:val="20"/>
              </w:rPr>
            </w:pPr>
            <w:r w:rsidRPr="004C3C2F">
              <w:rPr>
                <w:b/>
                <w:sz w:val="20"/>
                <w:szCs w:val="20"/>
              </w:rPr>
              <w:t xml:space="preserve">McGill immobilier </w:t>
            </w:r>
            <w:proofErr w:type="spellStart"/>
            <w:r w:rsidRPr="004C3C2F">
              <w:rPr>
                <w:b/>
                <w:sz w:val="20"/>
                <w:szCs w:val="20"/>
              </w:rPr>
              <w:t>Inc</w:t>
            </w:r>
            <w:proofErr w:type="spellEnd"/>
            <w:r w:rsidRPr="004C3C2F">
              <w:rPr>
                <w:b/>
                <w:sz w:val="20"/>
                <w:szCs w:val="20"/>
              </w:rPr>
              <w:t xml:space="preserve">, Via Capitale du Mont-Royal, </w:t>
            </w:r>
            <w:proofErr w:type="spellStart"/>
            <w:r w:rsidRPr="004C3C2F">
              <w:rPr>
                <w:b/>
                <w:sz w:val="20"/>
                <w:szCs w:val="20"/>
              </w:rPr>
              <w:t>Remax</w:t>
            </w:r>
            <w:proofErr w:type="spellEnd"/>
            <w:r w:rsidRPr="004C3C2F">
              <w:rPr>
                <w:b/>
                <w:sz w:val="20"/>
                <w:szCs w:val="20"/>
              </w:rPr>
              <w:t xml:space="preserve"> du Cartier bureau Outremont, Groupe Immobilier </w:t>
            </w:r>
            <w:proofErr w:type="spellStart"/>
            <w:r w:rsidRPr="004C3C2F">
              <w:rPr>
                <w:b/>
                <w:sz w:val="20"/>
                <w:szCs w:val="20"/>
              </w:rPr>
              <w:t>Londono</w:t>
            </w:r>
            <w:proofErr w:type="spellEnd"/>
            <w:r w:rsidRPr="004C3C2F">
              <w:rPr>
                <w:b/>
                <w:sz w:val="20"/>
                <w:szCs w:val="20"/>
              </w:rPr>
              <w:t xml:space="preserve"> Inc.</w:t>
            </w:r>
          </w:p>
          <w:p w:rsidR="00A16319" w:rsidRPr="00FC5507" w:rsidRDefault="00A16319" w:rsidP="00FC5507">
            <w:pPr>
              <w:jc w:val="both"/>
              <w:rPr>
                <w:sz w:val="20"/>
              </w:rPr>
            </w:pPr>
            <w:r w:rsidRPr="00FC5507">
              <w:rPr>
                <w:sz w:val="20"/>
              </w:rPr>
              <w:t>(Qc) (Civile) (Autorisation)</w:t>
            </w:r>
          </w:p>
        </w:tc>
      </w:tr>
      <w:tr w:rsidR="00A16319" w:rsidRPr="00A6684F" w:rsidTr="00602075">
        <w:tc>
          <w:tcPr>
            <w:tcW w:w="5000" w:type="pct"/>
            <w:gridSpan w:val="4"/>
          </w:tcPr>
          <w:p w:rsidR="00A16319" w:rsidRPr="00FC5507" w:rsidRDefault="00A16319" w:rsidP="00FC5507">
            <w:pPr>
              <w:jc w:val="both"/>
              <w:rPr>
                <w:sz w:val="20"/>
                <w:lang w:val="fr-CA"/>
              </w:rPr>
            </w:pPr>
            <w:r w:rsidRPr="00FC5507">
              <w:rPr>
                <w:sz w:val="20"/>
                <w:lang w:val="fr-CA"/>
              </w:rPr>
              <w:t>Procédure civile — Abus de procédure — Rejet d’une demande introductive d’instance à l’encontre d’un intimé parce que manifestement mal fondé et téméraire en raison de sa prescription — Rejet en partie de la demande à l’encontre d’un autre intimé au même motif — Requête pour permission d’appeler rejetée — La juge de première instance a</w:t>
            </w:r>
            <w:r w:rsidRPr="00FC5507">
              <w:rPr>
                <w:sz w:val="20"/>
                <w:lang w:val="fr-CA"/>
              </w:rPr>
              <w:noBreakHyphen/>
              <w:t>t</w:t>
            </w:r>
            <w:r w:rsidRPr="00FC5507">
              <w:rPr>
                <w:sz w:val="20"/>
                <w:lang w:val="fr-CA"/>
              </w:rPr>
              <w:noBreakHyphen/>
              <w:t>elle eu tort de rejeter le recours au stade de la requête en irrecevabilité sur le fondement de la prescription et de conclure à l’abus parce que le recours aurait été prescrit? — La Cour d’appel a</w:t>
            </w:r>
            <w:r w:rsidRPr="00FC5507">
              <w:rPr>
                <w:sz w:val="20"/>
                <w:lang w:val="fr-CA"/>
              </w:rPr>
              <w:noBreakHyphen/>
              <w:t>t</w:t>
            </w:r>
            <w:r w:rsidRPr="00FC5507">
              <w:rPr>
                <w:sz w:val="20"/>
                <w:lang w:val="fr-CA"/>
              </w:rPr>
              <w:noBreakHyphen/>
              <w:t>elle fait erreur en refusant la permission d’appeler? — Les  juges auraient</w:t>
            </w:r>
            <w:r w:rsidRPr="00FC5507">
              <w:rPr>
                <w:sz w:val="20"/>
                <w:lang w:val="fr-CA"/>
              </w:rPr>
              <w:noBreakHyphen/>
              <w:t>ils dû exercer leur devoir d’assistance envers le demandeur afin que celui</w:t>
            </w:r>
            <w:r w:rsidRPr="00FC5507">
              <w:rPr>
                <w:sz w:val="20"/>
                <w:lang w:val="fr-CA"/>
              </w:rPr>
              <w:noBreakHyphen/>
              <w:t>ci soit entendu correctement et en toute équité?</w:t>
            </w:r>
          </w:p>
        </w:tc>
      </w:tr>
      <w:tr w:rsidR="00A16319" w:rsidRPr="00A6684F" w:rsidTr="00602075">
        <w:tc>
          <w:tcPr>
            <w:tcW w:w="5000" w:type="pct"/>
            <w:gridSpan w:val="4"/>
          </w:tcPr>
          <w:p w:rsidR="00A16319" w:rsidRPr="00FC5507" w:rsidRDefault="00A16319" w:rsidP="00FC5507">
            <w:pPr>
              <w:jc w:val="both"/>
              <w:rPr>
                <w:sz w:val="20"/>
                <w:lang w:val="fr-CA"/>
              </w:rPr>
            </w:pPr>
          </w:p>
        </w:tc>
      </w:tr>
      <w:tr w:rsidR="00A16319" w:rsidRPr="00A6684F" w:rsidTr="00602075">
        <w:tc>
          <w:tcPr>
            <w:tcW w:w="5000" w:type="pct"/>
            <w:gridSpan w:val="4"/>
          </w:tcPr>
          <w:p w:rsidR="00A16319" w:rsidRPr="00FC5507" w:rsidRDefault="00A16319" w:rsidP="00FC5507">
            <w:pPr>
              <w:jc w:val="both"/>
              <w:rPr>
                <w:sz w:val="20"/>
                <w:lang w:val="fr-CA"/>
              </w:rPr>
            </w:pPr>
            <w:r w:rsidRPr="00FC5507">
              <w:rPr>
                <w:sz w:val="20"/>
                <w:lang w:val="fr-CA"/>
              </w:rPr>
              <w:t>M. Montplaisir était le propriétaire de deux triplex locatifs à Montréal. La Caisse Desjardins de Bois</w:t>
            </w:r>
            <w:r w:rsidRPr="00FC5507">
              <w:rPr>
                <w:sz w:val="20"/>
                <w:lang w:val="fr-CA"/>
              </w:rPr>
              <w:noBreakHyphen/>
              <w:t>Franc-Bordeaux</w:t>
            </w:r>
            <w:r w:rsidRPr="00FC5507">
              <w:rPr>
                <w:sz w:val="20"/>
                <w:lang w:val="fr-CA"/>
              </w:rPr>
              <w:noBreakHyphen/>
            </w:r>
            <w:proofErr w:type="spellStart"/>
            <w:r w:rsidRPr="00FC5507">
              <w:rPr>
                <w:sz w:val="20"/>
                <w:lang w:val="fr-CA"/>
              </w:rPr>
              <w:t>Cartierville</w:t>
            </w:r>
            <w:proofErr w:type="spellEnd"/>
            <w:r w:rsidRPr="00FC5507">
              <w:rPr>
                <w:sz w:val="20"/>
                <w:lang w:val="fr-CA"/>
              </w:rPr>
              <w:t xml:space="preserve"> (la Caisse) est la créancière hypothécaire d’un des triplex. Me Mondou est le notaire de M. Montplaisir. Suite à une recommandation de son médecin, M. Montplaisir décide de vendre ses triplex. Plutôt que de les mettre en vente tels quels, il entreprend de les rénover et de les convertir en copropriété indivise en utilisant une « stratégie domino » que les représentants de la Caisse lui auraient suggérée au printemps 2010. M. Montplaisir aurait aussi demandé à Me Mondou conseils sur la stratégie domino suggérée par la Caisse. Cette approche ne fonctionnera pas et il devra changer sa façon de faire afin d’éventuellement réussir à vendre ses six unités, mais à un prix moindre qu’il a prévu. Le 9 décembre 2015, M. Montplaisir entreprend une poursuite contre les défendeurs en raison des dommages qu’il allègue avoir subis dans le cadre de son projet de rénovation. Les défendeurs recherchent le rejet de la poursuite entreprise contre eux en vertu des articles 168 (irrecevabilité) et 51 (acte de procédure abusif) du </w:t>
            </w:r>
            <w:r w:rsidRPr="00FC5507">
              <w:rPr>
                <w:i/>
                <w:sz w:val="20"/>
                <w:lang w:val="fr-CA"/>
              </w:rPr>
              <w:t>Code de procédure civile</w:t>
            </w:r>
            <w:r w:rsidRPr="00FC5507">
              <w:rPr>
                <w:sz w:val="20"/>
                <w:lang w:val="fr-CA"/>
              </w:rPr>
              <w:t>.</w:t>
            </w:r>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Le 17 juillet 2017</w:t>
            </w:r>
          </w:p>
          <w:p w:rsidR="00A16319" w:rsidRPr="00FC5507" w:rsidRDefault="00A16319" w:rsidP="00FC5507">
            <w:pPr>
              <w:jc w:val="both"/>
              <w:rPr>
                <w:sz w:val="20"/>
                <w:lang w:val="fr-CA"/>
              </w:rPr>
            </w:pPr>
            <w:r w:rsidRPr="00FC5507">
              <w:rPr>
                <w:sz w:val="20"/>
                <w:lang w:val="fr-CA"/>
              </w:rPr>
              <w:t>Cour supérieure du Québec</w:t>
            </w:r>
          </w:p>
          <w:p w:rsidR="00A16319" w:rsidRPr="00FC5507" w:rsidRDefault="00A16319" w:rsidP="00FC5507">
            <w:pPr>
              <w:jc w:val="both"/>
              <w:rPr>
                <w:sz w:val="20"/>
              </w:rPr>
            </w:pPr>
            <w:r w:rsidRPr="00FC5507">
              <w:rPr>
                <w:sz w:val="20"/>
              </w:rPr>
              <w:t xml:space="preserve">(La juge </w:t>
            </w:r>
            <w:proofErr w:type="spellStart"/>
            <w:r w:rsidRPr="00FC5507">
              <w:rPr>
                <w:sz w:val="20"/>
              </w:rPr>
              <w:t>Lamarche</w:t>
            </w:r>
            <w:proofErr w:type="spellEnd"/>
            <w:r w:rsidRPr="00FC5507">
              <w:rPr>
                <w:sz w:val="20"/>
              </w:rPr>
              <w:t>)</w:t>
            </w:r>
          </w:p>
          <w:p w:rsidR="00A16319" w:rsidRPr="00FC5507" w:rsidRDefault="00685225" w:rsidP="00FC5507">
            <w:pPr>
              <w:jc w:val="both"/>
              <w:rPr>
                <w:sz w:val="20"/>
              </w:rPr>
            </w:pPr>
            <w:hyperlink r:id="rId90" w:history="1">
              <w:r w:rsidR="00A16319" w:rsidRPr="00FC5507">
                <w:rPr>
                  <w:rStyle w:val="Hyperlink"/>
                  <w:sz w:val="20"/>
                </w:rPr>
                <w:t>2017 QCCS 3262</w:t>
              </w:r>
            </w:hyperlink>
            <w:r w:rsidR="00A16319" w:rsidRPr="00FC5507">
              <w:rPr>
                <w:sz w:val="20"/>
              </w:rPr>
              <w:t xml:space="preserve"> </w:t>
            </w: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lang w:val="fr-CA"/>
              </w:rPr>
            </w:pPr>
            <w:r w:rsidRPr="00FC5507">
              <w:rPr>
                <w:sz w:val="20"/>
                <w:lang w:val="fr-CA"/>
              </w:rPr>
              <w:t xml:space="preserve">Rejet de la demande introductive d’instance à l’encontre de Jacques Mondou et rejet en partie de la demande introductive d’instance à l’encontre de la </w:t>
            </w:r>
            <w:r w:rsidRPr="00FC5507">
              <w:rPr>
                <w:sz w:val="20"/>
                <w:lang w:val="fr-CA"/>
              </w:rPr>
              <w:lastRenderedPageBreak/>
              <w:t>Caisse Desjardins De Bois</w:t>
            </w:r>
            <w:r w:rsidRPr="00FC5507">
              <w:rPr>
                <w:sz w:val="20"/>
                <w:lang w:val="fr-CA"/>
              </w:rPr>
              <w:noBreakHyphen/>
              <w:t>Franc</w:t>
            </w:r>
            <w:r w:rsidRPr="00FC5507">
              <w:rPr>
                <w:sz w:val="20"/>
                <w:lang w:val="fr-CA"/>
              </w:rPr>
              <w:noBreakHyphen/>
              <w:t>Bordeaux</w:t>
            </w:r>
            <w:r w:rsidRPr="00FC5507">
              <w:rPr>
                <w:sz w:val="20"/>
                <w:lang w:val="fr-CA"/>
              </w:rPr>
              <w:noBreakHyphen/>
            </w:r>
            <w:proofErr w:type="spellStart"/>
            <w:r w:rsidRPr="00FC5507">
              <w:rPr>
                <w:sz w:val="20"/>
                <w:lang w:val="fr-CA"/>
              </w:rPr>
              <w:t>Cartierville</w:t>
            </w:r>
            <w:proofErr w:type="spellEnd"/>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lastRenderedPageBreak/>
              <w:t>Le 20 novembre 2017</w:t>
            </w:r>
          </w:p>
          <w:p w:rsidR="00A16319" w:rsidRPr="00FC5507" w:rsidRDefault="00A16319" w:rsidP="00FC5507">
            <w:pPr>
              <w:jc w:val="both"/>
              <w:rPr>
                <w:sz w:val="20"/>
                <w:lang w:val="fr-CA"/>
              </w:rPr>
            </w:pPr>
            <w:r w:rsidRPr="00FC5507">
              <w:rPr>
                <w:sz w:val="20"/>
                <w:lang w:val="fr-CA"/>
              </w:rPr>
              <w:t>Cour d’appel du Québec (Montréal)</w:t>
            </w:r>
          </w:p>
          <w:p w:rsidR="00A16319" w:rsidRPr="00FC5507" w:rsidRDefault="00A16319" w:rsidP="00FC5507">
            <w:pPr>
              <w:jc w:val="both"/>
              <w:rPr>
                <w:sz w:val="20"/>
                <w:lang w:val="fr-CA"/>
              </w:rPr>
            </w:pPr>
            <w:r w:rsidRPr="00FC5507">
              <w:rPr>
                <w:sz w:val="20"/>
                <w:lang w:val="fr-CA"/>
              </w:rPr>
              <w:t xml:space="preserve">(Le juge </w:t>
            </w:r>
            <w:proofErr w:type="spellStart"/>
            <w:r w:rsidRPr="00FC5507">
              <w:rPr>
                <w:sz w:val="20"/>
                <w:lang w:val="fr-CA"/>
              </w:rPr>
              <w:t>Vauclair</w:t>
            </w:r>
            <w:proofErr w:type="spellEnd"/>
            <w:r w:rsidRPr="00FC5507">
              <w:rPr>
                <w:sz w:val="20"/>
                <w:lang w:val="fr-CA"/>
              </w:rPr>
              <w:t>)</w:t>
            </w:r>
          </w:p>
          <w:p w:rsidR="00A16319" w:rsidRPr="00FC5507" w:rsidRDefault="00685225" w:rsidP="00FC5507">
            <w:pPr>
              <w:jc w:val="both"/>
              <w:rPr>
                <w:sz w:val="20"/>
                <w:lang w:val="fr-CA"/>
              </w:rPr>
            </w:pPr>
            <w:hyperlink r:id="rId91" w:history="1">
              <w:r w:rsidR="00A16319" w:rsidRPr="00FC5507">
                <w:rPr>
                  <w:rStyle w:val="Hyperlink"/>
                  <w:sz w:val="20"/>
                  <w:lang w:val="fr-CA"/>
                </w:rPr>
                <w:t>2017 QCCA 1841</w:t>
              </w:r>
            </w:hyperlink>
            <w:r w:rsidR="00A16319" w:rsidRPr="00FC5507">
              <w:rPr>
                <w:sz w:val="20"/>
                <w:lang w:val="fr-CA"/>
              </w:rPr>
              <w:t xml:space="preserve"> (No. 500</w:t>
            </w:r>
            <w:r w:rsidR="00A16319" w:rsidRPr="00FC5507">
              <w:rPr>
                <w:sz w:val="20"/>
                <w:lang w:val="fr-CA"/>
              </w:rPr>
              <w:noBreakHyphen/>
              <w:t>09</w:t>
            </w:r>
            <w:r w:rsidR="00A16319" w:rsidRPr="00FC5507">
              <w:rPr>
                <w:sz w:val="20"/>
                <w:lang w:val="fr-CA"/>
              </w:rPr>
              <w:noBreakHyphen/>
              <w:t>026991</w:t>
            </w:r>
            <w:r w:rsidR="00A16319" w:rsidRPr="00FC5507">
              <w:rPr>
                <w:sz w:val="20"/>
                <w:lang w:val="fr-CA"/>
              </w:rPr>
              <w:noBreakHyphen/>
              <w:t>174)</w:t>
            </w:r>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 xml:space="preserve">Rejet de la requête du demandeur pour permission d’appeler </w:t>
            </w: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Le 5 novembre 2018</w:t>
            </w:r>
          </w:p>
          <w:p w:rsidR="00A16319" w:rsidRPr="00FC5507" w:rsidRDefault="00A16319" w:rsidP="00FC5507">
            <w:pPr>
              <w:jc w:val="both"/>
              <w:rPr>
                <w:sz w:val="20"/>
                <w:lang w:val="fr-CA"/>
              </w:rPr>
            </w:pPr>
            <w:r w:rsidRPr="00FC5507">
              <w:rPr>
                <w:sz w:val="20"/>
                <w:lang w:val="fr-CA"/>
              </w:rPr>
              <w:t>Cour d’appel du Québec (Montréal)</w:t>
            </w:r>
          </w:p>
          <w:p w:rsidR="00A16319" w:rsidRPr="00FC5507" w:rsidRDefault="00A16319" w:rsidP="00FC5507">
            <w:pPr>
              <w:jc w:val="both"/>
              <w:rPr>
                <w:sz w:val="20"/>
                <w:lang w:val="fr-CA"/>
              </w:rPr>
            </w:pPr>
            <w:r w:rsidRPr="00FC5507">
              <w:rPr>
                <w:sz w:val="20"/>
                <w:lang w:val="fr-CA"/>
              </w:rPr>
              <w:t>(Les juges Doyon, Roy et Hamilton)</w:t>
            </w:r>
          </w:p>
          <w:p w:rsidR="00A16319" w:rsidRPr="00FC5507" w:rsidRDefault="00685225" w:rsidP="00FC5507">
            <w:pPr>
              <w:jc w:val="both"/>
              <w:rPr>
                <w:sz w:val="20"/>
              </w:rPr>
            </w:pPr>
            <w:hyperlink r:id="rId92" w:history="1">
              <w:r w:rsidR="00A16319" w:rsidRPr="00FC5507">
                <w:rPr>
                  <w:rStyle w:val="Hyperlink"/>
                  <w:sz w:val="20"/>
                </w:rPr>
                <w:t>2018 QCCA 1880</w:t>
              </w:r>
            </w:hyperlink>
            <w:r w:rsidR="00A16319" w:rsidRPr="00FC5507">
              <w:rPr>
                <w:sz w:val="20"/>
              </w:rPr>
              <w:t xml:space="preserve"> (No. 500</w:t>
            </w:r>
            <w:r w:rsidR="00A16319" w:rsidRPr="00FC5507">
              <w:rPr>
                <w:sz w:val="20"/>
              </w:rPr>
              <w:noBreakHyphen/>
              <w:t>09</w:t>
            </w:r>
            <w:r w:rsidR="00A16319" w:rsidRPr="00FC5507">
              <w:rPr>
                <w:sz w:val="20"/>
              </w:rPr>
              <w:noBreakHyphen/>
              <w:t>026991</w:t>
            </w:r>
            <w:r w:rsidR="00A16319" w:rsidRPr="00FC5507">
              <w:rPr>
                <w:sz w:val="20"/>
              </w:rPr>
              <w:noBreakHyphen/>
              <w:t>174)</w:t>
            </w:r>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lang w:val="fr-CA"/>
              </w:rPr>
            </w:pPr>
            <w:r w:rsidRPr="00FC5507">
              <w:rPr>
                <w:sz w:val="20"/>
                <w:lang w:val="fr-CA"/>
              </w:rPr>
              <w:t>Rejet de la requête du demandeur pour permission de produire une preuve nouvelle et de ses demandes de rétractation du jugement en appel et de permission d’appeler hors délai</w:t>
            </w:r>
          </w:p>
          <w:p w:rsidR="00A16319" w:rsidRPr="00FC5507" w:rsidRDefault="00A16319" w:rsidP="00FC5507">
            <w:pPr>
              <w:jc w:val="both"/>
              <w:rPr>
                <w:sz w:val="20"/>
                <w:lang w:val="fr-CA"/>
              </w:rPr>
            </w:pPr>
          </w:p>
        </w:tc>
      </w:tr>
      <w:tr w:rsidR="00A16319" w:rsidRPr="00FC5507" w:rsidTr="00602075">
        <w:tc>
          <w:tcPr>
            <w:tcW w:w="2427" w:type="pct"/>
            <w:gridSpan w:val="2"/>
          </w:tcPr>
          <w:p w:rsidR="00A16319" w:rsidRPr="00FC5507" w:rsidRDefault="00A16319" w:rsidP="00FC5507">
            <w:pPr>
              <w:jc w:val="both"/>
              <w:rPr>
                <w:sz w:val="20"/>
                <w:lang w:val="fr-CA"/>
              </w:rPr>
            </w:pPr>
            <w:r w:rsidRPr="00FC5507">
              <w:rPr>
                <w:sz w:val="20"/>
                <w:lang w:val="fr-CA"/>
              </w:rPr>
              <w:t>Le 4 janvier 2019</w:t>
            </w:r>
          </w:p>
          <w:p w:rsidR="00A16319" w:rsidRPr="00FC5507" w:rsidRDefault="00A16319" w:rsidP="00FC5507">
            <w:pPr>
              <w:jc w:val="both"/>
              <w:rPr>
                <w:sz w:val="20"/>
                <w:lang w:val="fr-CA"/>
              </w:rPr>
            </w:pPr>
            <w:r w:rsidRPr="00FC5507">
              <w:rPr>
                <w:sz w:val="20"/>
                <w:lang w:val="fr-CA"/>
              </w:rPr>
              <w:t>Cour suprême du Canada</w:t>
            </w: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rPr>
            </w:pPr>
            <w:r w:rsidRPr="00FC5507">
              <w:rPr>
                <w:sz w:val="20"/>
              </w:rPr>
              <w:t xml:space="preserve">Demande d'autorisation d'appel </w:t>
            </w:r>
            <w:proofErr w:type="spellStart"/>
            <w:r w:rsidRPr="00FC5507">
              <w:rPr>
                <w:sz w:val="20"/>
              </w:rPr>
              <w:t>déposée</w:t>
            </w:r>
            <w:proofErr w:type="spellEnd"/>
          </w:p>
          <w:p w:rsidR="00A16319" w:rsidRPr="00FC5507" w:rsidRDefault="00A16319" w:rsidP="00FC5507">
            <w:pPr>
              <w:jc w:val="both"/>
              <w:rPr>
                <w:sz w:val="20"/>
              </w:rPr>
            </w:pPr>
          </w:p>
        </w:tc>
      </w:tr>
    </w:tbl>
    <w:p w:rsidR="00A16319" w:rsidRDefault="00A16319" w:rsidP="00FC5507">
      <w:pPr>
        <w:jc w:val="both"/>
        <w:rPr>
          <w:sz w:val="20"/>
        </w:rPr>
      </w:pPr>
    </w:p>
    <w:p w:rsidR="00A6684F" w:rsidRPr="00FC5507" w:rsidRDefault="00A6684F" w:rsidP="00FC5507">
      <w:pPr>
        <w:jc w:val="both"/>
        <w:rPr>
          <w:sz w:val="20"/>
        </w:rPr>
      </w:pPr>
      <w:r>
        <w:rPr>
          <w:sz w:val="20"/>
        </w:rPr>
        <w:pict>
          <v:rect id="_x0000_i1050"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FC5507" w:rsidTr="00602075">
        <w:tc>
          <w:tcPr>
            <w:tcW w:w="543" w:type="pct"/>
          </w:tcPr>
          <w:p w:rsidR="00A16319" w:rsidRPr="00FC5507" w:rsidRDefault="00A16319" w:rsidP="00FC5507">
            <w:pPr>
              <w:jc w:val="both"/>
              <w:rPr>
                <w:sz w:val="20"/>
              </w:rPr>
            </w:pPr>
            <w:r w:rsidRPr="00FC5507">
              <w:rPr>
                <w:rStyle w:val="SCCFileNumberChar"/>
                <w:sz w:val="20"/>
                <w:szCs w:val="20"/>
              </w:rPr>
              <w:t>38396</w:t>
            </w:r>
          </w:p>
        </w:tc>
        <w:tc>
          <w:tcPr>
            <w:tcW w:w="4457" w:type="pct"/>
            <w:gridSpan w:val="3"/>
          </w:tcPr>
          <w:p w:rsidR="00A16319" w:rsidRPr="004C3C2F" w:rsidRDefault="00A16319" w:rsidP="00FC5507">
            <w:pPr>
              <w:pStyle w:val="SCCLsocParty"/>
              <w:jc w:val="both"/>
              <w:rPr>
                <w:b/>
                <w:sz w:val="20"/>
                <w:szCs w:val="20"/>
                <w:lang w:val="en-US"/>
              </w:rPr>
            </w:pPr>
            <w:r w:rsidRPr="004C3C2F">
              <w:rPr>
                <w:b/>
                <w:sz w:val="20"/>
                <w:szCs w:val="20"/>
                <w:lang w:val="en-US"/>
              </w:rPr>
              <w:t>Wood Group Mustang (Canada) Inc., formerly IMV Projects Inc. v. Canadian Natural Resources Limited</w:t>
            </w:r>
          </w:p>
          <w:p w:rsidR="00A16319" w:rsidRPr="00FC5507" w:rsidRDefault="00A16319" w:rsidP="00FC5507">
            <w:pPr>
              <w:pStyle w:val="SCCLsocSubfileSeparator"/>
              <w:rPr>
                <w:sz w:val="20"/>
                <w:szCs w:val="20"/>
              </w:rPr>
            </w:pPr>
            <w:r w:rsidRPr="00FC5507">
              <w:rPr>
                <w:sz w:val="20"/>
                <w:szCs w:val="20"/>
              </w:rPr>
              <w:t>— and between —</w:t>
            </w:r>
          </w:p>
          <w:p w:rsidR="00A16319" w:rsidRPr="004C3C2F" w:rsidRDefault="00A16319" w:rsidP="00FC5507">
            <w:pPr>
              <w:pStyle w:val="SCCLsocParty"/>
              <w:jc w:val="both"/>
              <w:rPr>
                <w:b/>
                <w:sz w:val="20"/>
                <w:szCs w:val="20"/>
                <w:lang w:val="en-US"/>
              </w:rPr>
            </w:pPr>
            <w:r w:rsidRPr="004C3C2F">
              <w:rPr>
                <w:b/>
                <w:sz w:val="20"/>
                <w:szCs w:val="20"/>
                <w:lang w:val="en-US"/>
              </w:rPr>
              <w:t>Wood Group Mustang (Canada) Inc., formerly IMV Projects Inc. v. Canadian Natural Resources Limited</w:t>
            </w:r>
          </w:p>
          <w:p w:rsidR="00A16319" w:rsidRPr="00FC5507" w:rsidRDefault="00A16319" w:rsidP="00FC5507">
            <w:pPr>
              <w:pStyle w:val="SCCLsocSubfileSeparator"/>
              <w:rPr>
                <w:sz w:val="20"/>
                <w:szCs w:val="20"/>
              </w:rPr>
            </w:pPr>
            <w:r w:rsidRPr="00FC5507">
              <w:rPr>
                <w:sz w:val="20"/>
                <w:szCs w:val="20"/>
              </w:rPr>
              <w:t>— and between —</w:t>
            </w:r>
          </w:p>
          <w:p w:rsidR="00A16319" w:rsidRPr="004C3C2F" w:rsidRDefault="00A16319" w:rsidP="00FC5507">
            <w:pPr>
              <w:pStyle w:val="SCCLsocParty"/>
              <w:jc w:val="both"/>
              <w:rPr>
                <w:b/>
                <w:sz w:val="20"/>
                <w:szCs w:val="20"/>
                <w:lang w:val="en-US"/>
              </w:rPr>
            </w:pPr>
            <w:r w:rsidRPr="004C3C2F">
              <w:rPr>
                <w:b/>
                <w:sz w:val="20"/>
                <w:szCs w:val="20"/>
                <w:lang w:val="en-US"/>
              </w:rPr>
              <w:t>Wood Group Mustang (Canada) Inc., formerly IMV Projects Inc. v. Canadian Natural Resources Limited</w:t>
            </w:r>
          </w:p>
          <w:p w:rsidR="00A16319" w:rsidRPr="00FC5507" w:rsidRDefault="00A16319" w:rsidP="00FC5507">
            <w:pPr>
              <w:jc w:val="both"/>
              <w:rPr>
                <w:sz w:val="20"/>
              </w:rPr>
            </w:pPr>
            <w:r w:rsidRPr="00FC5507">
              <w:rPr>
                <w:sz w:val="20"/>
              </w:rPr>
              <w:t>(Alta.) (Civil) (By Leave)</w:t>
            </w:r>
          </w:p>
        </w:tc>
      </w:tr>
      <w:tr w:rsidR="00A16319" w:rsidRPr="00FC5507" w:rsidTr="00602075">
        <w:tc>
          <w:tcPr>
            <w:tcW w:w="5000" w:type="pct"/>
            <w:gridSpan w:val="4"/>
          </w:tcPr>
          <w:p w:rsidR="00A16319" w:rsidRPr="00FC5507" w:rsidRDefault="00A16319" w:rsidP="00FC5507">
            <w:pPr>
              <w:jc w:val="both"/>
              <w:rPr>
                <w:sz w:val="20"/>
              </w:rPr>
            </w:pPr>
            <w:r w:rsidRPr="00FC5507">
              <w:rPr>
                <w:sz w:val="20"/>
              </w:rPr>
              <w:t xml:space="preserve">Torts — Breach of contract — Contributory Negligence — Damages How is double recovery to be measured and avoided after trial following a </w:t>
            </w:r>
            <w:proofErr w:type="spellStart"/>
            <w:r w:rsidRPr="00FC5507">
              <w:rPr>
                <w:i/>
                <w:sz w:val="20"/>
              </w:rPr>
              <w:t>Pierringer</w:t>
            </w:r>
            <w:proofErr w:type="spellEnd"/>
            <w:r w:rsidRPr="00FC5507">
              <w:rPr>
                <w:sz w:val="20"/>
              </w:rPr>
              <w:t xml:space="preserve"> settlement agreement — Whether a plaintiff is entitled to ignore its own contributory negligence and recover more than the damages apportioned to all of the defendants at trial combined — Whether a plaintiff is entitled to deduct the solicitor</w:t>
            </w:r>
            <w:r w:rsidRPr="00FC5507">
              <w:rPr>
                <w:sz w:val="20"/>
              </w:rPr>
              <w:noBreakHyphen/>
              <w:t xml:space="preserve">client costs it incurred in pursuing the settling defendants, regardless of the terms of its agreement with settling defendants — How must appellate courts apply the deferential standard of review in reviewing apportionment of fault in multi-party litigation following a </w:t>
            </w:r>
            <w:proofErr w:type="spellStart"/>
            <w:r w:rsidRPr="00FC5507">
              <w:rPr>
                <w:i/>
                <w:sz w:val="20"/>
              </w:rPr>
              <w:t>Pierringer</w:t>
            </w:r>
            <w:proofErr w:type="spellEnd"/>
            <w:r w:rsidRPr="00FC5507">
              <w:rPr>
                <w:sz w:val="20"/>
              </w:rPr>
              <w:t xml:space="preserve"> settlement — What is the test for admissibility under the “documents in possession” exception to the hearsay rule and how does the exception apply to scientific facts and observations that are acted upon by the party in possession.</w:t>
            </w:r>
          </w:p>
        </w:tc>
      </w:tr>
      <w:tr w:rsidR="00A16319" w:rsidRPr="00FC5507" w:rsidTr="00602075">
        <w:tc>
          <w:tcPr>
            <w:tcW w:w="5000" w:type="pct"/>
            <w:gridSpan w:val="4"/>
          </w:tcPr>
          <w:p w:rsidR="00A16319" w:rsidRPr="00FC5507" w:rsidRDefault="00A16319" w:rsidP="00FC5507">
            <w:pPr>
              <w:jc w:val="both"/>
              <w:rPr>
                <w:sz w:val="20"/>
              </w:rPr>
            </w:pPr>
          </w:p>
        </w:tc>
      </w:tr>
      <w:tr w:rsidR="00A16319" w:rsidRPr="00FC5507" w:rsidTr="00602075">
        <w:tc>
          <w:tcPr>
            <w:tcW w:w="5000" w:type="pct"/>
            <w:gridSpan w:val="4"/>
          </w:tcPr>
          <w:p w:rsidR="00A16319" w:rsidRPr="00FC5507" w:rsidRDefault="00A16319" w:rsidP="00FC5507">
            <w:pPr>
              <w:jc w:val="both"/>
              <w:rPr>
                <w:sz w:val="20"/>
              </w:rPr>
            </w:pPr>
            <w:r w:rsidRPr="00FC5507">
              <w:rPr>
                <w:sz w:val="20"/>
              </w:rPr>
              <w:t>The respondent, Canadian Natural Resources Limited (“CNRL”) decided to build a buried emulsion pipeline that would carry extra</w:t>
            </w:r>
            <w:r w:rsidRPr="00FC5507">
              <w:rPr>
                <w:sz w:val="20"/>
              </w:rPr>
              <w:noBreakHyphen/>
              <w:t xml:space="preserve">hot emulsion between two plants. CNRL retained the applicant, Wood Group Mustang (Canada) Inc., formerly IMV Projects Inc. (“IMV”) to provide engineering advice on the design and construction of the pipeline. Two other companies were retained to supply the pipe and to install it. The pipeline failed after approximately three months of operations. The evidence disclosed that each of CNRL, IMV and the two other companies were in some respect negligent, resulting in the eventual failure of the pipeline. On the eve of trial, CNRL entered into </w:t>
            </w:r>
            <w:proofErr w:type="spellStart"/>
            <w:r w:rsidRPr="00FC5507">
              <w:rPr>
                <w:i/>
                <w:sz w:val="20"/>
              </w:rPr>
              <w:t>Pierringer</w:t>
            </w:r>
            <w:proofErr w:type="spellEnd"/>
            <w:r w:rsidRPr="00FC5507">
              <w:rPr>
                <w:i/>
                <w:sz w:val="20"/>
              </w:rPr>
              <w:t xml:space="preserve"> </w:t>
            </w:r>
            <w:r w:rsidRPr="00FC5507">
              <w:rPr>
                <w:sz w:val="20"/>
              </w:rPr>
              <w:t>settlement agreements with the two other companies and the action proceeded against IMV only.</w:t>
            </w:r>
          </w:p>
          <w:p w:rsidR="00A16319" w:rsidRPr="00FC5507" w:rsidRDefault="00A16319" w:rsidP="00FC5507">
            <w:pPr>
              <w:jc w:val="both"/>
              <w:rPr>
                <w:sz w:val="20"/>
              </w:rPr>
            </w:pPr>
          </w:p>
          <w:p w:rsidR="00A16319" w:rsidRPr="00FC5507" w:rsidRDefault="00A16319" w:rsidP="00FC5507">
            <w:pPr>
              <w:jc w:val="both"/>
              <w:rPr>
                <w:sz w:val="20"/>
              </w:rPr>
            </w:pPr>
            <w:r w:rsidRPr="00FC5507">
              <w:rPr>
                <w:sz w:val="20"/>
              </w:rPr>
              <w:t>The trial judge concluded that each of CNRL, IMV and the two companies was negligent in some respects. The trial judge attributed 50 percent responsibility to CNRL, 20 percent to IMV, 25 percent to the pipe supplier and 5 percent to the pipe installer. Judgment against IMV was granted in the amount of $9,085,040.00. The Court of Appeal allowed the appeal in part and reapportioned liability as follows: 25 percent to CNRL, 35 percent to IMV, 35 percent to the pipe supplier and 5 percent to the pipe installer. Accordingly, judgment was granted against IMV in the amount of $15,898,821.75.</w:t>
            </w:r>
          </w:p>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lastRenderedPageBreak/>
              <w:t>February 15, 2017</w:t>
            </w:r>
          </w:p>
          <w:p w:rsidR="00A16319" w:rsidRPr="00FC5507" w:rsidRDefault="00A16319" w:rsidP="00FC5507">
            <w:pPr>
              <w:jc w:val="both"/>
              <w:rPr>
                <w:sz w:val="20"/>
              </w:rPr>
            </w:pPr>
            <w:r w:rsidRPr="00FC5507">
              <w:rPr>
                <w:sz w:val="20"/>
              </w:rPr>
              <w:t>Court of Queen’s Bench of Alberta</w:t>
            </w:r>
          </w:p>
          <w:p w:rsidR="00A16319" w:rsidRPr="00FC5507" w:rsidRDefault="00A16319" w:rsidP="00FC5507">
            <w:pPr>
              <w:jc w:val="both"/>
              <w:rPr>
                <w:sz w:val="20"/>
              </w:rPr>
            </w:pPr>
            <w:r w:rsidRPr="00FC5507">
              <w:rPr>
                <w:sz w:val="20"/>
              </w:rPr>
              <w:t>(Nation J.)</w:t>
            </w:r>
          </w:p>
          <w:p w:rsidR="00A16319" w:rsidRPr="00FC5507" w:rsidRDefault="00685225" w:rsidP="00FC5507">
            <w:pPr>
              <w:jc w:val="both"/>
              <w:rPr>
                <w:sz w:val="20"/>
              </w:rPr>
            </w:pPr>
            <w:hyperlink r:id="rId93" w:history="1">
              <w:r w:rsidR="00A16319" w:rsidRPr="00FC5507">
                <w:rPr>
                  <w:rStyle w:val="Hyperlink"/>
                  <w:sz w:val="20"/>
                </w:rPr>
                <w:t>2017 ABQB 106</w:t>
              </w:r>
            </w:hyperlink>
            <w:r w:rsidR="00A16319" w:rsidRPr="00FC5507">
              <w:rPr>
                <w:rStyle w:val="Hyperlink"/>
                <w:sz w:val="20"/>
              </w:rPr>
              <w:t>;</w:t>
            </w:r>
            <w:r w:rsidR="00A16319" w:rsidRPr="00FC5507">
              <w:rPr>
                <w:sz w:val="20"/>
              </w:rPr>
              <w:t>1001 01541</w:t>
            </w: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Judgment granted against applicant in the amount of $9,085,040</w:t>
            </w:r>
          </w:p>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t>October 2, 2017</w:t>
            </w:r>
          </w:p>
          <w:p w:rsidR="00A16319" w:rsidRPr="00FC5507" w:rsidRDefault="00A16319" w:rsidP="00FC5507">
            <w:pPr>
              <w:jc w:val="both"/>
              <w:rPr>
                <w:sz w:val="20"/>
              </w:rPr>
            </w:pPr>
            <w:r w:rsidRPr="00FC5507">
              <w:rPr>
                <w:sz w:val="20"/>
              </w:rPr>
              <w:t>Court of Queen’s Bench of Alberta</w:t>
            </w:r>
          </w:p>
          <w:p w:rsidR="00A16319" w:rsidRPr="00FC5507" w:rsidRDefault="00A16319" w:rsidP="00FC5507">
            <w:pPr>
              <w:jc w:val="both"/>
              <w:rPr>
                <w:sz w:val="20"/>
              </w:rPr>
            </w:pPr>
            <w:r w:rsidRPr="00FC5507">
              <w:rPr>
                <w:sz w:val="20"/>
              </w:rPr>
              <w:t>(Nation J.)</w:t>
            </w:r>
          </w:p>
          <w:p w:rsidR="00A16319" w:rsidRPr="00FC5507" w:rsidRDefault="00A16319" w:rsidP="00FC5507">
            <w:pPr>
              <w:jc w:val="both"/>
              <w:rPr>
                <w:sz w:val="20"/>
              </w:rPr>
            </w:pPr>
            <w:r w:rsidRPr="00FC5507">
              <w:rPr>
                <w:sz w:val="20"/>
              </w:rPr>
              <w:t>1001-01541</w:t>
            </w:r>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 xml:space="preserve">Applicant ordered to pay costs of $1,906,800.00 and disbursements of $1,432,199.17 </w:t>
            </w:r>
          </w:p>
        </w:tc>
      </w:tr>
      <w:tr w:rsidR="00A16319" w:rsidRPr="00FC5507" w:rsidTr="00602075">
        <w:tc>
          <w:tcPr>
            <w:tcW w:w="2427" w:type="pct"/>
            <w:gridSpan w:val="2"/>
          </w:tcPr>
          <w:p w:rsidR="00A16319" w:rsidRPr="00FC5507" w:rsidRDefault="00A16319" w:rsidP="00FC5507">
            <w:pPr>
              <w:jc w:val="both"/>
              <w:rPr>
                <w:sz w:val="20"/>
              </w:rPr>
            </w:pPr>
            <w:r w:rsidRPr="00FC5507">
              <w:rPr>
                <w:sz w:val="20"/>
              </w:rPr>
              <w:t>September 21, 2018</w:t>
            </w:r>
          </w:p>
          <w:p w:rsidR="00A16319" w:rsidRPr="00FC5507" w:rsidRDefault="00A16319" w:rsidP="00FC5507">
            <w:pPr>
              <w:jc w:val="both"/>
              <w:rPr>
                <w:sz w:val="20"/>
              </w:rPr>
            </w:pPr>
            <w:r w:rsidRPr="00FC5507">
              <w:rPr>
                <w:sz w:val="20"/>
              </w:rPr>
              <w:t>Court of Appeal of Alberta (Calgary)</w:t>
            </w:r>
          </w:p>
          <w:p w:rsidR="00A16319" w:rsidRPr="00FC5507" w:rsidRDefault="00A16319" w:rsidP="00FC5507">
            <w:pPr>
              <w:jc w:val="both"/>
              <w:rPr>
                <w:sz w:val="20"/>
              </w:rPr>
            </w:pPr>
            <w:r w:rsidRPr="00FC5507">
              <w:rPr>
                <w:sz w:val="20"/>
              </w:rPr>
              <w:t xml:space="preserve">(Berger, </w:t>
            </w:r>
            <w:proofErr w:type="spellStart"/>
            <w:r w:rsidRPr="00FC5507">
              <w:rPr>
                <w:sz w:val="20"/>
              </w:rPr>
              <w:t>Slatter</w:t>
            </w:r>
            <w:proofErr w:type="spellEnd"/>
            <w:r w:rsidRPr="00FC5507">
              <w:rPr>
                <w:sz w:val="20"/>
              </w:rPr>
              <w:t xml:space="preserve"> and </w:t>
            </w:r>
            <w:proofErr w:type="spellStart"/>
            <w:r w:rsidRPr="00FC5507">
              <w:rPr>
                <w:sz w:val="20"/>
              </w:rPr>
              <w:t>Bielby</w:t>
            </w:r>
            <w:proofErr w:type="spellEnd"/>
            <w:r w:rsidRPr="00FC5507">
              <w:rPr>
                <w:sz w:val="20"/>
              </w:rPr>
              <w:t xml:space="preserve"> [dissenting in part] </w:t>
            </w:r>
          </w:p>
          <w:p w:rsidR="00A16319" w:rsidRPr="00FC5507" w:rsidRDefault="00A16319" w:rsidP="00FC5507">
            <w:pPr>
              <w:jc w:val="both"/>
              <w:rPr>
                <w:sz w:val="20"/>
              </w:rPr>
            </w:pPr>
            <w:r w:rsidRPr="00FC5507">
              <w:rPr>
                <w:sz w:val="20"/>
              </w:rPr>
              <w:t>JJ.A.)</w:t>
            </w:r>
          </w:p>
          <w:p w:rsidR="00A16319" w:rsidRPr="00FC5507" w:rsidRDefault="00685225" w:rsidP="00FC5507">
            <w:pPr>
              <w:jc w:val="both"/>
              <w:rPr>
                <w:sz w:val="20"/>
              </w:rPr>
            </w:pPr>
            <w:hyperlink r:id="rId94" w:history="1">
              <w:r w:rsidR="00A16319" w:rsidRPr="00FC5507">
                <w:rPr>
                  <w:rStyle w:val="Hyperlink"/>
                  <w:sz w:val="20"/>
                </w:rPr>
                <w:t>2018 ABCA 305</w:t>
              </w:r>
            </w:hyperlink>
            <w:r w:rsidR="00A16319" w:rsidRPr="00FC5507">
              <w:rPr>
                <w:rStyle w:val="Hyperlink"/>
                <w:sz w:val="20"/>
              </w:rPr>
              <w:t>;</w:t>
            </w:r>
          </w:p>
          <w:p w:rsidR="00A16319" w:rsidRPr="00FC5507" w:rsidRDefault="00A16319" w:rsidP="00FC5507">
            <w:pPr>
              <w:jc w:val="both"/>
              <w:rPr>
                <w:sz w:val="20"/>
              </w:rPr>
            </w:pPr>
            <w:r w:rsidRPr="00FC5507">
              <w:rPr>
                <w:sz w:val="20"/>
              </w:rPr>
              <w:t>1701-0078AC; 1701-0079AC; 1701-0306AC</w:t>
            </w:r>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Appeal allowed in part; cross</w:t>
            </w:r>
            <w:r w:rsidRPr="00FC5507">
              <w:rPr>
                <w:sz w:val="20"/>
              </w:rPr>
              <w:noBreakHyphen/>
              <w:t>appeal dismissed; judgment against applicant varied to the amount of $15,898,821.75</w:t>
            </w:r>
          </w:p>
        </w:tc>
      </w:tr>
      <w:tr w:rsidR="00A16319" w:rsidRPr="00FC5507" w:rsidTr="00602075">
        <w:tc>
          <w:tcPr>
            <w:tcW w:w="2427" w:type="pct"/>
            <w:gridSpan w:val="2"/>
          </w:tcPr>
          <w:p w:rsidR="00A16319" w:rsidRPr="00FC5507" w:rsidRDefault="00A16319" w:rsidP="00FC5507">
            <w:pPr>
              <w:jc w:val="both"/>
              <w:rPr>
                <w:sz w:val="20"/>
              </w:rPr>
            </w:pPr>
            <w:r w:rsidRPr="00FC5507">
              <w:rPr>
                <w:sz w:val="20"/>
              </w:rPr>
              <w:t>November 7, 2018</w:t>
            </w:r>
          </w:p>
          <w:p w:rsidR="00A16319" w:rsidRPr="00FC5507" w:rsidRDefault="00A16319" w:rsidP="004C3C2F">
            <w:pPr>
              <w:jc w:val="both"/>
              <w:rPr>
                <w:sz w:val="20"/>
              </w:rPr>
            </w:pPr>
            <w:r w:rsidRPr="00FC5507">
              <w:rPr>
                <w:sz w:val="20"/>
              </w:rPr>
              <w:t>Supreme Court of Canada</w:t>
            </w: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Application for leave to appeal filed</w:t>
            </w:r>
          </w:p>
          <w:p w:rsidR="00A16319" w:rsidRPr="00FC5507" w:rsidRDefault="00A16319" w:rsidP="00FC5507">
            <w:pPr>
              <w:jc w:val="both"/>
              <w:rPr>
                <w:sz w:val="20"/>
              </w:rPr>
            </w:pPr>
          </w:p>
        </w:tc>
      </w:tr>
    </w:tbl>
    <w:p w:rsidR="00A16319" w:rsidRDefault="00A16319" w:rsidP="00FC5507">
      <w:pPr>
        <w:jc w:val="both"/>
        <w:rPr>
          <w:sz w:val="20"/>
        </w:rPr>
      </w:pPr>
    </w:p>
    <w:p w:rsidR="00A6684F" w:rsidRPr="00FC5507" w:rsidRDefault="00A6684F" w:rsidP="00FC5507">
      <w:pPr>
        <w:jc w:val="both"/>
        <w:rPr>
          <w:sz w:val="20"/>
        </w:rPr>
      </w:pPr>
      <w:r>
        <w:rPr>
          <w:sz w:val="20"/>
        </w:rPr>
        <w:pict>
          <v:rect id="_x0000_i1051" style="width:2in;height:1pt" o:hrpct="0" o:hralign="center" o:hrstd="t" o:hrnoshade="t" o:hr="t" fillcolor="black [3213]" stroked="f"/>
        </w:pict>
      </w:r>
    </w:p>
    <w:p w:rsidR="001E56A6" w:rsidRPr="00FC5507" w:rsidRDefault="001E56A6" w:rsidP="00FC550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FC5507" w:rsidTr="00602075">
        <w:tc>
          <w:tcPr>
            <w:tcW w:w="543" w:type="pct"/>
          </w:tcPr>
          <w:p w:rsidR="00A16319" w:rsidRPr="00FC5507" w:rsidRDefault="00A16319" w:rsidP="00FC5507">
            <w:pPr>
              <w:jc w:val="both"/>
              <w:rPr>
                <w:sz w:val="20"/>
                <w:lang w:val="fr-CA"/>
              </w:rPr>
            </w:pPr>
            <w:r w:rsidRPr="00FC5507">
              <w:rPr>
                <w:rStyle w:val="SCCFileNumberChar"/>
                <w:sz w:val="20"/>
                <w:szCs w:val="20"/>
                <w:lang w:val="fr-CA"/>
              </w:rPr>
              <w:t>38396</w:t>
            </w:r>
          </w:p>
        </w:tc>
        <w:tc>
          <w:tcPr>
            <w:tcW w:w="4457" w:type="pct"/>
            <w:gridSpan w:val="3"/>
          </w:tcPr>
          <w:p w:rsidR="00A16319" w:rsidRPr="004C3C2F" w:rsidRDefault="00A16319" w:rsidP="00FC5507">
            <w:pPr>
              <w:pStyle w:val="SCCLsocParty"/>
              <w:jc w:val="both"/>
              <w:rPr>
                <w:b/>
                <w:sz w:val="20"/>
                <w:szCs w:val="20"/>
                <w:lang w:val="en-US"/>
              </w:rPr>
            </w:pPr>
            <w:r w:rsidRPr="004C3C2F">
              <w:rPr>
                <w:b/>
                <w:sz w:val="20"/>
                <w:szCs w:val="20"/>
                <w:lang w:val="en-US"/>
              </w:rPr>
              <w:t xml:space="preserve">Wood Group Mustang (Canada) Inc., </w:t>
            </w:r>
            <w:proofErr w:type="spellStart"/>
            <w:r w:rsidRPr="004C3C2F">
              <w:rPr>
                <w:b/>
                <w:sz w:val="20"/>
                <w:szCs w:val="20"/>
                <w:lang w:val="en-US"/>
              </w:rPr>
              <w:t>auparavant</w:t>
            </w:r>
            <w:proofErr w:type="spellEnd"/>
            <w:r w:rsidRPr="004C3C2F">
              <w:rPr>
                <w:b/>
                <w:sz w:val="20"/>
                <w:szCs w:val="20"/>
                <w:lang w:val="en-US"/>
              </w:rPr>
              <w:t xml:space="preserve"> IMV Projects Inc. c. Canadian Natural Resources Limited</w:t>
            </w:r>
          </w:p>
          <w:p w:rsidR="00A16319" w:rsidRPr="004C3C2F" w:rsidRDefault="00A16319" w:rsidP="00FC5507">
            <w:pPr>
              <w:pStyle w:val="SCCLsocSubfileSeparator"/>
              <w:rPr>
                <w:sz w:val="20"/>
                <w:szCs w:val="20"/>
                <w:lang w:val="en-US"/>
              </w:rPr>
            </w:pPr>
            <w:r w:rsidRPr="004C3C2F">
              <w:rPr>
                <w:sz w:val="20"/>
                <w:szCs w:val="20"/>
                <w:lang w:val="en-US"/>
              </w:rPr>
              <w:t>— et entre —</w:t>
            </w:r>
          </w:p>
          <w:p w:rsidR="00A16319" w:rsidRPr="004C3C2F" w:rsidRDefault="00A16319" w:rsidP="00FC5507">
            <w:pPr>
              <w:pStyle w:val="SCCLsocParty"/>
              <w:jc w:val="both"/>
              <w:rPr>
                <w:b/>
                <w:sz w:val="20"/>
                <w:szCs w:val="20"/>
                <w:lang w:val="en-US"/>
              </w:rPr>
            </w:pPr>
            <w:r w:rsidRPr="004C3C2F">
              <w:rPr>
                <w:b/>
                <w:sz w:val="20"/>
                <w:szCs w:val="20"/>
                <w:lang w:val="en-US"/>
              </w:rPr>
              <w:t xml:space="preserve">Wood Group Mustang (Canada) Inc., </w:t>
            </w:r>
            <w:proofErr w:type="spellStart"/>
            <w:r w:rsidRPr="004C3C2F">
              <w:rPr>
                <w:b/>
                <w:sz w:val="20"/>
                <w:szCs w:val="20"/>
                <w:lang w:val="en-US"/>
              </w:rPr>
              <w:t>auparavant</w:t>
            </w:r>
            <w:proofErr w:type="spellEnd"/>
            <w:r w:rsidRPr="004C3C2F">
              <w:rPr>
                <w:b/>
                <w:sz w:val="20"/>
                <w:szCs w:val="20"/>
                <w:lang w:val="en-US"/>
              </w:rPr>
              <w:t xml:space="preserve"> IMV Projects Inc. c. Canadian Natural Resources Limited</w:t>
            </w:r>
          </w:p>
          <w:p w:rsidR="00A16319" w:rsidRPr="004C3C2F" w:rsidRDefault="00A16319" w:rsidP="00FC5507">
            <w:pPr>
              <w:pStyle w:val="SCCLsocSubfileSeparator"/>
              <w:rPr>
                <w:sz w:val="20"/>
                <w:szCs w:val="20"/>
                <w:lang w:val="en-US"/>
              </w:rPr>
            </w:pPr>
            <w:r w:rsidRPr="004C3C2F">
              <w:rPr>
                <w:sz w:val="20"/>
                <w:szCs w:val="20"/>
                <w:lang w:val="en-US"/>
              </w:rPr>
              <w:t>— et entre —</w:t>
            </w:r>
          </w:p>
          <w:p w:rsidR="00A16319" w:rsidRPr="004C3C2F" w:rsidRDefault="00A16319" w:rsidP="00FC5507">
            <w:pPr>
              <w:pStyle w:val="SCCLsocParty"/>
              <w:jc w:val="both"/>
              <w:rPr>
                <w:b/>
                <w:sz w:val="20"/>
                <w:szCs w:val="20"/>
                <w:lang w:val="en-US"/>
              </w:rPr>
            </w:pPr>
            <w:r w:rsidRPr="004C3C2F">
              <w:rPr>
                <w:b/>
                <w:sz w:val="20"/>
                <w:szCs w:val="20"/>
                <w:lang w:val="en-US"/>
              </w:rPr>
              <w:t xml:space="preserve">Wood Group Mustang (Canada) Inc., </w:t>
            </w:r>
            <w:proofErr w:type="spellStart"/>
            <w:r w:rsidRPr="004C3C2F">
              <w:rPr>
                <w:b/>
                <w:sz w:val="20"/>
                <w:szCs w:val="20"/>
                <w:lang w:val="en-US"/>
              </w:rPr>
              <w:t>auparavant</w:t>
            </w:r>
            <w:proofErr w:type="spellEnd"/>
            <w:r w:rsidRPr="004C3C2F">
              <w:rPr>
                <w:b/>
                <w:sz w:val="20"/>
                <w:szCs w:val="20"/>
                <w:lang w:val="en-US"/>
              </w:rPr>
              <w:t xml:space="preserve"> IMV Projects Inc. c. Canadian Natural Resources Limited</w:t>
            </w:r>
          </w:p>
          <w:p w:rsidR="00A16319" w:rsidRPr="00FC5507" w:rsidRDefault="00A16319" w:rsidP="00FC5507">
            <w:pPr>
              <w:jc w:val="both"/>
              <w:rPr>
                <w:sz w:val="20"/>
                <w:lang w:val="fr-CA"/>
              </w:rPr>
            </w:pPr>
            <w:r w:rsidRPr="00FC5507">
              <w:rPr>
                <w:sz w:val="20"/>
                <w:lang w:val="fr-CA"/>
              </w:rPr>
              <w:t>(Ab.) (Civile) (Autorisation)</w:t>
            </w:r>
          </w:p>
        </w:tc>
      </w:tr>
      <w:tr w:rsidR="00A16319" w:rsidRPr="00A6684F" w:rsidTr="00602075">
        <w:tc>
          <w:tcPr>
            <w:tcW w:w="5000" w:type="pct"/>
            <w:gridSpan w:val="4"/>
          </w:tcPr>
          <w:p w:rsidR="00A16319" w:rsidRPr="00FC5507" w:rsidRDefault="00A16319" w:rsidP="00FC5507">
            <w:pPr>
              <w:jc w:val="both"/>
              <w:rPr>
                <w:sz w:val="20"/>
                <w:lang w:val="fr-CA"/>
              </w:rPr>
            </w:pPr>
            <w:r w:rsidRPr="00FC5507">
              <w:rPr>
                <w:sz w:val="20"/>
                <w:lang w:val="fr-CA"/>
              </w:rPr>
              <w:t xml:space="preserve">Responsabilité délictuelle — Violation de contrat — Négligence contributive — Dommages-intérêts — Comment convient-il de mesurer et d’éviter la double indemnisation au terme du procès à la suite d’une entente de règlement de type </w:t>
            </w:r>
            <w:r w:rsidRPr="00FC5507">
              <w:rPr>
                <w:i/>
                <w:sz w:val="20"/>
                <w:lang w:val="fr-CA"/>
              </w:rPr>
              <w:t>Pierringer</w:t>
            </w:r>
            <w:r w:rsidRPr="00FC5507">
              <w:rPr>
                <w:sz w:val="20"/>
                <w:lang w:val="fr-CA"/>
              </w:rPr>
              <w:t xml:space="preserve">? — Une demanderesse a-t-elle le droit de faire abstraction de sa propre négligence contributive et de recouvrer plus que les dommages-intérêts accordés à l’ensemble de tous les défendeurs au procès? — Une demanderesse a-t-elle le droit de déduire les frais procureur-client qu’elle a engagés en poursuivant les défenderesses parties au règlement, sans égard aux conditions de son accord avec les défenderesses parties au règlement? — Comment les tribunaux d’appel doivent-ils appliquer la norme de contrôle qui commande la déférence lorsqu’ils examinent le partage de la responsabilité dans un litige opposant plusieurs parties à la suite d’un règlement de type </w:t>
            </w:r>
            <w:r w:rsidRPr="00FC5507">
              <w:rPr>
                <w:i/>
                <w:sz w:val="20"/>
                <w:lang w:val="fr-CA"/>
              </w:rPr>
              <w:t>Pierringer</w:t>
            </w:r>
            <w:r w:rsidRPr="00FC5507">
              <w:rPr>
                <w:sz w:val="20"/>
                <w:lang w:val="fr-CA"/>
              </w:rPr>
              <w:t>? — Quel est le critère d’admissibilité de l’exception à la règle du ouï-dire dite des « documents en la possession » et comment l’exception s’applique-t-elle aux faits et observations scientifiques sur lesquels s’appuie la partie en possession?</w:t>
            </w:r>
          </w:p>
        </w:tc>
      </w:tr>
      <w:tr w:rsidR="00A16319" w:rsidRPr="00A6684F" w:rsidTr="00602075">
        <w:tc>
          <w:tcPr>
            <w:tcW w:w="5000" w:type="pct"/>
            <w:gridSpan w:val="4"/>
          </w:tcPr>
          <w:p w:rsidR="00A16319" w:rsidRPr="00FC5507" w:rsidRDefault="00A16319" w:rsidP="00FC5507">
            <w:pPr>
              <w:jc w:val="both"/>
              <w:rPr>
                <w:sz w:val="20"/>
                <w:lang w:val="fr-CA"/>
              </w:rPr>
            </w:pPr>
          </w:p>
        </w:tc>
      </w:tr>
      <w:tr w:rsidR="00A16319" w:rsidRPr="00A6684F" w:rsidTr="00602075">
        <w:tc>
          <w:tcPr>
            <w:tcW w:w="5000" w:type="pct"/>
            <w:gridSpan w:val="4"/>
          </w:tcPr>
          <w:p w:rsidR="00A16319" w:rsidRPr="00FC5507" w:rsidRDefault="00A16319" w:rsidP="00FC5507">
            <w:pPr>
              <w:jc w:val="both"/>
              <w:rPr>
                <w:sz w:val="20"/>
                <w:lang w:val="fr-CA"/>
              </w:rPr>
            </w:pPr>
            <w:r w:rsidRPr="00FC5507">
              <w:rPr>
                <w:sz w:val="20"/>
                <w:lang w:val="fr-CA"/>
              </w:rPr>
              <w:t xml:space="preserve">L’intimée, Canadian Natural Resources Limited (« CNRL ») a décidé de construire un pipeline à émulsion enfoui qui transporterait une émulsion extrêmement chaude entre deux usines. CNRL a retenu les services de la demanderesse, Wood Group Mustang (Canada) Inc., auparavant IMV Projects Inc. (« IMV ») pour fournir des services d’expert-conseil en ingénierie relativement à la conception et à la construction du pipeline. Deux autres entreprises ont été engagées pour fournir les canalisations et les installer. Le pipeline a connu une défaillance après environ trois mois d’exploitation. Il est ressorti de la preuve que CNRL, IMV et deux autres entreprises avaient chacune été négligentes à certains égards, ce qui a entraîné la défaillance du pipeline. La veille du procès, CNRL a conclu des ententes de règlement de type </w:t>
            </w:r>
            <w:r w:rsidRPr="00FC5507">
              <w:rPr>
                <w:i/>
                <w:sz w:val="20"/>
                <w:lang w:val="fr-CA"/>
              </w:rPr>
              <w:t xml:space="preserve">Pierringer </w:t>
            </w:r>
            <w:r w:rsidRPr="00FC5507">
              <w:rPr>
                <w:sz w:val="20"/>
                <w:lang w:val="fr-CA"/>
              </w:rPr>
              <w:t>avec les deux autres entreprises et l’action a suivi son cours contre IMV seulement.</w:t>
            </w:r>
          </w:p>
          <w:p w:rsidR="00A16319" w:rsidRPr="00FC5507" w:rsidRDefault="00A16319" w:rsidP="00FC5507">
            <w:pPr>
              <w:jc w:val="both"/>
              <w:rPr>
                <w:sz w:val="20"/>
                <w:lang w:val="fr-CA"/>
              </w:rPr>
            </w:pPr>
          </w:p>
          <w:p w:rsidR="00A16319" w:rsidRPr="00FC5507" w:rsidRDefault="00A16319" w:rsidP="00FC5507">
            <w:pPr>
              <w:jc w:val="both"/>
              <w:rPr>
                <w:sz w:val="20"/>
                <w:lang w:val="fr-CA"/>
              </w:rPr>
            </w:pPr>
            <w:r w:rsidRPr="00FC5507">
              <w:rPr>
                <w:sz w:val="20"/>
                <w:lang w:val="fr-CA"/>
              </w:rPr>
              <w:lastRenderedPageBreak/>
              <w:t>La juge de première instance a conclu que CNRL, IMV et les deux autres entreprises avaient chacune été négligentes à certains égards. La juge a imputé une responsabilité de 50 pour cent à CNRL, de 20 pour cent à IMV, de 25 pour cent au fournisseur des canalisations et de cinq pour cent à l’installateur des canalisations. IMV a été condamnée à payer la somme de 9 085 040 $. La Cour d’appel a accueilli l’appel en partie et a attribué de nouveau la responsabilité comme suit : 25 pour cent à CNRL, 35 pour cent à IMV, 35 pour cent au fournisseur des canalisations et cinq pour cent à l’installateur des canalisations. En conséquence, IMV a été condamnée à payer la somme de 15 898 821,75 $.</w:t>
            </w:r>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lastRenderedPageBreak/>
              <w:t>15 février 2017</w:t>
            </w:r>
          </w:p>
          <w:p w:rsidR="00A16319" w:rsidRPr="00FC5507" w:rsidRDefault="00A16319" w:rsidP="00FC5507">
            <w:pPr>
              <w:jc w:val="both"/>
              <w:rPr>
                <w:sz w:val="20"/>
                <w:lang w:val="fr-CA"/>
              </w:rPr>
            </w:pPr>
            <w:r w:rsidRPr="00FC5507">
              <w:rPr>
                <w:sz w:val="20"/>
                <w:lang w:val="fr-CA"/>
              </w:rPr>
              <w:t>Cour du Banc de la Reine de l’Alberta</w:t>
            </w:r>
          </w:p>
          <w:p w:rsidR="00A16319" w:rsidRPr="00FC5507" w:rsidRDefault="00A16319" w:rsidP="00FC5507">
            <w:pPr>
              <w:jc w:val="both"/>
              <w:rPr>
                <w:sz w:val="20"/>
                <w:lang w:val="fr-CA"/>
              </w:rPr>
            </w:pPr>
            <w:r w:rsidRPr="00FC5507">
              <w:rPr>
                <w:sz w:val="20"/>
                <w:lang w:val="fr-CA"/>
              </w:rPr>
              <w:t>(Juge Nation)</w:t>
            </w:r>
          </w:p>
          <w:p w:rsidR="00A16319" w:rsidRPr="00FC5507" w:rsidRDefault="00685225" w:rsidP="00FC5507">
            <w:pPr>
              <w:jc w:val="both"/>
              <w:rPr>
                <w:sz w:val="20"/>
                <w:lang w:val="fr-CA"/>
              </w:rPr>
            </w:pPr>
            <w:hyperlink r:id="rId95" w:history="1">
              <w:r w:rsidR="00A16319" w:rsidRPr="00FC5507">
                <w:rPr>
                  <w:rStyle w:val="Hyperlink"/>
                  <w:sz w:val="20"/>
                  <w:lang w:val="fr-CA"/>
                </w:rPr>
                <w:t>2017 ABQB 106</w:t>
              </w:r>
            </w:hyperlink>
            <w:r w:rsidR="00A16319" w:rsidRPr="00FC5507">
              <w:rPr>
                <w:rStyle w:val="Hyperlink"/>
                <w:sz w:val="20"/>
                <w:lang w:val="fr-CA"/>
              </w:rPr>
              <w:t>;</w:t>
            </w:r>
            <w:r w:rsidR="00A16319" w:rsidRPr="00FC5507">
              <w:rPr>
                <w:sz w:val="20"/>
                <w:lang w:val="fr-CA"/>
              </w:rPr>
              <w:t>1001 01541</w:t>
            </w: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Jugement condamnant la demanderesse à payer la somme de 9 085 040 $</w:t>
            </w:r>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2 octobre 2017</w:t>
            </w:r>
          </w:p>
          <w:p w:rsidR="00A16319" w:rsidRPr="00FC5507" w:rsidRDefault="00A16319" w:rsidP="00FC5507">
            <w:pPr>
              <w:jc w:val="both"/>
              <w:rPr>
                <w:sz w:val="20"/>
                <w:lang w:val="fr-CA"/>
              </w:rPr>
            </w:pPr>
            <w:r w:rsidRPr="00FC5507">
              <w:rPr>
                <w:sz w:val="20"/>
                <w:lang w:val="fr-CA"/>
              </w:rPr>
              <w:t>Cour du Banc de la Reine de l’Alberta</w:t>
            </w:r>
          </w:p>
          <w:p w:rsidR="00A16319" w:rsidRPr="00FC5507" w:rsidRDefault="00A16319" w:rsidP="00FC5507">
            <w:pPr>
              <w:jc w:val="both"/>
              <w:rPr>
                <w:sz w:val="20"/>
                <w:lang w:val="fr-CA"/>
              </w:rPr>
            </w:pPr>
            <w:r w:rsidRPr="00FC5507">
              <w:rPr>
                <w:sz w:val="20"/>
                <w:lang w:val="fr-CA"/>
              </w:rPr>
              <w:t>(Juge Nation)</w:t>
            </w:r>
          </w:p>
          <w:p w:rsidR="00A16319" w:rsidRPr="00FC5507" w:rsidRDefault="00A16319" w:rsidP="00FC5507">
            <w:pPr>
              <w:jc w:val="both"/>
              <w:rPr>
                <w:sz w:val="20"/>
                <w:lang w:val="fr-CA"/>
              </w:rPr>
            </w:pPr>
            <w:r w:rsidRPr="00FC5507">
              <w:rPr>
                <w:sz w:val="20"/>
                <w:lang w:val="fr-CA"/>
              </w:rPr>
              <w:t>1001-01541</w:t>
            </w:r>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 xml:space="preserve">Jugement condamnant la demanderesse à payer les frais des 1 906 800 $ et les débours de 1 432 199,17 $ </w:t>
            </w: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21 septembre 2018</w:t>
            </w:r>
          </w:p>
          <w:p w:rsidR="00A16319" w:rsidRPr="00FC5507" w:rsidRDefault="00A16319" w:rsidP="00FC5507">
            <w:pPr>
              <w:jc w:val="both"/>
              <w:rPr>
                <w:sz w:val="20"/>
                <w:lang w:val="fr-CA"/>
              </w:rPr>
            </w:pPr>
            <w:r w:rsidRPr="00FC5507">
              <w:rPr>
                <w:sz w:val="20"/>
                <w:lang w:val="fr-CA"/>
              </w:rPr>
              <w:t>Cour d’appel de l’Alberta (Calgary)</w:t>
            </w:r>
          </w:p>
          <w:p w:rsidR="00A16319" w:rsidRPr="00FC5507" w:rsidRDefault="00A16319" w:rsidP="00FC5507">
            <w:pPr>
              <w:jc w:val="both"/>
              <w:rPr>
                <w:sz w:val="20"/>
                <w:lang w:val="fr-CA"/>
              </w:rPr>
            </w:pPr>
            <w:r w:rsidRPr="00FC5507">
              <w:rPr>
                <w:sz w:val="20"/>
                <w:lang w:val="fr-CA"/>
              </w:rPr>
              <w:t>(Juges Berger, Slatter et Bielby [dissidente en partie])</w:t>
            </w:r>
          </w:p>
          <w:p w:rsidR="00A16319" w:rsidRPr="00FC5507" w:rsidRDefault="00685225" w:rsidP="00FC5507">
            <w:pPr>
              <w:jc w:val="both"/>
              <w:rPr>
                <w:sz w:val="20"/>
                <w:lang w:val="fr-CA"/>
              </w:rPr>
            </w:pPr>
            <w:hyperlink r:id="rId96" w:history="1">
              <w:r w:rsidR="00A16319" w:rsidRPr="00FC5507">
                <w:rPr>
                  <w:rStyle w:val="Hyperlink"/>
                  <w:sz w:val="20"/>
                  <w:lang w:val="fr-CA"/>
                </w:rPr>
                <w:t>2018 ABCA 305</w:t>
              </w:r>
            </w:hyperlink>
            <w:r w:rsidR="00A16319" w:rsidRPr="00FC5507">
              <w:rPr>
                <w:rStyle w:val="Hyperlink"/>
                <w:sz w:val="20"/>
                <w:lang w:val="fr-CA"/>
              </w:rPr>
              <w:t>;</w:t>
            </w:r>
          </w:p>
          <w:p w:rsidR="00A16319" w:rsidRPr="00FC5507" w:rsidRDefault="00A16319" w:rsidP="00FC5507">
            <w:pPr>
              <w:jc w:val="both"/>
              <w:rPr>
                <w:sz w:val="20"/>
                <w:lang w:val="fr-CA"/>
              </w:rPr>
            </w:pPr>
            <w:r w:rsidRPr="00FC5507">
              <w:rPr>
                <w:sz w:val="20"/>
                <w:lang w:val="fr-CA"/>
              </w:rPr>
              <w:t>1701-0078AC; 1701-0079AC; 1701-0306AC</w:t>
            </w:r>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Arrêt accueillant l’appel en partie, rejetant l’appel incident et modifiant le jugement contre le demandeur, le condamnant à payer la somme de 15 898 821,75 $</w:t>
            </w: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7 novembre 2018</w:t>
            </w:r>
          </w:p>
          <w:p w:rsidR="00A16319" w:rsidRPr="00FC5507" w:rsidRDefault="00A16319" w:rsidP="004C3C2F">
            <w:pPr>
              <w:jc w:val="both"/>
              <w:rPr>
                <w:sz w:val="20"/>
                <w:lang w:val="fr-CA"/>
              </w:rPr>
            </w:pPr>
            <w:r w:rsidRPr="00FC5507">
              <w:rPr>
                <w:sz w:val="20"/>
                <w:lang w:val="fr-CA"/>
              </w:rPr>
              <w:t>Cour suprême du Canada</w:t>
            </w: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Dépôt de la demande d’autorisation d’appel</w:t>
            </w:r>
          </w:p>
          <w:p w:rsidR="00A16319" w:rsidRPr="00FC5507" w:rsidRDefault="00A16319" w:rsidP="00FC5507">
            <w:pPr>
              <w:jc w:val="both"/>
              <w:rPr>
                <w:sz w:val="20"/>
                <w:lang w:val="fr-CA"/>
              </w:rPr>
            </w:pPr>
          </w:p>
        </w:tc>
      </w:tr>
    </w:tbl>
    <w:p w:rsidR="00A16319" w:rsidRDefault="00A16319" w:rsidP="00FC5507">
      <w:pPr>
        <w:jc w:val="both"/>
        <w:rPr>
          <w:sz w:val="20"/>
          <w:lang w:val="fr-CA"/>
        </w:rPr>
      </w:pPr>
    </w:p>
    <w:p w:rsidR="00A6684F" w:rsidRPr="00FC5507" w:rsidRDefault="00A6684F" w:rsidP="00FC5507">
      <w:pPr>
        <w:jc w:val="both"/>
        <w:rPr>
          <w:sz w:val="20"/>
          <w:lang w:val="fr-CA"/>
        </w:rPr>
      </w:pPr>
      <w:r>
        <w:rPr>
          <w:sz w:val="20"/>
        </w:rPr>
        <w:pict>
          <v:rect id="_x0000_i1052"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FC5507" w:rsidTr="00602075">
        <w:tc>
          <w:tcPr>
            <w:tcW w:w="543" w:type="pct"/>
          </w:tcPr>
          <w:p w:rsidR="00A16319" w:rsidRPr="00FC5507" w:rsidRDefault="00A16319" w:rsidP="00FC5507">
            <w:pPr>
              <w:jc w:val="both"/>
              <w:rPr>
                <w:sz w:val="20"/>
              </w:rPr>
            </w:pPr>
            <w:r w:rsidRPr="00FC5507">
              <w:rPr>
                <w:rStyle w:val="SCCFileNumberChar"/>
                <w:sz w:val="20"/>
                <w:szCs w:val="20"/>
              </w:rPr>
              <w:t>38488</w:t>
            </w:r>
          </w:p>
        </w:tc>
        <w:tc>
          <w:tcPr>
            <w:tcW w:w="4457" w:type="pct"/>
            <w:gridSpan w:val="3"/>
          </w:tcPr>
          <w:p w:rsidR="00A16319" w:rsidRPr="004C3C2F" w:rsidRDefault="00A16319" w:rsidP="00FC5507">
            <w:pPr>
              <w:pStyle w:val="SCCLsocParty"/>
              <w:jc w:val="both"/>
              <w:rPr>
                <w:b/>
                <w:sz w:val="20"/>
                <w:szCs w:val="20"/>
                <w:lang w:val="en-US"/>
              </w:rPr>
            </w:pPr>
            <w:r w:rsidRPr="004C3C2F">
              <w:rPr>
                <w:b/>
                <w:sz w:val="20"/>
                <w:szCs w:val="20"/>
                <w:lang w:val="en-US"/>
              </w:rPr>
              <w:t>Bitupu Mufuta v. Her Majesty the Queen</w:t>
            </w:r>
          </w:p>
          <w:p w:rsidR="00A16319" w:rsidRPr="00FC5507" w:rsidRDefault="00A16319" w:rsidP="00FC5507">
            <w:pPr>
              <w:jc w:val="both"/>
              <w:rPr>
                <w:sz w:val="20"/>
              </w:rPr>
            </w:pPr>
            <w:r w:rsidRPr="00FC5507">
              <w:rPr>
                <w:sz w:val="20"/>
              </w:rPr>
              <w:t>(Alta.) (Criminal) (By Leave)</w:t>
            </w:r>
          </w:p>
        </w:tc>
      </w:tr>
      <w:tr w:rsidR="00A16319" w:rsidRPr="00FC5507" w:rsidTr="00602075">
        <w:tc>
          <w:tcPr>
            <w:tcW w:w="5000" w:type="pct"/>
            <w:gridSpan w:val="4"/>
          </w:tcPr>
          <w:p w:rsidR="00A16319" w:rsidRPr="00FC5507" w:rsidRDefault="00A16319" w:rsidP="00FC5507">
            <w:pPr>
              <w:jc w:val="both"/>
              <w:rPr>
                <w:sz w:val="20"/>
              </w:rPr>
            </w:pPr>
            <w:r w:rsidRPr="00FC5507">
              <w:rPr>
                <w:sz w:val="20"/>
              </w:rPr>
              <w:t xml:space="preserve">Criminal law — Evidence — </w:t>
            </w:r>
            <w:r w:rsidRPr="00FC5507">
              <w:rPr>
                <w:color w:val="383838"/>
                <w:sz w:val="20"/>
              </w:rPr>
              <w:t>Is prior out</w:t>
            </w:r>
            <w:r w:rsidRPr="00FC5507">
              <w:rPr>
                <w:color w:val="383838"/>
                <w:sz w:val="20"/>
              </w:rPr>
              <w:noBreakHyphen/>
              <w:t>of</w:t>
            </w:r>
            <w:r w:rsidRPr="00FC5507">
              <w:rPr>
                <w:color w:val="383838"/>
                <w:sz w:val="20"/>
              </w:rPr>
              <w:noBreakHyphen/>
              <w:t>court identification evidence admitted as original evidence respecting the entire identification process, or is it admissible as an exception to the rule against hearsay such that it must meet the requirements of the principled approach to the exception of hearsay evidence?</w:t>
            </w:r>
          </w:p>
          <w:p w:rsidR="00A16319" w:rsidRPr="00FC5507" w:rsidRDefault="00A16319" w:rsidP="00FC5507">
            <w:pPr>
              <w:jc w:val="both"/>
              <w:rPr>
                <w:sz w:val="20"/>
              </w:rPr>
            </w:pPr>
          </w:p>
        </w:tc>
      </w:tr>
      <w:tr w:rsidR="00A16319" w:rsidRPr="00FC5507" w:rsidTr="00602075">
        <w:tc>
          <w:tcPr>
            <w:tcW w:w="5000" w:type="pct"/>
            <w:gridSpan w:val="4"/>
          </w:tcPr>
          <w:p w:rsidR="00A16319" w:rsidRPr="00FC5507" w:rsidRDefault="00A16319" w:rsidP="00FC5507">
            <w:pPr>
              <w:jc w:val="both"/>
              <w:rPr>
                <w:sz w:val="20"/>
              </w:rPr>
            </w:pPr>
            <w:r w:rsidRPr="00FC5507">
              <w:rPr>
                <w:sz w:val="20"/>
              </w:rPr>
              <w:t>The charges against the applicant arose from alleged historical assaults on the complainant. The applicant was the complainant’s tutor when the complainant was a student. The applicant testified and denied that he tutored the complainant and denied that he sexually touched or threatened the complainant. The trial judge disbelieved the applicant’s evidence. The trial judge accepted the complainant’s evidence and found that his identification of the applicant was reliable. The applicant was convicted of sexual interference and uttering a threat to cause death. His conviction appeal was dismissed.</w:t>
            </w:r>
          </w:p>
        </w:tc>
      </w:tr>
      <w:tr w:rsidR="00A16319" w:rsidRPr="00FC5507" w:rsidTr="00602075">
        <w:tc>
          <w:tcPr>
            <w:tcW w:w="5000" w:type="pct"/>
            <w:gridSpan w:val="4"/>
          </w:tcPr>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t>June 22, 2017</w:t>
            </w:r>
          </w:p>
          <w:p w:rsidR="00A16319" w:rsidRPr="00FC5507" w:rsidRDefault="00A16319" w:rsidP="00FC5507">
            <w:pPr>
              <w:jc w:val="both"/>
              <w:rPr>
                <w:sz w:val="20"/>
              </w:rPr>
            </w:pPr>
            <w:r w:rsidRPr="00FC5507">
              <w:rPr>
                <w:sz w:val="20"/>
              </w:rPr>
              <w:t>Court of Queen’s Bench of Alberta</w:t>
            </w:r>
          </w:p>
          <w:p w:rsidR="00A16319" w:rsidRPr="00FC5507" w:rsidRDefault="00A16319" w:rsidP="00FC5507">
            <w:pPr>
              <w:jc w:val="both"/>
              <w:rPr>
                <w:sz w:val="20"/>
              </w:rPr>
            </w:pPr>
            <w:r w:rsidRPr="00FC5507">
              <w:rPr>
                <w:sz w:val="20"/>
              </w:rPr>
              <w:t>(Antonio J.)</w:t>
            </w:r>
          </w:p>
          <w:p w:rsidR="00A16319" w:rsidRPr="00FC5507" w:rsidRDefault="00685225" w:rsidP="00FC5507">
            <w:pPr>
              <w:jc w:val="both"/>
              <w:rPr>
                <w:sz w:val="20"/>
              </w:rPr>
            </w:pPr>
            <w:hyperlink r:id="rId97" w:history="1">
              <w:r w:rsidR="00A16319" w:rsidRPr="00FC5507">
                <w:rPr>
                  <w:rStyle w:val="Hyperlink"/>
                  <w:sz w:val="20"/>
                </w:rPr>
                <w:t>2017 ABQB 389</w:t>
              </w:r>
            </w:hyperlink>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Convictions: sexual interference, uttering a threat to cause death</w:t>
            </w:r>
          </w:p>
          <w:p w:rsidR="00A16319" w:rsidRPr="00FC5507" w:rsidRDefault="00A16319" w:rsidP="00FC5507">
            <w:pPr>
              <w:jc w:val="both"/>
              <w:rPr>
                <w:sz w:val="20"/>
              </w:rPr>
            </w:pPr>
          </w:p>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t>September 11, 2018</w:t>
            </w:r>
          </w:p>
          <w:p w:rsidR="00A16319" w:rsidRPr="00FC5507" w:rsidRDefault="00A16319" w:rsidP="00FC5507">
            <w:pPr>
              <w:jc w:val="both"/>
              <w:rPr>
                <w:sz w:val="20"/>
              </w:rPr>
            </w:pPr>
            <w:r w:rsidRPr="00FC5507">
              <w:rPr>
                <w:sz w:val="20"/>
              </w:rPr>
              <w:t>Court of Appeal of Alberta (Edmonton)</w:t>
            </w:r>
          </w:p>
          <w:p w:rsidR="00A16319" w:rsidRPr="00FC5507" w:rsidRDefault="00A16319" w:rsidP="00FC5507">
            <w:pPr>
              <w:jc w:val="both"/>
              <w:rPr>
                <w:sz w:val="20"/>
              </w:rPr>
            </w:pPr>
            <w:r w:rsidRPr="00FC5507">
              <w:rPr>
                <w:sz w:val="20"/>
              </w:rPr>
              <w:t>(Costigan, Slatter, Bielby JJ.A.)</w:t>
            </w:r>
          </w:p>
          <w:p w:rsidR="00A16319" w:rsidRPr="00FC5507" w:rsidRDefault="00685225" w:rsidP="00FC5507">
            <w:pPr>
              <w:jc w:val="both"/>
              <w:rPr>
                <w:sz w:val="20"/>
              </w:rPr>
            </w:pPr>
            <w:hyperlink r:id="rId98" w:history="1">
              <w:r w:rsidR="00A16319" w:rsidRPr="00FC5507">
                <w:rPr>
                  <w:rStyle w:val="Hyperlink"/>
                  <w:sz w:val="20"/>
                </w:rPr>
                <w:t>2018 ABCA 289</w:t>
              </w:r>
            </w:hyperlink>
            <w:r w:rsidR="00A16319" w:rsidRPr="00FC5507">
              <w:rPr>
                <w:sz w:val="20"/>
              </w:rPr>
              <w:t>; 1703</w:t>
            </w:r>
            <w:r w:rsidR="00A16319" w:rsidRPr="00FC5507">
              <w:rPr>
                <w:sz w:val="20"/>
              </w:rPr>
              <w:noBreakHyphen/>
              <w:t>0215</w:t>
            </w:r>
            <w:r w:rsidR="00A16319" w:rsidRPr="00FC5507">
              <w:rPr>
                <w:sz w:val="20"/>
              </w:rPr>
              <w:noBreakHyphen/>
              <w:t>A</w:t>
            </w:r>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Conviction appeal dismissed</w:t>
            </w:r>
          </w:p>
          <w:p w:rsidR="00A16319" w:rsidRPr="00FC5507" w:rsidRDefault="00A16319" w:rsidP="00FC5507">
            <w:pPr>
              <w:jc w:val="both"/>
              <w:rPr>
                <w:sz w:val="20"/>
              </w:rPr>
            </w:pPr>
          </w:p>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lastRenderedPageBreak/>
              <w:t>January 22, 2019</w:t>
            </w:r>
          </w:p>
          <w:p w:rsidR="00A16319" w:rsidRPr="00FC5507" w:rsidRDefault="00A16319" w:rsidP="00FC5507">
            <w:pPr>
              <w:jc w:val="both"/>
              <w:rPr>
                <w:sz w:val="20"/>
              </w:rPr>
            </w:pPr>
            <w:r w:rsidRPr="00FC5507">
              <w:rPr>
                <w:sz w:val="20"/>
              </w:rPr>
              <w:t>Supreme Court of Canada</w:t>
            </w:r>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4C3C2F">
            <w:pPr>
              <w:jc w:val="both"/>
              <w:rPr>
                <w:sz w:val="20"/>
              </w:rPr>
            </w:pPr>
            <w:r w:rsidRPr="00FC5507">
              <w:rPr>
                <w:sz w:val="20"/>
              </w:rPr>
              <w:t>Motion for an extension of time to serve and file the application for leave to appeal and application for leave to appeal filed</w:t>
            </w:r>
          </w:p>
        </w:tc>
      </w:tr>
    </w:tbl>
    <w:p w:rsidR="00A16319" w:rsidRDefault="00A16319" w:rsidP="00FC5507">
      <w:pPr>
        <w:jc w:val="both"/>
        <w:rPr>
          <w:sz w:val="20"/>
        </w:rPr>
      </w:pPr>
    </w:p>
    <w:p w:rsidR="00A6684F" w:rsidRPr="00FC5507" w:rsidRDefault="00A6684F" w:rsidP="00FC5507">
      <w:pPr>
        <w:jc w:val="both"/>
        <w:rPr>
          <w:sz w:val="20"/>
        </w:rPr>
      </w:pPr>
      <w:r>
        <w:rPr>
          <w:sz w:val="20"/>
        </w:rPr>
        <w:pict>
          <v:rect id="_x0000_i1053" style="width:2in;height:1pt" o:hrpct="0" o:hralign="center" o:hrstd="t" o:hrnoshade="t" o:hr="t" fillcolor="black [3213]" stroked="f"/>
        </w:pict>
      </w:r>
    </w:p>
    <w:p w:rsidR="001E56A6" w:rsidRPr="00FC5507" w:rsidRDefault="001E56A6" w:rsidP="00FC550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FC5507" w:rsidTr="00602075">
        <w:tc>
          <w:tcPr>
            <w:tcW w:w="543" w:type="pct"/>
          </w:tcPr>
          <w:p w:rsidR="00A16319" w:rsidRPr="00FC5507" w:rsidRDefault="00A16319" w:rsidP="00FC5507">
            <w:pPr>
              <w:jc w:val="both"/>
              <w:rPr>
                <w:sz w:val="20"/>
                <w:lang w:val="fr-CA"/>
              </w:rPr>
            </w:pPr>
            <w:r w:rsidRPr="00FC5507">
              <w:rPr>
                <w:rStyle w:val="SCCFileNumberChar"/>
                <w:sz w:val="20"/>
                <w:szCs w:val="20"/>
                <w:lang w:val="fr-CA"/>
              </w:rPr>
              <w:t>38488</w:t>
            </w:r>
          </w:p>
        </w:tc>
        <w:tc>
          <w:tcPr>
            <w:tcW w:w="4457" w:type="pct"/>
            <w:gridSpan w:val="3"/>
          </w:tcPr>
          <w:p w:rsidR="00A16319" w:rsidRPr="004C3C2F" w:rsidRDefault="00A16319" w:rsidP="00FC5507">
            <w:pPr>
              <w:pStyle w:val="SCCLsocParty"/>
              <w:jc w:val="both"/>
              <w:rPr>
                <w:b/>
                <w:sz w:val="20"/>
                <w:szCs w:val="20"/>
              </w:rPr>
            </w:pPr>
            <w:r w:rsidRPr="004C3C2F">
              <w:rPr>
                <w:b/>
                <w:sz w:val="20"/>
                <w:szCs w:val="20"/>
              </w:rPr>
              <w:t>Bitupu Mufuta c. Sa Majesté la Reine</w:t>
            </w:r>
          </w:p>
          <w:p w:rsidR="00A16319" w:rsidRPr="00FC5507" w:rsidRDefault="00A16319" w:rsidP="00FC5507">
            <w:pPr>
              <w:jc w:val="both"/>
              <w:rPr>
                <w:sz w:val="20"/>
                <w:lang w:val="fr-CA"/>
              </w:rPr>
            </w:pPr>
            <w:r w:rsidRPr="00FC5507">
              <w:rPr>
                <w:sz w:val="20"/>
                <w:lang w:val="fr-CA"/>
              </w:rPr>
              <w:t>(Alb.) (Criminelle) (Autorisation)</w:t>
            </w:r>
          </w:p>
        </w:tc>
      </w:tr>
      <w:tr w:rsidR="00A16319" w:rsidRPr="00A6684F" w:rsidTr="00602075">
        <w:tc>
          <w:tcPr>
            <w:tcW w:w="5000" w:type="pct"/>
            <w:gridSpan w:val="4"/>
          </w:tcPr>
          <w:p w:rsidR="00A16319" w:rsidRPr="00FC5507" w:rsidRDefault="00A16319" w:rsidP="00FC5507">
            <w:pPr>
              <w:jc w:val="both"/>
              <w:rPr>
                <w:color w:val="000000" w:themeColor="text1"/>
                <w:sz w:val="20"/>
                <w:lang w:val="fr-CA"/>
              </w:rPr>
            </w:pPr>
            <w:r w:rsidRPr="00FC5507">
              <w:rPr>
                <w:sz w:val="20"/>
                <w:lang w:val="fr-CA"/>
              </w:rPr>
              <w:t xml:space="preserve">Droit criminel — Preuve — </w:t>
            </w:r>
            <w:r w:rsidRPr="00FC5507">
              <w:rPr>
                <w:color w:val="000000" w:themeColor="text1"/>
                <w:sz w:val="20"/>
                <w:lang w:val="fr-CA"/>
              </w:rPr>
              <w:t>Une preuve d’identification extrajudiciaire antérieure est</w:t>
            </w:r>
            <w:r w:rsidRPr="00FC5507">
              <w:rPr>
                <w:color w:val="000000" w:themeColor="text1"/>
                <w:sz w:val="20"/>
                <w:lang w:val="fr-CA"/>
              </w:rPr>
              <w:noBreakHyphen/>
              <w:t>elle admise à titre de preuve originale à l’égard du processus d’identification au complet, ou est</w:t>
            </w:r>
            <w:r w:rsidRPr="00FC5507">
              <w:rPr>
                <w:color w:val="000000" w:themeColor="text1"/>
                <w:sz w:val="20"/>
                <w:lang w:val="fr-CA"/>
              </w:rPr>
              <w:noBreakHyphen/>
              <w:t>elle admissible à titre d’exception à la règle interdisant le ouï</w:t>
            </w:r>
            <w:r w:rsidRPr="00FC5507">
              <w:rPr>
                <w:color w:val="000000" w:themeColor="text1"/>
                <w:sz w:val="20"/>
                <w:lang w:val="fr-CA"/>
              </w:rPr>
              <w:noBreakHyphen/>
              <w:t>dire de sorte qu’elle doive répondre aux exigences de la méthode d’analyse raisonnée de l’admissibilité de la preuve par ouï</w:t>
            </w:r>
            <w:r w:rsidRPr="00FC5507">
              <w:rPr>
                <w:color w:val="000000" w:themeColor="text1"/>
                <w:sz w:val="20"/>
                <w:lang w:val="fr-CA"/>
              </w:rPr>
              <w:noBreakHyphen/>
              <w:t>dire?</w:t>
            </w:r>
          </w:p>
          <w:p w:rsidR="00A16319" w:rsidRPr="00FC5507" w:rsidRDefault="00A16319" w:rsidP="00FC5507">
            <w:pPr>
              <w:jc w:val="both"/>
              <w:rPr>
                <w:sz w:val="20"/>
                <w:lang w:val="fr-CA"/>
              </w:rPr>
            </w:pPr>
          </w:p>
        </w:tc>
      </w:tr>
      <w:tr w:rsidR="00A16319" w:rsidRPr="00A6684F" w:rsidTr="00602075">
        <w:tc>
          <w:tcPr>
            <w:tcW w:w="5000" w:type="pct"/>
            <w:gridSpan w:val="4"/>
          </w:tcPr>
          <w:p w:rsidR="00A16319" w:rsidRPr="00FC5507" w:rsidRDefault="00A16319" w:rsidP="00FC5507">
            <w:pPr>
              <w:jc w:val="both"/>
              <w:rPr>
                <w:sz w:val="20"/>
                <w:lang w:val="fr-CA"/>
              </w:rPr>
            </w:pPr>
            <w:r w:rsidRPr="00FC5507">
              <w:rPr>
                <w:sz w:val="20"/>
                <w:lang w:val="fr-CA"/>
              </w:rPr>
              <w:t>Les accusations portées contre le demandeur découlaient d’agressions anciennes à l’endroit du plaignant. Le demandeur était l’enseignant</w:t>
            </w:r>
            <w:r w:rsidRPr="00FC5507">
              <w:rPr>
                <w:sz w:val="20"/>
                <w:lang w:val="fr-CA"/>
              </w:rPr>
              <w:noBreakHyphen/>
              <w:t>tuteur du plaignant lorsque celui-ci était étudiant. Le demandeur a témoigné et a nié avoir été l’enseignant</w:t>
            </w:r>
            <w:r w:rsidRPr="00FC5507">
              <w:rPr>
                <w:sz w:val="20"/>
                <w:lang w:val="fr-CA"/>
              </w:rPr>
              <w:noBreakHyphen/>
              <w:t>tuteur du plaignant, avoir eu des contacts sexuels avec lui ou l’avoir menacé. La juge du procès n’a pas cru le témoignage du demandeur. La juge du procès a cru le témoignage du plaignant et a conclu que son identification du demandeur était fiable. Le demandeur a été déclaré coupable de contacts sexuels et de menaces de mort. Son appel de la déclaration de culpabilité a été rejeté.</w:t>
            </w:r>
          </w:p>
        </w:tc>
      </w:tr>
      <w:tr w:rsidR="00A16319" w:rsidRPr="00A6684F" w:rsidTr="00602075">
        <w:tc>
          <w:tcPr>
            <w:tcW w:w="5000" w:type="pct"/>
            <w:gridSpan w:val="4"/>
          </w:tcPr>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22 juin 2017</w:t>
            </w:r>
          </w:p>
          <w:p w:rsidR="00A16319" w:rsidRPr="00FC5507" w:rsidRDefault="00A16319" w:rsidP="00FC5507">
            <w:pPr>
              <w:jc w:val="both"/>
              <w:rPr>
                <w:sz w:val="20"/>
                <w:lang w:val="fr-CA"/>
              </w:rPr>
            </w:pPr>
            <w:r w:rsidRPr="00FC5507">
              <w:rPr>
                <w:sz w:val="20"/>
                <w:lang w:val="fr-CA"/>
              </w:rPr>
              <w:t>Cour du Banc de la Reine de l’Alberta</w:t>
            </w:r>
          </w:p>
          <w:p w:rsidR="00A16319" w:rsidRPr="00FC5507" w:rsidRDefault="00A16319" w:rsidP="00FC5507">
            <w:pPr>
              <w:jc w:val="both"/>
              <w:rPr>
                <w:sz w:val="20"/>
                <w:lang w:val="fr-CA"/>
              </w:rPr>
            </w:pPr>
            <w:r w:rsidRPr="00FC5507">
              <w:rPr>
                <w:sz w:val="20"/>
                <w:lang w:val="fr-CA"/>
              </w:rPr>
              <w:t>(Juge Antonio)</w:t>
            </w:r>
          </w:p>
          <w:p w:rsidR="00A16319" w:rsidRPr="00FC5507" w:rsidRDefault="00685225" w:rsidP="00FC5507">
            <w:pPr>
              <w:jc w:val="both"/>
              <w:rPr>
                <w:sz w:val="20"/>
                <w:lang w:val="fr-CA"/>
              </w:rPr>
            </w:pPr>
            <w:hyperlink r:id="rId99" w:history="1">
              <w:r w:rsidR="00A16319" w:rsidRPr="00FC5507">
                <w:rPr>
                  <w:rStyle w:val="Hyperlink"/>
                  <w:sz w:val="20"/>
                  <w:lang w:val="fr-CA"/>
                </w:rPr>
                <w:t>2017 ABQB 389</w:t>
              </w:r>
            </w:hyperlink>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Déclarations de culpabilité : contacts sexuels, menaces de mort</w:t>
            </w:r>
          </w:p>
          <w:p w:rsidR="00A16319" w:rsidRPr="00FC5507" w:rsidRDefault="00A16319" w:rsidP="00FC5507">
            <w:pPr>
              <w:jc w:val="both"/>
              <w:rPr>
                <w:sz w:val="20"/>
                <w:lang w:val="fr-CA"/>
              </w:rPr>
            </w:pPr>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11 septembre 2018</w:t>
            </w:r>
          </w:p>
          <w:p w:rsidR="00A16319" w:rsidRPr="00FC5507" w:rsidRDefault="00A16319" w:rsidP="00FC5507">
            <w:pPr>
              <w:jc w:val="both"/>
              <w:rPr>
                <w:sz w:val="20"/>
                <w:lang w:val="fr-CA"/>
              </w:rPr>
            </w:pPr>
            <w:r w:rsidRPr="00FC5507">
              <w:rPr>
                <w:sz w:val="20"/>
                <w:lang w:val="fr-CA"/>
              </w:rPr>
              <w:t>Cour d’appel de l’Alberta (Edmonton)</w:t>
            </w:r>
          </w:p>
          <w:p w:rsidR="00A16319" w:rsidRPr="00FC5507" w:rsidRDefault="00A16319" w:rsidP="00FC5507">
            <w:pPr>
              <w:jc w:val="both"/>
              <w:rPr>
                <w:sz w:val="20"/>
                <w:lang w:val="fr-CA"/>
              </w:rPr>
            </w:pPr>
            <w:r w:rsidRPr="00FC5507">
              <w:rPr>
                <w:sz w:val="20"/>
                <w:lang w:val="fr-CA"/>
              </w:rPr>
              <w:t>(Juges Costigan, Slatter et Bielby)</w:t>
            </w:r>
          </w:p>
          <w:p w:rsidR="00A16319" w:rsidRPr="00FC5507" w:rsidRDefault="00685225" w:rsidP="00FC5507">
            <w:pPr>
              <w:jc w:val="both"/>
              <w:rPr>
                <w:sz w:val="20"/>
                <w:lang w:val="fr-CA"/>
              </w:rPr>
            </w:pPr>
            <w:hyperlink r:id="rId100" w:history="1">
              <w:r w:rsidR="00A16319" w:rsidRPr="00FC5507">
                <w:rPr>
                  <w:rStyle w:val="Hyperlink"/>
                  <w:sz w:val="20"/>
                  <w:lang w:val="fr-CA"/>
                </w:rPr>
                <w:t>2018 ABCA 289</w:t>
              </w:r>
            </w:hyperlink>
            <w:r w:rsidR="00A16319" w:rsidRPr="00FC5507">
              <w:rPr>
                <w:sz w:val="20"/>
                <w:lang w:val="fr-CA"/>
              </w:rPr>
              <w:t>; 1703</w:t>
            </w:r>
            <w:r w:rsidR="00A16319" w:rsidRPr="00FC5507">
              <w:rPr>
                <w:sz w:val="20"/>
                <w:lang w:val="fr-CA"/>
              </w:rPr>
              <w:noBreakHyphen/>
              <w:t>0215</w:t>
            </w:r>
            <w:r w:rsidR="00A16319" w:rsidRPr="00FC5507">
              <w:rPr>
                <w:sz w:val="20"/>
                <w:lang w:val="fr-CA"/>
              </w:rPr>
              <w:noBreakHyphen/>
              <w:t>A</w:t>
            </w:r>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Rejet de l’appel de la déclaration de culpabilité</w:t>
            </w:r>
          </w:p>
          <w:p w:rsidR="00A16319" w:rsidRPr="00FC5507" w:rsidRDefault="00A16319" w:rsidP="00FC5507">
            <w:pPr>
              <w:jc w:val="both"/>
              <w:rPr>
                <w:sz w:val="20"/>
                <w:lang w:val="fr-CA"/>
              </w:rPr>
            </w:pPr>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22 janvier 2019</w:t>
            </w:r>
          </w:p>
          <w:p w:rsidR="00A16319" w:rsidRPr="00FC5507" w:rsidRDefault="00A16319" w:rsidP="004C3C2F">
            <w:pPr>
              <w:jc w:val="both"/>
              <w:rPr>
                <w:sz w:val="20"/>
                <w:lang w:val="fr-CA"/>
              </w:rPr>
            </w:pPr>
            <w:r w:rsidRPr="00FC5507">
              <w:rPr>
                <w:sz w:val="20"/>
                <w:lang w:val="fr-CA"/>
              </w:rPr>
              <w:t>Cour suprême du Canada</w:t>
            </w: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4C3C2F">
            <w:pPr>
              <w:jc w:val="both"/>
              <w:rPr>
                <w:sz w:val="20"/>
                <w:lang w:val="fr-CA"/>
              </w:rPr>
            </w:pPr>
            <w:r w:rsidRPr="00FC5507">
              <w:rPr>
                <w:sz w:val="20"/>
                <w:lang w:val="fr-CA"/>
              </w:rPr>
              <w:t>Dépôt de la requête en prorogation du délai de signification et de dépôt de la demande d’autorisation d’appel et de la demande d’autorisation d’appel</w:t>
            </w:r>
          </w:p>
        </w:tc>
      </w:tr>
    </w:tbl>
    <w:p w:rsidR="00A16319" w:rsidRDefault="00A16319" w:rsidP="00FC5507">
      <w:pPr>
        <w:jc w:val="both"/>
        <w:rPr>
          <w:sz w:val="20"/>
          <w:lang w:val="fr-CA"/>
        </w:rPr>
      </w:pPr>
    </w:p>
    <w:p w:rsidR="00A6684F" w:rsidRPr="00FC5507" w:rsidRDefault="00A6684F" w:rsidP="00FC5507">
      <w:pPr>
        <w:jc w:val="both"/>
        <w:rPr>
          <w:sz w:val="20"/>
          <w:lang w:val="fr-CA"/>
        </w:rPr>
      </w:pPr>
      <w:r>
        <w:rPr>
          <w:sz w:val="20"/>
        </w:rPr>
        <w:pict>
          <v:rect id="_x0000_i1054"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FC5507" w:rsidTr="00602075">
        <w:tc>
          <w:tcPr>
            <w:tcW w:w="543" w:type="pct"/>
          </w:tcPr>
          <w:p w:rsidR="00A16319" w:rsidRPr="00FC5507" w:rsidRDefault="00A16319" w:rsidP="00FC5507">
            <w:pPr>
              <w:jc w:val="both"/>
              <w:rPr>
                <w:sz w:val="20"/>
              </w:rPr>
            </w:pPr>
            <w:r w:rsidRPr="00FC5507">
              <w:rPr>
                <w:rStyle w:val="SCCFileNumberChar"/>
                <w:sz w:val="20"/>
                <w:szCs w:val="20"/>
              </w:rPr>
              <w:t>38526</w:t>
            </w:r>
          </w:p>
        </w:tc>
        <w:tc>
          <w:tcPr>
            <w:tcW w:w="4457" w:type="pct"/>
            <w:gridSpan w:val="3"/>
          </w:tcPr>
          <w:p w:rsidR="00A16319" w:rsidRPr="004C3C2F" w:rsidRDefault="00A16319" w:rsidP="00FC5507">
            <w:pPr>
              <w:pStyle w:val="SCCLsocParty"/>
              <w:jc w:val="both"/>
              <w:rPr>
                <w:b/>
                <w:sz w:val="20"/>
                <w:szCs w:val="20"/>
                <w:lang w:val="en-US"/>
              </w:rPr>
            </w:pPr>
            <w:r w:rsidRPr="004C3C2F">
              <w:rPr>
                <w:b/>
                <w:sz w:val="20"/>
                <w:szCs w:val="20"/>
                <w:lang w:val="en-US"/>
              </w:rPr>
              <w:t>Anatoly Kimaev v. Her Majesty the Queen</w:t>
            </w:r>
          </w:p>
          <w:p w:rsidR="00A16319" w:rsidRPr="00FC5507" w:rsidRDefault="00A16319" w:rsidP="00FC5507">
            <w:pPr>
              <w:jc w:val="both"/>
              <w:rPr>
                <w:sz w:val="20"/>
              </w:rPr>
            </w:pPr>
            <w:r w:rsidRPr="00FC5507">
              <w:rPr>
                <w:sz w:val="20"/>
              </w:rPr>
              <w:t>(Ont.) (Criminal) (By Leave)</w:t>
            </w:r>
          </w:p>
        </w:tc>
      </w:tr>
      <w:tr w:rsidR="00A16319" w:rsidRPr="00FC5507" w:rsidTr="00602075">
        <w:tc>
          <w:tcPr>
            <w:tcW w:w="5000" w:type="pct"/>
            <w:gridSpan w:val="4"/>
          </w:tcPr>
          <w:p w:rsidR="00A16319" w:rsidRPr="00FC5507" w:rsidRDefault="00A16319" w:rsidP="00FC5507">
            <w:pPr>
              <w:pStyle w:val="SCCBanSummary"/>
              <w:rPr>
                <w:sz w:val="20"/>
                <w:szCs w:val="20"/>
              </w:rPr>
            </w:pPr>
            <w:r w:rsidRPr="00FC5507">
              <w:rPr>
                <w:i/>
                <w:smallCaps w:val="0"/>
                <w:sz w:val="20"/>
                <w:szCs w:val="20"/>
              </w:rPr>
              <w:t>Charter of Rights</w:t>
            </w:r>
            <w:r w:rsidRPr="00FC5507">
              <w:rPr>
                <w:smallCaps w:val="0"/>
                <w:sz w:val="20"/>
                <w:szCs w:val="20"/>
              </w:rPr>
              <w:t xml:space="preserve"> — Presumption of innocence — Whether the applicant’s s. 11(d) </w:t>
            </w:r>
            <w:r w:rsidRPr="00FC5507">
              <w:rPr>
                <w:i/>
                <w:smallCaps w:val="0"/>
                <w:sz w:val="20"/>
                <w:szCs w:val="20"/>
              </w:rPr>
              <w:t>Charter</w:t>
            </w:r>
            <w:r w:rsidRPr="00FC5507">
              <w:rPr>
                <w:smallCaps w:val="0"/>
                <w:sz w:val="20"/>
                <w:szCs w:val="20"/>
              </w:rPr>
              <w:t xml:space="preserve"> rights were violated — Whether the lower courts erred — Whether the conviction was unreasonable —s. 11(d) of the </w:t>
            </w:r>
            <w:r w:rsidRPr="00FC5507">
              <w:rPr>
                <w:i/>
                <w:smallCaps w:val="0"/>
                <w:sz w:val="20"/>
                <w:szCs w:val="20"/>
              </w:rPr>
              <w:t>Charter of Rights and Freedoms</w:t>
            </w:r>
            <w:r w:rsidRPr="00FC5507">
              <w:rPr>
                <w:smallCaps w:val="0"/>
                <w:sz w:val="20"/>
                <w:szCs w:val="20"/>
              </w:rPr>
              <w:t>.</w:t>
            </w:r>
          </w:p>
        </w:tc>
      </w:tr>
      <w:tr w:rsidR="00A16319" w:rsidRPr="00FC5507" w:rsidTr="00602075">
        <w:tc>
          <w:tcPr>
            <w:tcW w:w="5000" w:type="pct"/>
            <w:gridSpan w:val="4"/>
          </w:tcPr>
          <w:p w:rsidR="00A16319" w:rsidRPr="00FC5507" w:rsidRDefault="00A16319" w:rsidP="00FC5507">
            <w:pPr>
              <w:jc w:val="both"/>
              <w:rPr>
                <w:sz w:val="20"/>
              </w:rPr>
            </w:pPr>
          </w:p>
        </w:tc>
      </w:tr>
      <w:tr w:rsidR="00A16319" w:rsidRPr="00FC5507" w:rsidTr="00602075">
        <w:tc>
          <w:tcPr>
            <w:tcW w:w="5000" w:type="pct"/>
            <w:gridSpan w:val="4"/>
          </w:tcPr>
          <w:p w:rsidR="00A16319" w:rsidRPr="00FC5507" w:rsidRDefault="00A16319" w:rsidP="00FC5507">
            <w:pPr>
              <w:jc w:val="both"/>
              <w:rPr>
                <w:sz w:val="20"/>
              </w:rPr>
            </w:pPr>
            <w:r w:rsidRPr="00FC5507">
              <w:rPr>
                <w:sz w:val="20"/>
              </w:rPr>
              <w:t>The applicant was charged with assault. The trial judge was satisfied by the totality of the evidence that the applicant was the person who spat on Ms. May. The applicant was convicted of assault and his conviction appeal was dismissed. The applicant’s application for leave was dismissed by the Court of Appeal.</w:t>
            </w:r>
          </w:p>
        </w:tc>
      </w:tr>
      <w:tr w:rsidR="00A16319" w:rsidRPr="00FC5507" w:rsidTr="00602075">
        <w:tc>
          <w:tcPr>
            <w:tcW w:w="5000" w:type="pct"/>
            <w:gridSpan w:val="4"/>
          </w:tcPr>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t>January 30, 2017</w:t>
            </w:r>
          </w:p>
          <w:p w:rsidR="00A16319" w:rsidRPr="00FC5507" w:rsidRDefault="00A16319" w:rsidP="00FC5507">
            <w:pPr>
              <w:jc w:val="both"/>
              <w:rPr>
                <w:sz w:val="20"/>
              </w:rPr>
            </w:pPr>
            <w:r w:rsidRPr="00FC5507">
              <w:rPr>
                <w:sz w:val="20"/>
              </w:rPr>
              <w:t>Ontario Court of Justice</w:t>
            </w:r>
          </w:p>
          <w:p w:rsidR="00A16319" w:rsidRPr="00FC5507" w:rsidRDefault="00A16319" w:rsidP="00FC5507">
            <w:pPr>
              <w:jc w:val="both"/>
              <w:rPr>
                <w:sz w:val="20"/>
              </w:rPr>
            </w:pPr>
            <w:r w:rsidRPr="00FC5507">
              <w:rPr>
                <w:sz w:val="20"/>
              </w:rPr>
              <w:t>(</w:t>
            </w:r>
            <w:proofErr w:type="spellStart"/>
            <w:r w:rsidRPr="00FC5507">
              <w:rPr>
                <w:sz w:val="20"/>
              </w:rPr>
              <w:t>Horkins</w:t>
            </w:r>
            <w:proofErr w:type="spellEnd"/>
            <w:r w:rsidRPr="00FC5507">
              <w:rPr>
                <w:sz w:val="20"/>
              </w:rPr>
              <w:t xml:space="preserve"> J.)</w:t>
            </w:r>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Conviction: assault</w:t>
            </w:r>
          </w:p>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lastRenderedPageBreak/>
              <w:t>January 18, 2018</w:t>
            </w:r>
          </w:p>
          <w:p w:rsidR="00A16319" w:rsidRPr="00FC5507" w:rsidRDefault="00A16319" w:rsidP="00FC5507">
            <w:pPr>
              <w:jc w:val="both"/>
              <w:rPr>
                <w:sz w:val="20"/>
              </w:rPr>
            </w:pPr>
            <w:r w:rsidRPr="00FC5507">
              <w:rPr>
                <w:sz w:val="20"/>
              </w:rPr>
              <w:t>Superior Court of Justice</w:t>
            </w:r>
          </w:p>
          <w:p w:rsidR="00A16319" w:rsidRPr="00FC5507" w:rsidRDefault="00A16319" w:rsidP="00FC5507">
            <w:pPr>
              <w:jc w:val="both"/>
              <w:rPr>
                <w:sz w:val="20"/>
              </w:rPr>
            </w:pPr>
            <w:r w:rsidRPr="00FC5507">
              <w:rPr>
                <w:sz w:val="20"/>
              </w:rPr>
              <w:t>(Summary Conviction Appeal)</w:t>
            </w:r>
          </w:p>
          <w:p w:rsidR="00A16319" w:rsidRPr="00FC5507" w:rsidRDefault="00A16319" w:rsidP="00FC5507">
            <w:pPr>
              <w:jc w:val="both"/>
              <w:rPr>
                <w:sz w:val="20"/>
              </w:rPr>
            </w:pPr>
            <w:r w:rsidRPr="00FC5507">
              <w:rPr>
                <w:sz w:val="20"/>
              </w:rPr>
              <w:t>(Schreck J.)</w:t>
            </w:r>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Appeal from conviction dismissed</w:t>
            </w:r>
          </w:p>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t>August 24, 2018</w:t>
            </w:r>
          </w:p>
          <w:p w:rsidR="00A16319" w:rsidRPr="00FC5507" w:rsidRDefault="00A16319" w:rsidP="00FC5507">
            <w:pPr>
              <w:jc w:val="both"/>
              <w:rPr>
                <w:sz w:val="20"/>
              </w:rPr>
            </w:pPr>
            <w:r w:rsidRPr="00FC5507">
              <w:rPr>
                <w:sz w:val="20"/>
              </w:rPr>
              <w:t>Court of Appeal for Ontario</w:t>
            </w:r>
          </w:p>
          <w:p w:rsidR="00A16319" w:rsidRPr="00FC5507" w:rsidRDefault="00A16319" w:rsidP="00FC5507">
            <w:pPr>
              <w:jc w:val="both"/>
              <w:rPr>
                <w:sz w:val="20"/>
              </w:rPr>
            </w:pPr>
            <w:r w:rsidRPr="00FC5507">
              <w:rPr>
                <w:sz w:val="20"/>
              </w:rPr>
              <w:t>(Watt, Huscroft, Fairburn JJ.A.)</w:t>
            </w:r>
          </w:p>
          <w:p w:rsidR="00A16319" w:rsidRPr="00FC5507" w:rsidRDefault="00A16319" w:rsidP="00FC5507">
            <w:pPr>
              <w:jc w:val="both"/>
              <w:rPr>
                <w:sz w:val="20"/>
              </w:rPr>
            </w:pPr>
            <w:r w:rsidRPr="00FC5507">
              <w:rPr>
                <w:sz w:val="20"/>
              </w:rPr>
              <w:t>M48781</w:t>
            </w:r>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Application for leave dismissed</w:t>
            </w:r>
          </w:p>
        </w:tc>
      </w:tr>
      <w:tr w:rsidR="00A16319" w:rsidRPr="00FC5507" w:rsidTr="00602075">
        <w:tc>
          <w:tcPr>
            <w:tcW w:w="2427" w:type="pct"/>
            <w:gridSpan w:val="2"/>
          </w:tcPr>
          <w:p w:rsidR="00A16319" w:rsidRPr="00FC5507" w:rsidRDefault="00A16319" w:rsidP="00FC5507">
            <w:pPr>
              <w:jc w:val="both"/>
              <w:rPr>
                <w:sz w:val="20"/>
              </w:rPr>
            </w:pPr>
            <w:r w:rsidRPr="00FC5507">
              <w:rPr>
                <w:sz w:val="20"/>
              </w:rPr>
              <w:t>November 19, 2018</w:t>
            </w:r>
          </w:p>
          <w:p w:rsidR="00A16319" w:rsidRPr="00FC5507" w:rsidRDefault="00A16319" w:rsidP="00FC5507">
            <w:pPr>
              <w:jc w:val="both"/>
              <w:rPr>
                <w:sz w:val="20"/>
              </w:rPr>
            </w:pPr>
            <w:r w:rsidRPr="00FC5507">
              <w:rPr>
                <w:sz w:val="20"/>
              </w:rPr>
              <w:t>Supreme Court of Canada</w:t>
            </w:r>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4C3C2F">
            <w:pPr>
              <w:jc w:val="both"/>
              <w:rPr>
                <w:sz w:val="20"/>
              </w:rPr>
            </w:pPr>
            <w:r w:rsidRPr="00FC5507">
              <w:rPr>
                <w:sz w:val="20"/>
              </w:rPr>
              <w:t>Miscellaneous motion and motion for an extension of time to serve and file the application for leave to appeal and application for leave to appeal filed</w:t>
            </w:r>
          </w:p>
        </w:tc>
      </w:tr>
    </w:tbl>
    <w:p w:rsidR="00A16319" w:rsidRDefault="00A16319" w:rsidP="00FC5507">
      <w:pPr>
        <w:jc w:val="both"/>
        <w:rPr>
          <w:sz w:val="20"/>
        </w:rPr>
      </w:pPr>
    </w:p>
    <w:p w:rsidR="00A6684F" w:rsidRPr="00FC5507" w:rsidRDefault="00A6684F" w:rsidP="00FC5507">
      <w:pPr>
        <w:jc w:val="both"/>
        <w:rPr>
          <w:sz w:val="20"/>
        </w:rPr>
      </w:pPr>
      <w:r>
        <w:rPr>
          <w:sz w:val="20"/>
        </w:rPr>
        <w:pict>
          <v:rect id="_x0000_i1055" style="width:2in;height:1pt" o:hrpct="0" o:hralign="center" o:hrstd="t" o:hrnoshade="t" o:hr="t" fillcolor="black [3213]" stroked="f"/>
        </w:pict>
      </w:r>
    </w:p>
    <w:p w:rsidR="001E56A6" w:rsidRPr="00FC5507" w:rsidRDefault="001E56A6" w:rsidP="00FC550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FC5507" w:rsidTr="00602075">
        <w:tc>
          <w:tcPr>
            <w:tcW w:w="543" w:type="pct"/>
          </w:tcPr>
          <w:p w:rsidR="00A16319" w:rsidRPr="00FC5507" w:rsidRDefault="00A16319" w:rsidP="00FC5507">
            <w:pPr>
              <w:jc w:val="both"/>
              <w:rPr>
                <w:sz w:val="20"/>
                <w:lang w:val="fr-CA"/>
              </w:rPr>
            </w:pPr>
            <w:r w:rsidRPr="00FC5507">
              <w:rPr>
                <w:rStyle w:val="SCCFileNumberChar"/>
                <w:sz w:val="20"/>
                <w:szCs w:val="20"/>
                <w:lang w:val="fr-CA"/>
              </w:rPr>
              <w:t>38526</w:t>
            </w:r>
          </w:p>
        </w:tc>
        <w:tc>
          <w:tcPr>
            <w:tcW w:w="4457" w:type="pct"/>
            <w:gridSpan w:val="3"/>
          </w:tcPr>
          <w:p w:rsidR="00A16319" w:rsidRPr="004C3C2F" w:rsidRDefault="00A16319" w:rsidP="00FC5507">
            <w:pPr>
              <w:pStyle w:val="SCCLsocParty"/>
              <w:jc w:val="both"/>
              <w:rPr>
                <w:b/>
                <w:sz w:val="20"/>
                <w:szCs w:val="20"/>
              </w:rPr>
            </w:pPr>
            <w:r w:rsidRPr="004C3C2F">
              <w:rPr>
                <w:b/>
                <w:sz w:val="20"/>
                <w:szCs w:val="20"/>
              </w:rPr>
              <w:t>Anatoly Kimaev c. Sa Majesté la Reine</w:t>
            </w:r>
          </w:p>
          <w:p w:rsidR="00A16319" w:rsidRPr="00FC5507" w:rsidRDefault="00A16319" w:rsidP="00FC5507">
            <w:pPr>
              <w:jc w:val="both"/>
              <w:rPr>
                <w:sz w:val="20"/>
                <w:lang w:val="fr-CA"/>
              </w:rPr>
            </w:pPr>
            <w:r w:rsidRPr="00FC5507">
              <w:rPr>
                <w:sz w:val="20"/>
                <w:lang w:val="fr-CA"/>
              </w:rPr>
              <w:t>(Ont.) (Criminelle) (Autorisation)</w:t>
            </w:r>
          </w:p>
        </w:tc>
      </w:tr>
      <w:tr w:rsidR="00A16319" w:rsidRPr="00A6684F" w:rsidTr="00602075">
        <w:tc>
          <w:tcPr>
            <w:tcW w:w="5000" w:type="pct"/>
            <w:gridSpan w:val="4"/>
          </w:tcPr>
          <w:p w:rsidR="00A16319" w:rsidRPr="00FC5507" w:rsidRDefault="00A16319" w:rsidP="00FC5507">
            <w:pPr>
              <w:pStyle w:val="SCCBanSummary"/>
              <w:rPr>
                <w:sz w:val="20"/>
                <w:szCs w:val="20"/>
                <w:lang w:val="fr-CA"/>
              </w:rPr>
            </w:pPr>
            <w:r w:rsidRPr="00FC5507">
              <w:rPr>
                <w:i/>
                <w:smallCaps w:val="0"/>
                <w:sz w:val="20"/>
                <w:szCs w:val="20"/>
                <w:lang w:val="fr-CA"/>
              </w:rPr>
              <w:t>Charte des droits</w:t>
            </w:r>
            <w:r w:rsidRPr="00FC5507">
              <w:rPr>
                <w:smallCaps w:val="0"/>
                <w:sz w:val="20"/>
                <w:szCs w:val="20"/>
                <w:lang w:val="fr-CA"/>
              </w:rPr>
              <w:t xml:space="preserve"> — Présomption d’innocence — Y a-t-il eu violation des droits que l’al. 11d) de la </w:t>
            </w:r>
            <w:r w:rsidRPr="00FC5507">
              <w:rPr>
                <w:i/>
                <w:smallCaps w:val="0"/>
                <w:sz w:val="20"/>
                <w:szCs w:val="20"/>
                <w:lang w:val="fr-CA"/>
              </w:rPr>
              <w:t>Charte</w:t>
            </w:r>
            <w:r w:rsidRPr="00FC5507">
              <w:rPr>
                <w:smallCaps w:val="0"/>
                <w:sz w:val="20"/>
                <w:szCs w:val="20"/>
                <w:lang w:val="fr-CA"/>
              </w:rPr>
              <w:t xml:space="preserve"> garantit au demandeur? — Les juridictions inférieures ont-elles commis des erreurs? — La déclaration de culpabilité était-elle déraisonnable? — Alinéa 11d) de la </w:t>
            </w:r>
            <w:r w:rsidRPr="00FC5507">
              <w:rPr>
                <w:i/>
                <w:smallCaps w:val="0"/>
                <w:sz w:val="20"/>
                <w:szCs w:val="20"/>
                <w:lang w:val="fr-CA"/>
              </w:rPr>
              <w:t>Charte des droits et libertés</w:t>
            </w:r>
            <w:r w:rsidRPr="00FC5507">
              <w:rPr>
                <w:smallCaps w:val="0"/>
                <w:sz w:val="20"/>
                <w:szCs w:val="20"/>
                <w:lang w:val="fr-CA"/>
              </w:rPr>
              <w:t>.</w:t>
            </w:r>
          </w:p>
        </w:tc>
      </w:tr>
      <w:tr w:rsidR="00A16319" w:rsidRPr="00A6684F" w:rsidTr="00602075">
        <w:tc>
          <w:tcPr>
            <w:tcW w:w="5000" w:type="pct"/>
            <w:gridSpan w:val="4"/>
          </w:tcPr>
          <w:p w:rsidR="00A16319" w:rsidRPr="00FC5507" w:rsidRDefault="00A16319" w:rsidP="00FC5507">
            <w:pPr>
              <w:jc w:val="both"/>
              <w:rPr>
                <w:sz w:val="20"/>
                <w:lang w:val="fr-CA"/>
              </w:rPr>
            </w:pPr>
          </w:p>
        </w:tc>
      </w:tr>
      <w:tr w:rsidR="00A16319" w:rsidRPr="00A6684F" w:rsidTr="00602075">
        <w:tc>
          <w:tcPr>
            <w:tcW w:w="5000" w:type="pct"/>
            <w:gridSpan w:val="4"/>
          </w:tcPr>
          <w:p w:rsidR="00A16319" w:rsidRPr="00FC5507" w:rsidRDefault="00A16319" w:rsidP="00FC5507">
            <w:pPr>
              <w:jc w:val="both"/>
              <w:rPr>
                <w:sz w:val="20"/>
                <w:lang w:val="fr-CA"/>
              </w:rPr>
            </w:pPr>
            <w:r w:rsidRPr="00FC5507">
              <w:rPr>
                <w:sz w:val="20"/>
                <w:lang w:val="fr-CA"/>
              </w:rPr>
              <w:t>Le demandeur a été accusé de voies de fait. Le juge du procès a été convaincu par la totalité de la preuve que le demandeur était la personne qui avait craché sur Mme May. Le demandeur a été déclaré coupable de voies de fait et l’appel de la déclaration de culpabilité a été rejeté. La Cour d’appel a rejeté sa requête en autorisation d’interjeter appel.</w:t>
            </w:r>
          </w:p>
        </w:tc>
      </w:tr>
      <w:tr w:rsidR="00A16319" w:rsidRPr="00A6684F" w:rsidTr="00602075">
        <w:tc>
          <w:tcPr>
            <w:tcW w:w="5000" w:type="pct"/>
            <w:gridSpan w:val="4"/>
          </w:tcPr>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30 janvier 2017</w:t>
            </w:r>
          </w:p>
          <w:p w:rsidR="00A16319" w:rsidRPr="00FC5507" w:rsidRDefault="00A16319" w:rsidP="00FC5507">
            <w:pPr>
              <w:jc w:val="both"/>
              <w:rPr>
                <w:sz w:val="20"/>
                <w:lang w:val="fr-CA"/>
              </w:rPr>
            </w:pPr>
            <w:r w:rsidRPr="00FC5507">
              <w:rPr>
                <w:sz w:val="20"/>
                <w:lang w:val="fr-CA"/>
              </w:rPr>
              <w:t>Cour de justice de l’Ontario</w:t>
            </w:r>
          </w:p>
          <w:p w:rsidR="00A16319" w:rsidRPr="00FC5507" w:rsidRDefault="00A16319" w:rsidP="00FC5507">
            <w:pPr>
              <w:jc w:val="both"/>
              <w:rPr>
                <w:sz w:val="20"/>
                <w:lang w:val="fr-CA"/>
              </w:rPr>
            </w:pPr>
            <w:r w:rsidRPr="00FC5507">
              <w:rPr>
                <w:sz w:val="20"/>
                <w:lang w:val="fr-CA"/>
              </w:rPr>
              <w:t>(Juge Horkins)</w:t>
            </w:r>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Déclaration de culpabilité : voies de fait</w:t>
            </w:r>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18 janvier 2018</w:t>
            </w:r>
          </w:p>
          <w:p w:rsidR="00A16319" w:rsidRPr="00FC5507" w:rsidRDefault="00A16319" w:rsidP="00FC5507">
            <w:pPr>
              <w:jc w:val="both"/>
              <w:rPr>
                <w:sz w:val="20"/>
                <w:lang w:val="fr-CA"/>
              </w:rPr>
            </w:pPr>
            <w:r w:rsidRPr="00FC5507">
              <w:rPr>
                <w:sz w:val="20"/>
                <w:lang w:val="fr-CA"/>
              </w:rPr>
              <w:t>Cour supérieure de justice</w:t>
            </w:r>
          </w:p>
          <w:p w:rsidR="00A16319" w:rsidRPr="00FC5507" w:rsidRDefault="00A16319" w:rsidP="00FC5507">
            <w:pPr>
              <w:jc w:val="both"/>
              <w:rPr>
                <w:sz w:val="20"/>
                <w:lang w:val="fr-CA"/>
              </w:rPr>
            </w:pPr>
            <w:r w:rsidRPr="00FC5507">
              <w:rPr>
                <w:sz w:val="20"/>
                <w:lang w:val="fr-CA"/>
              </w:rPr>
              <w:t>(Appel en matière de poursuite sommaire)</w:t>
            </w:r>
          </w:p>
          <w:p w:rsidR="00A16319" w:rsidRPr="00FC5507" w:rsidRDefault="00A16319" w:rsidP="00FC5507">
            <w:pPr>
              <w:jc w:val="both"/>
              <w:rPr>
                <w:sz w:val="20"/>
                <w:lang w:val="fr-CA"/>
              </w:rPr>
            </w:pPr>
            <w:r w:rsidRPr="00FC5507">
              <w:rPr>
                <w:sz w:val="20"/>
                <w:lang w:val="fr-CA"/>
              </w:rPr>
              <w:t>(Juge Schreck)</w:t>
            </w:r>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Rejet de l’appel de la déclaration de culpabilité</w:t>
            </w:r>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24 août 2018</w:t>
            </w:r>
          </w:p>
          <w:p w:rsidR="00A16319" w:rsidRPr="00FC5507" w:rsidRDefault="00A16319" w:rsidP="00FC5507">
            <w:pPr>
              <w:jc w:val="both"/>
              <w:rPr>
                <w:sz w:val="20"/>
                <w:lang w:val="fr-CA"/>
              </w:rPr>
            </w:pPr>
            <w:r w:rsidRPr="00FC5507">
              <w:rPr>
                <w:sz w:val="20"/>
                <w:lang w:val="fr-CA"/>
              </w:rPr>
              <w:t>Cour d’appel de l’Ontario</w:t>
            </w:r>
          </w:p>
          <w:p w:rsidR="00A16319" w:rsidRPr="00FC5507" w:rsidRDefault="00A16319" w:rsidP="00FC5507">
            <w:pPr>
              <w:jc w:val="both"/>
              <w:rPr>
                <w:sz w:val="20"/>
                <w:lang w:val="fr-CA"/>
              </w:rPr>
            </w:pPr>
            <w:r w:rsidRPr="00FC5507">
              <w:rPr>
                <w:sz w:val="20"/>
                <w:lang w:val="fr-CA"/>
              </w:rPr>
              <w:t>(Juges Watt, Huscroft et Fairburn)</w:t>
            </w:r>
          </w:p>
          <w:p w:rsidR="00A16319" w:rsidRPr="00FC5507" w:rsidRDefault="00A16319" w:rsidP="00FC5507">
            <w:pPr>
              <w:jc w:val="both"/>
              <w:rPr>
                <w:sz w:val="20"/>
                <w:lang w:val="fr-CA"/>
              </w:rPr>
            </w:pPr>
            <w:r w:rsidRPr="00FC5507">
              <w:rPr>
                <w:sz w:val="20"/>
                <w:lang w:val="fr-CA"/>
              </w:rPr>
              <w:t>M48781</w:t>
            </w:r>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Rejet de la requête en autorisation d’interjeter appel</w:t>
            </w: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19 novembre 2018</w:t>
            </w:r>
          </w:p>
          <w:p w:rsidR="00A16319" w:rsidRPr="00FC5507" w:rsidRDefault="00A16319" w:rsidP="00FC5507">
            <w:pPr>
              <w:jc w:val="both"/>
              <w:rPr>
                <w:sz w:val="20"/>
                <w:lang w:val="fr-CA"/>
              </w:rPr>
            </w:pPr>
            <w:r w:rsidRPr="00FC5507">
              <w:rPr>
                <w:sz w:val="20"/>
                <w:lang w:val="fr-CA"/>
              </w:rPr>
              <w:t>Cour suprême du Canada</w:t>
            </w:r>
          </w:p>
          <w:p w:rsidR="00A16319" w:rsidRPr="00FC5507" w:rsidRDefault="00A16319" w:rsidP="00FC5507">
            <w:pPr>
              <w:jc w:val="both"/>
              <w:rPr>
                <w:sz w:val="20"/>
                <w:lang w:val="fr-CA"/>
              </w:rPr>
            </w:pPr>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4C3C2F">
            <w:pPr>
              <w:jc w:val="both"/>
              <w:rPr>
                <w:sz w:val="20"/>
                <w:lang w:val="fr-CA"/>
              </w:rPr>
            </w:pPr>
            <w:r w:rsidRPr="00FC5507">
              <w:rPr>
                <w:sz w:val="20"/>
                <w:lang w:val="fr-CA"/>
              </w:rPr>
              <w:t>Dépôt de la requête diverse et de la requête en prorogation du délai de signification et de dépôt de la demande d’autorisation d’appel et de la demande d’autorisation d’appel</w:t>
            </w:r>
          </w:p>
        </w:tc>
      </w:tr>
    </w:tbl>
    <w:p w:rsidR="00A16319" w:rsidRDefault="00A16319" w:rsidP="00FC5507">
      <w:pPr>
        <w:jc w:val="both"/>
        <w:rPr>
          <w:sz w:val="20"/>
          <w:lang w:val="fr-CA"/>
        </w:rPr>
      </w:pPr>
    </w:p>
    <w:p w:rsidR="00A6684F" w:rsidRPr="00FC5507" w:rsidRDefault="00A6684F" w:rsidP="00FC5507">
      <w:pPr>
        <w:jc w:val="both"/>
        <w:rPr>
          <w:sz w:val="20"/>
          <w:lang w:val="fr-CA"/>
        </w:rPr>
      </w:pPr>
      <w:r>
        <w:rPr>
          <w:sz w:val="20"/>
        </w:rPr>
        <w:pict>
          <v:rect id="_x0000_i1056"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FC5507" w:rsidTr="00602075">
        <w:tc>
          <w:tcPr>
            <w:tcW w:w="543" w:type="pct"/>
          </w:tcPr>
          <w:p w:rsidR="00A16319" w:rsidRPr="00FC5507" w:rsidRDefault="00A16319" w:rsidP="00FC5507">
            <w:pPr>
              <w:jc w:val="both"/>
              <w:rPr>
                <w:sz w:val="20"/>
              </w:rPr>
            </w:pPr>
            <w:r w:rsidRPr="00FC5507">
              <w:rPr>
                <w:rStyle w:val="SCCFileNumberChar"/>
                <w:sz w:val="20"/>
                <w:szCs w:val="20"/>
              </w:rPr>
              <w:t>38506</w:t>
            </w:r>
          </w:p>
        </w:tc>
        <w:tc>
          <w:tcPr>
            <w:tcW w:w="4457" w:type="pct"/>
            <w:gridSpan w:val="3"/>
          </w:tcPr>
          <w:p w:rsidR="00A16319" w:rsidRPr="004C3C2F" w:rsidRDefault="00A16319" w:rsidP="00FC5507">
            <w:pPr>
              <w:pStyle w:val="SCCLsocParty"/>
              <w:jc w:val="both"/>
              <w:rPr>
                <w:b/>
                <w:sz w:val="20"/>
                <w:szCs w:val="20"/>
                <w:lang w:val="en-US"/>
              </w:rPr>
            </w:pPr>
            <w:r w:rsidRPr="004C3C2F">
              <w:rPr>
                <w:b/>
                <w:sz w:val="20"/>
                <w:szCs w:val="20"/>
                <w:lang w:val="en-US"/>
              </w:rPr>
              <w:t>P.S. Knight Co. Ltd., Gordon Knight v. Canadian Standards Association</w:t>
            </w:r>
          </w:p>
          <w:p w:rsidR="00A16319" w:rsidRPr="00FC5507" w:rsidRDefault="00A16319" w:rsidP="00FC5507">
            <w:pPr>
              <w:jc w:val="both"/>
              <w:rPr>
                <w:sz w:val="20"/>
              </w:rPr>
            </w:pPr>
            <w:r w:rsidRPr="00FC5507">
              <w:rPr>
                <w:sz w:val="20"/>
              </w:rPr>
              <w:t>(F</w:t>
            </w:r>
            <w:r w:rsidR="004C3C2F">
              <w:rPr>
                <w:sz w:val="20"/>
              </w:rPr>
              <w:t>.</w:t>
            </w:r>
            <w:r w:rsidRPr="00FC5507">
              <w:rPr>
                <w:sz w:val="20"/>
              </w:rPr>
              <w:t>C</w:t>
            </w:r>
            <w:r w:rsidR="004C3C2F">
              <w:rPr>
                <w:sz w:val="20"/>
              </w:rPr>
              <w:t>.</w:t>
            </w:r>
            <w:r w:rsidRPr="00FC5507">
              <w:rPr>
                <w:sz w:val="20"/>
              </w:rPr>
              <w:t>) (Civil) (By Leave)</w:t>
            </w:r>
          </w:p>
        </w:tc>
      </w:tr>
      <w:tr w:rsidR="00A16319" w:rsidRPr="00FC5507" w:rsidTr="00602075">
        <w:tc>
          <w:tcPr>
            <w:tcW w:w="5000" w:type="pct"/>
            <w:gridSpan w:val="4"/>
          </w:tcPr>
          <w:p w:rsidR="00A16319" w:rsidRPr="00FC5507" w:rsidRDefault="00A16319" w:rsidP="00FC5507">
            <w:pPr>
              <w:jc w:val="both"/>
              <w:rPr>
                <w:sz w:val="20"/>
              </w:rPr>
            </w:pPr>
            <w:r w:rsidRPr="00FC5507">
              <w:rPr>
                <w:sz w:val="20"/>
              </w:rPr>
              <w:lastRenderedPageBreak/>
              <w:t>Intellectual property law — Copyright — Infringement — Crown law — Prerogatives —Legislation — Interpretation — Can copyright subsist in the laws of Canada? — If copyright can subsist in the laws of Canada, can that copyright be privately owned? — If copyright can subsist in the laws of Canada, is that copyright owned by the Crown? — Once a privately copyrighted document is incorporated by reference into the laws of Canada, is that copyright extinguished and/or transferred to the Crown?</w:t>
            </w:r>
          </w:p>
        </w:tc>
      </w:tr>
      <w:tr w:rsidR="00A16319" w:rsidRPr="00FC5507" w:rsidTr="00602075">
        <w:tc>
          <w:tcPr>
            <w:tcW w:w="5000" w:type="pct"/>
            <w:gridSpan w:val="4"/>
          </w:tcPr>
          <w:p w:rsidR="00A16319" w:rsidRPr="00FC5507" w:rsidRDefault="00A16319" w:rsidP="00FC5507">
            <w:pPr>
              <w:jc w:val="both"/>
              <w:rPr>
                <w:sz w:val="20"/>
              </w:rPr>
            </w:pPr>
          </w:p>
        </w:tc>
      </w:tr>
      <w:tr w:rsidR="00A16319" w:rsidRPr="00FC5507" w:rsidTr="00602075">
        <w:tc>
          <w:tcPr>
            <w:tcW w:w="5000" w:type="pct"/>
            <w:gridSpan w:val="4"/>
          </w:tcPr>
          <w:p w:rsidR="00A16319" w:rsidRPr="00FC5507" w:rsidRDefault="00A16319" w:rsidP="00FC5507">
            <w:pPr>
              <w:jc w:val="both"/>
              <w:rPr>
                <w:sz w:val="20"/>
              </w:rPr>
            </w:pPr>
            <w:r w:rsidRPr="00FC5507">
              <w:rPr>
                <w:sz w:val="20"/>
              </w:rPr>
              <w:t>Canadian Standards Association (“CSA”) is a federal not</w:t>
            </w:r>
            <w:r w:rsidRPr="00FC5507">
              <w:rPr>
                <w:sz w:val="20"/>
              </w:rPr>
              <w:noBreakHyphen/>
              <w:t>for</w:t>
            </w:r>
            <w:r w:rsidRPr="00FC5507">
              <w:rPr>
                <w:sz w:val="20"/>
              </w:rPr>
              <w:noBreakHyphen/>
              <w:t>profit corporation engaged in developing, testing, and certifying voluntary electrical standards. One of the most important standards is the CSA Electrical Code, which sets out safety standards for installation and maintenance of electrical equipment in Canada. The CSA Electrical Code has been incorporated by reference into several regulations and statutes for the installation and maintenance of electrical equipment. Copyright in the 2015 CSA Electrical Code was registered in April of 2015 in favour of the CSA. P.S. Knight Co. is a commercial competitor of the CSA. It has published the Electrical Code Simplified since the 1960s, including references with attribution to the CSA Electrical Code. A strong working relationship between the two groups began to deteriorate after a 2004 offer from the CSA to purchase Knight Co was rejected. In 2010 the CSA wrote to Knight Co. to inform it that any licence that may have existed was terminated. In 2016, Knight Co. reproduced and threatened to distribute a complete and identical copy of the 2015 version of the CSA Electrical Code at one-third the price the CSA charged. As a result, the CSA initiated an application to the Federal Court for copyright infringement. The Federal Court determined that copyright subsists in the 2015 Electrical Code and was owned by CSA. It concluded that Knight Co. infringed CSA’s copyright. A majority of the Federal Court of Appeal agreed with the Federal Court judge with a dissenting opinion on Crown prerogative.</w:t>
            </w:r>
          </w:p>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t>March 29, 2016</w:t>
            </w:r>
          </w:p>
          <w:p w:rsidR="00A16319" w:rsidRPr="00FC5507" w:rsidRDefault="00A16319" w:rsidP="00FC5507">
            <w:pPr>
              <w:jc w:val="both"/>
              <w:rPr>
                <w:sz w:val="20"/>
              </w:rPr>
            </w:pPr>
            <w:r w:rsidRPr="00FC5507">
              <w:rPr>
                <w:sz w:val="20"/>
              </w:rPr>
              <w:t>Federal Court</w:t>
            </w:r>
          </w:p>
          <w:p w:rsidR="00A16319" w:rsidRPr="00FC5507" w:rsidRDefault="00A16319" w:rsidP="00FC5507">
            <w:pPr>
              <w:jc w:val="both"/>
              <w:rPr>
                <w:sz w:val="20"/>
              </w:rPr>
            </w:pPr>
            <w:r w:rsidRPr="00FC5507">
              <w:rPr>
                <w:sz w:val="20"/>
              </w:rPr>
              <w:t>(Manson J.)</w:t>
            </w:r>
          </w:p>
          <w:p w:rsidR="00A16319" w:rsidRPr="00FC5507" w:rsidRDefault="00685225" w:rsidP="00FC5507">
            <w:pPr>
              <w:jc w:val="both"/>
              <w:rPr>
                <w:sz w:val="20"/>
              </w:rPr>
            </w:pPr>
            <w:hyperlink r:id="rId101" w:history="1">
              <w:r w:rsidR="00A16319" w:rsidRPr="00FC5507">
                <w:rPr>
                  <w:rStyle w:val="Hyperlink"/>
                  <w:sz w:val="20"/>
                </w:rPr>
                <w:t>2016 FC 294</w:t>
              </w:r>
            </w:hyperlink>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Copyright infringement found against Knight Co.</w:t>
            </w:r>
          </w:p>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t>December 7, 2018</w:t>
            </w:r>
          </w:p>
          <w:p w:rsidR="00A16319" w:rsidRPr="00FC5507" w:rsidRDefault="00A16319" w:rsidP="00FC5507">
            <w:pPr>
              <w:jc w:val="both"/>
              <w:rPr>
                <w:sz w:val="20"/>
              </w:rPr>
            </w:pPr>
            <w:r w:rsidRPr="00FC5507">
              <w:rPr>
                <w:sz w:val="20"/>
              </w:rPr>
              <w:t>Federal Court of Appeal</w:t>
            </w:r>
          </w:p>
          <w:p w:rsidR="00A16319" w:rsidRPr="00FC5507" w:rsidRDefault="00A16319" w:rsidP="00FC5507">
            <w:pPr>
              <w:jc w:val="both"/>
              <w:rPr>
                <w:sz w:val="20"/>
              </w:rPr>
            </w:pPr>
            <w:r w:rsidRPr="00FC5507">
              <w:rPr>
                <w:sz w:val="20"/>
              </w:rPr>
              <w:t xml:space="preserve">(Rennie, and Gleason JJ.A.; Webb J.A. </w:t>
            </w:r>
          </w:p>
          <w:p w:rsidR="00A16319" w:rsidRPr="00FC5507" w:rsidRDefault="00A16319" w:rsidP="00FC5507">
            <w:pPr>
              <w:jc w:val="both"/>
              <w:rPr>
                <w:sz w:val="20"/>
              </w:rPr>
            </w:pPr>
            <w:r w:rsidRPr="00FC5507">
              <w:rPr>
                <w:sz w:val="20"/>
              </w:rPr>
              <w:t>dissenting)</w:t>
            </w:r>
          </w:p>
          <w:p w:rsidR="00A16319" w:rsidRPr="00FC5507" w:rsidRDefault="00685225" w:rsidP="00FC5507">
            <w:pPr>
              <w:jc w:val="both"/>
              <w:rPr>
                <w:sz w:val="20"/>
              </w:rPr>
            </w:pPr>
            <w:hyperlink r:id="rId102" w:history="1">
              <w:r w:rsidR="00A16319" w:rsidRPr="00FC5507">
                <w:rPr>
                  <w:rStyle w:val="Hyperlink"/>
                  <w:sz w:val="20"/>
                </w:rPr>
                <w:t>2018 FCA 222</w:t>
              </w:r>
            </w:hyperlink>
          </w:p>
          <w:p w:rsidR="00A16319" w:rsidRPr="00FC5507" w:rsidRDefault="00A16319" w:rsidP="00FC5507">
            <w:pPr>
              <w:jc w:val="both"/>
              <w:rPr>
                <w:sz w:val="20"/>
              </w:rPr>
            </w:pP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Appeal dismissed. Webb J.A. dissenting on application of Crown prerogative.</w:t>
            </w:r>
          </w:p>
          <w:p w:rsidR="00A16319" w:rsidRPr="00FC5507" w:rsidRDefault="00A16319" w:rsidP="00FC5507">
            <w:pPr>
              <w:jc w:val="both"/>
              <w:rPr>
                <w:sz w:val="20"/>
              </w:rPr>
            </w:pPr>
          </w:p>
        </w:tc>
      </w:tr>
      <w:tr w:rsidR="00A16319" w:rsidRPr="00FC5507" w:rsidTr="00602075">
        <w:tc>
          <w:tcPr>
            <w:tcW w:w="2427" w:type="pct"/>
            <w:gridSpan w:val="2"/>
          </w:tcPr>
          <w:p w:rsidR="00A16319" w:rsidRPr="00FC5507" w:rsidRDefault="00A16319" w:rsidP="00FC5507">
            <w:pPr>
              <w:jc w:val="both"/>
              <w:rPr>
                <w:sz w:val="20"/>
              </w:rPr>
            </w:pPr>
            <w:r w:rsidRPr="00FC5507">
              <w:rPr>
                <w:sz w:val="20"/>
              </w:rPr>
              <w:t>February 5, 2019</w:t>
            </w:r>
          </w:p>
          <w:p w:rsidR="00A16319" w:rsidRPr="00FC5507" w:rsidRDefault="00A16319" w:rsidP="00FC5507">
            <w:pPr>
              <w:jc w:val="both"/>
              <w:rPr>
                <w:sz w:val="20"/>
              </w:rPr>
            </w:pPr>
            <w:r w:rsidRPr="00FC5507">
              <w:rPr>
                <w:sz w:val="20"/>
              </w:rPr>
              <w:t>Supreme Court of Canada</w:t>
            </w:r>
          </w:p>
        </w:tc>
        <w:tc>
          <w:tcPr>
            <w:tcW w:w="243" w:type="pct"/>
          </w:tcPr>
          <w:p w:rsidR="00A16319" w:rsidRPr="00FC5507" w:rsidRDefault="00A16319" w:rsidP="00FC5507">
            <w:pPr>
              <w:jc w:val="both"/>
              <w:rPr>
                <w:sz w:val="20"/>
              </w:rPr>
            </w:pPr>
          </w:p>
        </w:tc>
        <w:tc>
          <w:tcPr>
            <w:tcW w:w="2330" w:type="pct"/>
          </w:tcPr>
          <w:p w:rsidR="00A16319" w:rsidRPr="00FC5507" w:rsidRDefault="00A16319" w:rsidP="00FC5507">
            <w:pPr>
              <w:jc w:val="both"/>
              <w:rPr>
                <w:sz w:val="20"/>
              </w:rPr>
            </w:pPr>
            <w:r w:rsidRPr="00FC5507">
              <w:rPr>
                <w:sz w:val="20"/>
              </w:rPr>
              <w:t>Application for leave to appeal filed</w:t>
            </w:r>
          </w:p>
          <w:p w:rsidR="00A16319" w:rsidRPr="00FC5507" w:rsidRDefault="00A16319" w:rsidP="00FC5507">
            <w:pPr>
              <w:jc w:val="both"/>
              <w:rPr>
                <w:sz w:val="20"/>
              </w:rPr>
            </w:pPr>
          </w:p>
        </w:tc>
      </w:tr>
    </w:tbl>
    <w:p w:rsidR="00A16319" w:rsidRDefault="00A16319" w:rsidP="00FC5507">
      <w:pPr>
        <w:jc w:val="both"/>
        <w:rPr>
          <w:sz w:val="20"/>
        </w:rPr>
      </w:pPr>
    </w:p>
    <w:p w:rsidR="00A6684F" w:rsidRPr="00FC5507" w:rsidRDefault="00A6684F" w:rsidP="00FC5507">
      <w:pPr>
        <w:jc w:val="both"/>
        <w:rPr>
          <w:sz w:val="20"/>
        </w:rPr>
      </w:pPr>
      <w:r>
        <w:rPr>
          <w:sz w:val="20"/>
        </w:rPr>
        <w:pict>
          <v:rect id="_x0000_i1057" style="width:2in;height:1pt" o:hrpct="0" o:hralign="center" o:hrstd="t" o:hrnoshade="t" o:hr="t" fillcolor="black [3213]" stroked="f"/>
        </w:pict>
      </w:r>
    </w:p>
    <w:p w:rsidR="001E56A6" w:rsidRPr="00FC5507" w:rsidRDefault="001E56A6" w:rsidP="00FC5507">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16319" w:rsidRPr="004C3C2F" w:rsidTr="00602075">
        <w:tc>
          <w:tcPr>
            <w:tcW w:w="543" w:type="pct"/>
          </w:tcPr>
          <w:p w:rsidR="00A16319" w:rsidRPr="00FC5507" w:rsidRDefault="00A16319" w:rsidP="00FC5507">
            <w:pPr>
              <w:jc w:val="both"/>
              <w:rPr>
                <w:sz w:val="20"/>
                <w:lang w:val="fr-CA"/>
              </w:rPr>
            </w:pPr>
            <w:r w:rsidRPr="00FC5507">
              <w:rPr>
                <w:rStyle w:val="SCCFileNumberChar"/>
                <w:sz w:val="20"/>
                <w:szCs w:val="20"/>
                <w:lang w:val="fr-CA"/>
              </w:rPr>
              <w:t>38506</w:t>
            </w:r>
          </w:p>
        </w:tc>
        <w:tc>
          <w:tcPr>
            <w:tcW w:w="4457" w:type="pct"/>
            <w:gridSpan w:val="3"/>
          </w:tcPr>
          <w:p w:rsidR="00A16319" w:rsidRPr="004C3C2F" w:rsidRDefault="00A16319" w:rsidP="00FC5507">
            <w:pPr>
              <w:pStyle w:val="SCCLsocParty"/>
              <w:jc w:val="both"/>
              <w:rPr>
                <w:b/>
                <w:sz w:val="20"/>
                <w:szCs w:val="20"/>
                <w:lang w:val="en-US"/>
              </w:rPr>
            </w:pPr>
            <w:r w:rsidRPr="004C3C2F">
              <w:rPr>
                <w:b/>
                <w:sz w:val="20"/>
                <w:szCs w:val="20"/>
                <w:lang w:val="en-US"/>
              </w:rPr>
              <w:t xml:space="preserve">P.S. Knight Co. Ltd., Gordon Knight c. Association canadienne de </w:t>
            </w:r>
            <w:proofErr w:type="spellStart"/>
            <w:r w:rsidRPr="004C3C2F">
              <w:rPr>
                <w:b/>
                <w:sz w:val="20"/>
                <w:szCs w:val="20"/>
                <w:lang w:val="en-US"/>
              </w:rPr>
              <w:t>normalisation</w:t>
            </w:r>
            <w:proofErr w:type="spellEnd"/>
          </w:p>
          <w:p w:rsidR="00A16319" w:rsidRPr="00FC5507" w:rsidRDefault="00A16319" w:rsidP="00FC5507">
            <w:pPr>
              <w:jc w:val="both"/>
              <w:rPr>
                <w:sz w:val="20"/>
                <w:lang w:val="fr-CA"/>
              </w:rPr>
            </w:pPr>
            <w:r w:rsidRPr="00FC5507">
              <w:rPr>
                <w:sz w:val="20"/>
                <w:lang w:val="fr-CA"/>
              </w:rPr>
              <w:t>(C</w:t>
            </w:r>
            <w:r w:rsidR="004C3C2F">
              <w:rPr>
                <w:sz w:val="20"/>
                <w:lang w:val="fr-CA"/>
              </w:rPr>
              <w:t>.</w:t>
            </w:r>
            <w:r w:rsidRPr="00FC5507">
              <w:rPr>
                <w:sz w:val="20"/>
                <w:lang w:val="fr-CA"/>
              </w:rPr>
              <w:t>F</w:t>
            </w:r>
            <w:r w:rsidR="004C3C2F">
              <w:rPr>
                <w:sz w:val="20"/>
                <w:lang w:val="fr-CA"/>
              </w:rPr>
              <w:t>.</w:t>
            </w:r>
            <w:r w:rsidRPr="00FC5507">
              <w:rPr>
                <w:sz w:val="20"/>
                <w:lang w:val="fr-CA"/>
              </w:rPr>
              <w:t>) (Civile) (Autorisation)</w:t>
            </w:r>
          </w:p>
        </w:tc>
      </w:tr>
      <w:tr w:rsidR="00A16319" w:rsidRPr="00A6684F" w:rsidTr="00602075">
        <w:tc>
          <w:tcPr>
            <w:tcW w:w="5000" w:type="pct"/>
            <w:gridSpan w:val="4"/>
          </w:tcPr>
          <w:p w:rsidR="00A16319" w:rsidRPr="00FC5507" w:rsidRDefault="00A16319" w:rsidP="00FC5507">
            <w:pPr>
              <w:jc w:val="both"/>
              <w:rPr>
                <w:sz w:val="20"/>
                <w:lang w:val="fr-CA"/>
              </w:rPr>
            </w:pPr>
            <w:r w:rsidRPr="00FC5507">
              <w:rPr>
                <w:sz w:val="20"/>
                <w:lang w:val="fr-CA"/>
              </w:rPr>
              <w:t>Droit de la propriété intellectuelle — Droit d’auteur — Contrefaçon — Droit de la Couronne — Prérogatives — Législation — Interprétation — Le droit d’auteur peut</w:t>
            </w:r>
            <w:r w:rsidRPr="00FC5507">
              <w:rPr>
                <w:sz w:val="20"/>
                <w:lang w:val="fr-CA"/>
              </w:rPr>
              <w:noBreakHyphen/>
              <w:t>il subsister dans des lois du Canada? — Si le droit d’auteur peut subsister dans les lois du Canada, peut-il appartenir à une partie privée? — Si le droit d’auteur peut subsister dans les lois du Canada, peut</w:t>
            </w:r>
            <w:r w:rsidRPr="00FC5507">
              <w:rPr>
                <w:sz w:val="20"/>
                <w:lang w:val="fr-CA"/>
              </w:rPr>
              <w:noBreakHyphen/>
              <w:t>il appartenir à la Couronne? — Dès qu’un document protégé par le droit d’auteur dont le titulaire est une partie privée est intégré par renvoi dans les lois du Canada, ce droit d’auteur est</w:t>
            </w:r>
            <w:r w:rsidRPr="00FC5507">
              <w:rPr>
                <w:sz w:val="20"/>
                <w:lang w:val="fr-CA"/>
              </w:rPr>
              <w:noBreakHyphen/>
              <w:t>il éteint ou transféré à Sa Majesté?</w:t>
            </w:r>
          </w:p>
        </w:tc>
      </w:tr>
      <w:tr w:rsidR="00A16319" w:rsidRPr="00A6684F" w:rsidTr="00602075">
        <w:tc>
          <w:tcPr>
            <w:tcW w:w="5000" w:type="pct"/>
            <w:gridSpan w:val="4"/>
          </w:tcPr>
          <w:p w:rsidR="00A16319" w:rsidRPr="00FC5507" w:rsidRDefault="00A16319" w:rsidP="00FC5507">
            <w:pPr>
              <w:jc w:val="both"/>
              <w:rPr>
                <w:sz w:val="20"/>
                <w:lang w:val="fr-CA"/>
              </w:rPr>
            </w:pPr>
          </w:p>
        </w:tc>
      </w:tr>
      <w:tr w:rsidR="00A16319" w:rsidRPr="00A6684F" w:rsidTr="00602075">
        <w:tc>
          <w:tcPr>
            <w:tcW w:w="5000" w:type="pct"/>
            <w:gridSpan w:val="4"/>
          </w:tcPr>
          <w:p w:rsidR="00A16319" w:rsidRPr="00FC5507" w:rsidRDefault="00A16319" w:rsidP="00FC5507">
            <w:pPr>
              <w:jc w:val="both"/>
              <w:rPr>
                <w:sz w:val="20"/>
                <w:lang w:val="fr-CA"/>
              </w:rPr>
            </w:pPr>
            <w:r w:rsidRPr="00FC5507">
              <w:rPr>
                <w:sz w:val="20"/>
                <w:lang w:val="fr-CA"/>
              </w:rPr>
              <w:t xml:space="preserve">L’Association canadienne de normalisation (« CSA ») est une personne morale sans lucratif de régime fédéral qui se livre à l’élaboration, à la mise à l’essai et à la certification de normes de sécurité sur l’électricité d’application volontaire. Une des normes les plus importantes est le Code de l’électricité de la CSA, qui énonce les normes de sécurité pour l’installation et l’entretien de matériel d’électricité au Canada. Le Code de l’électricité de la CSA a été intégré par renvoi dans plusieurs règlements et lois relatifs à l’installation et à l’entretien de matériel d’électricité. Le droit d’auteur à l’égard du Code d’électricité de la CSA de 2015 a été enregistré en avril 2015 en faveur de la CSA. </w:t>
            </w:r>
            <w:r w:rsidRPr="00FC5507">
              <w:rPr>
                <w:sz w:val="20"/>
                <w:lang w:val="fr-CA"/>
              </w:rPr>
              <w:lastRenderedPageBreak/>
              <w:t xml:space="preserve">P.S. Knight Co. est une concurrente commerciale de la CSA. Elle publie l’ouvrage </w:t>
            </w:r>
            <w:r w:rsidRPr="00FC5507">
              <w:rPr>
                <w:i/>
                <w:sz w:val="20"/>
                <w:lang w:val="fr-CA"/>
              </w:rPr>
              <w:t>Electrical Code Simplified</w:t>
            </w:r>
            <w:r w:rsidRPr="00FC5507">
              <w:rPr>
                <w:sz w:val="20"/>
                <w:lang w:val="fr-CA"/>
              </w:rPr>
              <w:t xml:space="preserve"> depuis les années 1960, y compris des références avec attribution du droit d’auteur au Code d’électricité de la CSA. Une solide relation de travail entre les deux groupes a commencé à se détériorer après le rejet d’une offre que la CSA avait faite en 2004 pour l’achat de Knight Co. En 2010, la CSA a écrit à Knight Co. pour l’informer de la résiliation de toute licence qui aurait pu exister. En 2016, Knight Co. a reproduit et a menacé de distribuer une copie complète et identique de la version 2015 du Code d’électricité de la CSA au tiers du prix que demandait la CSA. En conséquence, la CSA a introduit une demande en violation du droit d’auteur devant la Cour fédérale. La Cour fédérale a conclu que le droit d’auteur subsistait dans le Code d’électricité de 2015 et qu’il appartenait à la CSA. La Cour fédérale a conclu que Knight Co. avait violé le droit d’auteur de la CSA. Les juges majoritaires de la Cour d’appel fédérale ont abondé dans le sens du juge de la Cour fédérale, avec une dissidence sur la prérogative de la Couronne.</w:t>
            </w:r>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lastRenderedPageBreak/>
              <w:t>29 mars 2016</w:t>
            </w:r>
          </w:p>
          <w:p w:rsidR="00A16319" w:rsidRPr="00FC5507" w:rsidRDefault="00A16319" w:rsidP="00FC5507">
            <w:pPr>
              <w:jc w:val="both"/>
              <w:rPr>
                <w:sz w:val="20"/>
                <w:lang w:val="fr-CA"/>
              </w:rPr>
            </w:pPr>
            <w:r w:rsidRPr="00FC5507">
              <w:rPr>
                <w:sz w:val="20"/>
                <w:lang w:val="fr-CA"/>
              </w:rPr>
              <w:t>Cour fédérale</w:t>
            </w:r>
          </w:p>
          <w:p w:rsidR="00A16319" w:rsidRPr="00FC5507" w:rsidRDefault="00A16319" w:rsidP="00FC5507">
            <w:pPr>
              <w:jc w:val="both"/>
              <w:rPr>
                <w:sz w:val="20"/>
                <w:lang w:val="fr-CA"/>
              </w:rPr>
            </w:pPr>
            <w:r w:rsidRPr="00FC5507">
              <w:rPr>
                <w:sz w:val="20"/>
                <w:lang w:val="fr-CA"/>
              </w:rPr>
              <w:t>(Juge Manson)</w:t>
            </w:r>
          </w:p>
          <w:p w:rsidR="00A16319" w:rsidRPr="00FC5507" w:rsidRDefault="00685225" w:rsidP="00FC5507">
            <w:pPr>
              <w:jc w:val="both"/>
              <w:rPr>
                <w:sz w:val="20"/>
                <w:lang w:val="fr-CA"/>
              </w:rPr>
            </w:pPr>
            <w:hyperlink r:id="rId103" w:history="1">
              <w:r w:rsidR="00A16319" w:rsidRPr="00FC5507">
                <w:rPr>
                  <w:rStyle w:val="Hyperlink"/>
                  <w:sz w:val="20"/>
                  <w:lang w:val="fr-CA"/>
                </w:rPr>
                <w:t>2016 CF 294</w:t>
              </w:r>
            </w:hyperlink>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Jugement concluant à la violation du droit d’auteur par Knight Co.</w:t>
            </w:r>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7 décembre 2018</w:t>
            </w:r>
          </w:p>
          <w:p w:rsidR="00A16319" w:rsidRPr="00FC5507" w:rsidRDefault="00A16319" w:rsidP="00FC5507">
            <w:pPr>
              <w:jc w:val="both"/>
              <w:rPr>
                <w:sz w:val="20"/>
                <w:lang w:val="fr-CA"/>
              </w:rPr>
            </w:pPr>
            <w:r w:rsidRPr="00FC5507">
              <w:rPr>
                <w:sz w:val="20"/>
                <w:lang w:val="fr-CA"/>
              </w:rPr>
              <w:t>Cour d’appel fédérale</w:t>
            </w:r>
          </w:p>
          <w:p w:rsidR="00A16319" w:rsidRPr="00FC5507" w:rsidRDefault="00A16319" w:rsidP="00FC5507">
            <w:pPr>
              <w:jc w:val="both"/>
              <w:rPr>
                <w:sz w:val="20"/>
                <w:lang w:val="fr-CA"/>
              </w:rPr>
            </w:pPr>
            <w:r w:rsidRPr="00FC5507">
              <w:rPr>
                <w:sz w:val="20"/>
                <w:lang w:val="fr-CA"/>
              </w:rPr>
              <w:t>(Juges Rennie, Gleason et Webb, dissident)</w:t>
            </w:r>
          </w:p>
          <w:p w:rsidR="00A16319" w:rsidRPr="00FC5507" w:rsidRDefault="00685225" w:rsidP="00FC5507">
            <w:pPr>
              <w:jc w:val="both"/>
              <w:rPr>
                <w:sz w:val="20"/>
                <w:lang w:val="fr-CA"/>
              </w:rPr>
            </w:pPr>
            <w:hyperlink r:id="rId104" w:history="1">
              <w:r w:rsidR="00A16319" w:rsidRPr="00FC5507">
                <w:rPr>
                  <w:rStyle w:val="Hyperlink"/>
                  <w:sz w:val="20"/>
                  <w:lang w:val="fr-CA"/>
                </w:rPr>
                <w:t>2018 FCA 222</w:t>
              </w:r>
            </w:hyperlink>
          </w:p>
          <w:p w:rsidR="00A16319" w:rsidRPr="00FC5507" w:rsidRDefault="00A16319" w:rsidP="00FC5507">
            <w:pPr>
              <w:jc w:val="both"/>
              <w:rPr>
                <w:sz w:val="20"/>
                <w:lang w:val="fr-CA"/>
              </w:rPr>
            </w:pP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Rejet de l’appel, avec la dissidence du juge Webb sur l’application de la prérogative de la Couronne.</w:t>
            </w:r>
          </w:p>
          <w:p w:rsidR="00A16319" w:rsidRPr="00FC5507" w:rsidRDefault="00A16319" w:rsidP="00FC5507">
            <w:pPr>
              <w:jc w:val="both"/>
              <w:rPr>
                <w:sz w:val="20"/>
                <w:lang w:val="fr-CA"/>
              </w:rPr>
            </w:pPr>
          </w:p>
        </w:tc>
      </w:tr>
      <w:tr w:rsidR="00A16319" w:rsidRPr="00A6684F" w:rsidTr="00602075">
        <w:tc>
          <w:tcPr>
            <w:tcW w:w="2427" w:type="pct"/>
            <w:gridSpan w:val="2"/>
          </w:tcPr>
          <w:p w:rsidR="00A16319" w:rsidRPr="00FC5507" w:rsidRDefault="00A16319" w:rsidP="00FC5507">
            <w:pPr>
              <w:jc w:val="both"/>
              <w:rPr>
                <w:sz w:val="20"/>
                <w:lang w:val="fr-CA"/>
              </w:rPr>
            </w:pPr>
            <w:r w:rsidRPr="00FC5507">
              <w:rPr>
                <w:sz w:val="20"/>
                <w:lang w:val="fr-CA"/>
              </w:rPr>
              <w:t>5 février 2019</w:t>
            </w:r>
          </w:p>
          <w:p w:rsidR="00A16319" w:rsidRPr="00FC5507" w:rsidRDefault="00A16319" w:rsidP="00FC5507">
            <w:pPr>
              <w:jc w:val="both"/>
              <w:rPr>
                <w:sz w:val="20"/>
                <w:lang w:val="fr-CA"/>
              </w:rPr>
            </w:pPr>
            <w:r w:rsidRPr="00FC5507">
              <w:rPr>
                <w:sz w:val="20"/>
                <w:lang w:val="fr-CA"/>
              </w:rPr>
              <w:t>Cour suprême du Canada</w:t>
            </w:r>
          </w:p>
        </w:tc>
        <w:tc>
          <w:tcPr>
            <w:tcW w:w="243" w:type="pct"/>
          </w:tcPr>
          <w:p w:rsidR="00A16319" w:rsidRPr="00FC5507" w:rsidRDefault="00A16319" w:rsidP="00FC5507">
            <w:pPr>
              <w:jc w:val="both"/>
              <w:rPr>
                <w:sz w:val="20"/>
                <w:lang w:val="fr-CA"/>
              </w:rPr>
            </w:pPr>
          </w:p>
        </w:tc>
        <w:tc>
          <w:tcPr>
            <w:tcW w:w="2330" w:type="pct"/>
          </w:tcPr>
          <w:p w:rsidR="00A16319" w:rsidRPr="00FC5507" w:rsidRDefault="00A16319" w:rsidP="00FC5507">
            <w:pPr>
              <w:jc w:val="both"/>
              <w:rPr>
                <w:sz w:val="20"/>
                <w:lang w:val="fr-CA"/>
              </w:rPr>
            </w:pPr>
            <w:r w:rsidRPr="00FC5507">
              <w:rPr>
                <w:sz w:val="20"/>
                <w:lang w:val="fr-CA"/>
              </w:rPr>
              <w:t>Dépôt de la demande d’autorisation d’appel</w:t>
            </w:r>
          </w:p>
          <w:p w:rsidR="00A16319" w:rsidRPr="00FC5507" w:rsidRDefault="00A16319" w:rsidP="00FC5507">
            <w:pPr>
              <w:jc w:val="both"/>
              <w:rPr>
                <w:sz w:val="20"/>
                <w:lang w:val="fr-CA"/>
              </w:rPr>
            </w:pPr>
          </w:p>
        </w:tc>
      </w:tr>
    </w:tbl>
    <w:p w:rsidR="00A16319" w:rsidRDefault="00A16319" w:rsidP="00FC5507">
      <w:pPr>
        <w:jc w:val="both"/>
        <w:rPr>
          <w:sz w:val="20"/>
          <w:lang w:val="fr-CA"/>
        </w:rPr>
      </w:pPr>
    </w:p>
    <w:p w:rsidR="00A6684F" w:rsidRPr="00FC5507" w:rsidRDefault="00A6684F" w:rsidP="00FC5507">
      <w:pPr>
        <w:jc w:val="both"/>
        <w:rPr>
          <w:sz w:val="20"/>
          <w:lang w:val="fr-CA"/>
        </w:rPr>
      </w:pPr>
      <w:r>
        <w:rPr>
          <w:sz w:val="20"/>
        </w:rPr>
        <w:pict>
          <v:rect id="_x0000_i1058"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0FA5" w:rsidRPr="00FC5507" w:rsidTr="00602075">
        <w:tc>
          <w:tcPr>
            <w:tcW w:w="543" w:type="pct"/>
          </w:tcPr>
          <w:p w:rsidR="00270FA5" w:rsidRPr="00FC5507" w:rsidRDefault="00270FA5" w:rsidP="00FC5507">
            <w:pPr>
              <w:jc w:val="both"/>
              <w:rPr>
                <w:sz w:val="20"/>
              </w:rPr>
            </w:pPr>
            <w:r w:rsidRPr="00FC5507">
              <w:rPr>
                <w:rStyle w:val="SCCFileNumberChar"/>
                <w:sz w:val="20"/>
                <w:szCs w:val="20"/>
              </w:rPr>
              <w:t>38527</w:t>
            </w:r>
          </w:p>
        </w:tc>
        <w:tc>
          <w:tcPr>
            <w:tcW w:w="4457" w:type="pct"/>
            <w:gridSpan w:val="3"/>
          </w:tcPr>
          <w:p w:rsidR="00270FA5" w:rsidRPr="004C3C2F" w:rsidRDefault="00270FA5" w:rsidP="00FC5507">
            <w:pPr>
              <w:pStyle w:val="SCCLsocParty"/>
              <w:jc w:val="both"/>
              <w:rPr>
                <w:b/>
                <w:sz w:val="20"/>
                <w:szCs w:val="20"/>
                <w:lang w:val="en-US"/>
              </w:rPr>
            </w:pPr>
            <w:r w:rsidRPr="004C3C2F">
              <w:rPr>
                <w:b/>
                <w:sz w:val="20"/>
                <w:szCs w:val="20"/>
                <w:lang w:val="en-US"/>
              </w:rPr>
              <w:t>James Cyrynowski v. Alberta Human Rights Commission (Chief of the Commission and Tribunals)</w:t>
            </w:r>
          </w:p>
          <w:p w:rsidR="00270FA5" w:rsidRPr="00FC5507" w:rsidRDefault="00270FA5" w:rsidP="00FC5507">
            <w:pPr>
              <w:jc w:val="both"/>
              <w:rPr>
                <w:sz w:val="20"/>
              </w:rPr>
            </w:pPr>
            <w:r w:rsidRPr="00FC5507">
              <w:rPr>
                <w:sz w:val="20"/>
              </w:rPr>
              <w:t>(Alta.) (Civil)</w:t>
            </w:r>
          </w:p>
        </w:tc>
      </w:tr>
      <w:tr w:rsidR="00270FA5" w:rsidRPr="00FC5507" w:rsidTr="00602075">
        <w:tc>
          <w:tcPr>
            <w:tcW w:w="5000" w:type="pct"/>
            <w:gridSpan w:val="4"/>
          </w:tcPr>
          <w:p w:rsidR="00270FA5" w:rsidRPr="00FC5507" w:rsidRDefault="00270FA5" w:rsidP="00FC5507">
            <w:pPr>
              <w:jc w:val="both"/>
              <w:rPr>
                <w:sz w:val="20"/>
              </w:rPr>
            </w:pPr>
            <w:r w:rsidRPr="00FC5507">
              <w:rPr>
                <w:sz w:val="20"/>
              </w:rPr>
              <w:t xml:space="preserve">Human Rights — Discriminatory practices — Applicant bringing human rights complaint against person placing employment advertisement on basis of gender — Does </w:t>
            </w:r>
            <w:r w:rsidRPr="00FC5507">
              <w:rPr>
                <w:i/>
                <w:sz w:val="20"/>
              </w:rPr>
              <w:t>Family law Act</w:t>
            </w:r>
            <w:r w:rsidRPr="00FC5507">
              <w:rPr>
                <w:sz w:val="20"/>
              </w:rPr>
              <w:t xml:space="preserve"> affect jurisdiction of Chief Commissioner? — Does correctness standard apply when </w:t>
            </w:r>
            <w:r w:rsidRPr="00FC5507">
              <w:rPr>
                <w:i/>
                <w:sz w:val="20"/>
              </w:rPr>
              <w:t>Human Rights</w:t>
            </w:r>
            <w:r w:rsidRPr="00FC5507">
              <w:rPr>
                <w:sz w:val="20"/>
              </w:rPr>
              <w:t xml:space="preserve"> decision maker refers to </w:t>
            </w:r>
            <w:r w:rsidRPr="00FC5507">
              <w:rPr>
                <w:i/>
                <w:sz w:val="20"/>
              </w:rPr>
              <w:t>Family Law Act</w:t>
            </w:r>
            <w:r w:rsidRPr="00FC5507">
              <w:rPr>
                <w:sz w:val="20"/>
              </w:rPr>
              <w:t>? — Whether there can be finding of a BFOR with no evidence from respondent? — How do “true jurisdiction” questions or “margin of appreciation” affect the concept of deference to administrative decision-makers?</w:t>
            </w:r>
          </w:p>
        </w:tc>
      </w:tr>
      <w:tr w:rsidR="00270FA5" w:rsidRPr="00FC5507" w:rsidTr="00602075">
        <w:tc>
          <w:tcPr>
            <w:tcW w:w="5000" w:type="pct"/>
            <w:gridSpan w:val="4"/>
          </w:tcPr>
          <w:p w:rsidR="00270FA5" w:rsidRPr="00FC5507" w:rsidRDefault="00270FA5" w:rsidP="00FC5507">
            <w:pPr>
              <w:jc w:val="both"/>
              <w:rPr>
                <w:sz w:val="20"/>
              </w:rPr>
            </w:pPr>
          </w:p>
        </w:tc>
      </w:tr>
      <w:tr w:rsidR="00270FA5" w:rsidRPr="00FC5507" w:rsidTr="00602075">
        <w:tc>
          <w:tcPr>
            <w:tcW w:w="5000" w:type="pct"/>
            <w:gridSpan w:val="4"/>
          </w:tcPr>
          <w:p w:rsidR="00270FA5" w:rsidRPr="00FC5507" w:rsidRDefault="00270FA5" w:rsidP="00FC5507">
            <w:pPr>
              <w:jc w:val="both"/>
              <w:rPr>
                <w:sz w:val="20"/>
              </w:rPr>
            </w:pPr>
            <w:r w:rsidRPr="00FC5507">
              <w:rPr>
                <w:sz w:val="20"/>
              </w:rPr>
              <w:t xml:space="preserve">In May 2014, the mother of a young child placed an ad on Kijiji seeking someone to care for him every second Saturday. She specified that she preferred an older woman with experience. The applicant responded to the ad but was not accepted for the position. The applicant filed a human rights complaint, alleging discrimination in the area of applications and advertisements regarding employment under s. 8 of the </w:t>
            </w:r>
            <w:r w:rsidRPr="00FC5507">
              <w:rPr>
                <w:i/>
                <w:sz w:val="20"/>
              </w:rPr>
              <w:t>Alberta Human Rights Act</w:t>
            </w:r>
            <w:r w:rsidRPr="00FC5507">
              <w:rPr>
                <w:sz w:val="20"/>
              </w:rPr>
              <w:t>, R.S.A. 2000, c. A</w:t>
            </w:r>
            <w:r w:rsidRPr="00FC5507">
              <w:rPr>
                <w:sz w:val="20"/>
              </w:rPr>
              <w:noBreakHyphen/>
              <w:t xml:space="preserve">25.5. The Director dismissed the compliant on the basis that this was a private relationship, not subject to the </w:t>
            </w:r>
            <w:r w:rsidRPr="00FC5507">
              <w:rPr>
                <w:i/>
                <w:sz w:val="20"/>
              </w:rPr>
              <w:t>Act</w:t>
            </w:r>
            <w:r w:rsidRPr="00FC5507">
              <w:rPr>
                <w:sz w:val="20"/>
              </w:rPr>
              <w:t xml:space="preserve">. And that it was a reasonable </w:t>
            </w:r>
            <w:r w:rsidRPr="00FC5507">
              <w:rPr>
                <w:i/>
                <w:sz w:val="20"/>
              </w:rPr>
              <w:t>bona fide</w:t>
            </w:r>
            <w:r w:rsidRPr="00FC5507">
              <w:rPr>
                <w:sz w:val="20"/>
              </w:rPr>
              <w:t xml:space="preserve"> occupational requirement (“BFOR”) that parents must have the final say in who will babysit their children. The applicant’s request for a review of that decision was dismissed by the Chief of the Commission and Tribunals. His application for judicial review of that decision was dismissed. The Court of Appeal dismissed his appeal.</w:t>
            </w:r>
          </w:p>
          <w:p w:rsidR="00270FA5" w:rsidRPr="00FC5507" w:rsidRDefault="00270FA5" w:rsidP="00FC5507">
            <w:pPr>
              <w:jc w:val="both"/>
              <w:rPr>
                <w:sz w:val="20"/>
              </w:rPr>
            </w:pPr>
          </w:p>
        </w:tc>
      </w:tr>
      <w:tr w:rsidR="00270FA5" w:rsidRPr="00FC5507" w:rsidTr="00602075">
        <w:tc>
          <w:tcPr>
            <w:tcW w:w="2427" w:type="pct"/>
            <w:gridSpan w:val="2"/>
          </w:tcPr>
          <w:p w:rsidR="00270FA5" w:rsidRPr="00FC5507" w:rsidRDefault="00270FA5" w:rsidP="00FC5507">
            <w:pPr>
              <w:jc w:val="both"/>
              <w:rPr>
                <w:sz w:val="20"/>
              </w:rPr>
            </w:pPr>
            <w:r w:rsidRPr="00FC5507">
              <w:rPr>
                <w:sz w:val="20"/>
              </w:rPr>
              <w:t>January 11, 2016</w:t>
            </w:r>
          </w:p>
          <w:p w:rsidR="00270FA5" w:rsidRPr="00FC5507" w:rsidRDefault="00270FA5" w:rsidP="00FC5507">
            <w:pPr>
              <w:jc w:val="both"/>
              <w:rPr>
                <w:sz w:val="20"/>
              </w:rPr>
            </w:pPr>
            <w:r w:rsidRPr="00FC5507">
              <w:rPr>
                <w:sz w:val="20"/>
              </w:rPr>
              <w:t>Alberta Human Rights Commission</w:t>
            </w:r>
          </w:p>
          <w:p w:rsidR="00270FA5" w:rsidRPr="00FC5507" w:rsidRDefault="00270FA5" w:rsidP="00FC5507">
            <w:pPr>
              <w:jc w:val="both"/>
              <w:rPr>
                <w:sz w:val="20"/>
              </w:rPr>
            </w:pPr>
            <w:r w:rsidRPr="00FC5507">
              <w:rPr>
                <w:sz w:val="20"/>
              </w:rPr>
              <w:t xml:space="preserve">Office of Chief of the Commission and </w:t>
            </w:r>
          </w:p>
          <w:p w:rsidR="00270FA5" w:rsidRPr="00FC5507" w:rsidRDefault="00270FA5" w:rsidP="00FC5507">
            <w:pPr>
              <w:jc w:val="both"/>
              <w:rPr>
                <w:sz w:val="20"/>
              </w:rPr>
            </w:pPr>
            <w:r w:rsidRPr="00FC5507">
              <w:rPr>
                <w:sz w:val="20"/>
              </w:rPr>
              <w:t>Tribunals</w:t>
            </w:r>
          </w:p>
          <w:p w:rsidR="00270FA5" w:rsidRPr="00FC5507" w:rsidRDefault="00270FA5" w:rsidP="00FC5507">
            <w:pPr>
              <w:jc w:val="both"/>
              <w:rPr>
                <w:sz w:val="20"/>
              </w:rPr>
            </w:pPr>
            <w:r w:rsidRPr="00FC5507">
              <w:rPr>
                <w:sz w:val="20"/>
              </w:rPr>
              <w:t>(Philp Q.C.)</w:t>
            </w:r>
          </w:p>
          <w:p w:rsidR="00270FA5" w:rsidRPr="00FC5507" w:rsidRDefault="00270FA5" w:rsidP="00FC5507">
            <w:pPr>
              <w:jc w:val="both"/>
              <w:rPr>
                <w:sz w:val="20"/>
              </w:rPr>
            </w:pPr>
          </w:p>
        </w:tc>
        <w:tc>
          <w:tcPr>
            <w:tcW w:w="243" w:type="pct"/>
          </w:tcPr>
          <w:p w:rsidR="00270FA5" w:rsidRPr="00FC5507" w:rsidRDefault="00270FA5" w:rsidP="00FC5507">
            <w:pPr>
              <w:jc w:val="both"/>
              <w:rPr>
                <w:sz w:val="20"/>
              </w:rPr>
            </w:pPr>
          </w:p>
        </w:tc>
        <w:tc>
          <w:tcPr>
            <w:tcW w:w="2330" w:type="pct"/>
          </w:tcPr>
          <w:p w:rsidR="00270FA5" w:rsidRPr="00FC5507" w:rsidRDefault="00270FA5" w:rsidP="00FC5507">
            <w:pPr>
              <w:jc w:val="both"/>
              <w:rPr>
                <w:sz w:val="20"/>
              </w:rPr>
            </w:pPr>
            <w:r w:rsidRPr="00FC5507">
              <w:rPr>
                <w:sz w:val="20"/>
              </w:rPr>
              <w:t>Applicant’s appeal from decision of Director to dismiss his complaint, dismissed</w:t>
            </w:r>
          </w:p>
        </w:tc>
      </w:tr>
      <w:tr w:rsidR="00270FA5" w:rsidRPr="00FC5507" w:rsidTr="00602075">
        <w:tc>
          <w:tcPr>
            <w:tcW w:w="2427" w:type="pct"/>
            <w:gridSpan w:val="2"/>
          </w:tcPr>
          <w:p w:rsidR="00270FA5" w:rsidRPr="00FC5507" w:rsidRDefault="00270FA5" w:rsidP="00FC5507">
            <w:pPr>
              <w:jc w:val="both"/>
              <w:rPr>
                <w:sz w:val="20"/>
              </w:rPr>
            </w:pPr>
            <w:r w:rsidRPr="00FC5507">
              <w:rPr>
                <w:sz w:val="20"/>
              </w:rPr>
              <w:lastRenderedPageBreak/>
              <w:t>December 4, 2017</w:t>
            </w:r>
          </w:p>
          <w:p w:rsidR="00270FA5" w:rsidRPr="00FC5507" w:rsidRDefault="00270FA5" w:rsidP="00FC5507">
            <w:pPr>
              <w:jc w:val="both"/>
              <w:rPr>
                <w:sz w:val="20"/>
              </w:rPr>
            </w:pPr>
            <w:r w:rsidRPr="00FC5507">
              <w:rPr>
                <w:sz w:val="20"/>
              </w:rPr>
              <w:t>Court of Queen’s Bench of Alberta</w:t>
            </w:r>
          </w:p>
          <w:p w:rsidR="00270FA5" w:rsidRPr="00FC5507" w:rsidRDefault="00270FA5" w:rsidP="00FC5507">
            <w:pPr>
              <w:jc w:val="both"/>
              <w:rPr>
                <w:sz w:val="20"/>
              </w:rPr>
            </w:pPr>
            <w:r w:rsidRPr="00FC5507">
              <w:rPr>
                <w:sz w:val="20"/>
              </w:rPr>
              <w:t>(Pentelechuk J.)</w:t>
            </w:r>
          </w:p>
          <w:p w:rsidR="00270FA5" w:rsidRPr="00FC5507" w:rsidRDefault="00685225" w:rsidP="00FC5507">
            <w:pPr>
              <w:jc w:val="both"/>
              <w:rPr>
                <w:sz w:val="20"/>
              </w:rPr>
            </w:pPr>
            <w:hyperlink r:id="rId105" w:history="1">
              <w:r w:rsidR="00270FA5" w:rsidRPr="00FC5507">
                <w:rPr>
                  <w:rStyle w:val="Hyperlink"/>
                  <w:sz w:val="20"/>
                </w:rPr>
                <w:t>2017 ABQB 745</w:t>
              </w:r>
            </w:hyperlink>
          </w:p>
          <w:p w:rsidR="00270FA5" w:rsidRPr="00FC5507" w:rsidRDefault="00270FA5" w:rsidP="00FC5507">
            <w:pPr>
              <w:jc w:val="both"/>
              <w:rPr>
                <w:sz w:val="20"/>
              </w:rPr>
            </w:pPr>
          </w:p>
        </w:tc>
        <w:tc>
          <w:tcPr>
            <w:tcW w:w="243" w:type="pct"/>
          </w:tcPr>
          <w:p w:rsidR="00270FA5" w:rsidRPr="00FC5507" w:rsidRDefault="00270FA5" w:rsidP="00FC5507">
            <w:pPr>
              <w:jc w:val="both"/>
              <w:rPr>
                <w:sz w:val="20"/>
              </w:rPr>
            </w:pPr>
          </w:p>
        </w:tc>
        <w:tc>
          <w:tcPr>
            <w:tcW w:w="2330" w:type="pct"/>
          </w:tcPr>
          <w:p w:rsidR="00270FA5" w:rsidRPr="00FC5507" w:rsidRDefault="00270FA5" w:rsidP="00FC5507">
            <w:pPr>
              <w:jc w:val="both"/>
              <w:rPr>
                <w:sz w:val="20"/>
              </w:rPr>
            </w:pPr>
            <w:r w:rsidRPr="00FC5507">
              <w:rPr>
                <w:sz w:val="20"/>
              </w:rPr>
              <w:t>Applicant’s application for judicial review of decision of Chief Commissioner dismissed</w:t>
            </w:r>
          </w:p>
          <w:p w:rsidR="00270FA5" w:rsidRPr="00FC5507" w:rsidRDefault="00270FA5" w:rsidP="00FC5507">
            <w:pPr>
              <w:jc w:val="both"/>
              <w:rPr>
                <w:sz w:val="20"/>
              </w:rPr>
            </w:pPr>
          </w:p>
          <w:p w:rsidR="00270FA5" w:rsidRPr="00FC5507" w:rsidRDefault="00270FA5" w:rsidP="00FC5507">
            <w:pPr>
              <w:jc w:val="both"/>
              <w:rPr>
                <w:sz w:val="20"/>
              </w:rPr>
            </w:pPr>
          </w:p>
        </w:tc>
      </w:tr>
      <w:tr w:rsidR="00270FA5" w:rsidRPr="00FC5507" w:rsidTr="00602075">
        <w:tc>
          <w:tcPr>
            <w:tcW w:w="2427" w:type="pct"/>
            <w:gridSpan w:val="2"/>
          </w:tcPr>
          <w:p w:rsidR="00270FA5" w:rsidRPr="00FC5507" w:rsidRDefault="00270FA5" w:rsidP="00FC5507">
            <w:pPr>
              <w:jc w:val="both"/>
              <w:rPr>
                <w:sz w:val="20"/>
              </w:rPr>
            </w:pPr>
            <w:r w:rsidRPr="00FC5507">
              <w:rPr>
                <w:sz w:val="20"/>
              </w:rPr>
              <w:t>November 30, 2018</w:t>
            </w:r>
          </w:p>
          <w:p w:rsidR="00270FA5" w:rsidRPr="00FC5507" w:rsidRDefault="00270FA5" w:rsidP="00FC5507">
            <w:pPr>
              <w:jc w:val="both"/>
              <w:rPr>
                <w:sz w:val="20"/>
              </w:rPr>
            </w:pPr>
            <w:r w:rsidRPr="00FC5507">
              <w:rPr>
                <w:sz w:val="20"/>
              </w:rPr>
              <w:t>Court of Appeal of Alberta (Edmonton)</w:t>
            </w:r>
          </w:p>
          <w:p w:rsidR="00270FA5" w:rsidRPr="00FC5507" w:rsidRDefault="00270FA5" w:rsidP="00FC5507">
            <w:pPr>
              <w:jc w:val="both"/>
              <w:rPr>
                <w:sz w:val="20"/>
              </w:rPr>
            </w:pPr>
            <w:r w:rsidRPr="00FC5507">
              <w:rPr>
                <w:sz w:val="20"/>
              </w:rPr>
              <w:t>(Costigan, O'Ferrall and Wakeling JJ.A.)</w:t>
            </w:r>
          </w:p>
          <w:p w:rsidR="00270FA5" w:rsidRPr="00FC5507" w:rsidRDefault="00270FA5" w:rsidP="00FC5507">
            <w:pPr>
              <w:jc w:val="both"/>
              <w:rPr>
                <w:sz w:val="20"/>
              </w:rPr>
            </w:pPr>
            <w:r w:rsidRPr="00FC5507">
              <w:rPr>
                <w:sz w:val="20"/>
              </w:rPr>
              <w:t>Unreported</w:t>
            </w:r>
          </w:p>
          <w:p w:rsidR="00270FA5" w:rsidRPr="00FC5507" w:rsidRDefault="00270FA5" w:rsidP="00FC5507">
            <w:pPr>
              <w:jc w:val="both"/>
              <w:rPr>
                <w:sz w:val="20"/>
              </w:rPr>
            </w:pPr>
          </w:p>
        </w:tc>
        <w:tc>
          <w:tcPr>
            <w:tcW w:w="243" w:type="pct"/>
          </w:tcPr>
          <w:p w:rsidR="00270FA5" w:rsidRPr="00FC5507" w:rsidRDefault="00270FA5" w:rsidP="00FC5507">
            <w:pPr>
              <w:jc w:val="both"/>
              <w:rPr>
                <w:sz w:val="20"/>
              </w:rPr>
            </w:pPr>
          </w:p>
        </w:tc>
        <w:tc>
          <w:tcPr>
            <w:tcW w:w="2330" w:type="pct"/>
          </w:tcPr>
          <w:p w:rsidR="00270FA5" w:rsidRPr="00FC5507" w:rsidRDefault="00270FA5" w:rsidP="00FC5507">
            <w:pPr>
              <w:jc w:val="both"/>
              <w:rPr>
                <w:sz w:val="20"/>
              </w:rPr>
            </w:pPr>
            <w:r w:rsidRPr="00FC5507">
              <w:rPr>
                <w:sz w:val="20"/>
              </w:rPr>
              <w:t>Applicant’s appeal dismissed</w:t>
            </w:r>
          </w:p>
          <w:p w:rsidR="00270FA5" w:rsidRPr="00FC5507" w:rsidRDefault="00270FA5" w:rsidP="00FC5507">
            <w:pPr>
              <w:jc w:val="both"/>
              <w:rPr>
                <w:sz w:val="20"/>
              </w:rPr>
            </w:pPr>
          </w:p>
        </w:tc>
      </w:tr>
      <w:tr w:rsidR="00270FA5" w:rsidRPr="00FC5507" w:rsidTr="00602075">
        <w:tc>
          <w:tcPr>
            <w:tcW w:w="2427" w:type="pct"/>
            <w:gridSpan w:val="2"/>
          </w:tcPr>
          <w:p w:rsidR="00270FA5" w:rsidRPr="00FC5507" w:rsidRDefault="00270FA5" w:rsidP="00FC5507">
            <w:pPr>
              <w:jc w:val="both"/>
              <w:rPr>
                <w:sz w:val="20"/>
              </w:rPr>
            </w:pPr>
            <w:r w:rsidRPr="00FC5507">
              <w:rPr>
                <w:sz w:val="20"/>
              </w:rPr>
              <w:t>December 21, 2018</w:t>
            </w:r>
          </w:p>
          <w:p w:rsidR="00270FA5" w:rsidRPr="00FC5507" w:rsidRDefault="00270FA5" w:rsidP="00FC5507">
            <w:pPr>
              <w:jc w:val="both"/>
              <w:rPr>
                <w:sz w:val="20"/>
              </w:rPr>
            </w:pPr>
            <w:r w:rsidRPr="00FC5507">
              <w:rPr>
                <w:sz w:val="20"/>
              </w:rPr>
              <w:t>Supreme Court of Canada</w:t>
            </w:r>
          </w:p>
        </w:tc>
        <w:tc>
          <w:tcPr>
            <w:tcW w:w="243" w:type="pct"/>
          </w:tcPr>
          <w:p w:rsidR="00270FA5" w:rsidRPr="00FC5507" w:rsidRDefault="00270FA5" w:rsidP="00FC5507">
            <w:pPr>
              <w:jc w:val="both"/>
              <w:rPr>
                <w:sz w:val="20"/>
              </w:rPr>
            </w:pPr>
          </w:p>
        </w:tc>
        <w:tc>
          <w:tcPr>
            <w:tcW w:w="2330" w:type="pct"/>
          </w:tcPr>
          <w:p w:rsidR="00270FA5" w:rsidRPr="00FC5507" w:rsidRDefault="00270FA5" w:rsidP="00FC5507">
            <w:pPr>
              <w:jc w:val="both"/>
              <w:rPr>
                <w:sz w:val="20"/>
              </w:rPr>
            </w:pPr>
            <w:r w:rsidRPr="00FC5507">
              <w:rPr>
                <w:sz w:val="20"/>
              </w:rPr>
              <w:t>Application for leave to appeal filed</w:t>
            </w:r>
          </w:p>
          <w:p w:rsidR="00270FA5" w:rsidRPr="00FC5507" w:rsidRDefault="00270FA5" w:rsidP="00FC5507">
            <w:pPr>
              <w:jc w:val="both"/>
              <w:rPr>
                <w:sz w:val="20"/>
              </w:rPr>
            </w:pPr>
          </w:p>
        </w:tc>
      </w:tr>
    </w:tbl>
    <w:p w:rsidR="00270FA5" w:rsidRDefault="00270FA5" w:rsidP="00FC5507">
      <w:pPr>
        <w:jc w:val="both"/>
        <w:rPr>
          <w:sz w:val="20"/>
        </w:rPr>
      </w:pPr>
    </w:p>
    <w:p w:rsidR="00A6684F" w:rsidRDefault="00A6684F" w:rsidP="00FC5507">
      <w:pPr>
        <w:jc w:val="both"/>
        <w:rPr>
          <w:sz w:val="20"/>
        </w:rPr>
      </w:pPr>
      <w:r>
        <w:rPr>
          <w:sz w:val="20"/>
        </w:rPr>
        <w:pict>
          <v:rect id="_x0000_i1059" style="width:2in;height:1pt" o:hrpct="0" o:hralign="center" o:hrstd="t" o:hrnoshade="t" o:hr="t" fillcolor="black [3213]" stroked="f"/>
        </w:pict>
      </w:r>
    </w:p>
    <w:p w:rsidR="004C3C2F" w:rsidRPr="00FC5507" w:rsidRDefault="004C3C2F"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0FA5" w:rsidRPr="00FC5507" w:rsidTr="00602075">
        <w:tc>
          <w:tcPr>
            <w:tcW w:w="543" w:type="pct"/>
          </w:tcPr>
          <w:p w:rsidR="00270FA5" w:rsidRPr="00FC5507" w:rsidRDefault="00270FA5" w:rsidP="00FC5507">
            <w:pPr>
              <w:jc w:val="both"/>
              <w:rPr>
                <w:sz w:val="20"/>
                <w:lang w:val="fr-CA"/>
              </w:rPr>
            </w:pPr>
            <w:r w:rsidRPr="00FC5507">
              <w:rPr>
                <w:rStyle w:val="SCCFileNumberChar"/>
                <w:sz w:val="20"/>
                <w:szCs w:val="20"/>
                <w:lang w:val="fr-CA"/>
              </w:rPr>
              <w:t>38527</w:t>
            </w:r>
          </w:p>
        </w:tc>
        <w:tc>
          <w:tcPr>
            <w:tcW w:w="4457" w:type="pct"/>
            <w:gridSpan w:val="3"/>
          </w:tcPr>
          <w:p w:rsidR="00270FA5" w:rsidRPr="004C3C2F" w:rsidRDefault="00270FA5" w:rsidP="00FC5507">
            <w:pPr>
              <w:pStyle w:val="SCCLsocParty"/>
              <w:jc w:val="both"/>
              <w:rPr>
                <w:b/>
                <w:sz w:val="20"/>
                <w:szCs w:val="20"/>
                <w:lang w:val="en-US"/>
              </w:rPr>
            </w:pPr>
            <w:r w:rsidRPr="004C3C2F">
              <w:rPr>
                <w:b/>
                <w:sz w:val="20"/>
                <w:szCs w:val="20"/>
                <w:lang w:val="en-US"/>
              </w:rPr>
              <w:t>James Cyrynowski c. Alberta Human Rights Commission (Chief of the Commission and Tribunals)</w:t>
            </w:r>
          </w:p>
          <w:p w:rsidR="00270FA5" w:rsidRPr="00FC5507" w:rsidRDefault="00270FA5" w:rsidP="00FC5507">
            <w:pPr>
              <w:jc w:val="both"/>
              <w:rPr>
                <w:sz w:val="20"/>
                <w:lang w:val="fr-CA"/>
              </w:rPr>
            </w:pPr>
            <w:r w:rsidRPr="00FC5507">
              <w:rPr>
                <w:sz w:val="20"/>
                <w:lang w:val="fr-CA"/>
              </w:rPr>
              <w:t>(Alb.) (Civile) (Autorisation)</w:t>
            </w:r>
          </w:p>
        </w:tc>
      </w:tr>
      <w:tr w:rsidR="00270FA5" w:rsidRPr="00A6684F" w:rsidTr="00602075">
        <w:tc>
          <w:tcPr>
            <w:tcW w:w="5000" w:type="pct"/>
            <w:gridSpan w:val="4"/>
          </w:tcPr>
          <w:p w:rsidR="00270FA5" w:rsidRPr="00FC5507" w:rsidRDefault="00270FA5" w:rsidP="00FC5507">
            <w:pPr>
              <w:jc w:val="both"/>
              <w:rPr>
                <w:sz w:val="20"/>
                <w:lang w:val="fr-CA"/>
              </w:rPr>
            </w:pPr>
            <w:r w:rsidRPr="00FC5507">
              <w:rPr>
                <w:sz w:val="20"/>
                <w:lang w:val="fr-CA"/>
              </w:rPr>
              <w:t xml:space="preserve">Droits de la personne — Pratiques discriminatoires — Le demandeur a déposé une plainte relative aux droits de la personne contre une personne qui a fait paraître une offre d’emploi fondée sur le sexe — La </w:t>
            </w:r>
            <w:r w:rsidRPr="00FC5507">
              <w:rPr>
                <w:i/>
                <w:sz w:val="20"/>
                <w:lang w:val="fr-CA"/>
              </w:rPr>
              <w:t>Family Law Act</w:t>
            </w:r>
            <w:r w:rsidRPr="00FC5507">
              <w:rPr>
                <w:sz w:val="20"/>
                <w:lang w:val="fr-CA"/>
              </w:rPr>
              <w:t xml:space="preserve"> a</w:t>
            </w:r>
            <w:r w:rsidRPr="00FC5507">
              <w:rPr>
                <w:sz w:val="20"/>
                <w:lang w:val="fr-CA"/>
              </w:rPr>
              <w:noBreakHyphen/>
              <w:t>t</w:t>
            </w:r>
            <w:r w:rsidRPr="00FC5507">
              <w:rPr>
                <w:sz w:val="20"/>
                <w:lang w:val="fr-CA"/>
              </w:rPr>
              <w:noBreakHyphen/>
              <w:t>elle une incidence sur la compétence du commissaire en chef? — La norme de la décision correcte s’applique</w:t>
            </w:r>
            <w:r w:rsidRPr="00FC5507">
              <w:rPr>
                <w:sz w:val="20"/>
                <w:lang w:val="fr-CA"/>
              </w:rPr>
              <w:noBreakHyphen/>
              <w:t>t</w:t>
            </w:r>
            <w:r w:rsidRPr="00FC5507">
              <w:rPr>
                <w:sz w:val="20"/>
                <w:lang w:val="fr-CA"/>
              </w:rPr>
              <w:noBreakHyphen/>
              <w:t>elle lorsque le décideur agissant sous le régime de l’</w:t>
            </w:r>
            <w:r w:rsidRPr="00FC5507">
              <w:rPr>
                <w:i/>
                <w:sz w:val="20"/>
                <w:lang w:val="fr-CA"/>
              </w:rPr>
              <w:t>Alberta Human Rights Act</w:t>
            </w:r>
            <w:r w:rsidRPr="00FC5507">
              <w:rPr>
                <w:sz w:val="20"/>
                <w:lang w:val="fr-CA"/>
              </w:rPr>
              <w:t xml:space="preserve"> mentionne la </w:t>
            </w:r>
            <w:r w:rsidRPr="00FC5507">
              <w:rPr>
                <w:i/>
                <w:sz w:val="20"/>
                <w:lang w:val="fr-CA"/>
              </w:rPr>
              <w:t>Family Law Act</w:t>
            </w:r>
            <w:r w:rsidRPr="00FC5507">
              <w:rPr>
                <w:sz w:val="20"/>
                <w:lang w:val="fr-CA"/>
              </w:rPr>
              <w:t>? — Peut</w:t>
            </w:r>
            <w:r w:rsidRPr="00FC5507">
              <w:rPr>
                <w:sz w:val="20"/>
                <w:lang w:val="fr-CA"/>
              </w:rPr>
              <w:noBreakHyphen/>
              <w:t>il y avoir une conclusion d’EPJ en l’absence de preuve de l’intimée? — Quelle incidence ont les « véritables questions de compétence » ou la « marge d’appréciation » sur la notion de déférence à l’égard des décideurs administratifs?</w:t>
            </w:r>
          </w:p>
        </w:tc>
      </w:tr>
      <w:tr w:rsidR="00270FA5" w:rsidRPr="00A6684F" w:rsidTr="00602075">
        <w:tc>
          <w:tcPr>
            <w:tcW w:w="5000" w:type="pct"/>
            <w:gridSpan w:val="4"/>
          </w:tcPr>
          <w:p w:rsidR="00270FA5" w:rsidRPr="00FC5507" w:rsidRDefault="00270FA5" w:rsidP="00FC5507">
            <w:pPr>
              <w:jc w:val="both"/>
              <w:rPr>
                <w:sz w:val="20"/>
                <w:lang w:val="fr-CA"/>
              </w:rPr>
            </w:pPr>
          </w:p>
        </w:tc>
      </w:tr>
      <w:tr w:rsidR="00270FA5" w:rsidRPr="00FC5507" w:rsidTr="00602075">
        <w:tc>
          <w:tcPr>
            <w:tcW w:w="5000" w:type="pct"/>
            <w:gridSpan w:val="4"/>
          </w:tcPr>
          <w:p w:rsidR="00270FA5" w:rsidRPr="00FC5507" w:rsidRDefault="00270FA5" w:rsidP="00FC5507">
            <w:pPr>
              <w:jc w:val="both"/>
              <w:rPr>
                <w:sz w:val="20"/>
                <w:lang w:val="fr-CA"/>
              </w:rPr>
            </w:pPr>
            <w:r w:rsidRPr="00FC5507">
              <w:rPr>
                <w:sz w:val="20"/>
                <w:lang w:val="fr-CA"/>
              </w:rPr>
              <w:t>En mai 2014, la mère d’un jeune enfant a fait paraître une annonce sur Kijiji à la recherche de quelqu’un pour s’occuper de l’enfant un samedi sur deux. Elle a précisé qu’elle préférait une femme plus âgée avec de l’expérience. Le demandeur a répondu à l’annonce, mais il n’a pas été retenu pour le poste. Le demandeur a déposé une plainte relative aux droits de la personne, alléguant la discrimination en matière de demandes et d’offres d’emploi visée à l’art. 8 de l’</w:t>
            </w:r>
            <w:r w:rsidRPr="00FC5507">
              <w:rPr>
                <w:i/>
                <w:sz w:val="20"/>
                <w:lang w:val="fr-CA"/>
              </w:rPr>
              <w:t>Alberta Human Rights Act</w:t>
            </w:r>
            <w:r w:rsidRPr="00FC5507">
              <w:rPr>
                <w:sz w:val="20"/>
                <w:lang w:val="fr-CA"/>
              </w:rPr>
              <w:t>, R.S.A. 2000, ch. A</w:t>
            </w:r>
            <w:r w:rsidRPr="00FC5507">
              <w:rPr>
                <w:sz w:val="20"/>
                <w:lang w:val="fr-CA"/>
              </w:rPr>
              <w:noBreakHyphen/>
              <w:t xml:space="preserve">25.5. Le directeur a rejeté la plainte au motif qu’il s’agissait d’une relation privée, non assujettie à la </w:t>
            </w:r>
            <w:r w:rsidRPr="00FC5507">
              <w:rPr>
                <w:i/>
                <w:sz w:val="20"/>
                <w:lang w:val="fr-CA"/>
              </w:rPr>
              <w:t>Loi</w:t>
            </w:r>
            <w:r w:rsidRPr="00FC5507">
              <w:rPr>
                <w:sz w:val="20"/>
                <w:lang w:val="fr-CA"/>
              </w:rPr>
              <w:t>. Il a statué également que, sur la question de savoir qui allait garder leurs enfants, les parents devaient avoir le dernier mot et qu’il s’agissait là d’une exigence professionnelle justifiée (« EPJ »). La requête du demandeur d’un examen de cette décision a été rejetée par le chef de la commission et des tribunaux. Sa demande de contrôle judiciaire de cette décision a été rejetée. La Cour d’appel a rejeté son appel.</w:t>
            </w:r>
          </w:p>
          <w:p w:rsidR="00270FA5" w:rsidRPr="00FC5507" w:rsidRDefault="00270FA5" w:rsidP="00FC5507">
            <w:pPr>
              <w:jc w:val="both"/>
              <w:rPr>
                <w:sz w:val="20"/>
                <w:lang w:val="fr-CA"/>
              </w:rPr>
            </w:pPr>
          </w:p>
        </w:tc>
      </w:tr>
      <w:tr w:rsidR="00270FA5" w:rsidRPr="00A6684F" w:rsidTr="00602075">
        <w:tc>
          <w:tcPr>
            <w:tcW w:w="2427" w:type="pct"/>
            <w:gridSpan w:val="2"/>
          </w:tcPr>
          <w:p w:rsidR="00270FA5" w:rsidRPr="00FC5507" w:rsidRDefault="00270FA5" w:rsidP="00FC5507">
            <w:pPr>
              <w:jc w:val="both"/>
              <w:rPr>
                <w:sz w:val="20"/>
              </w:rPr>
            </w:pPr>
            <w:r w:rsidRPr="00FC5507">
              <w:rPr>
                <w:sz w:val="20"/>
              </w:rPr>
              <w:t>11 janvier 2016</w:t>
            </w:r>
          </w:p>
          <w:p w:rsidR="00270FA5" w:rsidRPr="00FC5507" w:rsidRDefault="00270FA5" w:rsidP="00FC5507">
            <w:pPr>
              <w:jc w:val="both"/>
              <w:rPr>
                <w:sz w:val="20"/>
              </w:rPr>
            </w:pPr>
            <w:r w:rsidRPr="00FC5507">
              <w:rPr>
                <w:sz w:val="20"/>
              </w:rPr>
              <w:t>Alberta Human Rights Commission</w:t>
            </w:r>
          </w:p>
          <w:p w:rsidR="00270FA5" w:rsidRPr="00FC5507" w:rsidRDefault="00270FA5" w:rsidP="00FC5507">
            <w:pPr>
              <w:jc w:val="both"/>
              <w:rPr>
                <w:sz w:val="20"/>
              </w:rPr>
            </w:pPr>
            <w:r w:rsidRPr="00FC5507">
              <w:rPr>
                <w:sz w:val="20"/>
              </w:rPr>
              <w:t xml:space="preserve">Office of Chief of the Commission and </w:t>
            </w:r>
          </w:p>
          <w:p w:rsidR="00270FA5" w:rsidRPr="00FC5507" w:rsidRDefault="00270FA5" w:rsidP="00FC5507">
            <w:pPr>
              <w:jc w:val="both"/>
              <w:rPr>
                <w:sz w:val="20"/>
                <w:lang w:val="fr-CA"/>
              </w:rPr>
            </w:pPr>
            <w:proofErr w:type="spellStart"/>
            <w:r w:rsidRPr="00FC5507">
              <w:rPr>
                <w:sz w:val="20"/>
                <w:lang w:val="fr-CA"/>
              </w:rPr>
              <w:t>Tribunals</w:t>
            </w:r>
            <w:proofErr w:type="spellEnd"/>
          </w:p>
          <w:p w:rsidR="00270FA5" w:rsidRPr="00FC5507" w:rsidRDefault="00270FA5" w:rsidP="00FC5507">
            <w:pPr>
              <w:jc w:val="both"/>
              <w:rPr>
                <w:sz w:val="20"/>
                <w:lang w:val="fr-CA"/>
              </w:rPr>
            </w:pPr>
            <w:r w:rsidRPr="00FC5507">
              <w:rPr>
                <w:sz w:val="20"/>
                <w:lang w:val="fr-CA"/>
              </w:rPr>
              <w:t>(M</w:t>
            </w:r>
            <w:r w:rsidRPr="00FC5507">
              <w:rPr>
                <w:sz w:val="20"/>
                <w:vertAlign w:val="superscript"/>
                <w:lang w:val="fr-CA"/>
              </w:rPr>
              <w:t>e</w:t>
            </w:r>
            <w:r w:rsidRPr="00FC5507">
              <w:rPr>
                <w:sz w:val="20"/>
                <w:lang w:val="fr-CA"/>
              </w:rPr>
              <w:t xml:space="preserve"> Philp c.r.)</w:t>
            </w:r>
          </w:p>
          <w:p w:rsidR="00270FA5" w:rsidRPr="00FC5507" w:rsidRDefault="00270FA5" w:rsidP="00FC5507">
            <w:pPr>
              <w:jc w:val="both"/>
              <w:rPr>
                <w:sz w:val="20"/>
                <w:lang w:val="fr-CA"/>
              </w:rPr>
            </w:pPr>
          </w:p>
        </w:tc>
        <w:tc>
          <w:tcPr>
            <w:tcW w:w="243" w:type="pct"/>
          </w:tcPr>
          <w:p w:rsidR="00270FA5" w:rsidRPr="00FC5507" w:rsidRDefault="00270FA5" w:rsidP="00FC5507">
            <w:pPr>
              <w:jc w:val="both"/>
              <w:rPr>
                <w:sz w:val="20"/>
                <w:lang w:val="fr-CA"/>
              </w:rPr>
            </w:pPr>
          </w:p>
        </w:tc>
        <w:tc>
          <w:tcPr>
            <w:tcW w:w="2330" w:type="pct"/>
          </w:tcPr>
          <w:p w:rsidR="00270FA5" w:rsidRPr="00FC5507" w:rsidRDefault="00270FA5" w:rsidP="00FC5507">
            <w:pPr>
              <w:jc w:val="both"/>
              <w:rPr>
                <w:sz w:val="20"/>
                <w:lang w:val="fr-CA"/>
              </w:rPr>
            </w:pPr>
            <w:r w:rsidRPr="00FC5507">
              <w:rPr>
                <w:sz w:val="20"/>
                <w:lang w:val="fr-CA"/>
              </w:rPr>
              <w:t>Rejet de l’appel du demandeur de la décision du directeur de rejeter sa plainte</w:t>
            </w:r>
          </w:p>
        </w:tc>
      </w:tr>
      <w:tr w:rsidR="00270FA5" w:rsidRPr="00A6684F" w:rsidTr="00602075">
        <w:tc>
          <w:tcPr>
            <w:tcW w:w="2427" w:type="pct"/>
            <w:gridSpan w:val="2"/>
          </w:tcPr>
          <w:p w:rsidR="00270FA5" w:rsidRPr="00FC5507" w:rsidRDefault="00270FA5" w:rsidP="00FC5507">
            <w:pPr>
              <w:jc w:val="both"/>
              <w:rPr>
                <w:sz w:val="20"/>
                <w:lang w:val="fr-CA"/>
              </w:rPr>
            </w:pPr>
            <w:r w:rsidRPr="00FC5507">
              <w:rPr>
                <w:sz w:val="20"/>
                <w:lang w:val="fr-CA"/>
              </w:rPr>
              <w:t>4 décembre 2017</w:t>
            </w:r>
          </w:p>
          <w:p w:rsidR="00270FA5" w:rsidRPr="00FC5507" w:rsidRDefault="00270FA5" w:rsidP="00FC5507">
            <w:pPr>
              <w:jc w:val="both"/>
              <w:rPr>
                <w:sz w:val="20"/>
                <w:lang w:val="fr-CA"/>
              </w:rPr>
            </w:pPr>
            <w:r w:rsidRPr="00FC5507">
              <w:rPr>
                <w:sz w:val="20"/>
                <w:lang w:val="fr-CA"/>
              </w:rPr>
              <w:t>Cour du Banc de la Reine de l’Alberta</w:t>
            </w:r>
          </w:p>
          <w:p w:rsidR="00270FA5" w:rsidRPr="00FC5507" w:rsidRDefault="00270FA5" w:rsidP="00FC5507">
            <w:pPr>
              <w:jc w:val="both"/>
              <w:rPr>
                <w:sz w:val="20"/>
                <w:lang w:val="fr-CA"/>
              </w:rPr>
            </w:pPr>
            <w:r w:rsidRPr="00FC5507">
              <w:rPr>
                <w:sz w:val="20"/>
                <w:lang w:val="fr-CA"/>
              </w:rPr>
              <w:t>(Juge Pentelechuk)</w:t>
            </w:r>
          </w:p>
          <w:p w:rsidR="00270FA5" w:rsidRPr="00FC5507" w:rsidRDefault="00685225" w:rsidP="00FC5507">
            <w:pPr>
              <w:jc w:val="both"/>
              <w:rPr>
                <w:sz w:val="20"/>
                <w:lang w:val="fr-CA"/>
              </w:rPr>
            </w:pPr>
            <w:hyperlink r:id="rId106" w:history="1">
              <w:r w:rsidR="00270FA5" w:rsidRPr="00FC5507">
                <w:rPr>
                  <w:rStyle w:val="Hyperlink"/>
                  <w:sz w:val="20"/>
                  <w:lang w:val="fr-CA"/>
                </w:rPr>
                <w:t>2017 ABQB 745</w:t>
              </w:r>
            </w:hyperlink>
          </w:p>
          <w:p w:rsidR="00270FA5" w:rsidRPr="00FC5507" w:rsidRDefault="00270FA5" w:rsidP="00FC5507">
            <w:pPr>
              <w:jc w:val="both"/>
              <w:rPr>
                <w:sz w:val="20"/>
                <w:lang w:val="fr-CA"/>
              </w:rPr>
            </w:pPr>
          </w:p>
        </w:tc>
        <w:tc>
          <w:tcPr>
            <w:tcW w:w="243" w:type="pct"/>
          </w:tcPr>
          <w:p w:rsidR="00270FA5" w:rsidRPr="00FC5507" w:rsidRDefault="00270FA5" w:rsidP="00FC5507">
            <w:pPr>
              <w:jc w:val="both"/>
              <w:rPr>
                <w:sz w:val="20"/>
                <w:lang w:val="fr-CA"/>
              </w:rPr>
            </w:pPr>
          </w:p>
        </w:tc>
        <w:tc>
          <w:tcPr>
            <w:tcW w:w="2330" w:type="pct"/>
          </w:tcPr>
          <w:p w:rsidR="00270FA5" w:rsidRPr="00FC5507" w:rsidRDefault="00270FA5" w:rsidP="00FC5507">
            <w:pPr>
              <w:jc w:val="both"/>
              <w:rPr>
                <w:sz w:val="20"/>
                <w:lang w:val="fr-CA"/>
              </w:rPr>
            </w:pPr>
            <w:r w:rsidRPr="00FC5507">
              <w:rPr>
                <w:sz w:val="20"/>
                <w:lang w:val="fr-CA"/>
              </w:rPr>
              <w:t>Rejet de la requête du demandeur en contrôle judiciaire de la décision du commissaire en chef</w:t>
            </w:r>
          </w:p>
          <w:p w:rsidR="00270FA5" w:rsidRPr="00FC5507" w:rsidRDefault="00270FA5" w:rsidP="00FC5507">
            <w:pPr>
              <w:jc w:val="both"/>
              <w:rPr>
                <w:sz w:val="20"/>
                <w:lang w:val="fr-CA"/>
              </w:rPr>
            </w:pPr>
          </w:p>
          <w:p w:rsidR="00270FA5" w:rsidRPr="00FC5507" w:rsidRDefault="00270FA5" w:rsidP="00FC5507">
            <w:pPr>
              <w:jc w:val="both"/>
              <w:rPr>
                <w:sz w:val="20"/>
                <w:lang w:val="fr-CA"/>
              </w:rPr>
            </w:pPr>
          </w:p>
        </w:tc>
      </w:tr>
      <w:tr w:rsidR="00270FA5" w:rsidRPr="00FC5507" w:rsidTr="00602075">
        <w:tc>
          <w:tcPr>
            <w:tcW w:w="2427" w:type="pct"/>
            <w:gridSpan w:val="2"/>
          </w:tcPr>
          <w:p w:rsidR="00270FA5" w:rsidRPr="00FC5507" w:rsidRDefault="00270FA5" w:rsidP="00FC5507">
            <w:pPr>
              <w:jc w:val="both"/>
              <w:rPr>
                <w:sz w:val="20"/>
                <w:lang w:val="fr-CA"/>
              </w:rPr>
            </w:pPr>
            <w:r w:rsidRPr="00FC5507">
              <w:rPr>
                <w:sz w:val="20"/>
                <w:lang w:val="fr-CA"/>
              </w:rPr>
              <w:t>30 novembre 2018</w:t>
            </w:r>
          </w:p>
          <w:p w:rsidR="00270FA5" w:rsidRPr="00FC5507" w:rsidRDefault="00270FA5" w:rsidP="00FC5507">
            <w:pPr>
              <w:jc w:val="both"/>
              <w:rPr>
                <w:sz w:val="20"/>
                <w:lang w:val="fr-CA"/>
              </w:rPr>
            </w:pPr>
            <w:r w:rsidRPr="00FC5507">
              <w:rPr>
                <w:sz w:val="20"/>
                <w:lang w:val="fr-CA"/>
              </w:rPr>
              <w:t>Cour d’appel de l’Alberta (Edmonton)</w:t>
            </w:r>
          </w:p>
          <w:p w:rsidR="00270FA5" w:rsidRPr="00FC5507" w:rsidRDefault="00270FA5" w:rsidP="00FC5507">
            <w:pPr>
              <w:jc w:val="both"/>
              <w:rPr>
                <w:sz w:val="20"/>
                <w:lang w:val="fr-CA"/>
              </w:rPr>
            </w:pPr>
            <w:r w:rsidRPr="00FC5507">
              <w:rPr>
                <w:sz w:val="20"/>
                <w:lang w:val="fr-CA"/>
              </w:rPr>
              <w:t>(Juges Costigan, O'Ferrall et Wakeling)</w:t>
            </w:r>
          </w:p>
          <w:p w:rsidR="00270FA5" w:rsidRPr="00FC5507" w:rsidRDefault="00270FA5" w:rsidP="00FC5507">
            <w:pPr>
              <w:jc w:val="both"/>
              <w:rPr>
                <w:sz w:val="20"/>
                <w:lang w:val="fr-CA"/>
              </w:rPr>
            </w:pPr>
            <w:r w:rsidRPr="00FC5507">
              <w:rPr>
                <w:sz w:val="20"/>
                <w:lang w:val="fr-CA"/>
              </w:rPr>
              <w:t>Non publié</w:t>
            </w:r>
          </w:p>
          <w:p w:rsidR="00270FA5" w:rsidRPr="00FC5507" w:rsidRDefault="00270FA5" w:rsidP="00FC5507">
            <w:pPr>
              <w:jc w:val="both"/>
              <w:rPr>
                <w:sz w:val="20"/>
                <w:lang w:val="fr-CA"/>
              </w:rPr>
            </w:pPr>
          </w:p>
        </w:tc>
        <w:tc>
          <w:tcPr>
            <w:tcW w:w="243" w:type="pct"/>
          </w:tcPr>
          <w:p w:rsidR="00270FA5" w:rsidRPr="00FC5507" w:rsidRDefault="00270FA5" w:rsidP="00FC5507">
            <w:pPr>
              <w:jc w:val="both"/>
              <w:rPr>
                <w:sz w:val="20"/>
                <w:lang w:val="fr-CA"/>
              </w:rPr>
            </w:pPr>
          </w:p>
        </w:tc>
        <w:tc>
          <w:tcPr>
            <w:tcW w:w="2330" w:type="pct"/>
          </w:tcPr>
          <w:p w:rsidR="00270FA5" w:rsidRPr="00FC5507" w:rsidRDefault="00270FA5" w:rsidP="00FC5507">
            <w:pPr>
              <w:jc w:val="both"/>
              <w:rPr>
                <w:sz w:val="20"/>
                <w:lang w:val="fr-CA"/>
              </w:rPr>
            </w:pPr>
            <w:r w:rsidRPr="00FC5507">
              <w:rPr>
                <w:sz w:val="20"/>
                <w:lang w:val="fr-CA"/>
              </w:rPr>
              <w:t>Rejet de l’appel du demandeur</w:t>
            </w:r>
          </w:p>
          <w:p w:rsidR="00270FA5" w:rsidRPr="00FC5507" w:rsidRDefault="00270FA5" w:rsidP="00FC5507">
            <w:pPr>
              <w:jc w:val="both"/>
              <w:rPr>
                <w:sz w:val="20"/>
                <w:lang w:val="fr-CA"/>
              </w:rPr>
            </w:pPr>
          </w:p>
        </w:tc>
      </w:tr>
      <w:tr w:rsidR="00270FA5" w:rsidRPr="00A6684F" w:rsidTr="00602075">
        <w:tc>
          <w:tcPr>
            <w:tcW w:w="2427" w:type="pct"/>
            <w:gridSpan w:val="2"/>
          </w:tcPr>
          <w:p w:rsidR="00270FA5" w:rsidRPr="00FC5507" w:rsidRDefault="00270FA5" w:rsidP="00FC5507">
            <w:pPr>
              <w:jc w:val="both"/>
              <w:rPr>
                <w:sz w:val="20"/>
                <w:lang w:val="fr-CA"/>
              </w:rPr>
            </w:pPr>
            <w:r w:rsidRPr="00FC5507">
              <w:rPr>
                <w:sz w:val="20"/>
                <w:lang w:val="fr-CA"/>
              </w:rPr>
              <w:lastRenderedPageBreak/>
              <w:t>21 décembre 2018</w:t>
            </w:r>
          </w:p>
          <w:p w:rsidR="00270FA5" w:rsidRPr="00FC5507" w:rsidRDefault="00270FA5" w:rsidP="00FC5507">
            <w:pPr>
              <w:jc w:val="both"/>
              <w:rPr>
                <w:sz w:val="20"/>
                <w:lang w:val="fr-CA"/>
              </w:rPr>
            </w:pPr>
            <w:r w:rsidRPr="00FC5507">
              <w:rPr>
                <w:sz w:val="20"/>
                <w:lang w:val="fr-CA"/>
              </w:rPr>
              <w:t>Cour suprême du Canada</w:t>
            </w:r>
          </w:p>
        </w:tc>
        <w:tc>
          <w:tcPr>
            <w:tcW w:w="243" w:type="pct"/>
          </w:tcPr>
          <w:p w:rsidR="00270FA5" w:rsidRPr="00FC5507" w:rsidRDefault="00270FA5" w:rsidP="00FC5507">
            <w:pPr>
              <w:jc w:val="both"/>
              <w:rPr>
                <w:sz w:val="20"/>
                <w:lang w:val="fr-CA"/>
              </w:rPr>
            </w:pPr>
          </w:p>
        </w:tc>
        <w:tc>
          <w:tcPr>
            <w:tcW w:w="2330" w:type="pct"/>
          </w:tcPr>
          <w:p w:rsidR="00270FA5" w:rsidRPr="00FC5507" w:rsidRDefault="00270FA5" w:rsidP="00FC5507">
            <w:pPr>
              <w:jc w:val="both"/>
              <w:rPr>
                <w:sz w:val="20"/>
                <w:lang w:val="fr-CA"/>
              </w:rPr>
            </w:pPr>
            <w:r w:rsidRPr="00FC5507">
              <w:rPr>
                <w:sz w:val="20"/>
                <w:lang w:val="fr-CA"/>
              </w:rPr>
              <w:t>Dépôt de la demande d’autorisation d’appel</w:t>
            </w:r>
          </w:p>
          <w:p w:rsidR="00270FA5" w:rsidRPr="00FC5507" w:rsidRDefault="00270FA5" w:rsidP="00FC5507">
            <w:pPr>
              <w:jc w:val="both"/>
              <w:rPr>
                <w:sz w:val="20"/>
                <w:lang w:val="fr-CA"/>
              </w:rPr>
            </w:pPr>
          </w:p>
        </w:tc>
      </w:tr>
    </w:tbl>
    <w:p w:rsidR="00270FA5" w:rsidRDefault="00270FA5" w:rsidP="00FC5507">
      <w:pPr>
        <w:jc w:val="both"/>
        <w:rPr>
          <w:sz w:val="20"/>
          <w:lang w:val="fr-CA"/>
        </w:rPr>
      </w:pPr>
    </w:p>
    <w:p w:rsidR="00A6684F" w:rsidRPr="00FC5507" w:rsidRDefault="00A6684F" w:rsidP="00FC5507">
      <w:pPr>
        <w:jc w:val="both"/>
        <w:rPr>
          <w:sz w:val="20"/>
          <w:lang w:val="fr-CA"/>
        </w:rPr>
      </w:pPr>
      <w:r>
        <w:rPr>
          <w:sz w:val="20"/>
        </w:rPr>
        <w:pict>
          <v:rect id="_x0000_i1060"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0FA5" w:rsidRPr="00FC5507" w:rsidTr="00602075">
        <w:tc>
          <w:tcPr>
            <w:tcW w:w="543" w:type="pct"/>
          </w:tcPr>
          <w:p w:rsidR="00270FA5" w:rsidRPr="00FC5507" w:rsidRDefault="00270FA5" w:rsidP="00FC5507">
            <w:pPr>
              <w:jc w:val="both"/>
              <w:rPr>
                <w:sz w:val="20"/>
              </w:rPr>
            </w:pPr>
            <w:r w:rsidRPr="00FC5507">
              <w:rPr>
                <w:rStyle w:val="SCCFileNumberChar"/>
                <w:sz w:val="20"/>
                <w:szCs w:val="20"/>
              </w:rPr>
              <w:t>38494</w:t>
            </w:r>
          </w:p>
        </w:tc>
        <w:tc>
          <w:tcPr>
            <w:tcW w:w="4457" w:type="pct"/>
            <w:gridSpan w:val="3"/>
          </w:tcPr>
          <w:p w:rsidR="00270FA5" w:rsidRPr="004C3C2F" w:rsidRDefault="00270FA5" w:rsidP="00FC5507">
            <w:pPr>
              <w:pStyle w:val="SCCLsocParty"/>
              <w:jc w:val="both"/>
              <w:rPr>
                <w:b/>
                <w:sz w:val="20"/>
                <w:szCs w:val="20"/>
                <w:lang w:val="en-US"/>
              </w:rPr>
            </w:pPr>
            <w:r w:rsidRPr="004C3C2F">
              <w:rPr>
                <w:b/>
                <w:sz w:val="20"/>
                <w:szCs w:val="20"/>
                <w:lang w:val="en-US"/>
              </w:rPr>
              <w:t>Darrell Wayne Volden v. Her Majesty the Queen</w:t>
            </w:r>
          </w:p>
          <w:p w:rsidR="00270FA5" w:rsidRPr="00FC5507" w:rsidRDefault="00270FA5" w:rsidP="00FC5507">
            <w:pPr>
              <w:jc w:val="both"/>
              <w:rPr>
                <w:sz w:val="20"/>
              </w:rPr>
            </w:pPr>
            <w:r w:rsidRPr="00FC5507">
              <w:rPr>
                <w:sz w:val="20"/>
              </w:rPr>
              <w:t>(Man.) (Criminal) (By Leave)</w:t>
            </w:r>
          </w:p>
        </w:tc>
      </w:tr>
      <w:tr w:rsidR="00270FA5" w:rsidRPr="00FC5507" w:rsidTr="00602075">
        <w:tc>
          <w:tcPr>
            <w:tcW w:w="5000" w:type="pct"/>
            <w:gridSpan w:val="4"/>
          </w:tcPr>
          <w:p w:rsidR="00270FA5" w:rsidRPr="00FC5507" w:rsidRDefault="00270FA5" w:rsidP="00FC5507">
            <w:pPr>
              <w:pStyle w:val="SCCBanSummary"/>
              <w:rPr>
                <w:sz w:val="20"/>
                <w:szCs w:val="20"/>
              </w:rPr>
            </w:pPr>
            <w:r w:rsidRPr="00FC5507">
              <w:rPr>
                <w:sz w:val="20"/>
                <w:szCs w:val="20"/>
              </w:rPr>
              <w:t>(Publication ban in case)</w:t>
            </w:r>
          </w:p>
          <w:p w:rsidR="00270FA5" w:rsidRPr="00FC5507" w:rsidRDefault="00270FA5" w:rsidP="00FC5507">
            <w:pPr>
              <w:jc w:val="both"/>
              <w:rPr>
                <w:sz w:val="20"/>
              </w:rPr>
            </w:pPr>
          </w:p>
        </w:tc>
      </w:tr>
      <w:tr w:rsidR="00270FA5" w:rsidRPr="00FC5507" w:rsidTr="00602075">
        <w:tc>
          <w:tcPr>
            <w:tcW w:w="5000" w:type="pct"/>
            <w:gridSpan w:val="4"/>
          </w:tcPr>
          <w:p w:rsidR="00270FA5" w:rsidRPr="00FC5507" w:rsidRDefault="00270FA5" w:rsidP="00FC5507">
            <w:pPr>
              <w:jc w:val="both"/>
              <w:rPr>
                <w:sz w:val="20"/>
              </w:rPr>
            </w:pPr>
            <w:r w:rsidRPr="00FC5507">
              <w:rPr>
                <w:sz w:val="20"/>
              </w:rPr>
              <w:t xml:space="preserve">Criminal law — </w:t>
            </w:r>
            <w:r w:rsidRPr="00FC5507">
              <w:rPr>
                <w:color w:val="181818"/>
                <w:sz w:val="20"/>
              </w:rPr>
              <w:t xml:space="preserve">What is the </w:t>
            </w:r>
            <w:r w:rsidRPr="00FC5507">
              <w:rPr>
                <w:color w:val="2B2B2B"/>
                <w:sz w:val="20"/>
              </w:rPr>
              <w:t xml:space="preserve">standard of review </w:t>
            </w:r>
            <w:r w:rsidRPr="00FC5507">
              <w:rPr>
                <w:color w:val="181818"/>
                <w:sz w:val="20"/>
              </w:rPr>
              <w:t xml:space="preserve">that </w:t>
            </w:r>
            <w:r w:rsidRPr="00FC5507">
              <w:rPr>
                <w:color w:val="2B2B2B"/>
                <w:sz w:val="20"/>
              </w:rPr>
              <w:t xml:space="preserve">appellate courts </w:t>
            </w:r>
            <w:r w:rsidRPr="00FC5507">
              <w:rPr>
                <w:color w:val="181818"/>
                <w:sz w:val="20"/>
              </w:rPr>
              <w:t xml:space="preserve">must </w:t>
            </w:r>
            <w:r w:rsidRPr="00FC5507">
              <w:rPr>
                <w:color w:val="2B2B2B"/>
                <w:sz w:val="20"/>
              </w:rPr>
              <w:t xml:space="preserve">apply when assessing whether a </w:t>
            </w:r>
            <w:r w:rsidRPr="00FC5507">
              <w:rPr>
                <w:color w:val="181818"/>
                <w:sz w:val="20"/>
              </w:rPr>
              <w:t xml:space="preserve">trial judge has applied an uneven level </w:t>
            </w:r>
            <w:r w:rsidRPr="00FC5507">
              <w:rPr>
                <w:color w:val="2B2B2B"/>
                <w:sz w:val="20"/>
              </w:rPr>
              <w:t>of scrutiny</w:t>
            </w:r>
            <w:r w:rsidRPr="00FC5507">
              <w:rPr>
                <w:sz w:val="20"/>
              </w:rPr>
              <w:t xml:space="preserve"> — </w:t>
            </w:r>
            <w:r w:rsidRPr="00FC5507">
              <w:rPr>
                <w:color w:val="181818"/>
                <w:sz w:val="20"/>
              </w:rPr>
              <w:t xml:space="preserve">What is the </w:t>
            </w:r>
            <w:r w:rsidRPr="00FC5507">
              <w:rPr>
                <w:color w:val="2B2B2B"/>
                <w:sz w:val="20"/>
              </w:rPr>
              <w:t xml:space="preserve">evidentiary standard to establish </w:t>
            </w:r>
            <w:r w:rsidRPr="00FC5507">
              <w:rPr>
                <w:color w:val="181818"/>
                <w:sz w:val="20"/>
              </w:rPr>
              <w:t xml:space="preserve">that </w:t>
            </w:r>
            <w:r w:rsidRPr="00FC5507">
              <w:rPr>
                <w:color w:val="2B2B2B"/>
                <w:sz w:val="20"/>
              </w:rPr>
              <w:t xml:space="preserve">a trial </w:t>
            </w:r>
            <w:r w:rsidRPr="00FC5507">
              <w:rPr>
                <w:color w:val="181818"/>
                <w:sz w:val="20"/>
              </w:rPr>
              <w:t xml:space="preserve">judge has </w:t>
            </w:r>
            <w:r w:rsidRPr="00FC5507">
              <w:rPr>
                <w:color w:val="2B2B2B"/>
                <w:sz w:val="20"/>
              </w:rPr>
              <w:t xml:space="preserve">applied </w:t>
            </w:r>
            <w:r w:rsidRPr="00FC5507">
              <w:rPr>
                <w:color w:val="181818"/>
                <w:sz w:val="20"/>
              </w:rPr>
              <w:t xml:space="preserve">a </w:t>
            </w:r>
            <w:r w:rsidRPr="00FC5507">
              <w:rPr>
                <w:color w:val="2B2B2B"/>
                <w:sz w:val="20"/>
              </w:rPr>
              <w:t xml:space="preserve">stricter </w:t>
            </w:r>
            <w:r w:rsidRPr="00FC5507">
              <w:rPr>
                <w:color w:val="181818"/>
                <w:sz w:val="20"/>
              </w:rPr>
              <w:t xml:space="preserve">level </w:t>
            </w:r>
            <w:r w:rsidRPr="00FC5507">
              <w:rPr>
                <w:color w:val="2B2B2B"/>
                <w:sz w:val="20"/>
              </w:rPr>
              <w:t xml:space="preserve">of scrutiny </w:t>
            </w:r>
            <w:r w:rsidRPr="00FC5507">
              <w:rPr>
                <w:color w:val="181818"/>
                <w:sz w:val="20"/>
              </w:rPr>
              <w:t xml:space="preserve">to </w:t>
            </w:r>
            <w:r w:rsidRPr="00FC5507">
              <w:rPr>
                <w:color w:val="2B2B2B"/>
                <w:sz w:val="20"/>
              </w:rPr>
              <w:t xml:space="preserve">the evidence of </w:t>
            </w:r>
            <w:r w:rsidRPr="00FC5507">
              <w:rPr>
                <w:color w:val="181818"/>
                <w:sz w:val="20"/>
              </w:rPr>
              <w:t xml:space="preserve">the </w:t>
            </w:r>
            <w:proofErr w:type="spellStart"/>
            <w:r w:rsidRPr="00FC5507">
              <w:rPr>
                <w:color w:val="181818"/>
                <w:sz w:val="20"/>
              </w:rPr>
              <w:t>defence</w:t>
            </w:r>
            <w:proofErr w:type="spellEnd"/>
            <w:r w:rsidRPr="00FC5507">
              <w:rPr>
                <w:color w:val="181818"/>
                <w:sz w:val="20"/>
              </w:rPr>
              <w:t xml:space="preserve"> </w:t>
            </w:r>
            <w:r w:rsidRPr="00FC5507">
              <w:rPr>
                <w:color w:val="2B2B2B"/>
                <w:sz w:val="20"/>
              </w:rPr>
              <w:t xml:space="preserve">than </w:t>
            </w:r>
            <w:r w:rsidRPr="00FC5507">
              <w:rPr>
                <w:color w:val="181818"/>
                <w:sz w:val="20"/>
              </w:rPr>
              <w:t xml:space="preserve">to the </w:t>
            </w:r>
            <w:r w:rsidRPr="00FC5507">
              <w:rPr>
                <w:color w:val="2B2B2B"/>
                <w:sz w:val="20"/>
              </w:rPr>
              <w:t xml:space="preserve">evidence </w:t>
            </w:r>
            <w:r w:rsidRPr="00FC5507">
              <w:rPr>
                <w:color w:val="181818"/>
                <w:sz w:val="20"/>
              </w:rPr>
              <w:t xml:space="preserve">of the </w:t>
            </w:r>
            <w:r w:rsidRPr="00FC5507">
              <w:rPr>
                <w:color w:val="2B2B2B"/>
                <w:sz w:val="20"/>
              </w:rPr>
              <w:t>Crown.</w:t>
            </w:r>
          </w:p>
          <w:p w:rsidR="00270FA5" w:rsidRPr="00FC5507" w:rsidRDefault="00270FA5" w:rsidP="00FC5507">
            <w:pPr>
              <w:jc w:val="both"/>
              <w:rPr>
                <w:sz w:val="20"/>
              </w:rPr>
            </w:pPr>
          </w:p>
        </w:tc>
      </w:tr>
      <w:tr w:rsidR="00270FA5" w:rsidRPr="00FC5507" w:rsidTr="00602075">
        <w:tc>
          <w:tcPr>
            <w:tcW w:w="5000" w:type="pct"/>
            <w:gridSpan w:val="4"/>
          </w:tcPr>
          <w:p w:rsidR="00270FA5" w:rsidRPr="00FC5507" w:rsidRDefault="00270FA5" w:rsidP="00FC5507">
            <w:pPr>
              <w:jc w:val="both"/>
              <w:rPr>
                <w:sz w:val="20"/>
              </w:rPr>
            </w:pPr>
            <w:r w:rsidRPr="00FC5507">
              <w:rPr>
                <w:sz w:val="20"/>
              </w:rPr>
              <w:t>On the night of the complainant’s birthday she became extremely intoxicated and went to bed at her uncle’s home. She was fully clothed and assisted by her girlfriend. Sometime later, the applicant got into bed with her. When the complainant awoke the next morning, the complainant alleged that the applicant had sexually assaulted her. The applicant was convicted of sexual assault, and his conviction appeal was dismissed.</w:t>
            </w:r>
          </w:p>
          <w:p w:rsidR="00270FA5" w:rsidRPr="00FC5507" w:rsidRDefault="00270FA5" w:rsidP="00FC5507">
            <w:pPr>
              <w:jc w:val="both"/>
              <w:rPr>
                <w:sz w:val="20"/>
              </w:rPr>
            </w:pPr>
          </w:p>
        </w:tc>
      </w:tr>
      <w:tr w:rsidR="00270FA5" w:rsidRPr="00FC5507" w:rsidTr="00602075">
        <w:tc>
          <w:tcPr>
            <w:tcW w:w="2427" w:type="pct"/>
            <w:gridSpan w:val="2"/>
          </w:tcPr>
          <w:p w:rsidR="00270FA5" w:rsidRPr="00FC5507" w:rsidRDefault="00270FA5" w:rsidP="00FC5507">
            <w:pPr>
              <w:jc w:val="both"/>
              <w:rPr>
                <w:sz w:val="20"/>
              </w:rPr>
            </w:pPr>
            <w:r w:rsidRPr="00FC5507">
              <w:rPr>
                <w:sz w:val="20"/>
              </w:rPr>
              <w:t>May 31, 2017</w:t>
            </w:r>
          </w:p>
          <w:p w:rsidR="00270FA5" w:rsidRPr="00FC5507" w:rsidRDefault="00270FA5" w:rsidP="00FC5507">
            <w:pPr>
              <w:jc w:val="both"/>
              <w:rPr>
                <w:sz w:val="20"/>
              </w:rPr>
            </w:pPr>
            <w:r w:rsidRPr="00FC5507">
              <w:rPr>
                <w:sz w:val="20"/>
              </w:rPr>
              <w:t>Court of Queen’s Bench of Manitoba</w:t>
            </w:r>
          </w:p>
          <w:p w:rsidR="00270FA5" w:rsidRPr="00FC5507" w:rsidRDefault="00270FA5" w:rsidP="00FC5507">
            <w:pPr>
              <w:jc w:val="both"/>
              <w:rPr>
                <w:sz w:val="20"/>
              </w:rPr>
            </w:pPr>
            <w:r w:rsidRPr="00FC5507">
              <w:rPr>
                <w:sz w:val="20"/>
              </w:rPr>
              <w:t>(</w:t>
            </w:r>
            <w:proofErr w:type="spellStart"/>
            <w:r w:rsidRPr="00FC5507">
              <w:rPr>
                <w:sz w:val="20"/>
              </w:rPr>
              <w:t>Toews</w:t>
            </w:r>
            <w:proofErr w:type="spellEnd"/>
            <w:r w:rsidRPr="00FC5507">
              <w:rPr>
                <w:sz w:val="20"/>
              </w:rPr>
              <w:t xml:space="preserve"> J.)</w:t>
            </w:r>
          </w:p>
          <w:p w:rsidR="00270FA5" w:rsidRPr="00FC5507" w:rsidRDefault="00685225" w:rsidP="00FC5507">
            <w:pPr>
              <w:jc w:val="both"/>
              <w:rPr>
                <w:sz w:val="20"/>
              </w:rPr>
            </w:pPr>
            <w:hyperlink r:id="rId107" w:history="1">
              <w:r w:rsidR="00270FA5" w:rsidRPr="00FC5507">
                <w:rPr>
                  <w:rStyle w:val="Hyperlink"/>
                  <w:sz w:val="20"/>
                </w:rPr>
                <w:t>2017 MBQB 90</w:t>
              </w:r>
            </w:hyperlink>
          </w:p>
          <w:p w:rsidR="00270FA5" w:rsidRPr="00FC5507" w:rsidRDefault="00270FA5" w:rsidP="00FC5507">
            <w:pPr>
              <w:jc w:val="both"/>
              <w:rPr>
                <w:sz w:val="20"/>
              </w:rPr>
            </w:pPr>
          </w:p>
        </w:tc>
        <w:tc>
          <w:tcPr>
            <w:tcW w:w="243" w:type="pct"/>
          </w:tcPr>
          <w:p w:rsidR="00270FA5" w:rsidRPr="00FC5507" w:rsidRDefault="00270FA5" w:rsidP="00FC5507">
            <w:pPr>
              <w:jc w:val="both"/>
              <w:rPr>
                <w:sz w:val="20"/>
              </w:rPr>
            </w:pPr>
          </w:p>
        </w:tc>
        <w:tc>
          <w:tcPr>
            <w:tcW w:w="2330" w:type="pct"/>
          </w:tcPr>
          <w:p w:rsidR="00270FA5" w:rsidRPr="00FC5507" w:rsidRDefault="00270FA5" w:rsidP="00FC5507">
            <w:pPr>
              <w:jc w:val="both"/>
              <w:rPr>
                <w:sz w:val="20"/>
              </w:rPr>
            </w:pPr>
            <w:r w:rsidRPr="00FC5507">
              <w:rPr>
                <w:sz w:val="20"/>
              </w:rPr>
              <w:t>Conviction: sexual assault</w:t>
            </w:r>
          </w:p>
          <w:p w:rsidR="00270FA5" w:rsidRPr="00FC5507" w:rsidRDefault="00270FA5" w:rsidP="00FC5507">
            <w:pPr>
              <w:jc w:val="both"/>
              <w:rPr>
                <w:sz w:val="20"/>
              </w:rPr>
            </w:pPr>
          </w:p>
        </w:tc>
      </w:tr>
      <w:tr w:rsidR="00270FA5" w:rsidRPr="00FC5507" w:rsidTr="00602075">
        <w:tc>
          <w:tcPr>
            <w:tcW w:w="2427" w:type="pct"/>
            <w:gridSpan w:val="2"/>
          </w:tcPr>
          <w:p w:rsidR="00270FA5" w:rsidRPr="00FC5507" w:rsidRDefault="00270FA5" w:rsidP="00FC5507">
            <w:pPr>
              <w:jc w:val="both"/>
              <w:rPr>
                <w:sz w:val="20"/>
              </w:rPr>
            </w:pPr>
            <w:r w:rsidRPr="00FC5507">
              <w:rPr>
                <w:sz w:val="20"/>
              </w:rPr>
              <w:t>September 12, 2018</w:t>
            </w:r>
          </w:p>
          <w:p w:rsidR="00270FA5" w:rsidRPr="00FC5507" w:rsidRDefault="00270FA5" w:rsidP="00FC5507">
            <w:pPr>
              <w:jc w:val="both"/>
              <w:rPr>
                <w:sz w:val="20"/>
              </w:rPr>
            </w:pPr>
            <w:r w:rsidRPr="00FC5507">
              <w:rPr>
                <w:sz w:val="20"/>
              </w:rPr>
              <w:t>Court of Appeal of Manitoba</w:t>
            </w:r>
          </w:p>
          <w:p w:rsidR="00270FA5" w:rsidRPr="00FC5507" w:rsidRDefault="00270FA5" w:rsidP="00FC5507">
            <w:pPr>
              <w:jc w:val="both"/>
              <w:rPr>
                <w:sz w:val="20"/>
                <w:lang w:val="fr-CA"/>
              </w:rPr>
            </w:pPr>
            <w:r w:rsidRPr="00FC5507">
              <w:rPr>
                <w:sz w:val="20"/>
                <w:lang w:val="fr-CA"/>
              </w:rPr>
              <w:t>(</w:t>
            </w:r>
            <w:proofErr w:type="spellStart"/>
            <w:r w:rsidRPr="00FC5507">
              <w:rPr>
                <w:sz w:val="20"/>
                <w:lang w:val="fr-CA"/>
              </w:rPr>
              <w:t>Burnett</w:t>
            </w:r>
            <w:proofErr w:type="spellEnd"/>
            <w:r w:rsidRPr="00FC5507">
              <w:rPr>
                <w:sz w:val="20"/>
                <w:lang w:val="fr-CA"/>
              </w:rPr>
              <w:t xml:space="preserve">, </w:t>
            </w:r>
            <w:proofErr w:type="spellStart"/>
            <w:r w:rsidRPr="00FC5507">
              <w:rPr>
                <w:sz w:val="20"/>
                <w:lang w:val="fr-CA"/>
              </w:rPr>
              <w:t>Mainella</w:t>
            </w:r>
            <w:proofErr w:type="spellEnd"/>
            <w:r w:rsidRPr="00FC5507">
              <w:rPr>
                <w:sz w:val="20"/>
                <w:lang w:val="fr-CA"/>
              </w:rPr>
              <w:t xml:space="preserve">, </w:t>
            </w:r>
            <w:proofErr w:type="spellStart"/>
            <w:r w:rsidRPr="00FC5507">
              <w:rPr>
                <w:sz w:val="20"/>
                <w:lang w:val="fr-CA"/>
              </w:rPr>
              <w:t>leMaistre</w:t>
            </w:r>
            <w:proofErr w:type="spellEnd"/>
            <w:r w:rsidRPr="00FC5507">
              <w:rPr>
                <w:sz w:val="20"/>
                <w:lang w:val="fr-CA"/>
              </w:rPr>
              <w:t xml:space="preserve"> JJ.A.)</w:t>
            </w:r>
          </w:p>
          <w:p w:rsidR="00270FA5" w:rsidRPr="00FC5507" w:rsidRDefault="00685225" w:rsidP="00FC5507">
            <w:pPr>
              <w:jc w:val="both"/>
              <w:rPr>
                <w:sz w:val="20"/>
                <w:lang w:val="fr-CA"/>
              </w:rPr>
            </w:pPr>
            <w:hyperlink r:id="rId108" w:history="1">
              <w:r w:rsidR="00270FA5" w:rsidRPr="00FC5507">
                <w:rPr>
                  <w:rStyle w:val="Hyperlink"/>
                  <w:sz w:val="20"/>
                  <w:lang w:val="fr-CA"/>
                </w:rPr>
                <w:t>2018 MBCA 91</w:t>
              </w:r>
            </w:hyperlink>
            <w:r w:rsidR="00270FA5" w:rsidRPr="00FC5507">
              <w:rPr>
                <w:sz w:val="20"/>
                <w:lang w:val="fr-CA"/>
              </w:rPr>
              <w:t>;AR 17-30-08937</w:t>
            </w:r>
          </w:p>
          <w:p w:rsidR="00270FA5" w:rsidRPr="00FC5507" w:rsidRDefault="00270FA5" w:rsidP="00FC5507">
            <w:pPr>
              <w:jc w:val="both"/>
              <w:rPr>
                <w:sz w:val="20"/>
              </w:rPr>
            </w:pPr>
          </w:p>
        </w:tc>
        <w:tc>
          <w:tcPr>
            <w:tcW w:w="243" w:type="pct"/>
          </w:tcPr>
          <w:p w:rsidR="00270FA5" w:rsidRPr="00FC5507" w:rsidRDefault="00270FA5" w:rsidP="00FC5507">
            <w:pPr>
              <w:jc w:val="both"/>
              <w:rPr>
                <w:sz w:val="20"/>
              </w:rPr>
            </w:pPr>
          </w:p>
        </w:tc>
        <w:tc>
          <w:tcPr>
            <w:tcW w:w="2330" w:type="pct"/>
          </w:tcPr>
          <w:p w:rsidR="00270FA5" w:rsidRPr="00FC5507" w:rsidRDefault="00270FA5" w:rsidP="00FC5507">
            <w:pPr>
              <w:jc w:val="both"/>
              <w:rPr>
                <w:sz w:val="20"/>
              </w:rPr>
            </w:pPr>
            <w:r w:rsidRPr="00FC5507">
              <w:rPr>
                <w:sz w:val="20"/>
              </w:rPr>
              <w:t>Appeal dismissed</w:t>
            </w:r>
          </w:p>
          <w:p w:rsidR="00270FA5" w:rsidRPr="00FC5507" w:rsidRDefault="00270FA5" w:rsidP="00FC5507">
            <w:pPr>
              <w:jc w:val="both"/>
              <w:rPr>
                <w:sz w:val="20"/>
              </w:rPr>
            </w:pPr>
          </w:p>
        </w:tc>
      </w:tr>
      <w:tr w:rsidR="00270FA5" w:rsidRPr="00FC5507" w:rsidTr="00602075">
        <w:tc>
          <w:tcPr>
            <w:tcW w:w="2427" w:type="pct"/>
            <w:gridSpan w:val="2"/>
          </w:tcPr>
          <w:p w:rsidR="00270FA5" w:rsidRPr="00FC5507" w:rsidRDefault="00270FA5" w:rsidP="00FC5507">
            <w:pPr>
              <w:jc w:val="both"/>
              <w:rPr>
                <w:sz w:val="20"/>
              </w:rPr>
            </w:pPr>
            <w:r w:rsidRPr="00FC5507">
              <w:rPr>
                <w:sz w:val="20"/>
              </w:rPr>
              <w:t>January 23, 2019</w:t>
            </w:r>
          </w:p>
          <w:p w:rsidR="00270FA5" w:rsidRPr="00FC5507" w:rsidRDefault="00270FA5" w:rsidP="00FC5507">
            <w:pPr>
              <w:jc w:val="both"/>
              <w:rPr>
                <w:sz w:val="20"/>
              </w:rPr>
            </w:pPr>
            <w:r w:rsidRPr="00FC5507">
              <w:rPr>
                <w:sz w:val="20"/>
              </w:rPr>
              <w:t>Supreme Court of Canada</w:t>
            </w:r>
          </w:p>
          <w:p w:rsidR="00270FA5" w:rsidRPr="00FC5507" w:rsidRDefault="00270FA5" w:rsidP="00FC5507">
            <w:pPr>
              <w:jc w:val="both"/>
              <w:rPr>
                <w:sz w:val="20"/>
              </w:rPr>
            </w:pPr>
          </w:p>
        </w:tc>
        <w:tc>
          <w:tcPr>
            <w:tcW w:w="243" w:type="pct"/>
          </w:tcPr>
          <w:p w:rsidR="00270FA5" w:rsidRPr="00FC5507" w:rsidRDefault="00270FA5" w:rsidP="00FC5507">
            <w:pPr>
              <w:jc w:val="both"/>
              <w:rPr>
                <w:sz w:val="20"/>
              </w:rPr>
            </w:pPr>
          </w:p>
        </w:tc>
        <w:tc>
          <w:tcPr>
            <w:tcW w:w="2330" w:type="pct"/>
          </w:tcPr>
          <w:p w:rsidR="00270FA5" w:rsidRPr="00FC5507" w:rsidRDefault="00270FA5" w:rsidP="004C3C2F">
            <w:pPr>
              <w:jc w:val="both"/>
              <w:rPr>
                <w:sz w:val="20"/>
              </w:rPr>
            </w:pPr>
            <w:r w:rsidRPr="00FC5507">
              <w:rPr>
                <w:sz w:val="20"/>
              </w:rPr>
              <w:t>Motion for an extension of time to serve and file the application for leave to appeal and application for leave to appeal filed</w:t>
            </w:r>
          </w:p>
        </w:tc>
      </w:tr>
    </w:tbl>
    <w:p w:rsidR="00270FA5" w:rsidRDefault="00270FA5" w:rsidP="00FC5507">
      <w:pPr>
        <w:jc w:val="both"/>
        <w:rPr>
          <w:sz w:val="20"/>
        </w:rPr>
      </w:pPr>
    </w:p>
    <w:p w:rsidR="00A6684F" w:rsidRDefault="00A6684F" w:rsidP="00FC5507">
      <w:pPr>
        <w:jc w:val="both"/>
        <w:rPr>
          <w:sz w:val="20"/>
        </w:rPr>
      </w:pPr>
      <w:r>
        <w:rPr>
          <w:sz w:val="20"/>
        </w:rPr>
        <w:pict>
          <v:rect id="_x0000_i1061" style="width:2in;height:1pt" o:hrpct="0" o:hralign="center" o:hrstd="t" o:hrnoshade="t" o:hr="t" fillcolor="black [3213]" stroked="f"/>
        </w:pict>
      </w:r>
    </w:p>
    <w:p w:rsidR="004C3C2F" w:rsidRPr="00FC5507" w:rsidRDefault="004C3C2F"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0FA5" w:rsidRPr="00FC5507" w:rsidTr="00602075">
        <w:tc>
          <w:tcPr>
            <w:tcW w:w="543" w:type="pct"/>
          </w:tcPr>
          <w:p w:rsidR="00270FA5" w:rsidRPr="00FC5507" w:rsidRDefault="00270FA5" w:rsidP="00FC5507">
            <w:pPr>
              <w:jc w:val="both"/>
              <w:rPr>
                <w:sz w:val="20"/>
                <w:lang w:val="fr-CA"/>
              </w:rPr>
            </w:pPr>
            <w:r w:rsidRPr="00FC5507">
              <w:rPr>
                <w:rStyle w:val="SCCFileNumberChar"/>
                <w:sz w:val="20"/>
                <w:szCs w:val="20"/>
                <w:lang w:val="fr-CA"/>
              </w:rPr>
              <w:t>38494</w:t>
            </w:r>
          </w:p>
        </w:tc>
        <w:tc>
          <w:tcPr>
            <w:tcW w:w="4457" w:type="pct"/>
            <w:gridSpan w:val="3"/>
          </w:tcPr>
          <w:p w:rsidR="00270FA5" w:rsidRPr="004C3C2F" w:rsidRDefault="00270FA5" w:rsidP="00FC5507">
            <w:pPr>
              <w:pStyle w:val="SCCLsocParty"/>
              <w:jc w:val="both"/>
              <w:rPr>
                <w:b/>
                <w:sz w:val="20"/>
                <w:szCs w:val="20"/>
              </w:rPr>
            </w:pPr>
            <w:r w:rsidRPr="004C3C2F">
              <w:rPr>
                <w:b/>
                <w:sz w:val="20"/>
                <w:szCs w:val="20"/>
              </w:rPr>
              <w:t>Darrell Wayne Volden c. Sa Majesté la Reine</w:t>
            </w:r>
          </w:p>
          <w:p w:rsidR="00270FA5" w:rsidRPr="00FC5507" w:rsidRDefault="00270FA5" w:rsidP="00FC5507">
            <w:pPr>
              <w:jc w:val="both"/>
              <w:rPr>
                <w:sz w:val="20"/>
                <w:lang w:val="fr-CA"/>
              </w:rPr>
            </w:pPr>
            <w:r w:rsidRPr="00FC5507">
              <w:rPr>
                <w:sz w:val="20"/>
                <w:lang w:val="fr-CA"/>
              </w:rPr>
              <w:t>(Man.) (Criminelle) (Autorisation)</w:t>
            </w:r>
          </w:p>
        </w:tc>
      </w:tr>
      <w:tr w:rsidR="00270FA5" w:rsidRPr="00A6684F" w:rsidTr="00602075">
        <w:tc>
          <w:tcPr>
            <w:tcW w:w="5000" w:type="pct"/>
            <w:gridSpan w:val="4"/>
          </w:tcPr>
          <w:p w:rsidR="00270FA5" w:rsidRPr="00FC5507" w:rsidRDefault="00270FA5" w:rsidP="00FC5507">
            <w:pPr>
              <w:pStyle w:val="SCCBanSummary"/>
              <w:rPr>
                <w:sz w:val="20"/>
                <w:szCs w:val="20"/>
                <w:lang w:val="fr-CA"/>
              </w:rPr>
            </w:pPr>
            <w:r w:rsidRPr="00FC5507">
              <w:rPr>
                <w:sz w:val="20"/>
                <w:szCs w:val="20"/>
                <w:lang w:val="fr-CA"/>
              </w:rPr>
              <w:t>(Ordonnance de non-publication dans le dossier)</w:t>
            </w:r>
          </w:p>
          <w:p w:rsidR="00270FA5" w:rsidRPr="00FC5507" w:rsidRDefault="00270FA5" w:rsidP="00FC5507">
            <w:pPr>
              <w:jc w:val="both"/>
              <w:rPr>
                <w:sz w:val="20"/>
                <w:lang w:val="fr-CA"/>
              </w:rPr>
            </w:pPr>
          </w:p>
        </w:tc>
      </w:tr>
      <w:tr w:rsidR="00270FA5" w:rsidRPr="00A6684F" w:rsidTr="00602075">
        <w:tc>
          <w:tcPr>
            <w:tcW w:w="5000" w:type="pct"/>
            <w:gridSpan w:val="4"/>
          </w:tcPr>
          <w:p w:rsidR="00270FA5" w:rsidRPr="00FC5507" w:rsidRDefault="00270FA5" w:rsidP="00FC5507">
            <w:pPr>
              <w:jc w:val="both"/>
              <w:rPr>
                <w:sz w:val="20"/>
                <w:lang w:val="fr-CA"/>
              </w:rPr>
            </w:pPr>
            <w:r w:rsidRPr="00FC5507">
              <w:rPr>
                <w:sz w:val="20"/>
                <w:lang w:val="fr-CA"/>
              </w:rPr>
              <w:t xml:space="preserve">Droit criminel — </w:t>
            </w:r>
            <w:r w:rsidRPr="00FC5507">
              <w:rPr>
                <w:color w:val="181818"/>
                <w:sz w:val="20"/>
                <w:lang w:val="fr-CA"/>
              </w:rPr>
              <w:t>Quelle est la norme de contrôle que doivent appliquer les tribunaux d’appel lorsqu’ils évaluent la question de savoir si le juge du procès a appliqué un degré d’examen inégal?</w:t>
            </w:r>
            <w:r w:rsidRPr="00FC5507">
              <w:rPr>
                <w:sz w:val="20"/>
                <w:lang w:val="fr-CA"/>
              </w:rPr>
              <w:t xml:space="preserve"> — </w:t>
            </w:r>
            <w:r w:rsidRPr="00FC5507">
              <w:rPr>
                <w:color w:val="181818"/>
                <w:sz w:val="20"/>
                <w:lang w:val="fr-CA"/>
              </w:rPr>
              <w:t>Quelle est la norme de preuve pour établir si le juge du procès a appliqué un degré d’examen plus rigoureux à l’égard de la preuve de la défense qu’à l’égard de la preuve du ministère public?</w:t>
            </w:r>
          </w:p>
          <w:p w:rsidR="00270FA5" w:rsidRPr="00FC5507" w:rsidRDefault="00270FA5" w:rsidP="00FC5507">
            <w:pPr>
              <w:jc w:val="both"/>
              <w:rPr>
                <w:sz w:val="20"/>
                <w:lang w:val="fr-CA"/>
              </w:rPr>
            </w:pPr>
          </w:p>
        </w:tc>
      </w:tr>
      <w:tr w:rsidR="00270FA5" w:rsidRPr="00A6684F" w:rsidTr="00602075">
        <w:tc>
          <w:tcPr>
            <w:tcW w:w="5000" w:type="pct"/>
            <w:gridSpan w:val="4"/>
          </w:tcPr>
          <w:p w:rsidR="00270FA5" w:rsidRPr="00FC5507" w:rsidRDefault="00270FA5" w:rsidP="00FC5507">
            <w:pPr>
              <w:jc w:val="both"/>
              <w:rPr>
                <w:sz w:val="20"/>
                <w:lang w:val="fr-CA"/>
              </w:rPr>
            </w:pPr>
            <w:r w:rsidRPr="00FC5507">
              <w:rPr>
                <w:sz w:val="20"/>
                <w:lang w:val="fr-CA"/>
              </w:rPr>
              <w:t>La nuit de son anniversaire de naissance, la plaignante s’est trouvée dans un état d’ébriété avancé et elle s’est couchée chez son oncle. Elle était habillée et a obtenu de l’aide de son amie. Un peu plus tard, le demandeur l’a rejointe au lit. Lorsque la plaignante s’est réveillée le lendemain matin, elle allègue que le demandeur l’a agressée sexuellement. Le demandeur a été déclaré coupable d’agression sexuelle et l’appel de sa déclaration de culpabilité a été rejeté.</w:t>
            </w:r>
          </w:p>
          <w:p w:rsidR="00270FA5" w:rsidRPr="00FC5507" w:rsidRDefault="00270FA5" w:rsidP="00FC5507">
            <w:pPr>
              <w:jc w:val="both"/>
              <w:rPr>
                <w:sz w:val="20"/>
                <w:lang w:val="fr-CA"/>
              </w:rPr>
            </w:pPr>
          </w:p>
        </w:tc>
      </w:tr>
      <w:tr w:rsidR="00270FA5" w:rsidRPr="00FC5507" w:rsidTr="00602075">
        <w:tc>
          <w:tcPr>
            <w:tcW w:w="2427" w:type="pct"/>
            <w:gridSpan w:val="2"/>
          </w:tcPr>
          <w:p w:rsidR="00270FA5" w:rsidRPr="00FC5507" w:rsidRDefault="00270FA5" w:rsidP="00FC5507">
            <w:pPr>
              <w:jc w:val="both"/>
              <w:rPr>
                <w:sz w:val="20"/>
                <w:lang w:val="fr-CA"/>
              </w:rPr>
            </w:pPr>
            <w:r w:rsidRPr="00FC5507">
              <w:rPr>
                <w:sz w:val="20"/>
                <w:lang w:val="fr-CA"/>
              </w:rPr>
              <w:t>31 mai 2017</w:t>
            </w:r>
          </w:p>
          <w:p w:rsidR="00270FA5" w:rsidRPr="00FC5507" w:rsidRDefault="00270FA5" w:rsidP="00FC5507">
            <w:pPr>
              <w:jc w:val="both"/>
              <w:rPr>
                <w:sz w:val="20"/>
                <w:lang w:val="fr-CA"/>
              </w:rPr>
            </w:pPr>
            <w:r w:rsidRPr="00FC5507">
              <w:rPr>
                <w:sz w:val="20"/>
                <w:lang w:val="fr-CA"/>
              </w:rPr>
              <w:t>Cour du Banc de la Reine du Manitoba</w:t>
            </w:r>
          </w:p>
          <w:p w:rsidR="00270FA5" w:rsidRPr="00FC5507" w:rsidRDefault="00270FA5" w:rsidP="00FC5507">
            <w:pPr>
              <w:jc w:val="both"/>
              <w:rPr>
                <w:sz w:val="20"/>
                <w:lang w:val="fr-CA"/>
              </w:rPr>
            </w:pPr>
            <w:r w:rsidRPr="00FC5507">
              <w:rPr>
                <w:sz w:val="20"/>
                <w:lang w:val="fr-CA"/>
              </w:rPr>
              <w:lastRenderedPageBreak/>
              <w:t>(Juge Toews)</w:t>
            </w:r>
          </w:p>
          <w:p w:rsidR="00270FA5" w:rsidRPr="00FC5507" w:rsidRDefault="00685225" w:rsidP="00FC5507">
            <w:pPr>
              <w:jc w:val="both"/>
              <w:rPr>
                <w:sz w:val="20"/>
                <w:lang w:val="fr-CA"/>
              </w:rPr>
            </w:pPr>
            <w:hyperlink r:id="rId109" w:history="1">
              <w:r w:rsidR="00270FA5" w:rsidRPr="00FC5507">
                <w:rPr>
                  <w:rStyle w:val="Hyperlink"/>
                  <w:sz w:val="20"/>
                  <w:lang w:val="fr-CA"/>
                </w:rPr>
                <w:t>2017 MBQB 90</w:t>
              </w:r>
            </w:hyperlink>
          </w:p>
          <w:p w:rsidR="00270FA5" w:rsidRPr="00FC5507" w:rsidRDefault="00270FA5" w:rsidP="00FC5507">
            <w:pPr>
              <w:jc w:val="both"/>
              <w:rPr>
                <w:sz w:val="20"/>
                <w:lang w:val="fr-CA"/>
              </w:rPr>
            </w:pPr>
          </w:p>
        </w:tc>
        <w:tc>
          <w:tcPr>
            <w:tcW w:w="243" w:type="pct"/>
          </w:tcPr>
          <w:p w:rsidR="00270FA5" w:rsidRPr="00FC5507" w:rsidRDefault="00270FA5" w:rsidP="00FC5507">
            <w:pPr>
              <w:jc w:val="both"/>
              <w:rPr>
                <w:sz w:val="20"/>
                <w:lang w:val="fr-CA"/>
              </w:rPr>
            </w:pPr>
          </w:p>
        </w:tc>
        <w:tc>
          <w:tcPr>
            <w:tcW w:w="2330" w:type="pct"/>
          </w:tcPr>
          <w:p w:rsidR="00270FA5" w:rsidRPr="00FC5507" w:rsidRDefault="00270FA5" w:rsidP="00FC5507">
            <w:pPr>
              <w:jc w:val="both"/>
              <w:rPr>
                <w:sz w:val="20"/>
                <w:lang w:val="fr-CA"/>
              </w:rPr>
            </w:pPr>
            <w:r w:rsidRPr="00FC5507">
              <w:rPr>
                <w:sz w:val="20"/>
                <w:lang w:val="fr-CA"/>
              </w:rPr>
              <w:t>Déclaration de culpabilité : agression sexuelle</w:t>
            </w:r>
          </w:p>
          <w:p w:rsidR="00270FA5" w:rsidRPr="00FC5507" w:rsidRDefault="00270FA5" w:rsidP="00FC5507">
            <w:pPr>
              <w:jc w:val="both"/>
              <w:rPr>
                <w:sz w:val="20"/>
                <w:lang w:val="fr-CA"/>
              </w:rPr>
            </w:pPr>
          </w:p>
        </w:tc>
      </w:tr>
      <w:tr w:rsidR="00270FA5" w:rsidRPr="00FC5507" w:rsidTr="00602075">
        <w:tc>
          <w:tcPr>
            <w:tcW w:w="2427" w:type="pct"/>
            <w:gridSpan w:val="2"/>
          </w:tcPr>
          <w:p w:rsidR="00270FA5" w:rsidRPr="00FC5507" w:rsidRDefault="00270FA5" w:rsidP="00FC5507">
            <w:pPr>
              <w:jc w:val="both"/>
              <w:rPr>
                <w:sz w:val="20"/>
                <w:lang w:val="fr-CA"/>
              </w:rPr>
            </w:pPr>
            <w:r w:rsidRPr="00FC5507">
              <w:rPr>
                <w:sz w:val="20"/>
                <w:lang w:val="fr-CA"/>
              </w:rPr>
              <w:t>12 septembre 2018</w:t>
            </w:r>
          </w:p>
          <w:p w:rsidR="00270FA5" w:rsidRPr="00FC5507" w:rsidRDefault="00270FA5" w:rsidP="00FC5507">
            <w:pPr>
              <w:jc w:val="both"/>
              <w:rPr>
                <w:sz w:val="20"/>
                <w:lang w:val="fr-CA"/>
              </w:rPr>
            </w:pPr>
            <w:r w:rsidRPr="00FC5507">
              <w:rPr>
                <w:sz w:val="20"/>
                <w:lang w:val="fr-CA"/>
              </w:rPr>
              <w:t>Cour d’appel du Manitoba</w:t>
            </w:r>
          </w:p>
          <w:p w:rsidR="00270FA5" w:rsidRPr="00FC5507" w:rsidRDefault="00270FA5" w:rsidP="00FC5507">
            <w:pPr>
              <w:jc w:val="both"/>
              <w:rPr>
                <w:sz w:val="20"/>
                <w:lang w:val="fr-CA"/>
              </w:rPr>
            </w:pPr>
            <w:r w:rsidRPr="00FC5507">
              <w:rPr>
                <w:sz w:val="20"/>
                <w:lang w:val="fr-CA"/>
              </w:rPr>
              <w:t>(Juges Burnett, Mainella et leMaistre)</w:t>
            </w:r>
          </w:p>
          <w:p w:rsidR="00270FA5" w:rsidRPr="00FC5507" w:rsidRDefault="00685225" w:rsidP="00FC5507">
            <w:pPr>
              <w:jc w:val="both"/>
              <w:rPr>
                <w:sz w:val="20"/>
                <w:lang w:val="fr-CA"/>
              </w:rPr>
            </w:pPr>
            <w:hyperlink r:id="rId110" w:history="1">
              <w:r w:rsidR="00270FA5" w:rsidRPr="00FC5507">
                <w:rPr>
                  <w:rStyle w:val="Hyperlink"/>
                  <w:sz w:val="20"/>
                  <w:lang w:val="fr-CA"/>
                </w:rPr>
                <w:t>2018 MBCA 91</w:t>
              </w:r>
            </w:hyperlink>
            <w:r w:rsidR="00270FA5" w:rsidRPr="00FC5507">
              <w:rPr>
                <w:sz w:val="20"/>
                <w:lang w:val="fr-CA"/>
              </w:rPr>
              <w:t>;AR 17-30-08937</w:t>
            </w:r>
          </w:p>
          <w:p w:rsidR="00270FA5" w:rsidRPr="00FC5507" w:rsidRDefault="00270FA5" w:rsidP="00FC5507">
            <w:pPr>
              <w:jc w:val="both"/>
              <w:rPr>
                <w:sz w:val="20"/>
                <w:lang w:val="fr-CA"/>
              </w:rPr>
            </w:pPr>
          </w:p>
        </w:tc>
        <w:tc>
          <w:tcPr>
            <w:tcW w:w="243" w:type="pct"/>
          </w:tcPr>
          <w:p w:rsidR="00270FA5" w:rsidRPr="00FC5507" w:rsidRDefault="00270FA5" w:rsidP="00FC5507">
            <w:pPr>
              <w:jc w:val="both"/>
              <w:rPr>
                <w:sz w:val="20"/>
                <w:lang w:val="fr-CA"/>
              </w:rPr>
            </w:pPr>
          </w:p>
        </w:tc>
        <w:tc>
          <w:tcPr>
            <w:tcW w:w="2330" w:type="pct"/>
          </w:tcPr>
          <w:p w:rsidR="00270FA5" w:rsidRPr="00FC5507" w:rsidRDefault="00270FA5" w:rsidP="00FC5507">
            <w:pPr>
              <w:jc w:val="both"/>
              <w:rPr>
                <w:sz w:val="20"/>
                <w:lang w:val="fr-CA"/>
              </w:rPr>
            </w:pPr>
            <w:r w:rsidRPr="00FC5507">
              <w:rPr>
                <w:sz w:val="20"/>
                <w:lang w:val="fr-CA"/>
              </w:rPr>
              <w:t>Rejet de l’appel</w:t>
            </w:r>
          </w:p>
          <w:p w:rsidR="00270FA5" w:rsidRPr="00FC5507" w:rsidRDefault="00270FA5" w:rsidP="00FC5507">
            <w:pPr>
              <w:jc w:val="both"/>
              <w:rPr>
                <w:sz w:val="20"/>
                <w:lang w:val="fr-CA"/>
              </w:rPr>
            </w:pPr>
          </w:p>
        </w:tc>
      </w:tr>
      <w:tr w:rsidR="00270FA5" w:rsidRPr="00A6684F" w:rsidTr="00602075">
        <w:tc>
          <w:tcPr>
            <w:tcW w:w="2427" w:type="pct"/>
            <w:gridSpan w:val="2"/>
          </w:tcPr>
          <w:p w:rsidR="00270FA5" w:rsidRPr="00FC5507" w:rsidRDefault="00270FA5" w:rsidP="00FC5507">
            <w:pPr>
              <w:jc w:val="both"/>
              <w:rPr>
                <w:sz w:val="20"/>
                <w:lang w:val="fr-CA"/>
              </w:rPr>
            </w:pPr>
            <w:r w:rsidRPr="00FC5507">
              <w:rPr>
                <w:sz w:val="20"/>
                <w:lang w:val="fr-CA"/>
              </w:rPr>
              <w:t>23 janvier 2019</w:t>
            </w:r>
          </w:p>
          <w:p w:rsidR="00270FA5" w:rsidRPr="00FC5507" w:rsidRDefault="00270FA5" w:rsidP="00FC5507">
            <w:pPr>
              <w:jc w:val="both"/>
              <w:rPr>
                <w:sz w:val="20"/>
                <w:lang w:val="fr-CA"/>
              </w:rPr>
            </w:pPr>
            <w:r w:rsidRPr="00FC5507">
              <w:rPr>
                <w:sz w:val="20"/>
                <w:lang w:val="fr-CA"/>
              </w:rPr>
              <w:t>Cour suprême du Canada</w:t>
            </w:r>
          </w:p>
          <w:p w:rsidR="00270FA5" w:rsidRPr="00FC5507" w:rsidRDefault="00270FA5" w:rsidP="00FC5507">
            <w:pPr>
              <w:jc w:val="both"/>
              <w:rPr>
                <w:sz w:val="20"/>
                <w:lang w:val="fr-CA"/>
              </w:rPr>
            </w:pPr>
          </w:p>
        </w:tc>
        <w:tc>
          <w:tcPr>
            <w:tcW w:w="243" w:type="pct"/>
          </w:tcPr>
          <w:p w:rsidR="00270FA5" w:rsidRPr="00FC5507" w:rsidRDefault="00270FA5" w:rsidP="00FC5507">
            <w:pPr>
              <w:jc w:val="both"/>
              <w:rPr>
                <w:sz w:val="20"/>
                <w:lang w:val="fr-CA"/>
              </w:rPr>
            </w:pPr>
          </w:p>
        </w:tc>
        <w:tc>
          <w:tcPr>
            <w:tcW w:w="2330" w:type="pct"/>
          </w:tcPr>
          <w:p w:rsidR="00270FA5" w:rsidRPr="00FC5507" w:rsidRDefault="00270FA5" w:rsidP="004C3C2F">
            <w:pPr>
              <w:jc w:val="both"/>
              <w:rPr>
                <w:sz w:val="20"/>
                <w:lang w:val="fr-CA"/>
              </w:rPr>
            </w:pPr>
            <w:r w:rsidRPr="00FC5507">
              <w:rPr>
                <w:sz w:val="20"/>
                <w:lang w:val="fr-CA"/>
              </w:rPr>
              <w:t>Dépôt de la requête en prorogation du délai de signification et de dépôt de la demande d’autorisation d’appel et de la demande d’autorisation d’appel</w:t>
            </w:r>
          </w:p>
        </w:tc>
      </w:tr>
    </w:tbl>
    <w:p w:rsidR="00270FA5" w:rsidRDefault="00270FA5" w:rsidP="00FC5507">
      <w:pPr>
        <w:jc w:val="both"/>
        <w:rPr>
          <w:sz w:val="20"/>
          <w:lang w:val="fr-CA"/>
        </w:rPr>
      </w:pPr>
    </w:p>
    <w:p w:rsidR="00A6684F" w:rsidRPr="00FC5507" w:rsidRDefault="00A6684F" w:rsidP="00FC5507">
      <w:pPr>
        <w:jc w:val="both"/>
        <w:rPr>
          <w:sz w:val="20"/>
          <w:lang w:val="fr-CA"/>
        </w:rPr>
      </w:pPr>
      <w:r>
        <w:rPr>
          <w:sz w:val="20"/>
        </w:rPr>
        <w:pict>
          <v:rect id="_x0000_i1062"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0FA5" w:rsidRPr="00FC5507" w:rsidTr="00602075">
        <w:tc>
          <w:tcPr>
            <w:tcW w:w="543" w:type="pct"/>
          </w:tcPr>
          <w:p w:rsidR="00270FA5" w:rsidRPr="00FC5507" w:rsidRDefault="00270FA5" w:rsidP="00FC5507">
            <w:pPr>
              <w:jc w:val="both"/>
              <w:rPr>
                <w:sz w:val="20"/>
              </w:rPr>
            </w:pPr>
            <w:r w:rsidRPr="00FC5507">
              <w:rPr>
                <w:rStyle w:val="SCCFileNumberChar"/>
                <w:sz w:val="20"/>
                <w:szCs w:val="20"/>
              </w:rPr>
              <w:t>38525</w:t>
            </w:r>
          </w:p>
        </w:tc>
        <w:tc>
          <w:tcPr>
            <w:tcW w:w="4457" w:type="pct"/>
            <w:gridSpan w:val="3"/>
          </w:tcPr>
          <w:p w:rsidR="00270FA5" w:rsidRPr="004C3C2F" w:rsidRDefault="00270FA5" w:rsidP="00FC5507">
            <w:pPr>
              <w:pStyle w:val="SCCLsocParty"/>
              <w:jc w:val="both"/>
              <w:rPr>
                <w:b/>
                <w:sz w:val="20"/>
                <w:szCs w:val="20"/>
                <w:lang w:val="en-US"/>
              </w:rPr>
            </w:pPr>
            <w:r w:rsidRPr="004C3C2F">
              <w:rPr>
                <w:b/>
                <w:sz w:val="20"/>
                <w:szCs w:val="20"/>
                <w:lang w:val="en-US"/>
              </w:rPr>
              <w:t>Timothy Cyril Sullivan v. Ontario College of Teachers</w:t>
            </w:r>
          </w:p>
          <w:p w:rsidR="00270FA5" w:rsidRPr="00FC5507" w:rsidRDefault="00270FA5" w:rsidP="00FC5507">
            <w:pPr>
              <w:jc w:val="both"/>
              <w:rPr>
                <w:sz w:val="20"/>
              </w:rPr>
            </w:pPr>
            <w:r w:rsidRPr="00FC5507">
              <w:rPr>
                <w:sz w:val="20"/>
              </w:rPr>
              <w:t>(Ont.) (Civil) (By Leave)</w:t>
            </w:r>
          </w:p>
        </w:tc>
      </w:tr>
      <w:tr w:rsidR="00270FA5" w:rsidRPr="00FC5507" w:rsidTr="00602075">
        <w:tc>
          <w:tcPr>
            <w:tcW w:w="5000" w:type="pct"/>
            <w:gridSpan w:val="4"/>
          </w:tcPr>
          <w:p w:rsidR="00270FA5" w:rsidRPr="00FC5507" w:rsidRDefault="00270FA5" w:rsidP="00FC5507">
            <w:pPr>
              <w:jc w:val="both"/>
              <w:rPr>
                <w:sz w:val="20"/>
              </w:rPr>
            </w:pPr>
            <w:r w:rsidRPr="00FC5507">
              <w:rPr>
                <w:sz w:val="20"/>
              </w:rPr>
              <w:t>Administrative law — Discipline Committee of the Ontario College of Teachers determined that applicant engaged in professional misconduct — Appeal from decision dismissed — Motion for leave to appeal dismissed.</w:t>
            </w:r>
          </w:p>
        </w:tc>
      </w:tr>
      <w:tr w:rsidR="00270FA5" w:rsidRPr="00FC5507" w:rsidTr="00602075">
        <w:tc>
          <w:tcPr>
            <w:tcW w:w="5000" w:type="pct"/>
            <w:gridSpan w:val="4"/>
          </w:tcPr>
          <w:p w:rsidR="00270FA5" w:rsidRPr="00FC5507" w:rsidRDefault="00270FA5" w:rsidP="00FC5507">
            <w:pPr>
              <w:jc w:val="both"/>
              <w:rPr>
                <w:sz w:val="20"/>
              </w:rPr>
            </w:pPr>
          </w:p>
          <w:p w:rsidR="00270FA5" w:rsidRPr="00FC5507" w:rsidRDefault="00270FA5" w:rsidP="00FC5507">
            <w:pPr>
              <w:jc w:val="both"/>
              <w:rPr>
                <w:sz w:val="20"/>
              </w:rPr>
            </w:pPr>
            <w:r w:rsidRPr="00FC5507">
              <w:rPr>
                <w:sz w:val="20"/>
              </w:rPr>
              <w:t>The applicant is a teacher. He engaged in conduct that was determined to be professional misconduct by the Discipline Committee of the Ontario College of Teachers. The applicant was penalized for his conduct. The applicant’s appeal was dismissed. The applicant’s motion for leave to appeal was also dismissed.</w:t>
            </w:r>
          </w:p>
        </w:tc>
      </w:tr>
      <w:tr w:rsidR="00270FA5" w:rsidRPr="00FC5507" w:rsidTr="00602075">
        <w:tc>
          <w:tcPr>
            <w:tcW w:w="5000" w:type="pct"/>
            <w:gridSpan w:val="4"/>
          </w:tcPr>
          <w:p w:rsidR="00270FA5" w:rsidRPr="00FC5507" w:rsidRDefault="00270FA5" w:rsidP="00FC5507">
            <w:pPr>
              <w:jc w:val="both"/>
              <w:rPr>
                <w:sz w:val="20"/>
              </w:rPr>
            </w:pPr>
          </w:p>
        </w:tc>
      </w:tr>
      <w:tr w:rsidR="00270FA5" w:rsidRPr="00FC5507" w:rsidTr="00602075">
        <w:tc>
          <w:tcPr>
            <w:tcW w:w="2427" w:type="pct"/>
            <w:gridSpan w:val="2"/>
          </w:tcPr>
          <w:p w:rsidR="00270FA5" w:rsidRPr="00FC5507" w:rsidRDefault="00270FA5" w:rsidP="00FC5507">
            <w:pPr>
              <w:jc w:val="both"/>
              <w:rPr>
                <w:sz w:val="20"/>
              </w:rPr>
            </w:pPr>
            <w:r w:rsidRPr="00FC5507">
              <w:rPr>
                <w:sz w:val="20"/>
              </w:rPr>
              <w:t>February 9, 2018</w:t>
            </w:r>
          </w:p>
          <w:p w:rsidR="00270FA5" w:rsidRPr="00FC5507" w:rsidRDefault="00270FA5" w:rsidP="00FC5507">
            <w:pPr>
              <w:jc w:val="both"/>
              <w:rPr>
                <w:sz w:val="20"/>
              </w:rPr>
            </w:pPr>
            <w:r w:rsidRPr="00FC5507">
              <w:rPr>
                <w:sz w:val="20"/>
              </w:rPr>
              <w:t>Ontario Superior Court of Justice</w:t>
            </w:r>
          </w:p>
          <w:p w:rsidR="00270FA5" w:rsidRPr="00FC5507" w:rsidRDefault="00270FA5" w:rsidP="00FC5507">
            <w:pPr>
              <w:jc w:val="both"/>
              <w:rPr>
                <w:sz w:val="20"/>
              </w:rPr>
            </w:pPr>
            <w:r w:rsidRPr="00FC5507">
              <w:rPr>
                <w:sz w:val="20"/>
              </w:rPr>
              <w:t>Divisional Court</w:t>
            </w:r>
          </w:p>
          <w:p w:rsidR="00270FA5" w:rsidRPr="00FC5507" w:rsidRDefault="00270FA5" w:rsidP="00FC5507">
            <w:pPr>
              <w:jc w:val="both"/>
              <w:rPr>
                <w:sz w:val="20"/>
              </w:rPr>
            </w:pPr>
            <w:r w:rsidRPr="00FC5507">
              <w:rPr>
                <w:sz w:val="20"/>
              </w:rPr>
              <w:t>(Matheson, Glustein, Diamond JJ.)</w:t>
            </w:r>
          </w:p>
          <w:p w:rsidR="00270FA5" w:rsidRPr="00FC5507" w:rsidRDefault="00685225" w:rsidP="00FC5507">
            <w:pPr>
              <w:jc w:val="both"/>
              <w:rPr>
                <w:sz w:val="20"/>
              </w:rPr>
            </w:pPr>
            <w:hyperlink r:id="rId111" w:history="1">
              <w:r w:rsidR="00270FA5" w:rsidRPr="00FC5507">
                <w:rPr>
                  <w:rStyle w:val="Hyperlink"/>
                  <w:sz w:val="20"/>
                </w:rPr>
                <w:t>2018 ONSC 942</w:t>
              </w:r>
            </w:hyperlink>
          </w:p>
          <w:p w:rsidR="00270FA5" w:rsidRPr="00FC5507" w:rsidRDefault="00270FA5" w:rsidP="00FC5507">
            <w:pPr>
              <w:jc w:val="both"/>
              <w:rPr>
                <w:sz w:val="20"/>
              </w:rPr>
            </w:pPr>
          </w:p>
        </w:tc>
        <w:tc>
          <w:tcPr>
            <w:tcW w:w="243" w:type="pct"/>
          </w:tcPr>
          <w:p w:rsidR="00270FA5" w:rsidRPr="00FC5507" w:rsidRDefault="00270FA5" w:rsidP="00FC5507">
            <w:pPr>
              <w:jc w:val="both"/>
              <w:rPr>
                <w:sz w:val="20"/>
              </w:rPr>
            </w:pPr>
          </w:p>
        </w:tc>
        <w:tc>
          <w:tcPr>
            <w:tcW w:w="2330" w:type="pct"/>
          </w:tcPr>
          <w:p w:rsidR="00270FA5" w:rsidRPr="00FC5507" w:rsidRDefault="00270FA5" w:rsidP="00FC5507">
            <w:pPr>
              <w:jc w:val="both"/>
              <w:rPr>
                <w:sz w:val="20"/>
              </w:rPr>
            </w:pPr>
            <w:r w:rsidRPr="00FC5507">
              <w:rPr>
                <w:sz w:val="20"/>
              </w:rPr>
              <w:t>Appeal dismissed with costs fixed at $5,000</w:t>
            </w:r>
          </w:p>
          <w:p w:rsidR="00270FA5" w:rsidRPr="00FC5507" w:rsidRDefault="00270FA5" w:rsidP="00FC5507">
            <w:pPr>
              <w:jc w:val="both"/>
              <w:rPr>
                <w:sz w:val="20"/>
              </w:rPr>
            </w:pPr>
          </w:p>
        </w:tc>
      </w:tr>
      <w:tr w:rsidR="00270FA5" w:rsidRPr="00FC5507" w:rsidTr="00602075">
        <w:tc>
          <w:tcPr>
            <w:tcW w:w="2427" w:type="pct"/>
            <w:gridSpan w:val="2"/>
          </w:tcPr>
          <w:p w:rsidR="00270FA5" w:rsidRPr="00FC5507" w:rsidRDefault="00270FA5" w:rsidP="00FC5507">
            <w:pPr>
              <w:jc w:val="both"/>
              <w:rPr>
                <w:sz w:val="20"/>
              </w:rPr>
            </w:pPr>
            <w:r w:rsidRPr="00FC5507">
              <w:rPr>
                <w:sz w:val="20"/>
              </w:rPr>
              <w:t>September 7, 2018</w:t>
            </w:r>
          </w:p>
          <w:p w:rsidR="00270FA5" w:rsidRPr="00FC5507" w:rsidRDefault="00270FA5" w:rsidP="00FC5507">
            <w:pPr>
              <w:jc w:val="both"/>
              <w:rPr>
                <w:sz w:val="20"/>
              </w:rPr>
            </w:pPr>
            <w:r w:rsidRPr="00FC5507">
              <w:rPr>
                <w:sz w:val="20"/>
              </w:rPr>
              <w:t>Court of Appeal for Ontario</w:t>
            </w:r>
          </w:p>
          <w:p w:rsidR="00270FA5" w:rsidRPr="00FC5507" w:rsidRDefault="00270FA5" w:rsidP="00FC5507">
            <w:pPr>
              <w:jc w:val="both"/>
              <w:rPr>
                <w:sz w:val="20"/>
                <w:lang w:val="fr-CA"/>
              </w:rPr>
            </w:pPr>
            <w:r w:rsidRPr="00FC5507">
              <w:rPr>
                <w:sz w:val="20"/>
                <w:lang w:val="fr-CA"/>
              </w:rPr>
              <w:t>(Lauwers, Miller, Nordheimer JJ.A.)</w:t>
            </w:r>
          </w:p>
          <w:p w:rsidR="00270FA5" w:rsidRPr="00FC5507" w:rsidRDefault="00270FA5" w:rsidP="00FC5507">
            <w:pPr>
              <w:jc w:val="both"/>
              <w:rPr>
                <w:sz w:val="20"/>
                <w:lang w:val="fr-CA"/>
              </w:rPr>
            </w:pPr>
            <w:r w:rsidRPr="00FC5507">
              <w:rPr>
                <w:sz w:val="20"/>
                <w:lang w:val="fr-CA"/>
              </w:rPr>
              <w:t>M48868</w:t>
            </w:r>
          </w:p>
          <w:p w:rsidR="00270FA5" w:rsidRPr="00FC5507" w:rsidRDefault="00270FA5" w:rsidP="00FC5507">
            <w:pPr>
              <w:jc w:val="both"/>
              <w:rPr>
                <w:sz w:val="20"/>
              </w:rPr>
            </w:pPr>
          </w:p>
        </w:tc>
        <w:tc>
          <w:tcPr>
            <w:tcW w:w="243" w:type="pct"/>
          </w:tcPr>
          <w:p w:rsidR="00270FA5" w:rsidRPr="00FC5507" w:rsidRDefault="00270FA5" w:rsidP="00FC5507">
            <w:pPr>
              <w:jc w:val="both"/>
              <w:rPr>
                <w:sz w:val="20"/>
              </w:rPr>
            </w:pPr>
          </w:p>
        </w:tc>
        <w:tc>
          <w:tcPr>
            <w:tcW w:w="2330" w:type="pct"/>
          </w:tcPr>
          <w:p w:rsidR="00270FA5" w:rsidRPr="00FC5507" w:rsidRDefault="00270FA5" w:rsidP="00FC5507">
            <w:pPr>
              <w:jc w:val="both"/>
              <w:rPr>
                <w:sz w:val="20"/>
              </w:rPr>
            </w:pPr>
            <w:r w:rsidRPr="00FC5507">
              <w:rPr>
                <w:sz w:val="20"/>
              </w:rPr>
              <w:t>Motion for leave to appeal dismissed with costs</w:t>
            </w:r>
          </w:p>
          <w:p w:rsidR="00270FA5" w:rsidRPr="00FC5507" w:rsidRDefault="00270FA5" w:rsidP="00FC5507">
            <w:pPr>
              <w:jc w:val="both"/>
              <w:rPr>
                <w:sz w:val="20"/>
              </w:rPr>
            </w:pPr>
          </w:p>
        </w:tc>
      </w:tr>
      <w:tr w:rsidR="00270FA5" w:rsidRPr="00FC5507" w:rsidTr="00602075">
        <w:tc>
          <w:tcPr>
            <w:tcW w:w="2427" w:type="pct"/>
            <w:gridSpan w:val="2"/>
          </w:tcPr>
          <w:p w:rsidR="00270FA5" w:rsidRPr="00FC5507" w:rsidRDefault="00270FA5" w:rsidP="00FC5507">
            <w:pPr>
              <w:jc w:val="both"/>
              <w:rPr>
                <w:sz w:val="20"/>
              </w:rPr>
            </w:pPr>
            <w:r w:rsidRPr="00FC5507">
              <w:rPr>
                <w:sz w:val="20"/>
              </w:rPr>
              <w:t>November 6, 2018</w:t>
            </w:r>
          </w:p>
          <w:p w:rsidR="00270FA5" w:rsidRPr="00FC5507" w:rsidRDefault="00270FA5" w:rsidP="00FC5507">
            <w:pPr>
              <w:jc w:val="both"/>
              <w:rPr>
                <w:sz w:val="20"/>
              </w:rPr>
            </w:pPr>
            <w:r w:rsidRPr="00FC5507">
              <w:rPr>
                <w:sz w:val="20"/>
              </w:rPr>
              <w:t>Supreme Court of Canada</w:t>
            </w:r>
          </w:p>
        </w:tc>
        <w:tc>
          <w:tcPr>
            <w:tcW w:w="243" w:type="pct"/>
          </w:tcPr>
          <w:p w:rsidR="00270FA5" w:rsidRPr="00FC5507" w:rsidRDefault="00270FA5" w:rsidP="00FC5507">
            <w:pPr>
              <w:jc w:val="both"/>
              <w:rPr>
                <w:sz w:val="20"/>
              </w:rPr>
            </w:pPr>
          </w:p>
        </w:tc>
        <w:tc>
          <w:tcPr>
            <w:tcW w:w="2330" w:type="pct"/>
          </w:tcPr>
          <w:p w:rsidR="00270FA5" w:rsidRPr="00FC5507" w:rsidRDefault="00270FA5" w:rsidP="00FC5507">
            <w:pPr>
              <w:jc w:val="both"/>
              <w:rPr>
                <w:sz w:val="20"/>
              </w:rPr>
            </w:pPr>
            <w:r w:rsidRPr="00FC5507">
              <w:rPr>
                <w:sz w:val="20"/>
              </w:rPr>
              <w:t>Application for leave to appeal filed</w:t>
            </w:r>
          </w:p>
          <w:p w:rsidR="00270FA5" w:rsidRPr="00FC5507" w:rsidRDefault="00270FA5" w:rsidP="00FC5507">
            <w:pPr>
              <w:jc w:val="both"/>
              <w:rPr>
                <w:sz w:val="20"/>
              </w:rPr>
            </w:pPr>
          </w:p>
        </w:tc>
      </w:tr>
    </w:tbl>
    <w:p w:rsidR="00270FA5" w:rsidRDefault="00270FA5" w:rsidP="00FC5507">
      <w:pPr>
        <w:jc w:val="both"/>
        <w:rPr>
          <w:sz w:val="20"/>
        </w:rPr>
      </w:pPr>
    </w:p>
    <w:p w:rsidR="00A6684F" w:rsidRDefault="00A6684F" w:rsidP="00FC5507">
      <w:pPr>
        <w:jc w:val="both"/>
        <w:rPr>
          <w:sz w:val="20"/>
        </w:rPr>
      </w:pPr>
      <w:r>
        <w:rPr>
          <w:sz w:val="20"/>
        </w:rPr>
        <w:pict>
          <v:rect id="_x0000_i1063" style="width:2in;height:1pt" o:hrpct="0" o:hralign="center" o:hrstd="t" o:hrnoshade="t" o:hr="t" fillcolor="black [3213]" stroked="f"/>
        </w:pict>
      </w:r>
    </w:p>
    <w:p w:rsidR="004C3C2F" w:rsidRPr="00FC5507" w:rsidRDefault="004C3C2F"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70FA5" w:rsidRPr="00FC5507" w:rsidTr="00602075">
        <w:tc>
          <w:tcPr>
            <w:tcW w:w="543" w:type="pct"/>
          </w:tcPr>
          <w:p w:rsidR="00270FA5" w:rsidRPr="00FC5507" w:rsidRDefault="00270FA5" w:rsidP="00FC5507">
            <w:pPr>
              <w:jc w:val="both"/>
              <w:rPr>
                <w:sz w:val="20"/>
                <w:lang w:val="fr-CA"/>
              </w:rPr>
            </w:pPr>
            <w:r w:rsidRPr="00FC5507">
              <w:rPr>
                <w:rStyle w:val="SCCFileNumberChar"/>
                <w:sz w:val="20"/>
                <w:szCs w:val="20"/>
                <w:lang w:val="fr-CA"/>
              </w:rPr>
              <w:t>38525</w:t>
            </w:r>
          </w:p>
        </w:tc>
        <w:tc>
          <w:tcPr>
            <w:tcW w:w="4457" w:type="pct"/>
            <w:gridSpan w:val="3"/>
          </w:tcPr>
          <w:p w:rsidR="00270FA5" w:rsidRPr="004C3C2F" w:rsidRDefault="00270FA5" w:rsidP="00FC5507">
            <w:pPr>
              <w:pStyle w:val="SCCLsocParty"/>
              <w:jc w:val="both"/>
              <w:rPr>
                <w:b/>
                <w:sz w:val="20"/>
                <w:szCs w:val="20"/>
              </w:rPr>
            </w:pPr>
            <w:r w:rsidRPr="004C3C2F">
              <w:rPr>
                <w:b/>
                <w:sz w:val="20"/>
                <w:szCs w:val="20"/>
              </w:rPr>
              <w:t>Timothy Cyril Sullivan c. Ordre des enseignantes et des enseignants de l’Ontario</w:t>
            </w:r>
          </w:p>
          <w:p w:rsidR="00270FA5" w:rsidRPr="00FC5507" w:rsidRDefault="00270FA5" w:rsidP="00FC5507">
            <w:pPr>
              <w:jc w:val="both"/>
              <w:rPr>
                <w:sz w:val="20"/>
                <w:lang w:val="fr-CA"/>
              </w:rPr>
            </w:pPr>
            <w:r w:rsidRPr="00FC5507">
              <w:rPr>
                <w:sz w:val="20"/>
                <w:lang w:val="fr-CA"/>
              </w:rPr>
              <w:t>(Ont.) (Civile) (Autorisation)</w:t>
            </w:r>
          </w:p>
        </w:tc>
      </w:tr>
      <w:tr w:rsidR="00270FA5" w:rsidRPr="00A6684F" w:rsidTr="00602075">
        <w:tc>
          <w:tcPr>
            <w:tcW w:w="5000" w:type="pct"/>
            <w:gridSpan w:val="4"/>
          </w:tcPr>
          <w:p w:rsidR="00270FA5" w:rsidRPr="00FC5507" w:rsidRDefault="00270FA5" w:rsidP="00FC5507">
            <w:pPr>
              <w:jc w:val="both"/>
              <w:rPr>
                <w:sz w:val="20"/>
                <w:lang w:val="fr-CA"/>
              </w:rPr>
            </w:pPr>
            <w:r w:rsidRPr="00FC5507">
              <w:rPr>
                <w:sz w:val="20"/>
                <w:lang w:val="fr-CA"/>
              </w:rPr>
              <w:t>Droit administratif — Le comité de discipline de l’Ordre des enseignantes et des enseignants de l’Ontario a conclu que le demandeur a commis une faute professionnelle — L’appel de la décision a été rejeté — La motion en autorisation d’interjeter appel a été rejetée.</w:t>
            </w:r>
          </w:p>
        </w:tc>
      </w:tr>
      <w:tr w:rsidR="00270FA5" w:rsidRPr="00A6684F" w:rsidTr="00602075">
        <w:tc>
          <w:tcPr>
            <w:tcW w:w="5000" w:type="pct"/>
            <w:gridSpan w:val="4"/>
          </w:tcPr>
          <w:p w:rsidR="00270FA5" w:rsidRPr="00FC5507" w:rsidRDefault="00270FA5" w:rsidP="00FC5507">
            <w:pPr>
              <w:jc w:val="both"/>
              <w:rPr>
                <w:sz w:val="20"/>
                <w:lang w:val="fr-CA"/>
              </w:rPr>
            </w:pPr>
          </w:p>
          <w:p w:rsidR="00270FA5" w:rsidRPr="00FC5507" w:rsidRDefault="00270FA5" w:rsidP="00FC5507">
            <w:pPr>
              <w:jc w:val="both"/>
              <w:rPr>
                <w:sz w:val="20"/>
                <w:lang w:val="fr-CA"/>
              </w:rPr>
            </w:pPr>
            <w:r w:rsidRPr="00FC5507">
              <w:rPr>
                <w:sz w:val="20"/>
                <w:lang w:val="fr-CA"/>
              </w:rPr>
              <w:t>Le demandeur est enseignant. Il s’est livré à un comportement qui a été jugé être une faute professionnelle par le comité de discipline de l’Ordre des enseignantes et des enseignants de l’Ontario. Le demandeur a été pénalisé pour sa conduite. L’appel du demandeur a été rejeté. La motion en autorisation d’interjeter appel du demandeur a été rejetée également.</w:t>
            </w:r>
          </w:p>
        </w:tc>
      </w:tr>
      <w:tr w:rsidR="00270FA5" w:rsidRPr="00A6684F" w:rsidTr="00602075">
        <w:tc>
          <w:tcPr>
            <w:tcW w:w="5000" w:type="pct"/>
            <w:gridSpan w:val="4"/>
          </w:tcPr>
          <w:p w:rsidR="00270FA5" w:rsidRPr="00FC5507" w:rsidRDefault="00270FA5" w:rsidP="00FC5507">
            <w:pPr>
              <w:jc w:val="both"/>
              <w:rPr>
                <w:sz w:val="20"/>
                <w:lang w:val="fr-CA"/>
              </w:rPr>
            </w:pPr>
          </w:p>
        </w:tc>
      </w:tr>
      <w:tr w:rsidR="00270FA5" w:rsidRPr="00A6684F" w:rsidTr="00602075">
        <w:tc>
          <w:tcPr>
            <w:tcW w:w="2427" w:type="pct"/>
            <w:gridSpan w:val="2"/>
          </w:tcPr>
          <w:p w:rsidR="00270FA5" w:rsidRPr="00FC5507" w:rsidRDefault="00270FA5" w:rsidP="00FC5507">
            <w:pPr>
              <w:jc w:val="both"/>
              <w:rPr>
                <w:sz w:val="20"/>
                <w:lang w:val="fr-CA"/>
              </w:rPr>
            </w:pPr>
            <w:r w:rsidRPr="00FC5507">
              <w:rPr>
                <w:sz w:val="20"/>
                <w:lang w:val="fr-CA"/>
              </w:rPr>
              <w:lastRenderedPageBreak/>
              <w:t>9 février 2018</w:t>
            </w:r>
          </w:p>
          <w:p w:rsidR="00270FA5" w:rsidRPr="00FC5507" w:rsidRDefault="00270FA5" w:rsidP="00FC5507">
            <w:pPr>
              <w:jc w:val="both"/>
              <w:rPr>
                <w:sz w:val="20"/>
                <w:lang w:val="fr-CA"/>
              </w:rPr>
            </w:pPr>
            <w:r w:rsidRPr="00FC5507">
              <w:rPr>
                <w:sz w:val="20"/>
                <w:lang w:val="fr-CA"/>
              </w:rPr>
              <w:t>Cour supérieure de justice de l’Ontario</w:t>
            </w:r>
          </w:p>
          <w:p w:rsidR="00270FA5" w:rsidRPr="00FC5507" w:rsidRDefault="00270FA5" w:rsidP="00FC5507">
            <w:pPr>
              <w:jc w:val="both"/>
              <w:rPr>
                <w:sz w:val="20"/>
                <w:lang w:val="fr-CA"/>
              </w:rPr>
            </w:pPr>
            <w:r w:rsidRPr="00FC5507">
              <w:rPr>
                <w:sz w:val="20"/>
                <w:lang w:val="fr-CA"/>
              </w:rPr>
              <w:t>Cour divisionnaire</w:t>
            </w:r>
          </w:p>
          <w:p w:rsidR="00270FA5" w:rsidRPr="00FC5507" w:rsidRDefault="00270FA5" w:rsidP="00FC5507">
            <w:pPr>
              <w:jc w:val="both"/>
              <w:rPr>
                <w:sz w:val="20"/>
                <w:lang w:val="fr-CA"/>
              </w:rPr>
            </w:pPr>
            <w:r w:rsidRPr="00FC5507">
              <w:rPr>
                <w:sz w:val="20"/>
                <w:lang w:val="fr-CA"/>
              </w:rPr>
              <w:t>(Juges Matheson, Glustein et Diamond)</w:t>
            </w:r>
          </w:p>
          <w:p w:rsidR="00270FA5" w:rsidRPr="00FC5507" w:rsidRDefault="00685225" w:rsidP="00FC5507">
            <w:pPr>
              <w:jc w:val="both"/>
              <w:rPr>
                <w:sz w:val="20"/>
                <w:lang w:val="fr-CA"/>
              </w:rPr>
            </w:pPr>
            <w:hyperlink r:id="rId112" w:history="1">
              <w:r w:rsidR="00270FA5" w:rsidRPr="00FC5507">
                <w:rPr>
                  <w:rStyle w:val="Hyperlink"/>
                  <w:sz w:val="20"/>
                  <w:lang w:val="fr-CA"/>
                </w:rPr>
                <w:t>2018 ONSC 942</w:t>
              </w:r>
            </w:hyperlink>
          </w:p>
          <w:p w:rsidR="00270FA5" w:rsidRPr="00FC5507" w:rsidRDefault="00270FA5" w:rsidP="00FC5507">
            <w:pPr>
              <w:jc w:val="both"/>
              <w:rPr>
                <w:sz w:val="20"/>
                <w:lang w:val="fr-CA"/>
              </w:rPr>
            </w:pPr>
          </w:p>
        </w:tc>
        <w:tc>
          <w:tcPr>
            <w:tcW w:w="243" w:type="pct"/>
          </w:tcPr>
          <w:p w:rsidR="00270FA5" w:rsidRPr="00FC5507" w:rsidRDefault="00270FA5" w:rsidP="00FC5507">
            <w:pPr>
              <w:jc w:val="both"/>
              <w:rPr>
                <w:sz w:val="20"/>
                <w:lang w:val="fr-CA"/>
              </w:rPr>
            </w:pPr>
          </w:p>
        </w:tc>
        <w:tc>
          <w:tcPr>
            <w:tcW w:w="2330" w:type="pct"/>
          </w:tcPr>
          <w:p w:rsidR="00270FA5" w:rsidRPr="00FC5507" w:rsidRDefault="00270FA5" w:rsidP="00FC5507">
            <w:pPr>
              <w:jc w:val="both"/>
              <w:rPr>
                <w:sz w:val="20"/>
                <w:lang w:val="fr-CA"/>
              </w:rPr>
            </w:pPr>
            <w:r w:rsidRPr="00FC5507">
              <w:rPr>
                <w:sz w:val="20"/>
                <w:lang w:val="fr-CA"/>
              </w:rPr>
              <w:t>Rejet de l’appel avec dépens fixés à 5 000 $</w:t>
            </w:r>
          </w:p>
          <w:p w:rsidR="00270FA5" w:rsidRPr="00FC5507" w:rsidRDefault="00270FA5" w:rsidP="00FC5507">
            <w:pPr>
              <w:jc w:val="both"/>
              <w:rPr>
                <w:sz w:val="20"/>
                <w:lang w:val="fr-CA"/>
              </w:rPr>
            </w:pPr>
          </w:p>
        </w:tc>
      </w:tr>
      <w:tr w:rsidR="00270FA5" w:rsidRPr="00A6684F" w:rsidTr="00602075">
        <w:tc>
          <w:tcPr>
            <w:tcW w:w="2427" w:type="pct"/>
            <w:gridSpan w:val="2"/>
          </w:tcPr>
          <w:p w:rsidR="00270FA5" w:rsidRPr="00FC5507" w:rsidRDefault="00270FA5" w:rsidP="00FC5507">
            <w:pPr>
              <w:jc w:val="both"/>
              <w:rPr>
                <w:sz w:val="20"/>
                <w:lang w:val="fr-CA"/>
              </w:rPr>
            </w:pPr>
            <w:r w:rsidRPr="00FC5507">
              <w:rPr>
                <w:sz w:val="20"/>
                <w:lang w:val="fr-CA"/>
              </w:rPr>
              <w:t>7 septembre 2018</w:t>
            </w:r>
          </w:p>
          <w:p w:rsidR="00270FA5" w:rsidRPr="00FC5507" w:rsidRDefault="00270FA5" w:rsidP="00FC5507">
            <w:pPr>
              <w:jc w:val="both"/>
              <w:rPr>
                <w:sz w:val="20"/>
                <w:lang w:val="fr-CA"/>
              </w:rPr>
            </w:pPr>
            <w:r w:rsidRPr="00FC5507">
              <w:rPr>
                <w:sz w:val="20"/>
                <w:lang w:val="fr-CA"/>
              </w:rPr>
              <w:t>Cour d’appel de l’Ontario</w:t>
            </w:r>
          </w:p>
          <w:p w:rsidR="00270FA5" w:rsidRPr="00FC5507" w:rsidRDefault="00270FA5" w:rsidP="00FC5507">
            <w:pPr>
              <w:jc w:val="both"/>
              <w:rPr>
                <w:sz w:val="20"/>
                <w:lang w:val="fr-CA"/>
              </w:rPr>
            </w:pPr>
            <w:r w:rsidRPr="00FC5507">
              <w:rPr>
                <w:sz w:val="20"/>
                <w:lang w:val="fr-CA"/>
              </w:rPr>
              <w:t>(Juges Lauwers, Miller et Nordheimer)</w:t>
            </w:r>
          </w:p>
          <w:p w:rsidR="00270FA5" w:rsidRPr="00FC5507" w:rsidRDefault="00270FA5" w:rsidP="00FC5507">
            <w:pPr>
              <w:jc w:val="both"/>
              <w:rPr>
                <w:sz w:val="20"/>
                <w:lang w:val="fr-CA"/>
              </w:rPr>
            </w:pPr>
            <w:r w:rsidRPr="00FC5507">
              <w:rPr>
                <w:sz w:val="20"/>
                <w:lang w:val="fr-CA"/>
              </w:rPr>
              <w:t>M48868</w:t>
            </w:r>
          </w:p>
          <w:p w:rsidR="00270FA5" w:rsidRPr="00FC5507" w:rsidRDefault="00270FA5" w:rsidP="00FC5507">
            <w:pPr>
              <w:jc w:val="both"/>
              <w:rPr>
                <w:sz w:val="20"/>
                <w:lang w:val="fr-CA"/>
              </w:rPr>
            </w:pPr>
          </w:p>
        </w:tc>
        <w:tc>
          <w:tcPr>
            <w:tcW w:w="243" w:type="pct"/>
          </w:tcPr>
          <w:p w:rsidR="00270FA5" w:rsidRPr="00FC5507" w:rsidRDefault="00270FA5" w:rsidP="00FC5507">
            <w:pPr>
              <w:jc w:val="both"/>
              <w:rPr>
                <w:sz w:val="20"/>
                <w:lang w:val="fr-CA"/>
              </w:rPr>
            </w:pPr>
          </w:p>
        </w:tc>
        <w:tc>
          <w:tcPr>
            <w:tcW w:w="2330" w:type="pct"/>
          </w:tcPr>
          <w:p w:rsidR="00270FA5" w:rsidRPr="00FC5507" w:rsidRDefault="00270FA5" w:rsidP="00FC5507">
            <w:pPr>
              <w:jc w:val="both"/>
              <w:rPr>
                <w:sz w:val="20"/>
                <w:lang w:val="fr-CA"/>
              </w:rPr>
            </w:pPr>
            <w:r w:rsidRPr="00FC5507">
              <w:rPr>
                <w:sz w:val="20"/>
                <w:lang w:val="fr-CA"/>
              </w:rPr>
              <w:t>Rejet de la motion en autorisation d’interjeter appel, avec dépens</w:t>
            </w:r>
          </w:p>
          <w:p w:rsidR="00270FA5" w:rsidRPr="00FC5507" w:rsidRDefault="00270FA5" w:rsidP="00FC5507">
            <w:pPr>
              <w:jc w:val="both"/>
              <w:rPr>
                <w:sz w:val="20"/>
                <w:lang w:val="fr-CA"/>
              </w:rPr>
            </w:pPr>
          </w:p>
        </w:tc>
      </w:tr>
      <w:tr w:rsidR="00270FA5" w:rsidRPr="00A6684F" w:rsidTr="00602075">
        <w:tc>
          <w:tcPr>
            <w:tcW w:w="2427" w:type="pct"/>
            <w:gridSpan w:val="2"/>
          </w:tcPr>
          <w:p w:rsidR="00270FA5" w:rsidRPr="00FC5507" w:rsidRDefault="00270FA5" w:rsidP="00FC5507">
            <w:pPr>
              <w:jc w:val="both"/>
              <w:rPr>
                <w:sz w:val="20"/>
                <w:lang w:val="fr-CA"/>
              </w:rPr>
            </w:pPr>
            <w:r w:rsidRPr="00FC5507">
              <w:rPr>
                <w:sz w:val="20"/>
                <w:lang w:val="fr-CA"/>
              </w:rPr>
              <w:t>6 novembre 2018</w:t>
            </w:r>
          </w:p>
          <w:p w:rsidR="00270FA5" w:rsidRPr="00FC5507" w:rsidRDefault="00270FA5" w:rsidP="00FC5507">
            <w:pPr>
              <w:jc w:val="both"/>
              <w:rPr>
                <w:sz w:val="20"/>
                <w:lang w:val="fr-CA"/>
              </w:rPr>
            </w:pPr>
            <w:r w:rsidRPr="00FC5507">
              <w:rPr>
                <w:sz w:val="20"/>
                <w:lang w:val="fr-CA"/>
              </w:rPr>
              <w:t>Cour suprême du Canada</w:t>
            </w:r>
          </w:p>
        </w:tc>
        <w:tc>
          <w:tcPr>
            <w:tcW w:w="243" w:type="pct"/>
          </w:tcPr>
          <w:p w:rsidR="00270FA5" w:rsidRPr="00FC5507" w:rsidRDefault="00270FA5" w:rsidP="00FC5507">
            <w:pPr>
              <w:jc w:val="both"/>
              <w:rPr>
                <w:sz w:val="20"/>
                <w:lang w:val="fr-CA"/>
              </w:rPr>
            </w:pPr>
          </w:p>
        </w:tc>
        <w:tc>
          <w:tcPr>
            <w:tcW w:w="2330" w:type="pct"/>
          </w:tcPr>
          <w:p w:rsidR="00270FA5" w:rsidRPr="00FC5507" w:rsidRDefault="00270FA5" w:rsidP="00FC5507">
            <w:pPr>
              <w:jc w:val="both"/>
              <w:rPr>
                <w:sz w:val="20"/>
                <w:lang w:val="fr-CA"/>
              </w:rPr>
            </w:pPr>
            <w:r w:rsidRPr="00FC5507">
              <w:rPr>
                <w:sz w:val="20"/>
                <w:lang w:val="fr-CA"/>
              </w:rPr>
              <w:t>Dépôt de la demande d’autorisation d’appel</w:t>
            </w:r>
          </w:p>
          <w:p w:rsidR="00270FA5" w:rsidRPr="00FC5507" w:rsidRDefault="00270FA5" w:rsidP="00FC5507">
            <w:pPr>
              <w:jc w:val="both"/>
              <w:rPr>
                <w:sz w:val="20"/>
                <w:lang w:val="fr-CA"/>
              </w:rPr>
            </w:pPr>
          </w:p>
        </w:tc>
      </w:tr>
    </w:tbl>
    <w:p w:rsidR="00270FA5" w:rsidRDefault="00270FA5" w:rsidP="00FC5507">
      <w:pPr>
        <w:jc w:val="both"/>
        <w:rPr>
          <w:sz w:val="20"/>
          <w:lang w:val="fr-CA"/>
        </w:rPr>
      </w:pPr>
    </w:p>
    <w:p w:rsidR="00A6684F" w:rsidRDefault="00A6684F" w:rsidP="00FC5507">
      <w:pPr>
        <w:jc w:val="both"/>
        <w:rPr>
          <w:sz w:val="20"/>
          <w:lang w:val="fr-CA"/>
        </w:rPr>
      </w:pPr>
      <w:r>
        <w:rPr>
          <w:sz w:val="20"/>
        </w:rPr>
        <w:pict>
          <v:rect id="_x0000_i1065" style="width:2in;height:1pt" o:hrpct="0" o:hralign="center" o:hrstd="t" o:hrnoshade="t" o:hr="t" fillcolor="black [3213]" stroked="f"/>
        </w:pict>
      </w:r>
    </w:p>
    <w:p w:rsidR="001E56A6" w:rsidRPr="00343E5E" w:rsidRDefault="001E56A6" w:rsidP="00343E5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3E5E" w:rsidRPr="00343E5E" w:rsidTr="00B871FE">
        <w:tc>
          <w:tcPr>
            <w:tcW w:w="543" w:type="pct"/>
          </w:tcPr>
          <w:p w:rsidR="00343E5E" w:rsidRPr="00343E5E" w:rsidRDefault="00343E5E" w:rsidP="00343E5E">
            <w:pPr>
              <w:jc w:val="both"/>
              <w:rPr>
                <w:sz w:val="20"/>
              </w:rPr>
            </w:pPr>
            <w:r w:rsidRPr="00343E5E">
              <w:rPr>
                <w:rStyle w:val="SCCFileNumberChar"/>
                <w:sz w:val="20"/>
                <w:szCs w:val="20"/>
              </w:rPr>
              <w:t>38473</w:t>
            </w:r>
          </w:p>
        </w:tc>
        <w:tc>
          <w:tcPr>
            <w:tcW w:w="4457" w:type="pct"/>
            <w:gridSpan w:val="3"/>
          </w:tcPr>
          <w:p w:rsidR="00343E5E" w:rsidRPr="00343E5E" w:rsidRDefault="00343E5E" w:rsidP="00343E5E">
            <w:pPr>
              <w:pStyle w:val="SCCLsocParty"/>
              <w:jc w:val="both"/>
              <w:rPr>
                <w:b/>
                <w:sz w:val="20"/>
                <w:szCs w:val="20"/>
                <w:lang w:val="en-US"/>
              </w:rPr>
            </w:pPr>
            <w:r w:rsidRPr="00343E5E">
              <w:rPr>
                <w:b/>
                <w:sz w:val="20"/>
                <w:szCs w:val="20"/>
                <w:lang w:val="en-US"/>
              </w:rPr>
              <w:t>Cynthia Rebecca Delores LeRoy v. Century Services Corp.</w:t>
            </w:r>
          </w:p>
          <w:p w:rsidR="00343E5E" w:rsidRPr="00343E5E" w:rsidRDefault="00343E5E" w:rsidP="00343E5E">
            <w:pPr>
              <w:jc w:val="both"/>
              <w:rPr>
                <w:sz w:val="20"/>
              </w:rPr>
            </w:pPr>
            <w:r w:rsidRPr="00343E5E">
              <w:rPr>
                <w:sz w:val="20"/>
              </w:rPr>
              <w:t>(B.C.) (Civil) (By Leave)</w:t>
            </w:r>
          </w:p>
        </w:tc>
      </w:tr>
      <w:tr w:rsidR="00343E5E" w:rsidRPr="00343E5E" w:rsidTr="00B871FE">
        <w:tc>
          <w:tcPr>
            <w:tcW w:w="5000" w:type="pct"/>
            <w:gridSpan w:val="4"/>
          </w:tcPr>
          <w:p w:rsidR="00343E5E" w:rsidRPr="00343E5E" w:rsidRDefault="00343E5E" w:rsidP="00343E5E">
            <w:pPr>
              <w:jc w:val="both"/>
              <w:rPr>
                <w:sz w:val="20"/>
              </w:rPr>
            </w:pPr>
            <w:r w:rsidRPr="00343E5E">
              <w:rPr>
                <w:sz w:val="20"/>
              </w:rPr>
              <w:t>Contracts – Commercial contracts – Formation – Performance – Fraudulent misrepresentation – Bankruptcy and insolvency – Should this Court recognize a limited duty of basic honesty in contractual formation which can render some or all of a contract unenforceable if it was entered into as a result of deliberate dishonesty?</w:t>
            </w:r>
          </w:p>
        </w:tc>
      </w:tr>
      <w:tr w:rsidR="00343E5E" w:rsidRPr="00343E5E" w:rsidTr="00B871FE">
        <w:tc>
          <w:tcPr>
            <w:tcW w:w="5000" w:type="pct"/>
            <w:gridSpan w:val="4"/>
          </w:tcPr>
          <w:p w:rsidR="00343E5E" w:rsidRPr="00343E5E" w:rsidRDefault="00343E5E" w:rsidP="00343E5E">
            <w:pPr>
              <w:jc w:val="both"/>
              <w:rPr>
                <w:sz w:val="20"/>
              </w:rPr>
            </w:pPr>
          </w:p>
        </w:tc>
      </w:tr>
      <w:tr w:rsidR="00343E5E" w:rsidRPr="00343E5E" w:rsidTr="00B871FE">
        <w:tc>
          <w:tcPr>
            <w:tcW w:w="5000" w:type="pct"/>
            <w:gridSpan w:val="4"/>
          </w:tcPr>
          <w:p w:rsidR="00343E5E" w:rsidRPr="00343E5E" w:rsidRDefault="00343E5E" w:rsidP="00343E5E">
            <w:pPr>
              <w:jc w:val="both"/>
              <w:rPr>
                <w:sz w:val="20"/>
              </w:rPr>
            </w:pPr>
            <w:r w:rsidRPr="00343E5E">
              <w:rPr>
                <w:sz w:val="20"/>
              </w:rPr>
              <w:t>Foreclosure proceedings have been ongoing by Century Services Corp. against Cynthia Rebecca Delores LeRoy since November of 2008. Ms. LeRoy provided the mortgage for her home, together with a limited recourse guarantee, as security for the indebtedness of Ted LeRoy Trucking Ltd (“TLT”) to Century. The principal of TLT was Ms. LeRoy’s husband, Ted LeRoy. TLT’s indebtedness to Century arose under a loan agreement. Ms. LeRoy’s liability was limited to $2 million from the date of demand plus interest, costs, and expenses payable under the guarantee and mortgage. Century’s recourse under the guarantee was limited to realizing on Ms. LeRoy’s home. TLT defaulted on its obligations to Century. Century issued a demand for payment to TLT and a demand to Ms. LeRoy under the guarantee. Even after liquidation, TLT remained indebted to Century for more than $2 million. The Supreme Court of British Columbia concluded that Century Services Corp. had fraudulently misrepresented their post-default fees in negotiating the guarantee and as a result concluded that the guarantee (and mortgage) was unenforceable. The Court of Appeal for British Columbia</w:t>
            </w:r>
            <w:r w:rsidRPr="00343E5E">
              <w:rPr>
                <w:b/>
                <w:sz w:val="20"/>
              </w:rPr>
              <w:t xml:space="preserve"> </w:t>
            </w:r>
            <w:r w:rsidRPr="00343E5E">
              <w:rPr>
                <w:sz w:val="20"/>
              </w:rPr>
              <w:t>allowed the appeal on the basis that no representation had been made by Century to Ms. LeRoy. Applying lender disclosure rules, the court of appeal determined that post-default fees were immaterial to whether Ms. LeRoy would have signed the guarantee. It concluded that a reasonable person in her position would not have been affected by knowledge of the differing fees and ordered the resumption of foreclosure proceedings.</w:t>
            </w:r>
          </w:p>
          <w:p w:rsidR="00343E5E" w:rsidRPr="00343E5E" w:rsidRDefault="00343E5E" w:rsidP="00343E5E">
            <w:pPr>
              <w:jc w:val="both"/>
              <w:rPr>
                <w:sz w:val="20"/>
              </w:rPr>
            </w:pPr>
          </w:p>
        </w:tc>
      </w:tr>
      <w:tr w:rsidR="00343E5E" w:rsidRPr="00343E5E" w:rsidTr="00B871FE">
        <w:tc>
          <w:tcPr>
            <w:tcW w:w="2427" w:type="pct"/>
            <w:gridSpan w:val="2"/>
          </w:tcPr>
          <w:p w:rsidR="00343E5E" w:rsidRPr="00343E5E" w:rsidRDefault="00343E5E" w:rsidP="00343E5E">
            <w:pPr>
              <w:jc w:val="both"/>
              <w:rPr>
                <w:sz w:val="20"/>
              </w:rPr>
            </w:pPr>
            <w:r w:rsidRPr="00343E5E">
              <w:rPr>
                <w:sz w:val="20"/>
              </w:rPr>
              <w:t>October 24, 2017</w:t>
            </w:r>
          </w:p>
          <w:p w:rsidR="00343E5E" w:rsidRPr="00343E5E" w:rsidRDefault="00343E5E" w:rsidP="00343E5E">
            <w:pPr>
              <w:jc w:val="both"/>
              <w:rPr>
                <w:sz w:val="20"/>
              </w:rPr>
            </w:pPr>
            <w:r w:rsidRPr="00343E5E">
              <w:rPr>
                <w:sz w:val="20"/>
              </w:rPr>
              <w:t>Supreme Court of British Columbia</w:t>
            </w:r>
          </w:p>
          <w:p w:rsidR="00343E5E" w:rsidRPr="00343E5E" w:rsidRDefault="00343E5E" w:rsidP="00343E5E">
            <w:pPr>
              <w:jc w:val="both"/>
              <w:rPr>
                <w:sz w:val="20"/>
              </w:rPr>
            </w:pPr>
            <w:r w:rsidRPr="00343E5E">
              <w:rPr>
                <w:sz w:val="20"/>
              </w:rPr>
              <w:t>(Warren J.)</w:t>
            </w:r>
          </w:p>
          <w:p w:rsidR="00343E5E" w:rsidRPr="00343E5E" w:rsidRDefault="00343E5E" w:rsidP="00343E5E">
            <w:pPr>
              <w:jc w:val="both"/>
              <w:rPr>
                <w:sz w:val="20"/>
              </w:rPr>
            </w:pPr>
            <w:hyperlink r:id="rId113" w:history="1">
              <w:r w:rsidRPr="00343E5E">
                <w:rPr>
                  <w:rStyle w:val="Hyperlink"/>
                  <w:sz w:val="20"/>
                </w:rPr>
                <w:t>2017 BCSC 1880</w:t>
              </w:r>
            </w:hyperlink>
          </w:p>
          <w:p w:rsidR="00343E5E" w:rsidRPr="00343E5E" w:rsidRDefault="00343E5E" w:rsidP="00343E5E">
            <w:pPr>
              <w:jc w:val="both"/>
              <w:rPr>
                <w:sz w:val="20"/>
              </w:rPr>
            </w:pPr>
          </w:p>
        </w:tc>
        <w:tc>
          <w:tcPr>
            <w:tcW w:w="243" w:type="pct"/>
          </w:tcPr>
          <w:p w:rsidR="00343E5E" w:rsidRPr="00343E5E" w:rsidRDefault="00343E5E" w:rsidP="00343E5E">
            <w:pPr>
              <w:jc w:val="both"/>
              <w:rPr>
                <w:sz w:val="20"/>
              </w:rPr>
            </w:pPr>
          </w:p>
        </w:tc>
        <w:tc>
          <w:tcPr>
            <w:tcW w:w="2330" w:type="pct"/>
          </w:tcPr>
          <w:p w:rsidR="00343E5E" w:rsidRPr="00343E5E" w:rsidRDefault="00343E5E" w:rsidP="00343E5E">
            <w:pPr>
              <w:jc w:val="both"/>
              <w:rPr>
                <w:sz w:val="20"/>
              </w:rPr>
            </w:pPr>
            <w:r w:rsidRPr="00343E5E">
              <w:rPr>
                <w:sz w:val="20"/>
              </w:rPr>
              <w:t>Foreclosure proceeding dismissed due to fraudulent misrepresentation.</w:t>
            </w:r>
          </w:p>
          <w:p w:rsidR="00343E5E" w:rsidRPr="00343E5E" w:rsidRDefault="00343E5E" w:rsidP="00343E5E">
            <w:pPr>
              <w:jc w:val="both"/>
              <w:rPr>
                <w:sz w:val="20"/>
              </w:rPr>
            </w:pPr>
          </w:p>
        </w:tc>
      </w:tr>
      <w:tr w:rsidR="00343E5E" w:rsidRPr="00343E5E" w:rsidTr="00B871FE">
        <w:tc>
          <w:tcPr>
            <w:tcW w:w="2427" w:type="pct"/>
            <w:gridSpan w:val="2"/>
          </w:tcPr>
          <w:p w:rsidR="00343E5E" w:rsidRPr="00343E5E" w:rsidRDefault="00343E5E" w:rsidP="00343E5E">
            <w:pPr>
              <w:jc w:val="both"/>
              <w:rPr>
                <w:sz w:val="20"/>
              </w:rPr>
            </w:pPr>
            <w:r w:rsidRPr="00343E5E">
              <w:rPr>
                <w:sz w:val="20"/>
              </w:rPr>
              <w:t>July 10, 2018</w:t>
            </w:r>
          </w:p>
          <w:p w:rsidR="00343E5E" w:rsidRPr="00343E5E" w:rsidRDefault="00343E5E" w:rsidP="00343E5E">
            <w:pPr>
              <w:jc w:val="both"/>
              <w:rPr>
                <w:sz w:val="20"/>
              </w:rPr>
            </w:pPr>
            <w:r w:rsidRPr="00343E5E">
              <w:rPr>
                <w:sz w:val="20"/>
              </w:rPr>
              <w:t xml:space="preserve">Court of Appeal for British Columbia </w:t>
            </w:r>
          </w:p>
          <w:p w:rsidR="00343E5E" w:rsidRPr="00343E5E" w:rsidRDefault="00343E5E" w:rsidP="00343E5E">
            <w:pPr>
              <w:jc w:val="both"/>
              <w:rPr>
                <w:sz w:val="20"/>
              </w:rPr>
            </w:pPr>
            <w:r w:rsidRPr="00343E5E">
              <w:rPr>
                <w:sz w:val="20"/>
              </w:rPr>
              <w:t>(Vancouver)</w:t>
            </w:r>
          </w:p>
          <w:p w:rsidR="00343E5E" w:rsidRPr="00343E5E" w:rsidRDefault="00343E5E" w:rsidP="00343E5E">
            <w:pPr>
              <w:jc w:val="both"/>
              <w:rPr>
                <w:sz w:val="20"/>
              </w:rPr>
            </w:pPr>
            <w:r w:rsidRPr="00343E5E">
              <w:rPr>
                <w:sz w:val="20"/>
              </w:rPr>
              <w:t>(</w:t>
            </w:r>
            <w:proofErr w:type="spellStart"/>
            <w:r w:rsidRPr="00343E5E">
              <w:rPr>
                <w:sz w:val="20"/>
              </w:rPr>
              <w:t>Groberman</w:t>
            </w:r>
            <w:proofErr w:type="spellEnd"/>
            <w:r w:rsidRPr="00343E5E">
              <w:rPr>
                <w:sz w:val="20"/>
              </w:rPr>
              <w:t>, Fitch, and Hunter JJ.A.)</w:t>
            </w:r>
          </w:p>
          <w:p w:rsidR="00343E5E" w:rsidRPr="00343E5E" w:rsidRDefault="00343E5E" w:rsidP="00343E5E">
            <w:pPr>
              <w:jc w:val="both"/>
              <w:rPr>
                <w:sz w:val="20"/>
              </w:rPr>
            </w:pPr>
            <w:hyperlink r:id="rId114" w:history="1">
              <w:r w:rsidRPr="00343E5E">
                <w:rPr>
                  <w:rStyle w:val="Hyperlink"/>
                  <w:sz w:val="20"/>
                </w:rPr>
                <w:t>2018 BCCA 279</w:t>
              </w:r>
            </w:hyperlink>
          </w:p>
          <w:p w:rsidR="00343E5E" w:rsidRPr="00343E5E" w:rsidRDefault="00343E5E" w:rsidP="00343E5E">
            <w:pPr>
              <w:jc w:val="both"/>
              <w:rPr>
                <w:sz w:val="20"/>
              </w:rPr>
            </w:pPr>
          </w:p>
        </w:tc>
        <w:tc>
          <w:tcPr>
            <w:tcW w:w="243" w:type="pct"/>
          </w:tcPr>
          <w:p w:rsidR="00343E5E" w:rsidRPr="00343E5E" w:rsidRDefault="00343E5E" w:rsidP="00343E5E">
            <w:pPr>
              <w:jc w:val="both"/>
              <w:rPr>
                <w:sz w:val="20"/>
              </w:rPr>
            </w:pPr>
          </w:p>
        </w:tc>
        <w:tc>
          <w:tcPr>
            <w:tcW w:w="2330" w:type="pct"/>
          </w:tcPr>
          <w:p w:rsidR="00343E5E" w:rsidRPr="00343E5E" w:rsidRDefault="00343E5E" w:rsidP="00343E5E">
            <w:pPr>
              <w:jc w:val="both"/>
              <w:rPr>
                <w:sz w:val="20"/>
              </w:rPr>
            </w:pPr>
            <w:r w:rsidRPr="00343E5E">
              <w:rPr>
                <w:sz w:val="20"/>
              </w:rPr>
              <w:t>Appeal allowed.</w:t>
            </w:r>
          </w:p>
          <w:p w:rsidR="00343E5E" w:rsidRPr="00343E5E" w:rsidRDefault="00343E5E" w:rsidP="00343E5E">
            <w:pPr>
              <w:jc w:val="both"/>
              <w:rPr>
                <w:sz w:val="20"/>
              </w:rPr>
            </w:pPr>
          </w:p>
        </w:tc>
      </w:tr>
      <w:tr w:rsidR="00343E5E" w:rsidRPr="00343E5E" w:rsidTr="00B871FE">
        <w:tc>
          <w:tcPr>
            <w:tcW w:w="2427" w:type="pct"/>
            <w:gridSpan w:val="2"/>
          </w:tcPr>
          <w:p w:rsidR="00343E5E" w:rsidRPr="00343E5E" w:rsidRDefault="00343E5E" w:rsidP="00343E5E">
            <w:pPr>
              <w:jc w:val="both"/>
              <w:rPr>
                <w:sz w:val="20"/>
              </w:rPr>
            </w:pPr>
            <w:r w:rsidRPr="00343E5E">
              <w:rPr>
                <w:sz w:val="20"/>
              </w:rPr>
              <w:t>January 11, 2019</w:t>
            </w:r>
          </w:p>
          <w:p w:rsidR="00343E5E" w:rsidRPr="00343E5E" w:rsidRDefault="00343E5E" w:rsidP="00343E5E">
            <w:pPr>
              <w:jc w:val="both"/>
              <w:rPr>
                <w:sz w:val="20"/>
              </w:rPr>
            </w:pPr>
            <w:r w:rsidRPr="00343E5E">
              <w:rPr>
                <w:sz w:val="20"/>
              </w:rPr>
              <w:t>Supreme Court of Canada</w:t>
            </w:r>
          </w:p>
        </w:tc>
        <w:tc>
          <w:tcPr>
            <w:tcW w:w="243" w:type="pct"/>
          </w:tcPr>
          <w:p w:rsidR="00343E5E" w:rsidRPr="00343E5E" w:rsidRDefault="00343E5E" w:rsidP="00343E5E">
            <w:pPr>
              <w:jc w:val="both"/>
              <w:rPr>
                <w:sz w:val="20"/>
              </w:rPr>
            </w:pPr>
          </w:p>
        </w:tc>
        <w:tc>
          <w:tcPr>
            <w:tcW w:w="2330" w:type="pct"/>
          </w:tcPr>
          <w:p w:rsidR="00343E5E" w:rsidRPr="00343E5E" w:rsidRDefault="00343E5E" w:rsidP="00343E5E">
            <w:pPr>
              <w:jc w:val="both"/>
              <w:rPr>
                <w:sz w:val="20"/>
              </w:rPr>
            </w:pPr>
            <w:r w:rsidRPr="00343E5E">
              <w:rPr>
                <w:sz w:val="20"/>
              </w:rPr>
              <w:t>Application for leave to appeal filed</w:t>
            </w:r>
          </w:p>
          <w:p w:rsidR="00343E5E" w:rsidRPr="00343E5E" w:rsidRDefault="00343E5E" w:rsidP="00343E5E">
            <w:pPr>
              <w:jc w:val="both"/>
              <w:rPr>
                <w:sz w:val="20"/>
              </w:rPr>
            </w:pPr>
          </w:p>
        </w:tc>
      </w:tr>
    </w:tbl>
    <w:p w:rsidR="001E56A6" w:rsidRPr="00343E5E" w:rsidRDefault="001E56A6" w:rsidP="00FC5507">
      <w:pPr>
        <w:ind w:left="142" w:hanging="142"/>
        <w:jc w:val="both"/>
        <w:rPr>
          <w:sz w:val="20"/>
        </w:rPr>
      </w:pPr>
    </w:p>
    <w:p w:rsidR="00A6684F" w:rsidRDefault="00A6684F" w:rsidP="00FC5507">
      <w:pPr>
        <w:ind w:left="142" w:hanging="142"/>
        <w:jc w:val="both"/>
        <w:rPr>
          <w:sz w:val="20"/>
          <w:lang w:val="fr-CA"/>
        </w:rPr>
      </w:pPr>
      <w:r>
        <w:rPr>
          <w:sz w:val="20"/>
        </w:rPr>
        <w:lastRenderedPageBreak/>
        <w:pict>
          <v:rect id="_x0000_i1064" style="width:2in;height:1pt" o:hrpct="0" o:hralign="center" o:hrstd="t" o:hrnoshade="t" o:hr="t" fillcolor="black [3213]" stroked="f"/>
        </w:pict>
      </w:r>
    </w:p>
    <w:p w:rsidR="00A6684F" w:rsidRPr="00FC5507" w:rsidRDefault="00A6684F"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85225" w:rsidRPr="00685225" w:rsidTr="00685225">
        <w:tc>
          <w:tcPr>
            <w:tcW w:w="543" w:type="pct"/>
          </w:tcPr>
          <w:p w:rsidR="00685225" w:rsidRPr="00685225" w:rsidRDefault="00685225" w:rsidP="00F9479E">
            <w:pPr>
              <w:rPr>
                <w:sz w:val="20"/>
                <w:lang w:val="fr-CA"/>
              </w:rPr>
            </w:pPr>
            <w:r w:rsidRPr="00685225">
              <w:rPr>
                <w:rStyle w:val="SCCFileNumberChar"/>
                <w:sz w:val="20"/>
                <w:szCs w:val="20"/>
                <w:lang w:val="fr-CA"/>
              </w:rPr>
              <w:t>38473</w:t>
            </w:r>
          </w:p>
        </w:tc>
        <w:tc>
          <w:tcPr>
            <w:tcW w:w="4457" w:type="pct"/>
            <w:gridSpan w:val="3"/>
          </w:tcPr>
          <w:p w:rsidR="00685225" w:rsidRPr="00685225" w:rsidRDefault="00685225" w:rsidP="00685225">
            <w:pPr>
              <w:pStyle w:val="SCCLsocParty"/>
              <w:jc w:val="both"/>
              <w:rPr>
                <w:b/>
                <w:sz w:val="20"/>
                <w:szCs w:val="20"/>
                <w:lang w:val="en-US"/>
              </w:rPr>
            </w:pPr>
            <w:r w:rsidRPr="00685225">
              <w:rPr>
                <w:b/>
                <w:sz w:val="20"/>
                <w:szCs w:val="20"/>
                <w:lang w:val="en-US"/>
              </w:rPr>
              <w:t>Cynthia Rebecca Delores LeRoy c. Century Services Corp.</w:t>
            </w:r>
          </w:p>
          <w:p w:rsidR="00685225" w:rsidRPr="00685225" w:rsidRDefault="00685225" w:rsidP="00685225">
            <w:pPr>
              <w:rPr>
                <w:sz w:val="20"/>
                <w:lang w:val="fr-CA"/>
              </w:rPr>
            </w:pPr>
            <w:r w:rsidRPr="00685225">
              <w:rPr>
                <w:sz w:val="20"/>
                <w:lang w:val="fr-CA"/>
              </w:rPr>
              <w:t>(C.</w:t>
            </w:r>
            <w:r w:rsidRPr="00685225">
              <w:rPr>
                <w:sz w:val="20"/>
                <w:lang w:val="fr-CA"/>
              </w:rPr>
              <w:noBreakHyphen/>
              <w:t>B.) (Civile) (Sur autorisation)</w:t>
            </w:r>
          </w:p>
        </w:tc>
      </w:tr>
      <w:tr w:rsidR="00685225" w:rsidRPr="00685225" w:rsidTr="00685225">
        <w:tc>
          <w:tcPr>
            <w:tcW w:w="5000" w:type="pct"/>
            <w:gridSpan w:val="4"/>
          </w:tcPr>
          <w:p w:rsidR="00685225" w:rsidRPr="00685225" w:rsidRDefault="00685225" w:rsidP="001947FC">
            <w:pPr>
              <w:rPr>
                <w:sz w:val="20"/>
                <w:lang w:val="fr-CA"/>
              </w:rPr>
            </w:pPr>
            <w:r w:rsidRPr="00685225">
              <w:rPr>
                <w:sz w:val="20"/>
                <w:lang w:val="fr-CA"/>
              </w:rPr>
              <w:t>Contrats — Contrats commerciaux — Formation — Exécution — Déclaration frauduleuse inexacte — Faillite et insolvabilité — La Cour devrait</w:t>
            </w:r>
            <w:r w:rsidRPr="00685225">
              <w:rPr>
                <w:sz w:val="20"/>
                <w:lang w:val="fr-CA"/>
              </w:rPr>
              <w:noBreakHyphen/>
              <w:t xml:space="preserve">elle reconnaître une obligation limitée d’agir avec une honnêteté élémentaire lors de la formation de contrats, laquelle pourrait rendre </w:t>
            </w:r>
            <w:proofErr w:type="spellStart"/>
            <w:r w:rsidRPr="00685225">
              <w:rPr>
                <w:sz w:val="20"/>
                <w:lang w:val="fr-CA"/>
              </w:rPr>
              <w:t>inexécutoires</w:t>
            </w:r>
            <w:proofErr w:type="spellEnd"/>
            <w:r w:rsidRPr="00685225">
              <w:rPr>
                <w:sz w:val="20"/>
                <w:lang w:val="fr-CA"/>
              </w:rPr>
              <w:t xml:space="preserve"> certaines parties ou la totalité d’un contrat si celui</w:t>
            </w:r>
            <w:r w:rsidRPr="00685225">
              <w:rPr>
                <w:sz w:val="20"/>
                <w:lang w:val="fr-CA"/>
              </w:rPr>
              <w:noBreakHyphen/>
              <w:t>ci a été conclu à la suite d’un acte de malhonnêteté flagrante?</w:t>
            </w:r>
          </w:p>
        </w:tc>
      </w:tr>
      <w:tr w:rsidR="00685225" w:rsidRPr="00685225" w:rsidTr="00685225">
        <w:tc>
          <w:tcPr>
            <w:tcW w:w="5000" w:type="pct"/>
            <w:gridSpan w:val="4"/>
          </w:tcPr>
          <w:p w:rsidR="00685225" w:rsidRPr="00685225" w:rsidRDefault="00685225" w:rsidP="00C01DCD">
            <w:pPr>
              <w:rPr>
                <w:sz w:val="20"/>
                <w:lang w:val="fr-CA"/>
              </w:rPr>
            </w:pPr>
          </w:p>
        </w:tc>
      </w:tr>
      <w:tr w:rsidR="00685225" w:rsidRPr="00685225" w:rsidTr="00685225">
        <w:tc>
          <w:tcPr>
            <w:tcW w:w="5000" w:type="pct"/>
            <w:gridSpan w:val="4"/>
          </w:tcPr>
          <w:p w:rsidR="00685225" w:rsidRPr="00685225" w:rsidRDefault="00685225" w:rsidP="00F42048">
            <w:pPr>
              <w:rPr>
                <w:sz w:val="20"/>
                <w:lang w:val="fr-CA"/>
              </w:rPr>
            </w:pPr>
            <w:r w:rsidRPr="00685225">
              <w:rPr>
                <w:sz w:val="20"/>
                <w:lang w:val="fr-CA"/>
              </w:rPr>
              <w:t xml:space="preserve">Century Services Corps a intenté une action en forclusion contre Cynthia Rebecca </w:t>
            </w:r>
            <w:proofErr w:type="spellStart"/>
            <w:r w:rsidRPr="00685225">
              <w:rPr>
                <w:sz w:val="20"/>
                <w:lang w:val="fr-CA"/>
              </w:rPr>
              <w:t>Delores</w:t>
            </w:r>
            <w:proofErr w:type="spellEnd"/>
            <w:r w:rsidRPr="00685225">
              <w:rPr>
                <w:sz w:val="20"/>
                <w:lang w:val="fr-CA"/>
              </w:rPr>
              <w:t xml:space="preserve"> </w:t>
            </w:r>
            <w:proofErr w:type="spellStart"/>
            <w:r w:rsidRPr="00685225">
              <w:rPr>
                <w:sz w:val="20"/>
                <w:lang w:val="fr-CA"/>
              </w:rPr>
              <w:t>LeRoy</w:t>
            </w:r>
            <w:proofErr w:type="spellEnd"/>
            <w:r w:rsidRPr="00685225">
              <w:rPr>
                <w:sz w:val="20"/>
                <w:lang w:val="fr-CA"/>
              </w:rPr>
              <w:t xml:space="preserve"> en novembre 2008, et celle</w:t>
            </w:r>
            <w:r w:rsidRPr="00685225">
              <w:rPr>
                <w:sz w:val="20"/>
                <w:lang w:val="fr-CA"/>
              </w:rPr>
              <w:noBreakHyphen/>
              <w:t>ci est toujours en cours. Mme </w:t>
            </w:r>
            <w:proofErr w:type="spellStart"/>
            <w:r w:rsidRPr="00685225">
              <w:rPr>
                <w:sz w:val="20"/>
                <w:lang w:val="fr-CA"/>
              </w:rPr>
              <w:t>LeRoy</w:t>
            </w:r>
            <w:proofErr w:type="spellEnd"/>
            <w:r w:rsidRPr="00685225">
              <w:rPr>
                <w:sz w:val="20"/>
                <w:lang w:val="fr-CA"/>
              </w:rPr>
              <w:t xml:space="preserve"> a donné à Century l’hypothèque prise sur sa résidence, ainsi qu’une garantie à recours limitée, en garantie de la dette de Ted </w:t>
            </w:r>
            <w:proofErr w:type="spellStart"/>
            <w:r w:rsidRPr="00685225">
              <w:rPr>
                <w:sz w:val="20"/>
                <w:lang w:val="fr-CA"/>
              </w:rPr>
              <w:t>LeRoy</w:t>
            </w:r>
            <w:proofErr w:type="spellEnd"/>
            <w:r w:rsidRPr="00685225">
              <w:rPr>
                <w:sz w:val="20"/>
                <w:lang w:val="fr-CA"/>
              </w:rPr>
              <w:t xml:space="preserve"> </w:t>
            </w:r>
            <w:proofErr w:type="spellStart"/>
            <w:r w:rsidRPr="00685225">
              <w:rPr>
                <w:sz w:val="20"/>
                <w:lang w:val="fr-CA"/>
              </w:rPr>
              <w:t>Trucking</w:t>
            </w:r>
            <w:proofErr w:type="spellEnd"/>
            <w:r w:rsidRPr="00685225">
              <w:rPr>
                <w:sz w:val="20"/>
                <w:lang w:val="fr-CA"/>
              </w:rPr>
              <w:t xml:space="preserve"> Ltd (« TLT »). Le dirigeant de TLT était le mari de Mme </w:t>
            </w:r>
            <w:proofErr w:type="spellStart"/>
            <w:r w:rsidRPr="00685225">
              <w:rPr>
                <w:sz w:val="20"/>
                <w:lang w:val="fr-CA"/>
              </w:rPr>
              <w:t>LeRoy</w:t>
            </w:r>
            <w:proofErr w:type="spellEnd"/>
            <w:r w:rsidRPr="00685225">
              <w:rPr>
                <w:sz w:val="20"/>
                <w:lang w:val="fr-CA"/>
              </w:rPr>
              <w:t xml:space="preserve">, Ted </w:t>
            </w:r>
            <w:proofErr w:type="spellStart"/>
            <w:r w:rsidRPr="00685225">
              <w:rPr>
                <w:sz w:val="20"/>
                <w:lang w:val="fr-CA"/>
              </w:rPr>
              <w:t>LeRoy</w:t>
            </w:r>
            <w:proofErr w:type="spellEnd"/>
            <w:r w:rsidRPr="00685225">
              <w:rPr>
                <w:sz w:val="20"/>
                <w:lang w:val="fr-CA"/>
              </w:rPr>
              <w:t>. La dette de TLT envers Century découlait d’un contrat de prêt. La responsabilité de Mme </w:t>
            </w:r>
            <w:proofErr w:type="spellStart"/>
            <w:r w:rsidRPr="00685225">
              <w:rPr>
                <w:sz w:val="20"/>
                <w:lang w:val="fr-CA"/>
              </w:rPr>
              <w:t>LeRoy</w:t>
            </w:r>
            <w:proofErr w:type="spellEnd"/>
            <w:r w:rsidRPr="00685225">
              <w:rPr>
                <w:sz w:val="20"/>
                <w:lang w:val="fr-CA"/>
              </w:rPr>
              <w:t xml:space="preserve"> se limitait à 2 millions de dollars à partir de la date de la demande plus l’intérêt, les coûts et les frais payables en application de la garantie et de l’hypothèque. Le recours de Century aux termes de la garantie se limitait à réaliser la garantie sur la résidence de Mme </w:t>
            </w:r>
            <w:proofErr w:type="spellStart"/>
            <w:r w:rsidRPr="00685225">
              <w:rPr>
                <w:sz w:val="20"/>
                <w:lang w:val="fr-CA"/>
              </w:rPr>
              <w:t>LeRoy</w:t>
            </w:r>
            <w:proofErr w:type="spellEnd"/>
            <w:r w:rsidRPr="00685225">
              <w:rPr>
                <w:sz w:val="20"/>
                <w:lang w:val="fr-CA"/>
              </w:rPr>
              <w:t>. TLT a manqué à ses obligations envers Century. Century a exigé un paiement de la part de TLT et a fait une réclamation à Mme </w:t>
            </w:r>
            <w:proofErr w:type="spellStart"/>
            <w:r w:rsidRPr="00685225">
              <w:rPr>
                <w:sz w:val="20"/>
                <w:lang w:val="fr-CA"/>
              </w:rPr>
              <w:t>LeRoy</w:t>
            </w:r>
            <w:proofErr w:type="spellEnd"/>
            <w:r w:rsidRPr="00685225">
              <w:rPr>
                <w:sz w:val="20"/>
                <w:lang w:val="fr-CA"/>
              </w:rPr>
              <w:t xml:space="preserve"> au titre de la garantie. Même après la liquidation, TLT conservait une dette envers Century de plus de 2 millions de dollars. La Cour suprême de la Colombie</w:t>
            </w:r>
            <w:r w:rsidRPr="00685225">
              <w:rPr>
                <w:sz w:val="20"/>
                <w:lang w:val="fr-CA"/>
              </w:rPr>
              <w:noBreakHyphen/>
              <w:t xml:space="preserve">Britannique a conclu que Century Services Corp. avait fait une déclaration frauduleuse inexacte concernant les frais postérieurs au défaut lorsqu’elle a négocié la garantie, et a donc conclu que la garantie (et l’hypothèque) était </w:t>
            </w:r>
            <w:proofErr w:type="spellStart"/>
            <w:r w:rsidRPr="00685225">
              <w:rPr>
                <w:sz w:val="20"/>
                <w:lang w:val="fr-CA"/>
              </w:rPr>
              <w:t>inexécutoire</w:t>
            </w:r>
            <w:proofErr w:type="spellEnd"/>
            <w:r w:rsidRPr="00685225">
              <w:rPr>
                <w:sz w:val="20"/>
                <w:lang w:val="fr-CA"/>
              </w:rPr>
              <w:t>. La Cour d’appel de la Colombie</w:t>
            </w:r>
            <w:r w:rsidRPr="00685225">
              <w:rPr>
                <w:sz w:val="20"/>
                <w:lang w:val="fr-CA"/>
              </w:rPr>
              <w:noBreakHyphen/>
              <w:t>Britannique a accueilli l’appel au motif que Century n’avait fait aucune déclaration à Mme </w:t>
            </w:r>
            <w:proofErr w:type="spellStart"/>
            <w:r w:rsidRPr="00685225">
              <w:rPr>
                <w:sz w:val="20"/>
                <w:lang w:val="fr-CA"/>
              </w:rPr>
              <w:t>LeRoy</w:t>
            </w:r>
            <w:proofErr w:type="spellEnd"/>
            <w:r w:rsidRPr="00685225">
              <w:rPr>
                <w:sz w:val="20"/>
                <w:lang w:val="fr-CA"/>
              </w:rPr>
              <w:t>. Après avoir appliqué les règles relatives à la divulgation concernant le prêteur, la cour d’appel a établi que les frais postérieurs au défaut étaient sans importance quant à la question de savoir si Mme </w:t>
            </w:r>
            <w:proofErr w:type="spellStart"/>
            <w:r w:rsidRPr="00685225">
              <w:rPr>
                <w:sz w:val="20"/>
                <w:lang w:val="fr-CA"/>
              </w:rPr>
              <w:t>LeRoy</w:t>
            </w:r>
            <w:proofErr w:type="spellEnd"/>
            <w:r w:rsidRPr="00685225">
              <w:rPr>
                <w:sz w:val="20"/>
                <w:lang w:val="fr-CA"/>
              </w:rPr>
              <w:t xml:space="preserve"> aurait signé la garantie. Elle a conclu qu’une personne raisonnable dans sa situation n’aurait pas été touchée par la connaissance des frais différents de ceux indiqués et a ordonné la reprise de l’action en forclusion.</w:t>
            </w:r>
          </w:p>
          <w:p w:rsidR="00685225" w:rsidRPr="00685225" w:rsidRDefault="00685225" w:rsidP="00C01DCD">
            <w:pPr>
              <w:rPr>
                <w:sz w:val="20"/>
                <w:lang w:val="fr-CA"/>
              </w:rPr>
            </w:pPr>
            <w:bookmarkStart w:id="2" w:name="_GoBack"/>
            <w:bookmarkEnd w:id="2"/>
          </w:p>
        </w:tc>
      </w:tr>
      <w:tr w:rsidR="00685225" w:rsidRPr="00685225" w:rsidTr="00685225">
        <w:tc>
          <w:tcPr>
            <w:tcW w:w="2427" w:type="pct"/>
            <w:gridSpan w:val="2"/>
          </w:tcPr>
          <w:p w:rsidR="00685225" w:rsidRPr="00685225" w:rsidRDefault="00685225" w:rsidP="00A90D37">
            <w:pPr>
              <w:rPr>
                <w:sz w:val="20"/>
                <w:lang w:val="fr-CA"/>
              </w:rPr>
            </w:pPr>
            <w:r w:rsidRPr="00685225">
              <w:rPr>
                <w:sz w:val="20"/>
                <w:lang w:val="fr-CA"/>
              </w:rPr>
              <w:t>24 octobre 2017</w:t>
            </w:r>
          </w:p>
          <w:p w:rsidR="00685225" w:rsidRPr="00685225" w:rsidRDefault="00685225" w:rsidP="00A90D37">
            <w:pPr>
              <w:rPr>
                <w:sz w:val="20"/>
                <w:lang w:val="fr-CA"/>
              </w:rPr>
            </w:pPr>
            <w:r w:rsidRPr="00685225">
              <w:rPr>
                <w:sz w:val="20"/>
                <w:lang w:val="fr-CA"/>
              </w:rPr>
              <w:t>Cour suprême de la Colombie</w:t>
            </w:r>
            <w:r w:rsidRPr="00685225">
              <w:rPr>
                <w:sz w:val="20"/>
                <w:lang w:val="fr-CA"/>
              </w:rPr>
              <w:noBreakHyphen/>
              <w:t>Britannique</w:t>
            </w:r>
          </w:p>
          <w:p w:rsidR="00685225" w:rsidRPr="00685225" w:rsidRDefault="00685225" w:rsidP="00A90D37">
            <w:pPr>
              <w:rPr>
                <w:sz w:val="20"/>
                <w:lang w:val="fr-CA"/>
              </w:rPr>
            </w:pPr>
            <w:r w:rsidRPr="00685225">
              <w:rPr>
                <w:sz w:val="20"/>
                <w:lang w:val="fr-CA"/>
              </w:rPr>
              <w:t>(Juge Warren)</w:t>
            </w:r>
          </w:p>
          <w:p w:rsidR="00685225" w:rsidRPr="00685225" w:rsidRDefault="00685225" w:rsidP="00A90D37">
            <w:pPr>
              <w:rPr>
                <w:sz w:val="20"/>
                <w:lang w:val="fr-CA"/>
              </w:rPr>
            </w:pPr>
            <w:hyperlink r:id="rId115" w:history="1">
              <w:r w:rsidRPr="00685225">
                <w:rPr>
                  <w:rStyle w:val="Hyperlink"/>
                  <w:sz w:val="20"/>
                  <w:lang w:val="fr-CA"/>
                </w:rPr>
                <w:t>2017 BCSC 1880</w:t>
              </w:r>
            </w:hyperlink>
          </w:p>
          <w:p w:rsidR="00685225" w:rsidRPr="00685225" w:rsidRDefault="00685225" w:rsidP="00A90D37">
            <w:pPr>
              <w:rPr>
                <w:sz w:val="20"/>
                <w:lang w:val="fr-CA"/>
              </w:rPr>
            </w:pPr>
          </w:p>
        </w:tc>
        <w:tc>
          <w:tcPr>
            <w:tcW w:w="243" w:type="pct"/>
          </w:tcPr>
          <w:p w:rsidR="00685225" w:rsidRPr="00685225" w:rsidRDefault="00685225" w:rsidP="00A90D37">
            <w:pPr>
              <w:rPr>
                <w:sz w:val="20"/>
                <w:lang w:val="fr-CA"/>
              </w:rPr>
            </w:pPr>
          </w:p>
        </w:tc>
        <w:tc>
          <w:tcPr>
            <w:tcW w:w="2330" w:type="pct"/>
          </w:tcPr>
          <w:p w:rsidR="00685225" w:rsidRPr="00685225" w:rsidRDefault="00685225" w:rsidP="00A90D37">
            <w:pPr>
              <w:rPr>
                <w:sz w:val="20"/>
                <w:lang w:val="fr-CA"/>
              </w:rPr>
            </w:pPr>
            <w:r w:rsidRPr="00685225">
              <w:rPr>
                <w:sz w:val="20"/>
                <w:lang w:val="fr-CA"/>
              </w:rPr>
              <w:t>Action en forclusion rejetée en raison d’une déclaration frauduleuse inexacte.</w:t>
            </w:r>
          </w:p>
          <w:p w:rsidR="00685225" w:rsidRPr="00685225" w:rsidRDefault="00685225" w:rsidP="00A90D37">
            <w:pPr>
              <w:rPr>
                <w:sz w:val="20"/>
                <w:lang w:val="fr-CA"/>
              </w:rPr>
            </w:pPr>
          </w:p>
        </w:tc>
      </w:tr>
      <w:tr w:rsidR="00685225" w:rsidRPr="00685225" w:rsidTr="00685225">
        <w:tc>
          <w:tcPr>
            <w:tcW w:w="2427" w:type="pct"/>
            <w:gridSpan w:val="2"/>
          </w:tcPr>
          <w:p w:rsidR="00685225" w:rsidRPr="00685225" w:rsidRDefault="00685225" w:rsidP="00A90D37">
            <w:pPr>
              <w:rPr>
                <w:sz w:val="20"/>
                <w:lang w:val="fr-CA"/>
              </w:rPr>
            </w:pPr>
            <w:r w:rsidRPr="00685225">
              <w:rPr>
                <w:sz w:val="20"/>
                <w:lang w:val="fr-CA"/>
              </w:rPr>
              <w:t>10 juillet 2018</w:t>
            </w:r>
          </w:p>
          <w:p w:rsidR="00685225" w:rsidRPr="00685225" w:rsidRDefault="00685225" w:rsidP="00A90D37">
            <w:pPr>
              <w:rPr>
                <w:sz w:val="20"/>
                <w:lang w:val="fr-CA"/>
              </w:rPr>
            </w:pPr>
            <w:r w:rsidRPr="00685225">
              <w:rPr>
                <w:sz w:val="20"/>
                <w:lang w:val="fr-CA"/>
              </w:rPr>
              <w:t>Cour d’appel de la Colombie</w:t>
            </w:r>
            <w:r w:rsidRPr="00685225">
              <w:rPr>
                <w:sz w:val="20"/>
                <w:lang w:val="fr-CA"/>
              </w:rPr>
              <w:noBreakHyphen/>
              <w:t xml:space="preserve">Britannique </w:t>
            </w:r>
          </w:p>
          <w:p w:rsidR="00685225" w:rsidRPr="00685225" w:rsidRDefault="00685225" w:rsidP="00A90D37">
            <w:pPr>
              <w:rPr>
                <w:sz w:val="20"/>
                <w:lang w:val="fr-CA"/>
              </w:rPr>
            </w:pPr>
            <w:r w:rsidRPr="00685225">
              <w:rPr>
                <w:sz w:val="20"/>
                <w:lang w:val="fr-CA"/>
              </w:rPr>
              <w:t>(Vancouver)</w:t>
            </w:r>
          </w:p>
          <w:p w:rsidR="00685225" w:rsidRPr="00685225" w:rsidRDefault="00685225" w:rsidP="00A90D37">
            <w:pPr>
              <w:rPr>
                <w:sz w:val="20"/>
                <w:lang w:val="fr-CA"/>
              </w:rPr>
            </w:pPr>
            <w:r w:rsidRPr="00685225">
              <w:rPr>
                <w:sz w:val="20"/>
                <w:lang w:val="fr-CA"/>
              </w:rPr>
              <w:t xml:space="preserve">(Juges </w:t>
            </w:r>
            <w:proofErr w:type="spellStart"/>
            <w:r w:rsidRPr="00685225">
              <w:rPr>
                <w:sz w:val="20"/>
                <w:lang w:val="fr-CA"/>
              </w:rPr>
              <w:t>Groberman</w:t>
            </w:r>
            <w:proofErr w:type="spellEnd"/>
            <w:r w:rsidRPr="00685225">
              <w:rPr>
                <w:sz w:val="20"/>
                <w:lang w:val="fr-CA"/>
              </w:rPr>
              <w:t xml:space="preserve">, </w:t>
            </w:r>
            <w:proofErr w:type="spellStart"/>
            <w:r w:rsidRPr="00685225">
              <w:rPr>
                <w:sz w:val="20"/>
                <w:lang w:val="fr-CA"/>
              </w:rPr>
              <w:t>Fitch</w:t>
            </w:r>
            <w:proofErr w:type="spellEnd"/>
            <w:r w:rsidRPr="00685225">
              <w:rPr>
                <w:sz w:val="20"/>
                <w:lang w:val="fr-CA"/>
              </w:rPr>
              <w:t xml:space="preserve"> et Hunter)</w:t>
            </w:r>
          </w:p>
          <w:p w:rsidR="00685225" w:rsidRPr="00685225" w:rsidRDefault="00685225" w:rsidP="00A90D37">
            <w:pPr>
              <w:rPr>
                <w:sz w:val="20"/>
                <w:lang w:val="fr-CA"/>
              </w:rPr>
            </w:pPr>
            <w:hyperlink r:id="rId116" w:history="1">
              <w:r w:rsidRPr="00685225">
                <w:rPr>
                  <w:rStyle w:val="Hyperlink"/>
                  <w:sz w:val="20"/>
                  <w:lang w:val="fr-CA"/>
                </w:rPr>
                <w:t>2018 BCCA 279</w:t>
              </w:r>
            </w:hyperlink>
          </w:p>
          <w:p w:rsidR="00685225" w:rsidRPr="00685225" w:rsidRDefault="00685225" w:rsidP="00A90D37">
            <w:pPr>
              <w:rPr>
                <w:sz w:val="20"/>
                <w:lang w:val="fr-CA"/>
              </w:rPr>
            </w:pPr>
          </w:p>
        </w:tc>
        <w:tc>
          <w:tcPr>
            <w:tcW w:w="243" w:type="pct"/>
          </w:tcPr>
          <w:p w:rsidR="00685225" w:rsidRPr="00685225" w:rsidRDefault="00685225" w:rsidP="00A90D37">
            <w:pPr>
              <w:rPr>
                <w:sz w:val="20"/>
                <w:lang w:val="fr-CA"/>
              </w:rPr>
            </w:pPr>
          </w:p>
        </w:tc>
        <w:tc>
          <w:tcPr>
            <w:tcW w:w="2330" w:type="pct"/>
          </w:tcPr>
          <w:p w:rsidR="00685225" w:rsidRPr="00685225" w:rsidRDefault="00685225" w:rsidP="00A90D37">
            <w:pPr>
              <w:rPr>
                <w:sz w:val="20"/>
                <w:lang w:val="fr-CA"/>
              </w:rPr>
            </w:pPr>
            <w:r w:rsidRPr="00685225">
              <w:rPr>
                <w:sz w:val="20"/>
                <w:lang w:val="fr-CA"/>
              </w:rPr>
              <w:t>Appel accueilli.</w:t>
            </w:r>
          </w:p>
          <w:p w:rsidR="00685225" w:rsidRPr="00685225" w:rsidRDefault="00685225" w:rsidP="00A90D37">
            <w:pPr>
              <w:rPr>
                <w:sz w:val="20"/>
                <w:lang w:val="fr-CA"/>
              </w:rPr>
            </w:pPr>
          </w:p>
        </w:tc>
      </w:tr>
      <w:tr w:rsidR="00685225" w:rsidRPr="00685225" w:rsidTr="00685225">
        <w:tc>
          <w:tcPr>
            <w:tcW w:w="2427" w:type="pct"/>
            <w:gridSpan w:val="2"/>
          </w:tcPr>
          <w:p w:rsidR="00685225" w:rsidRPr="00685225" w:rsidRDefault="00685225" w:rsidP="00A90D37">
            <w:pPr>
              <w:rPr>
                <w:sz w:val="20"/>
                <w:lang w:val="fr-CA"/>
              </w:rPr>
            </w:pPr>
            <w:r w:rsidRPr="00685225">
              <w:rPr>
                <w:sz w:val="20"/>
                <w:lang w:val="fr-CA"/>
              </w:rPr>
              <w:t>11 janvier 2019</w:t>
            </w:r>
          </w:p>
          <w:p w:rsidR="00685225" w:rsidRPr="00685225" w:rsidRDefault="00685225" w:rsidP="00856195">
            <w:pPr>
              <w:rPr>
                <w:sz w:val="20"/>
                <w:lang w:val="fr-CA"/>
              </w:rPr>
            </w:pPr>
            <w:r w:rsidRPr="00685225">
              <w:rPr>
                <w:sz w:val="20"/>
                <w:lang w:val="fr-CA"/>
              </w:rPr>
              <w:t>Cour suprême du Canada</w:t>
            </w:r>
          </w:p>
        </w:tc>
        <w:tc>
          <w:tcPr>
            <w:tcW w:w="243" w:type="pct"/>
          </w:tcPr>
          <w:p w:rsidR="00685225" w:rsidRPr="00685225" w:rsidRDefault="00685225" w:rsidP="00A90D37">
            <w:pPr>
              <w:rPr>
                <w:sz w:val="20"/>
                <w:lang w:val="fr-CA"/>
              </w:rPr>
            </w:pPr>
          </w:p>
        </w:tc>
        <w:tc>
          <w:tcPr>
            <w:tcW w:w="2330" w:type="pct"/>
          </w:tcPr>
          <w:p w:rsidR="00685225" w:rsidRPr="00685225" w:rsidRDefault="00685225" w:rsidP="00A90D37">
            <w:pPr>
              <w:rPr>
                <w:sz w:val="20"/>
                <w:lang w:val="fr-CA"/>
              </w:rPr>
            </w:pPr>
            <w:r w:rsidRPr="00685225">
              <w:rPr>
                <w:sz w:val="20"/>
                <w:lang w:val="fr-CA"/>
              </w:rPr>
              <w:t>Demande d’autorisation d’appel déposée.</w:t>
            </w:r>
          </w:p>
          <w:p w:rsidR="00685225" w:rsidRPr="00685225" w:rsidRDefault="00685225" w:rsidP="00A90D37">
            <w:pPr>
              <w:rPr>
                <w:sz w:val="20"/>
                <w:lang w:val="fr-CA"/>
              </w:rPr>
            </w:pPr>
          </w:p>
        </w:tc>
      </w:tr>
    </w:tbl>
    <w:p w:rsidR="001E56A6" w:rsidRDefault="001E56A6" w:rsidP="00FC5507">
      <w:pPr>
        <w:ind w:left="142" w:hanging="142"/>
        <w:jc w:val="both"/>
        <w:rPr>
          <w:sz w:val="20"/>
          <w:lang w:val="fr-CA"/>
        </w:rPr>
      </w:pPr>
    </w:p>
    <w:p w:rsidR="00A6684F" w:rsidRDefault="00A6684F" w:rsidP="00FC5507">
      <w:pPr>
        <w:ind w:left="142" w:hanging="142"/>
        <w:jc w:val="both"/>
        <w:rPr>
          <w:sz w:val="20"/>
          <w:lang w:val="fr-CA"/>
        </w:rPr>
      </w:pPr>
      <w:r>
        <w:rPr>
          <w:sz w:val="20"/>
        </w:rPr>
        <w:pict>
          <v:rect id="_x0000_i1066" style="width:2in;height:1pt" o:hrpct="0" o:hralign="center" o:hrstd="t" o:hrnoshade="t" o:hr="t" fillcolor="black [3213]" stroked="f"/>
        </w:pict>
      </w:r>
    </w:p>
    <w:p w:rsidR="00A6684F" w:rsidRPr="00FC5507" w:rsidRDefault="00A6684F"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5507" w:rsidRPr="00FC5507" w:rsidTr="00602075">
        <w:tc>
          <w:tcPr>
            <w:tcW w:w="543" w:type="pct"/>
          </w:tcPr>
          <w:p w:rsidR="00FC5507" w:rsidRPr="00FC5507" w:rsidRDefault="00FC5507" w:rsidP="00FC5507">
            <w:pPr>
              <w:jc w:val="both"/>
              <w:rPr>
                <w:sz w:val="20"/>
                <w:lang w:val="en-CA"/>
              </w:rPr>
            </w:pPr>
            <w:r w:rsidRPr="00FC5507">
              <w:rPr>
                <w:rStyle w:val="SCCFileNumberChar"/>
                <w:sz w:val="20"/>
                <w:szCs w:val="20"/>
              </w:rPr>
              <w:t>38522</w:t>
            </w:r>
          </w:p>
        </w:tc>
        <w:tc>
          <w:tcPr>
            <w:tcW w:w="4457" w:type="pct"/>
            <w:gridSpan w:val="3"/>
          </w:tcPr>
          <w:p w:rsidR="00FC5507" w:rsidRPr="008571F9" w:rsidRDefault="00FC5507" w:rsidP="00FC5507">
            <w:pPr>
              <w:pStyle w:val="SCCLsocParty"/>
              <w:jc w:val="both"/>
              <w:rPr>
                <w:b/>
                <w:sz w:val="20"/>
                <w:szCs w:val="20"/>
                <w:lang w:val="en-CA"/>
              </w:rPr>
            </w:pPr>
            <w:r w:rsidRPr="008571F9">
              <w:rPr>
                <w:b/>
                <w:sz w:val="20"/>
                <w:szCs w:val="20"/>
                <w:lang w:val="en-CA"/>
              </w:rPr>
              <w:t>Benoît Bissonnette v. Her Majesty the Queen</w:t>
            </w:r>
          </w:p>
          <w:p w:rsidR="00FC5507" w:rsidRPr="00FC5507" w:rsidRDefault="00FC5507" w:rsidP="00FC5507">
            <w:pPr>
              <w:jc w:val="both"/>
              <w:rPr>
                <w:sz w:val="20"/>
                <w:lang w:val="en-CA"/>
              </w:rPr>
            </w:pPr>
            <w:r w:rsidRPr="00FC5507">
              <w:rPr>
                <w:sz w:val="20"/>
                <w:lang w:val="en-CA"/>
              </w:rPr>
              <w:t>(Que.) (Criminal) (By Leave)</w:t>
            </w:r>
          </w:p>
        </w:tc>
      </w:tr>
      <w:tr w:rsidR="00FC5507" w:rsidRPr="00FC5507" w:rsidTr="00602075">
        <w:tc>
          <w:tcPr>
            <w:tcW w:w="5000" w:type="pct"/>
            <w:gridSpan w:val="4"/>
          </w:tcPr>
          <w:p w:rsidR="00FC5507" w:rsidRPr="00FC5507" w:rsidRDefault="00FC5507" w:rsidP="00FC5507">
            <w:pPr>
              <w:jc w:val="both"/>
              <w:rPr>
                <w:sz w:val="20"/>
                <w:lang w:val="en-CA"/>
              </w:rPr>
            </w:pPr>
            <w:proofErr w:type="gramStart"/>
            <w:r w:rsidRPr="00FC5507">
              <w:rPr>
                <w:sz w:val="20"/>
                <w:lang w:val="en-CA"/>
              </w:rPr>
              <w:t>Criminal law — Charge to jury — Appeals — Whether Court of Appeal could validly set aside acquittal returned by jury at trial on basis of point of law (wilful blindness) first raised by prosecution on appeal — Whether instructions given by judge to jury during trial were so inadequate that acquittal returned at trial could be set aside and new trial ordered based on: (a) guidance concerning</w:t>
            </w:r>
            <w:r w:rsidRPr="00FC5507">
              <w:rPr>
                <w:i/>
                <w:sz w:val="20"/>
                <w:lang w:val="en-CA"/>
              </w:rPr>
              <w:t xml:space="preserve"> mens rea </w:t>
            </w:r>
            <w:r w:rsidRPr="00FC5507">
              <w:rPr>
                <w:sz w:val="20"/>
                <w:lang w:val="en-CA"/>
              </w:rPr>
              <w:t>element of alleged offence of being accessory as well as issue of failure to instruct jury on doctrine of wilful blindness; (b) guidance concerning</w:t>
            </w:r>
            <w:r w:rsidRPr="00FC5507">
              <w:rPr>
                <w:i/>
                <w:sz w:val="20"/>
                <w:lang w:val="en-CA"/>
              </w:rPr>
              <w:t xml:space="preserve"> mens rea</w:t>
            </w:r>
            <w:r w:rsidRPr="00FC5507">
              <w:rPr>
                <w:sz w:val="20"/>
                <w:lang w:val="en-CA"/>
              </w:rPr>
              <w:t xml:space="preserve"> element of alleged offence of breach of trust — Whether Court of Appeal could intervene as regards instructions given by trial judge to jury even though prosecution had opportunity to address this point in timely manner and did not do so, and even though </w:t>
            </w:r>
            <w:r w:rsidRPr="00FC5507">
              <w:rPr>
                <w:sz w:val="20"/>
                <w:lang w:val="en-CA"/>
              </w:rPr>
              <w:lastRenderedPageBreak/>
              <w:t xml:space="preserve">judge himself supplemented his main instructions in response to jurors’ questions — </w:t>
            </w:r>
            <w:r w:rsidRPr="00FC5507">
              <w:rPr>
                <w:i/>
                <w:sz w:val="20"/>
                <w:lang w:val="en-CA"/>
              </w:rPr>
              <w:t>Criminal Code</w:t>
            </w:r>
            <w:r w:rsidRPr="00FC5507">
              <w:rPr>
                <w:sz w:val="20"/>
                <w:lang w:val="en-CA"/>
              </w:rPr>
              <w:t>, R.S.C. 1985, c. C</w:t>
            </w:r>
            <w:r w:rsidRPr="00FC5507">
              <w:rPr>
                <w:sz w:val="20"/>
                <w:lang w:val="en-CA"/>
              </w:rPr>
              <w:noBreakHyphen/>
              <w:t>46, ss. 21 and 122.</w:t>
            </w:r>
            <w:proofErr w:type="gramEnd"/>
          </w:p>
        </w:tc>
      </w:tr>
      <w:tr w:rsidR="00FC5507" w:rsidRPr="00FC5507" w:rsidTr="00602075">
        <w:tc>
          <w:tcPr>
            <w:tcW w:w="5000" w:type="pct"/>
            <w:gridSpan w:val="4"/>
          </w:tcPr>
          <w:p w:rsidR="00FC5507" w:rsidRPr="00FC5507" w:rsidRDefault="00FC5507" w:rsidP="00FC5507">
            <w:pPr>
              <w:jc w:val="both"/>
              <w:rPr>
                <w:sz w:val="20"/>
                <w:lang w:val="en-CA"/>
              </w:rPr>
            </w:pPr>
          </w:p>
        </w:tc>
      </w:tr>
      <w:tr w:rsidR="00FC5507" w:rsidRPr="00FC5507" w:rsidTr="00602075">
        <w:tc>
          <w:tcPr>
            <w:tcW w:w="5000" w:type="pct"/>
            <w:gridSpan w:val="4"/>
          </w:tcPr>
          <w:p w:rsidR="00FC5507" w:rsidRPr="00FC5507" w:rsidRDefault="00FC5507" w:rsidP="00FC5507">
            <w:pPr>
              <w:jc w:val="both"/>
              <w:rPr>
                <w:sz w:val="20"/>
                <w:lang w:val="en-CA"/>
              </w:rPr>
            </w:pPr>
            <w:r w:rsidRPr="00FC5507">
              <w:rPr>
                <w:sz w:val="20"/>
                <w:lang w:val="en-CA"/>
              </w:rPr>
              <w:t>The Crown charged Mr. Bissonnette with aiding an official of Ville de Montréal (“city”) to use his position to obtain commissions from companies that provided the city with computer services and to misappropriate funds. The Crown also alleged that Mr. Bissonnette had conspired with that official to misappropriate funds from the city.</w:t>
            </w:r>
          </w:p>
          <w:p w:rsidR="00FC5507" w:rsidRPr="00FC5507" w:rsidRDefault="00FC5507" w:rsidP="00FC5507">
            <w:pPr>
              <w:jc w:val="both"/>
              <w:rPr>
                <w:sz w:val="20"/>
                <w:lang w:val="en-CA"/>
              </w:rPr>
            </w:pPr>
          </w:p>
          <w:p w:rsidR="00FC5507" w:rsidRPr="00FC5507" w:rsidRDefault="00FC5507" w:rsidP="00FC5507">
            <w:pPr>
              <w:jc w:val="both"/>
              <w:rPr>
                <w:sz w:val="20"/>
                <w:lang w:val="en-CA"/>
              </w:rPr>
            </w:pPr>
            <w:r w:rsidRPr="00FC5507">
              <w:rPr>
                <w:sz w:val="20"/>
                <w:lang w:val="en-CA"/>
              </w:rPr>
              <w:t>The jury acquitted Mr. Bissonnette of the counts of breach of trust and conspiracy. The Court of Appeal ordered a new trial on both of those counts because of problems it identified with the charge to the jury and the review of the evidence at trial.</w:t>
            </w:r>
          </w:p>
          <w:p w:rsidR="00FC5507" w:rsidRPr="00FC5507" w:rsidRDefault="00FC5507" w:rsidP="00FC5507">
            <w:pPr>
              <w:jc w:val="both"/>
              <w:rPr>
                <w:sz w:val="20"/>
                <w:lang w:val="en-CA"/>
              </w:rPr>
            </w:pPr>
          </w:p>
        </w:tc>
      </w:tr>
      <w:tr w:rsidR="00FC5507" w:rsidRPr="00FC5507" w:rsidTr="00602075">
        <w:tc>
          <w:tcPr>
            <w:tcW w:w="2427" w:type="pct"/>
            <w:gridSpan w:val="2"/>
          </w:tcPr>
          <w:p w:rsidR="00FC5507" w:rsidRPr="00FC5507" w:rsidRDefault="00FC5507" w:rsidP="00FC5507">
            <w:pPr>
              <w:jc w:val="both"/>
              <w:rPr>
                <w:sz w:val="20"/>
                <w:lang w:val="en-CA"/>
              </w:rPr>
            </w:pPr>
            <w:r w:rsidRPr="00FC5507">
              <w:rPr>
                <w:sz w:val="20"/>
                <w:lang w:val="en-CA"/>
              </w:rPr>
              <w:t>December 5, 2015</w:t>
            </w:r>
          </w:p>
          <w:p w:rsidR="00FC5507" w:rsidRPr="00FC5507" w:rsidRDefault="00FC5507" w:rsidP="00FC5507">
            <w:pPr>
              <w:jc w:val="both"/>
              <w:rPr>
                <w:sz w:val="20"/>
                <w:lang w:val="en-CA"/>
              </w:rPr>
            </w:pPr>
            <w:r w:rsidRPr="00FC5507">
              <w:rPr>
                <w:sz w:val="20"/>
                <w:lang w:val="en-CA"/>
              </w:rPr>
              <w:t>Quebec Superior Court</w:t>
            </w:r>
          </w:p>
          <w:p w:rsidR="00FC5507" w:rsidRPr="00FC5507" w:rsidRDefault="00FC5507" w:rsidP="00FC5507">
            <w:pPr>
              <w:jc w:val="both"/>
              <w:rPr>
                <w:sz w:val="20"/>
                <w:lang w:val="en-CA"/>
              </w:rPr>
            </w:pPr>
            <w:r w:rsidRPr="00FC5507">
              <w:rPr>
                <w:sz w:val="20"/>
                <w:lang w:val="en-CA"/>
              </w:rPr>
              <w:t>(Buffoni J.)</w:t>
            </w:r>
          </w:p>
          <w:p w:rsidR="00FC5507" w:rsidRPr="00FC5507" w:rsidRDefault="00FC5507" w:rsidP="00FC5507">
            <w:pPr>
              <w:jc w:val="both"/>
              <w:rPr>
                <w:sz w:val="20"/>
                <w:lang w:val="en-CA"/>
              </w:rPr>
            </w:pPr>
            <w:r w:rsidRPr="00FC5507">
              <w:rPr>
                <w:sz w:val="20"/>
                <w:lang w:val="en-CA"/>
              </w:rPr>
              <w:t>500</w:t>
            </w:r>
            <w:r w:rsidRPr="00FC5507">
              <w:rPr>
                <w:sz w:val="20"/>
                <w:lang w:val="en-CA"/>
              </w:rPr>
              <w:noBreakHyphen/>
              <w:t>01</w:t>
            </w:r>
            <w:r w:rsidRPr="00FC5507">
              <w:rPr>
                <w:sz w:val="20"/>
                <w:lang w:val="en-CA"/>
              </w:rPr>
              <w:noBreakHyphen/>
              <w:t>028331</w:t>
            </w:r>
            <w:r w:rsidRPr="00FC5507">
              <w:rPr>
                <w:sz w:val="20"/>
                <w:lang w:val="en-CA"/>
              </w:rPr>
              <w:noBreakHyphen/>
              <w:t>095</w:t>
            </w:r>
          </w:p>
          <w:p w:rsidR="00FC5507" w:rsidRPr="00FC5507" w:rsidRDefault="00FC5507" w:rsidP="00FC5507">
            <w:pPr>
              <w:jc w:val="both"/>
              <w:rPr>
                <w:sz w:val="20"/>
                <w:lang w:val="en-CA"/>
              </w:rPr>
            </w:pPr>
          </w:p>
        </w:tc>
        <w:tc>
          <w:tcPr>
            <w:tcW w:w="243" w:type="pct"/>
          </w:tcPr>
          <w:p w:rsidR="00FC5507" w:rsidRPr="00FC5507" w:rsidRDefault="00FC5507" w:rsidP="00FC5507">
            <w:pPr>
              <w:jc w:val="both"/>
              <w:rPr>
                <w:sz w:val="20"/>
                <w:lang w:val="en-CA"/>
              </w:rPr>
            </w:pPr>
          </w:p>
        </w:tc>
        <w:tc>
          <w:tcPr>
            <w:tcW w:w="2330" w:type="pct"/>
          </w:tcPr>
          <w:p w:rsidR="00FC5507" w:rsidRPr="00FC5507" w:rsidRDefault="00FC5507" w:rsidP="00FC5507">
            <w:pPr>
              <w:jc w:val="both"/>
              <w:rPr>
                <w:sz w:val="20"/>
                <w:lang w:val="en-CA"/>
              </w:rPr>
            </w:pPr>
            <w:r w:rsidRPr="00FC5507">
              <w:rPr>
                <w:sz w:val="20"/>
                <w:lang w:val="en-CA"/>
              </w:rPr>
              <w:t xml:space="preserve">Applicant acquitted by jury of one count of breach of trust and one count of conspiracy </w:t>
            </w:r>
          </w:p>
        </w:tc>
      </w:tr>
      <w:tr w:rsidR="00FC5507" w:rsidRPr="00FC5507" w:rsidTr="00602075">
        <w:tc>
          <w:tcPr>
            <w:tcW w:w="2427" w:type="pct"/>
            <w:gridSpan w:val="2"/>
          </w:tcPr>
          <w:p w:rsidR="00FC5507" w:rsidRPr="00FC5507" w:rsidRDefault="00FC5507" w:rsidP="00FC5507">
            <w:pPr>
              <w:jc w:val="both"/>
              <w:rPr>
                <w:sz w:val="20"/>
                <w:lang w:val="en-CA"/>
              </w:rPr>
            </w:pPr>
            <w:r w:rsidRPr="00FC5507">
              <w:rPr>
                <w:sz w:val="20"/>
                <w:lang w:val="en-CA"/>
              </w:rPr>
              <w:t>December 18, 2018</w:t>
            </w:r>
          </w:p>
          <w:p w:rsidR="00FC5507" w:rsidRPr="00FC5507" w:rsidRDefault="00FC5507" w:rsidP="00FC5507">
            <w:pPr>
              <w:jc w:val="both"/>
              <w:rPr>
                <w:sz w:val="20"/>
                <w:lang w:val="en-CA"/>
              </w:rPr>
            </w:pPr>
            <w:r w:rsidRPr="00FC5507">
              <w:rPr>
                <w:sz w:val="20"/>
                <w:lang w:val="en-CA"/>
              </w:rPr>
              <w:t>Quebec Court of Appeal (Montréal)</w:t>
            </w:r>
          </w:p>
          <w:p w:rsidR="00FC5507" w:rsidRPr="00FC5507" w:rsidRDefault="00FC5507" w:rsidP="00FC5507">
            <w:pPr>
              <w:jc w:val="both"/>
              <w:rPr>
                <w:sz w:val="20"/>
                <w:lang w:val="en-CA"/>
              </w:rPr>
            </w:pPr>
            <w:r w:rsidRPr="00FC5507">
              <w:rPr>
                <w:sz w:val="20"/>
                <w:lang w:val="en-CA"/>
              </w:rPr>
              <w:t>(Bich, Mainville and Healy JJ.A.)</w:t>
            </w:r>
          </w:p>
          <w:p w:rsidR="00FC5507" w:rsidRPr="00FC5507" w:rsidRDefault="00685225" w:rsidP="00FC5507">
            <w:pPr>
              <w:jc w:val="both"/>
              <w:rPr>
                <w:sz w:val="20"/>
                <w:lang w:val="en-CA"/>
              </w:rPr>
            </w:pPr>
            <w:hyperlink r:id="rId117" w:history="1">
              <w:r w:rsidR="00FC5507" w:rsidRPr="00FC5507">
                <w:rPr>
                  <w:rStyle w:val="Hyperlink"/>
                  <w:sz w:val="20"/>
                  <w:lang w:val="en-CA"/>
                </w:rPr>
                <w:t>2018 QCCA 2165</w:t>
              </w:r>
            </w:hyperlink>
          </w:p>
          <w:p w:rsidR="00FC5507" w:rsidRPr="00FC5507" w:rsidRDefault="00FC5507" w:rsidP="00FC5507">
            <w:pPr>
              <w:jc w:val="both"/>
              <w:rPr>
                <w:sz w:val="20"/>
                <w:lang w:val="en-CA"/>
              </w:rPr>
            </w:pPr>
          </w:p>
        </w:tc>
        <w:tc>
          <w:tcPr>
            <w:tcW w:w="243" w:type="pct"/>
          </w:tcPr>
          <w:p w:rsidR="00FC5507" w:rsidRPr="00FC5507" w:rsidRDefault="00FC5507" w:rsidP="00FC5507">
            <w:pPr>
              <w:jc w:val="both"/>
              <w:rPr>
                <w:sz w:val="20"/>
                <w:lang w:val="en-CA"/>
              </w:rPr>
            </w:pPr>
          </w:p>
        </w:tc>
        <w:tc>
          <w:tcPr>
            <w:tcW w:w="2330" w:type="pct"/>
          </w:tcPr>
          <w:p w:rsidR="00FC5507" w:rsidRPr="00FC5507" w:rsidRDefault="00FC5507" w:rsidP="00FC5507">
            <w:pPr>
              <w:jc w:val="both"/>
              <w:rPr>
                <w:sz w:val="20"/>
                <w:lang w:val="en-CA"/>
              </w:rPr>
            </w:pPr>
            <w:r w:rsidRPr="00FC5507">
              <w:rPr>
                <w:sz w:val="20"/>
                <w:lang w:val="en-CA"/>
              </w:rPr>
              <w:t>Appeal allowed and new trial ordered on counts of breach of trust and conspiracy</w:t>
            </w:r>
          </w:p>
          <w:p w:rsidR="00FC5507" w:rsidRPr="00FC5507" w:rsidRDefault="00FC5507" w:rsidP="00FC5507">
            <w:pPr>
              <w:jc w:val="both"/>
              <w:rPr>
                <w:sz w:val="20"/>
                <w:lang w:val="en-CA"/>
              </w:rPr>
            </w:pPr>
          </w:p>
        </w:tc>
      </w:tr>
      <w:tr w:rsidR="00FC5507" w:rsidRPr="00FC5507" w:rsidTr="00602075">
        <w:tc>
          <w:tcPr>
            <w:tcW w:w="2427" w:type="pct"/>
            <w:gridSpan w:val="2"/>
          </w:tcPr>
          <w:p w:rsidR="00FC5507" w:rsidRPr="00FC5507" w:rsidRDefault="00FC5507" w:rsidP="00FC5507">
            <w:pPr>
              <w:jc w:val="both"/>
              <w:rPr>
                <w:sz w:val="20"/>
                <w:lang w:val="en-CA"/>
              </w:rPr>
            </w:pPr>
            <w:r w:rsidRPr="00FC5507">
              <w:rPr>
                <w:sz w:val="20"/>
                <w:lang w:val="en-CA"/>
              </w:rPr>
              <w:t>February 18, 2019</w:t>
            </w:r>
          </w:p>
          <w:p w:rsidR="00FC5507" w:rsidRPr="00FC5507" w:rsidRDefault="00FC5507" w:rsidP="00FC5507">
            <w:pPr>
              <w:jc w:val="both"/>
              <w:rPr>
                <w:sz w:val="20"/>
                <w:lang w:val="en-CA"/>
              </w:rPr>
            </w:pPr>
            <w:r w:rsidRPr="00FC5507">
              <w:rPr>
                <w:sz w:val="20"/>
                <w:lang w:val="en-CA"/>
              </w:rPr>
              <w:t>Supreme Court of Canada</w:t>
            </w:r>
          </w:p>
        </w:tc>
        <w:tc>
          <w:tcPr>
            <w:tcW w:w="243" w:type="pct"/>
          </w:tcPr>
          <w:p w:rsidR="00FC5507" w:rsidRPr="00FC5507" w:rsidRDefault="00FC5507" w:rsidP="00FC5507">
            <w:pPr>
              <w:jc w:val="both"/>
              <w:rPr>
                <w:sz w:val="20"/>
                <w:lang w:val="en-CA"/>
              </w:rPr>
            </w:pPr>
          </w:p>
        </w:tc>
        <w:tc>
          <w:tcPr>
            <w:tcW w:w="2330" w:type="pct"/>
          </w:tcPr>
          <w:p w:rsidR="00FC5507" w:rsidRPr="00FC5507" w:rsidRDefault="00FC5507" w:rsidP="00FC5507">
            <w:pPr>
              <w:jc w:val="both"/>
              <w:rPr>
                <w:sz w:val="20"/>
                <w:lang w:val="en-CA"/>
              </w:rPr>
            </w:pPr>
            <w:r w:rsidRPr="00FC5507">
              <w:rPr>
                <w:sz w:val="20"/>
                <w:lang w:val="en-CA"/>
              </w:rPr>
              <w:t>Application for leave to appeal filed</w:t>
            </w:r>
          </w:p>
          <w:p w:rsidR="00FC5507" w:rsidRPr="00FC5507" w:rsidRDefault="00FC5507" w:rsidP="00FC5507">
            <w:pPr>
              <w:jc w:val="both"/>
              <w:rPr>
                <w:sz w:val="20"/>
                <w:lang w:val="en-CA"/>
              </w:rPr>
            </w:pPr>
          </w:p>
        </w:tc>
      </w:tr>
    </w:tbl>
    <w:p w:rsidR="00FC5507" w:rsidRDefault="00FC5507" w:rsidP="00FC5507">
      <w:pPr>
        <w:jc w:val="both"/>
        <w:rPr>
          <w:sz w:val="20"/>
          <w:lang w:val="en-CA"/>
        </w:rPr>
      </w:pPr>
    </w:p>
    <w:p w:rsidR="00A6684F" w:rsidRPr="00FC5507" w:rsidRDefault="00A6684F" w:rsidP="00FC5507">
      <w:pPr>
        <w:jc w:val="both"/>
        <w:rPr>
          <w:sz w:val="20"/>
          <w:lang w:val="en-CA"/>
        </w:rPr>
      </w:pPr>
      <w:r>
        <w:rPr>
          <w:sz w:val="20"/>
        </w:rPr>
        <w:pict>
          <v:rect id="_x0000_i1067" style="width:2in;height:1pt" o:hrpct="0" o:hralign="center" o:hrstd="t" o:hrnoshade="t" o:hr="t" fillcolor="black [3213]" stroked="f"/>
        </w:pict>
      </w:r>
    </w:p>
    <w:p w:rsidR="00FC5507" w:rsidRPr="00FC5507" w:rsidRDefault="00FC5507" w:rsidP="00FC5507">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5507" w:rsidRPr="00FC5507" w:rsidTr="00602075">
        <w:tc>
          <w:tcPr>
            <w:tcW w:w="543" w:type="pct"/>
          </w:tcPr>
          <w:p w:rsidR="00FC5507" w:rsidRPr="00FC5507" w:rsidRDefault="00FC5507" w:rsidP="00FC5507">
            <w:pPr>
              <w:jc w:val="both"/>
              <w:rPr>
                <w:sz w:val="20"/>
              </w:rPr>
            </w:pPr>
            <w:r w:rsidRPr="00FC5507">
              <w:rPr>
                <w:rStyle w:val="SCCFileNumberChar"/>
                <w:sz w:val="20"/>
                <w:szCs w:val="20"/>
              </w:rPr>
              <w:t>38522</w:t>
            </w:r>
          </w:p>
        </w:tc>
        <w:tc>
          <w:tcPr>
            <w:tcW w:w="4457" w:type="pct"/>
            <w:gridSpan w:val="3"/>
          </w:tcPr>
          <w:p w:rsidR="00FC5507" w:rsidRPr="008571F9" w:rsidRDefault="00FC5507" w:rsidP="00FC5507">
            <w:pPr>
              <w:pStyle w:val="SCCLsocParty"/>
              <w:jc w:val="both"/>
              <w:rPr>
                <w:b/>
                <w:sz w:val="20"/>
                <w:szCs w:val="20"/>
              </w:rPr>
            </w:pPr>
            <w:r w:rsidRPr="008571F9">
              <w:rPr>
                <w:b/>
                <w:sz w:val="20"/>
                <w:szCs w:val="20"/>
              </w:rPr>
              <w:t>Benoît Bissonnette c. Sa Majesté la Reine</w:t>
            </w:r>
          </w:p>
          <w:p w:rsidR="00FC5507" w:rsidRPr="00FC5507" w:rsidRDefault="00FC5507" w:rsidP="00FC5507">
            <w:pPr>
              <w:jc w:val="both"/>
              <w:rPr>
                <w:sz w:val="20"/>
              </w:rPr>
            </w:pPr>
            <w:r w:rsidRPr="00FC5507">
              <w:rPr>
                <w:sz w:val="20"/>
              </w:rPr>
              <w:t>(Qc) (Criminelle) (Autorisation)</w:t>
            </w:r>
          </w:p>
        </w:tc>
      </w:tr>
      <w:tr w:rsidR="00FC5507" w:rsidRPr="008571F9" w:rsidTr="00602075">
        <w:tc>
          <w:tcPr>
            <w:tcW w:w="5000" w:type="pct"/>
            <w:gridSpan w:val="4"/>
          </w:tcPr>
          <w:p w:rsidR="00FC5507" w:rsidRPr="008571F9" w:rsidRDefault="00FC5507" w:rsidP="00FC5507">
            <w:pPr>
              <w:jc w:val="both"/>
              <w:rPr>
                <w:sz w:val="20"/>
                <w:lang w:val="fr-CA"/>
              </w:rPr>
            </w:pPr>
            <w:r w:rsidRPr="00FC5507">
              <w:rPr>
                <w:sz w:val="20"/>
                <w:lang w:val="fr-CA"/>
              </w:rPr>
              <w:t>Droit criminel — Exposé au jury — Appels — La Cour d’appel pouvait</w:t>
            </w:r>
            <w:r w:rsidRPr="00FC5507">
              <w:rPr>
                <w:sz w:val="20"/>
                <w:lang w:val="fr-CA"/>
              </w:rPr>
              <w:noBreakHyphen/>
              <w:t>elle valablement annuler l’acquittement rendu par un jury en première instance, en se fondant sur un point de droit (l’ignorance volontaire) invoqué par la Poursuite pour la première fois en appel? — Les directives données par le juge au jury lors du procès, sont</w:t>
            </w:r>
            <w:r w:rsidRPr="00FC5507">
              <w:rPr>
                <w:sz w:val="20"/>
                <w:lang w:val="fr-CA"/>
              </w:rPr>
              <w:noBreakHyphen/>
              <w:t xml:space="preserve">elles insuffisantes au point d’annuler le verdict d’acquittement rendu en première instance et d’ordonner la tenue d’un nouveau procès, sur la base : a) des indications sur l’élément de </w:t>
            </w:r>
            <w:r w:rsidRPr="00FC5507">
              <w:rPr>
                <w:i/>
                <w:sz w:val="20"/>
                <w:lang w:val="fr-CA"/>
              </w:rPr>
              <w:t xml:space="preserve">mens </w:t>
            </w:r>
            <w:proofErr w:type="spellStart"/>
            <w:r w:rsidRPr="00FC5507">
              <w:rPr>
                <w:i/>
                <w:sz w:val="20"/>
                <w:lang w:val="fr-CA"/>
              </w:rPr>
              <w:t>rea</w:t>
            </w:r>
            <w:proofErr w:type="spellEnd"/>
            <w:r w:rsidRPr="00FC5507">
              <w:rPr>
                <w:sz w:val="20"/>
                <w:lang w:val="fr-CA"/>
              </w:rPr>
              <w:t xml:space="preserve"> de l’infraction alléguée de complicité, et sur la question de ne pas avoir donné d’instructions sur la théorie de l’ignorance volontaire; b) des indications sur l’élément de </w:t>
            </w:r>
            <w:r w:rsidRPr="00FC5507">
              <w:rPr>
                <w:i/>
                <w:sz w:val="20"/>
                <w:lang w:val="fr-CA"/>
              </w:rPr>
              <w:t xml:space="preserve">mens </w:t>
            </w:r>
            <w:proofErr w:type="spellStart"/>
            <w:r w:rsidRPr="00FC5507">
              <w:rPr>
                <w:i/>
                <w:sz w:val="20"/>
                <w:lang w:val="fr-CA"/>
              </w:rPr>
              <w:t>rea</w:t>
            </w:r>
            <w:proofErr w:type="spellEnd"/>
            <w:r w:rsidRPr="00FC5507">
              <w:rPr>
                <w:sz w:val="20"/>
                <w:lang w:val="fr-CA"/>
              </w:rPr>
              <w:t xml:space="preserve"> de l’infraction alléguée d’abus de confiance? — La Cour d’appel peut</w:t>
            </w:r>
            <w:r w:rsidRPr="00FC5507">
              <w:rPr>
                <w:sz w:val="20"/>
                <w:lang w:val="fr-CA"/>
              </w:rPr>
              <w:noBreakHyphen/>
              <w:t>elle intervenir quant aux directives fournies au jury par le juge du procès alors que d’une part, la Poursuite a eu l’occasion d’intervenir sur ce point en temps opportun et ne l’a pas fait, et alors que d’autre part, le juge a lui</w:t>
            </w:r>
            <w:r w:rsidRPr="00FC5507">
              <w:rPr>
                <w:sz w:val="20"/>
                <w:lang w:val="fr-CA"/>
              </w:rPr>
              <w:noBreakHyphen/>
              <w:t xml:space="preserve">même complété ses directives principales à la suite de questions émises par les jurés? — </w:t>
            </w:r>
            <w:r w:rsidRPr="00FC5507">
              <w:rPr>
                <w:i/>
                <w:sz w:val="20"/>
                <w:lang w:val="fr-CA"/>
              </w:rPr>
              <w:t>Code criminel</w:t>
            </w:r>
            <w:r w:rsidRPr="00FC5507">
              <w:rPr>
                <w:sz w:val="20"/>
                <w:lang w:val="fr-CA"/>
              </w:rPr>
              <w:t>, L.R.C. (1985), ch. </w:t>
            </w:r>
            <w:r w:rsidRPr="008571F9">
              <w:rPr>
                <w:sz w:val="20"/>
                <w:lang w:val="fr-CA"/>
              </w:rPr>
              <w:t>C</w:t>
            </w:r>
            <w:r w:rsidRPr="008571F9">
              <w:rPr>
                <w:sz w:val="20"/>
                <w:lang w:val="fr-CA"/>
              </w:rPr>
              <w:noBreakHyphen/>
              <w:t>46, art. 21 et 122.</w:t>
            </w:r>
          </w:p>
        </w:tc>
      </w:tr>
      <w:tr w:rsidR="00FC5507" w:rsidRPr="008571F9" w:rsidTr="00602075">
        <w:tc>
          <w:tcPr>
            <w:tcW w:w="5000" w:type="pct"/>
            <w:gridSpan w:val="4"/>
          </w:tcPr>
          <w:p w:rsidR="00FC5507" w:rsidRPr="008571F9" w:rsidRDefault="00FC5507" w:rsidP="00FC5507">
            <w:pPr>
              <w:jc w:val="both"/>
              <w:rPr>
                <w:sz w:val="20"/>
                <w:lang w:val="fr-CA"/>
              </w:rPr>
            </w:pPr>
          </w:p>
        </w:tc>
      </w:tr>
      <w:tr w:rsidR="00FC5507" w:rsidRPr="00A6684F" w:rsidTr="00602075">
        <w:tc>
          <w:tcPr>
            <w:tcW w:w="5000" w:type="pct"/>
            <w:gridSpan w:val="4"/>
          </w:tcPr>
          <w:p w:rsidR="00FC5507" w:rsidRPr="00FC5507" w:rsidRDefault="00FC5507" w:rsidP="00FC5507">
            <w:pPr>
              <w:jc w:val="both"/>
              <w:rPr>
                <w:sz w:val="20"/>
                <w:lang w:val="fr-CA"/>
              </w:rPr>
            </w:pPr>
            <w:r w:rsidRPr="00FC5507">
              <w:rPr>
                <w:sz w:val="20"/>
                <w:lang w:val="fr-CA"/>
              </w:rPr>
              <w:t>La Couronne accuse M. Bissonnette d’avoir aidé un fonctionnaire de la Ville de Montréal à user de son poste pour obtenir des commissions de sociétés qui fournissaient des services informatiques à la Ville et pour détourner des fonds. Elle lui reproche également d’avoir comploté avec ce fonctionnaire pour détourner des fonds de la Ville.</w:t>
            </w:r>
          </w:p>
          <w:p w:rsidR="00FC5507" w:rsidRPr="00FC5507" w:rsidRDefault="00FC5507" w:rsidP="00FC5507">
            <w:pPr>
              <w:jc w:val="both"/>
              <w:rPr>
                <w:sz w:val="20"/>
                <w:lang w:val="fr-CA"/>
              </w:rPr>
            </w:pPr>
          </w:p>
          <w:p w:rsidR="00FC5507" w:rsidRPr="00FC5507" w:rsidRDefault="00FC5507" w:rsidP="00FC5507">
            <w:pPr>
              <w:jc w:val="both"/>
              <w:rPr>
                <w:sz w:val="20"/>
                <w:lang w:val="fr-CA"/>
              </w:rPr>
            </w:pPr>
            <w:r w:rsidRPr="00FC5507">
              <w:rPr>
                <w:sz w:val="20"/>
                <w:lang w:val="fr-CA"/>
              </w:rPr>
              <w:t>Le jury acquitte M. Bissonnette des chefs d’abus de confiance et de complot. La Cour d’appel ordonne la tenue d’un nouveau procès sur les deux chefs d’accusation en raison de problèmes qu’elle identifie par rapport à l’exposé au jury et à la revue de la preuve en première instance.</w:t>
            </w:r>
          </w:p>
          <w:p w:rsidR="00FC5507" w:rsidRPr="00FC5507" w:rsidRDefault="00FC5507" w:rsidP="00FC5507">
            <w:pPr>
              <w:jc w:val="both"/>
              <w:rPr>
                <w:sz w:val="20"/>
                <w:lang w:val="fr-CA"/>
              </w:rPr>
            </w:pPr>
          </w:p>
        </w:tc>
      </w:tr>
      <w:tr w:rsidR="00FC5507" w:rsidRPr="00A6684F" w:rsidTr="00602075">
        <w:tc>
          <w:tcPr>
            <w:tcW w:w="2427" w:type="pct"/>
            <w:gridSpan w:val="2"/>
          </w:tcPr>
          <w:p w:rsidR="00FC5507" w:rsidRPr="00FC5507" w:rsidRDefault="00FC5507" w:rsidP="00FC5507">
            <w:pPr>
              <w:jc w:val="both"/>
              <w:rPr>
                <w:sz w:val="20"/>
                <w:lang w:val="fr-CA"/>
              </w:rPr>
            </w:pPr>
            <w:r w:rsidRPr="00FC5507">
              <w:rPr>
                <w:sz w:val="20"/>
                <w:lang w:val="fr-CA"/>
              </w:rPr>
              <w:t>Le 5 décembre 2015</w:t>
            </w:r>
          </w:p>
          <w:p w:rsidR="00FC5507" w:rsidRPr="00FC5507" w:rsidRDefault="00FC5507" w:rsidP="00FC5507">
            <w:pPr>
              <w:jc w:val="both"/>
              <w:rPr>
                <w:sz w:val="20"/>
                <w:lang w:val="fr-CA"/>
              </w:rPr>
            </w:pPr>
            <w:r w:rsidRPr="00FC5507">
              <w:rPr>
                <w:sz w:val="20"/>
                <w:lang w:val="fr-CA"/>
              </w:rPr>
              <w:t>Cour supérieure du Québec</w:t>
            </w:r>
          </w:p>
          <w:p w:rsidR="00FC5507" w:rsidRPr="00FC5507" w:rsidRDefault="00FC5507" w:rsidP="00FC5507">
            <w:pPr>
              <w:jc w:val="both"/>
              <w:rPr>
                <w:sz w:val="20"/>
              </w:rPr>
            </w:pPr>
            <w:r w:rsidRPr="00FC5507">
              <w:rPr>
                <w:sz w:val="20"/>
              </w:rPr>
              <w:t xml:space="preserve">(le juge </w:t>
            </w:r>
            <w:proofErr w:type="spellStart"/>
            <w:r w:rsidRPr="00FC5507">
              <w:rPr>
                <w:sz w:val="20"/>
              </w:rPr>
              <w:t>Buffoni</w:t>
            </w:r>
            <w:proofErr w:type="spellEnd"/>
            <w:r w:rsidRPr="00FC5507">
              <w:rPr>
                <w:sz w:val="20"/>
              </w:rPr>
              <w:t>)</w:t>
            </w:r>
          </w:p>
          <w:p w:rsidR="00FC5507" w:rsidRPr="00FC5507" w:rsidRDefault="00FC5507" w:rsidP="00FC5507">
            <w:pPr>
              <w:jc w:val="both"/>
              <w:rPr>
                <w:sz w:val="20"/>
              </w:rPr>
            </w:pPr>
            <w:r w:rsidRPr="00FC5507">
              <w:rPr>
                <w:sz w:val="20"/>
              </w:rPr>
              <w:t>500</w:t>
            </w:r>
            <w:r w:rsidRPr="00FC5507">
              <w:rPr>
                <w:sz w:val="20"/>
              </w:rPr>
              <w:noBreakHyphen/>
              <w:t>01</w:t>
            </w:r>
            <w:r w:rsidRPr="00FC5507">
              <w:rPr>
                <w:sz w:val="20"/>
              </w:rPr>
              <w:noBreakHyphen/>
              <w:t>028331</w:t>
            </w:r>
            <w:r w:rsidRPr="00FC5507">
              <w:rPr>
                <w:sz w:val="20"/>
              </w:rPr>
              <w:noBreakHyphen/>
              <w:t>095</w:t>
            </w:r>
          </w:p>
          <w:p w:rsidR="00FC5507" w:rsidRPr="00FC5507" w:rsidRDefault="00FC5507" w:rsidP="00FC5507">
            <w:pPr>
              <w:jc w:val="both"/>
              <w:rPr>
                <w:sz w:val="20"/>
              </w:rPr>
            </w:pPr>
          </w:p>
        </w:tc>
        <w:tc>
          <w:tcPr>
            <w:tcW w:w="243" w:type="pct"/>
          </w:tcPr>
          <w:p w:rsidR="00FC5507" w:rsidRPr="00FC5507" w:rsidRDefault="00FC5507" w:rsidP="00FC5507">
            <w:pPr>
              <w:jc w:val="both"/>
              <w:rPr>
                <w:sz w:val="20"/>
              </w:rPr>
            </w:pPr>
          </w:p>
        </w:tc>
        <w:tc>
          <w:tcPr>
            <w:tcW w:w="2330" w:type="pct"/>
          </w:tcPr>
          <w:p w:rsidR="00FC5507" w:rsidRPr="00FC5507" w:rsidRDefault="00FC5507" w:rsidP="00FC5507">
            <w:pPr>
              <w:jc w:val="both"/>
              <w:rPr>
                <w:sz w:val="20"/>
                <w:lang w:val="fr-CA"/>
              </w:rPr>
            </w:pPr>
            <w:r w:rsidRPr="00FC5507">
              <w:rPr>
                <w:sz w:val="20"/>
                <w:lang w:val="fr-CA"/>
              </w:rPr>
              <w:t xml:space="preserve">Demandeur acquitté par un jury d’un chef d’abus de confiance et d’un chef de complot </w:t>
            </w:r>
          </w:p>
        </w:tc>
      </w:tr>
      <w:tr w:rsidR="00FC5507" w:rsidRPr="00A6684F" w:rsidTr="00602075">
        <w:tc>
          <w:tcPr>
            <w:tcW w:w="2427" w:type="pct"/>
            <w:gridSpan w:val="2"/>
          </w:tcPr>
          <w:p w:rsidR="00FC5507" w:rsidRPr="00FC5507" w:rsidRDefault="00FC5507" w:rsidP="00FC5507">
            <w:pPr>
              <w:jc w:val="both"/>
              <w:rPr>
                <w:sz w:val="20"/>
                <w:lang w:val="fr-CA"/>
              </w:rPr>
            </w:pPr>
            <w:r w:rsidRPr="00FC5507">
              <w:rPr>
                <w:sz w:val="20"/>
                <w:lang w:val="fr-CA"/>
              </w:rPr>
              <w:t>Le 18 décembre 2018</w:t>
            </w:r>
          </w:p>
          <w:p w:rsidR="00FC5507" w:rsidRPr="00FC5507" w:rsidRDefault="00FC5507" w:rsidP="00FC5507">
            <w:pPr>
              <w:jc w:val="both"/>
              <w:rPr>
                <w:sz w:val="20"/>
                <w:lang w:val="fr-CA"/>
              </w:rPr>
            </w:pPr>
            <w:r w:rsidRPr="00FC5507">
              <w:rPr>
                <w:sz w:val="20"/>
                <w:lang w:val="fr-CA"/>
              </w:rPr>
              <w:t>Cour d’appel du Québec (Montréal)</w:t>
            </w:r>
          </w:p>
          <w:p w:rsidR="00FC5507" w:rsidRPr="00FC5507" w:rsidRDefault="00FC5507" w:rsidP="00FC5507">
            <w:pPr>
              <w:jc w:val="both"/>
              <w:rPr>
                <w:sz w:val="20"/>
                <w:lang w:val="fr-CA"/>
              </w:rPr>
            </w:pPr>
            <w:r w:rsidRPr="00FC5507">
              <w:rPr>
                <w:sz w:val="20"/>
                <w:lang w:val="fr-CA"/>
              </w:rPr>
              <w:t xml:space="preserve">(les juges </w:t>
            </w:r>
            <w:proofErr w:type="spellStart"/>
            <w:r w:rsidRPr="00FC5507">
              <w:rPr>
                <w:sz w:val="20"/>
                <w:lang w:val="fr-CA"/>
              </w:rPr>
              <w:t>Bich</w:t>
            </w:r>
            <w:proofErr w:type="spellEnd"/>
            <w:r w:rsidRPr="00FC5507">
              <w:rPr>
                <w:sz w:val="20"/>
                <w:lang w:val="fr-CA"/>
              </w:rPr>
              <w:t xml:space="preserve">, Mainville et </w:t>
            </w:r>
            <w:proofErr w:type="spellStart"/>
            <w:r w:rsidRPr="00FC5507">
              <w:rPr>
                <w:sz w:val="20"/>
                <w:lang w:val="fr-CA"/>
              </w:rPr>
              <w:t>Healy</w:t>
            </w:r>
            <w:proofErr w:type="spellEnd"/>
            <w:r w:rsidRPr="00FC5507">
              <w:rPr>
                <w:sz w:val="20"/>
                <w:lang w:val="fr-CA"/>
              </w:rPr>
              <w:t>)</w:t>
            </w:r>
          </w:p>
          <w:p w:rsidR="00FC5507" w:rsidRPr="00FC5507" w:rsidRDefault="00685225" w:rsidP="00FC5507">
            <w:pPr>
              <w:jc w:val="both"/>
              <w:rPr>
                <w:sz w:val="20"/>
              </w:rPr>
            </w:pPr>
            <w:hyperlink r:id="rId118" w:history="1">
              <w:r w:rsidR="00FC5507" w:rsidRPr="00FC5507">
                <w:rPr>
                  <w:rStyle w:val="Hyperlink"/>
                  <w:sz w:val="20"/>
                </w:rPr>
                <w:t>2018 QCCA 2165</w:t>
              </w:r>
            </w:hyperlink>
          </w:p>
          <w:p w:rsidR="00FC5507" w:rsidRPr="00FC5507" w:rsidRDefault="00FC5507" w:rsidP="00FC5507">
            <w:pPr>
              <w:jc w:val="both"/>
              <w:rPr>
                <w:sz w:val="20"/>
              </w:rPr>
            </w:pPr>
          </w:p>
        </w:tc>
        <w:tc>
          <w:tcPr>
            <w:tcW w:w="243" w:type="pct"/>
          </w:tcPr>
          <w:p w:rsidR="00FC5507" w:rsidRPr="00FC5507" w:rsidRDefault="00FC5507" w:rsidP="00FC5507">
            <w:pPr>
              <w:jc w:val="both"/>
              <w:rPr>
                <w:sz w:val="20"/>
              </w:rPr>
            </w:pPr>
          </w:p>
        </w:tc>
        <w:tc>
          <w:tcPr>
            <w:tcW w:w="2330" w:type="pct"/>
          </w:tcPr>
          <w:p w:rsidR="00FC5507" w:rsidRPr="00FC5507" w:rsidRDefault="00FC5507" w:rsidP="00FC5507">
            <w:pPr>
              <w:jc w:val="both"/>
              <w:rPr>
                <w:sz w:val="20"/>
                <w:lang w:val="fr-CA"/>
              </w:rPr>
            </w:pPr>
            <w:r w:rsidRPr="00FC5507">
              <w:rPr>
                <w:sz w:val="20"/>
                <w:lang w:val="fr-CA"/>
              </w:rPr>
              <w:t>Appel accueilli, nouveau procès ordonné sur le chef d’abus de confiance et sur le chef de complot</w:t>
            </w:r>
          </w:p>
          <w:p w:rsidR="00FC5507" w:rsidRPr="00FC5507" w:rsidRDefault="00FC5507" w:rsidP="00FC5507">
            <w:pPr>
              <w:jc w:val="both"/>
              <w:rPr>
                <w:sz w:val="20"/>
                <w:lang w:val="fr-CA"/>
              </w:rPr>
            </w:pPr>
          </w:p>
        </w:tc>
      </w:tr>
      <w:tr w:rsidR="00FC5507" w:rsidRPr="00FC5507" w:rsidTr="00602075">
        <w:tc>
          <w:tcPr>
            <w:tcW w:w="2427" w:type="pct"/>
            <w:gridSpan w:val="2"/>
          </w:tcPr>
          <w:p w:rsidR="00FC5507" w:rsidRPr="00FC5507" w:rsidRDefault="00FC5507" w:rsidP="00FC5507">
            <w:pPr>
              <w:jc w:val="both"/>
              <w:rPr>
                <w:sz w:val="20"/>
                <w:lang w:val="fr-CA"/>
              </w:rPr>
            </w:pPr>
            <w:r w:rsidRPr="00FC5507">
              <w:rPr>
                <w:sz w:val="20"/>
                <w:lang w:val="fr-CA"/>
              </w:rPr>
              <w:t>Le 18 février 2019</w:t>
            </w:r>
          </w:p>
          <w:p w:rsidR="00FC5507" w:rsidRPr="00FC5507" w:rsidRDefault="00FC5507" w:rsidP="00FC5507">
            <w:pPr>
              <w:jc w:val="both"/>
              <w:rPr>
                <w:sz w:val="20"/>
                <w:lang w:val="fr-CA"/>
              </w:rPr>
            </w:pPr>
            <w:r w:rsidRPr="00FC5507">
              <w:rPr>
                <w:sz w:val="20"/>
                <w:lang w:val="fr-CA"/>
              </w:rPr>
              <w:t>Cour suprême du Canada</w:t>
            </w: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rPr>
            </w:pPr>
            <w:r w:rsidRPr="00FC5507">
              <w:rPr>
                <w:sz w:val="20"/>
              </w:rPr>
              <w:t xml:space="preserve">Demande d’autorisation d’appel </w:t>
            </w:r>
            <w:proofErr w:type="spellStart"/>
            <w:r w:rsidRPr="00FC5507">
              <w:rPr>
                <w:sz w:val="20"/>
              </w:rPr>
              <w:t>déposée</w:t>
            </w:r>
            <w:proofErr w:type="spellEnd"/>
          </w:p>
          <w:p w:rsidR="00FC5507" w:rsidRPr="00FC5507" w:rsidRDefault="00FC5507" w:rsidP="00FC5507">
            <w:pPr>
              <w:jc w:val="both"/>
              <w:rPr>
                <w:sz w:val="20"/>
              </w:rPr>
            </w:pPr>
          </w:p>
        </w:tc>
      </w:tr>
    </w:tbl>
    <w:p w:rsidR="00FC5507" w:rsidRDefault="00FC5507" w:rsidP="00FC5507">
      <w:pPr>
        <w:jc w:val="both"/>
        <w:rPr>
          <w:sz w:val="20"/>
        </w:rPr>
      </w:pPr>
    </w:p>
    <w:p w:rsidR="00A6684F" w:rsidRPr="00FC5507" w:rsidRDefault="00A6684F" w:rsidP="00FC5507">
      <w:pPr>
        <w:jc w:val="both"/>
        <w:rPr>
          <w:sz w:val="20"/>
        </w:rPr>
      </w:pPr>
      <w:r>
        <w:rPr>
          <w:sz w:val="20"/>
        </w:rPr>
        <w:pict>
          <v:rect id="_x0000_i1068" style="width:2in;height:1pt" o:hrpct="0" o:hralign="center" o:hrstd="t" o:hrnoshade="t" o:hr="t" fillcolor="black [3213]" stroked="f"/>
        </w:pict>
      </w:r>
    </w:p>
    <w:p w:rsidR="00FC5507" w:rsidRPr="00FC5507" w:rsidRDefault="00FC5507"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5507" w:rsidRPr="00FC5507" w:rsidTr="00602075">
        <w:tc>
          <w:tcPr>
            <w:tcW w:w="543" w:type="pct"/>
          </w:tcPr>
          <w:p w:rsidR="00FC5507" w:rsidRPr="00FC5507" w:rsidRDefault="00FC5507" w:rsidP="00FC5507">
            <w:pPr>
              <w:jc w:val="both"/>
              <w:rPr>
                <w:sz w:val="20"/>
              </w:rPr>
            </w:pPr>
            <w:r w:rsidRPr="00FC5507">
              <w:rPr>
                <w:rStyle w:val="SCCFileNumberChar"/>
                <w:sz w:val="20"/>
                <w:szCs w:val="20"/>
              </w:rPr>
              <w:t>38521</w:t>
            </w:r>
          </w:p>
        </w:tc>
        <w:tc>
          <w:tcPr>
            <w:tcW w:w="4457" w:type="pct"/>
            <w:gridSpan w:val="3"/>
          </w:tcPr>
          <w:p w:rsidR="00FC5507" w:rsidRPr="008571F9" w:rsidRDefault="00FC5507" w:rsidP="00FC5507">
            <w:pPr>
              <w:pStyle w:val="SCCLsocParty"/>
              <w:jc w:val="both"/>
              <w:rPr>
                <w:b/>
                <w:sz w:val="20"/>
                <w:szCs w:val="20"/>
                <w:lang w:val="en-US"/>
              </w:rPr>
            </w:pPr>
            <w:r w:rsidRPr="008571F9">
              <w:rPr>
                <w:b/>
                <w:sz w:val="20"/>
                <w:szCs w:val="20"/>
                <w:lang w:val="en-US"/>
              </w:rPr>
              <w:t xml:space="preserve">Atlantic Lottery Corporation Inc. — Société des lotteries de </w:t>
            </w:r>
            <w:proofErr w:type="spellStart"/>
            <w:r w:rsidRPr="008571F9">
              <w:rPr>
                <w:b/>
                <w:sz w:val="20"/>
                <w:szCs w:val="20"/>
                <w:lang w:val="en-US"/>
              </w:rPr>
              <w:t>L'Atlantique</w:t>
            </w:r>
            <w:proofErr w:type="spellEnd"/>
            <w:r w:rsidRPr="008571F9">
              <w:rPr>
                <w:b/>
                <w:sz w:val="20"/>
                <w:szCs w:val="20"/>
                <w:lang w:val="en-US"/>
              </w:rPr>
              <w:t xml:space="preserve"> v. Douglas Babstock, Fred Small</w:t>
            </w:r>
          </w:p>
          <w:p w:rsidR="00FC5507" w:rsidRPr="008571F9" w:rsidRDefault="00FC5507" w:rsidP="00FC5507">
            <w:pPr>
              <w:pStyle w:val="SCCLsocSubfileSeparator"/>
              <w:rPr>
                <w:sz w:val="20"/>
                <w:szCs w:val="20"/>
              </w:rPr>
            </w:pPr>
            <w:r w:rsidRPr="008571F9">
              <w:rPr>
                <w:sz w:val="20"/>
                <w:szCs w:val="20"/>
              </w:rPr>
              <w:t>— and between —</w:t>
            </w:r>
          </w:p>
          <w:p w:rsidR="00FC5507" w:rsidRPr="008571F9" w:rsidRDefault="00FC5507" w:rsidP="00FC5507">
            <w:pPr>
              <w:pStyle w:val="SCCLsocParty"/>
              <w:jc w:val="both"/>
              <w:rPr>
                <w:b/>
                <w:sz w:val="20"/>
                <w:szCs w:val="20"/>
                <w:lang w:val="en-US"/>
              </w:rPr>
            </w:pPr>
            <w:r w:rsidRPr="008571F9">
              <w:rPr>
                <w:b/>
                <w:sz w:val="20"/>
                <w:szCs w:val="20"/>
                <w:lang w:val="en-US"/>
              </w:rPr>
              <w:t xml:space="preserve">VLC, Inc., IGT-Canada Inc., International Game Technology, </w:t>
            </w:r>
            <w:proofErr w:type="spellStart"/>
            <w:r w:rsidRPr="008571F9">
              <w:rPr>
                <w:b/>
                <w:sz w:val="20"/>
                <w:szCs w:val="20"/>
                <w:lang w:val="en-US"/>
              </w:rPr>
              <w:t>Spielo</w:t>
            </w:r>
            <w:proofErr w:type="spellEnd"/>
            <w:r w:rsidRPr="008571F9">
              <w:rPr>
                <w:b/>
                <w:sz w:val="20"/>
                <w:szCs w:val="20"/>
                <w:lang w:val="en-US"/>
              </w:rPr>
              <w:t xml:space="preserve"> International Canada ULC, Tech Link International Entertainment Limited v. Douglas Babstock, Fred Small</w:t>
            </w:r>
          </w:p>
          <w:p w:rsidR="00FC5507" w:rsidRPr="008571F9" w:rsidRDefault="00FC5507" w:rsidP="00FC5507">
            <w:pPr>
              <w:pStyle w:val="SCCLsocOtherPartySeparator"/>
              <w:rPr>
                <w:sz w:val="20"/>
                <w:szCs w:val="20"/>
                <w:lang w:val="en-US"/>
              </w:rPr>
            </w:pPr>
            <w:r w:rsidRPr="008571F9">
              <w:rPr>
                <w:sz w:val="20"/>
                <w:szCs w:val="20"/>
                <w:lang w:val="en-US"/>
              </w:rPr>
              <w:t>— and —</w:t>
            </w:r>
          </w:p>
          <w:p w:rsidR="00FC5507" w:rsidRPr="008571F9" w:rsidRDefault="00FC5507" w:rsidP="00FC5507">
            <w:pPr>
              <w:pStyle w:val="SCCLsocParty"/>
              <w:jc w:val="both"/>
              <w:rPr>
                <w:b/>
                <w:sz w:val="20"/>
                <w:szCs w:val="20"/>
                <w:lang w:val="en-US"/>
              </w:rPr>
            </w:pPr>
            <w:r w:rsidRPr="008571F9">
              <w:rPr>
                <w:b/>
                <w:sz w:val="20"/>
                <w:szCs w:val="20"/>
                <w:lang w:val="en-US"/>
              </w:rPr>
              <w:t>Bally Gaming Canada Ltd. and Bally Gaming Inc.</w:t>
            </w:r>
          </w:p>
          <w:p w:rsidR="00FC5507" w:rsidRPr="00FC5507" w:rsidRDefault="00FC5507" w:rsidP="00FC5507">
            <w:pPr>
              <w:jc w:val="both"/>
              <w:rPr>
                <w:sz w:val="20"/>
              </w:rPr>
            </w:pPr>
            <w:r w:rsidRPr="00FC5507">
              <w:rPr>
                <w:sz w:val="20"/>
              </w:rPr>
              <w:t>(N.L.) (Civil) (By Leave)</w:t>
            </w:r>
          </w:p>
        </w:tc>
      </w:tr>
      <w:tr w:rsidR="00FC5507" w:rsidRPr="00FC5507" w:rsidTr="00602075">
        <w:tc>
          <w:tcPr>
            <w:tcW w:w="5000" w:type="pct"/>
            <w:gridSpan w:val="4"/>
          </w:tcPr>
          <w:p w:rsidR="00FC5507" w:rsidRPr="00FC5507" w:rsidRDefault="00FC5507" w:rsidP="00FC5507">
            <w:pPr>
              <w:jc w:val="both"/>
              <w:rPr>
                <w:sz w:val="20"/>
              </w:rPr>
            </w:pPr>
            <w:r w:rsidRPr="00FC5507">
              <w:rPr>
                <w:sz w:val="20"/>
              </w:rPr>
              <w:t>Torts — Duty of care — Causation — Contracts — Breach — Disgorgement of profits — Should a new cause of action be recognized entitling a plaintiff to a disgorgement remedy upon proof of the breach of a duty of care in negligence, absent damage, injury or loss? — What is the proper analytical framework to apply to the issue of causation when considering disgorgement for breach of contract? — What is the proper interpretation of the definition of “three</w:t>
            </w:r>
            <w:r w:rsidRPr="00FC5507">
              <w:rPr>
                <w:sz w:val="20"/>
              </w:rPr>
              <w:noBreakHyphen/>
              <w:t xml:space="preserve">card monte” found in subsection 206(2) of the </w:t>
            </w:r>
            <w:r w:rsidRPr="00FC5507">
              <w:rPr>
                <w:i/>
                <w:sz w:val="20"/>
              </w:rPr>
              <w:t>Criminal Code</w:t>
            </w:r>
            <w:r w:rsidRPr="00FC5507">
              <w:rPr>
                <w:sz w:val="20"/>
              </w:rPr>
              <w:t>, RSC 1985, c. C</w:t>
            </w:r>
            <w:r w:rsidRPr="00FC5507">
              <w:rPr>
                <w:sz w:val="20"/>
              </w:rPr>
              <w:noBreakHyphen/>
              <w:t xml:space="preserve">46, and is breach of the </w:t>
            </w:r>
            <w:r w:rsidRPr="00FC5507">
              <w:rPr>
                <w:i/>
                <w:sz w:val="20"/>
              </w:rPr>
              <w:t>Code</w:t>
            </w:r>
            <w:r w:rsidRPr="00FC5507">
              <w:rPr>
                <w:sz w:val="20"/>
              </w:rPr>
              <w:t>’s prohibition on three</w:t>
            </w:r>
            <w:r w:rsidRPr="00FC5507">
              <w:rPr>
                <w:sz w:val="20"/>
              </w:rPr>
              <w:noBreakHyphen/>
              <w:t>card monte sufficient in and of itself to warrant a disgorgement remedy?</w:t>
            </w:r>
          </w:p>
        </w:tc>
      </w:tr>
      <w:tr w:rsidR="00FC5507" w:rsidRPr="00FC5507" w:rsidTr="00602075">
        <w:tc>
          <w:tcPr>
            <w:tcW w:w="5000" w:type="pct"/>
            <w:gridSpan w:val="4"/>
          </w:tcPr>
          <w:p w:rsidR="00FC5507" w:rsidRPr="00FC5507" w:rsidRDefault="00FC5507" w:rsidP="00FC5507">
            <w:pPr>
              <w:jc w:val="both"/>
              <w:rPr>
                <w:sz w:val="20"/>
              </w:rPr>
            </w:pPr>
          </w:p>
        </w:tc>
      </w:tr>
      <w:tr w:rsidR="00FC5507" w:rsidRPr="00FC5507" w:rsidTr="00602075">
        <w:tc>
          <w:tcPr>
            <w:tcW w:w="5000" w:type="pct"/>
            <w:gridSpan w:val="4"/>
          </w:tcPr>
          <w:p w:rsidR="00FC5507" w:rsidRPr="00FC5507" w:rsidRDefault="00FC5507" w:rsidP="00FC5507">
            <w:pPr>
              <w:jc w:val="both"/>
              <w:rPr>
                <w:sz w:val="20"/>
              </w:rPr>
            </w:pPr>
            <w:r w:rsidRPr="00FC5507">
              <w:rPr>
                <w:sz w:val="20"/>
              </w:rPr>
              <w:t xml:space="preserve">The Atlantic Lottery Corporation (“ALC”) </w:t>
            </w:r>
            <w:r w:rsidRPr="00FC5507">
              <w:rPr>
                <w:color w:val="000000"/>
                <w:sz w:val="20"/>
                <w:shd w:val="clear" w:color="auto" w:fill="FFFFFF"/>
              </w:rPr>
              <w:t xml:space="preserve">is a corporation constituted by the governments of the four Atlantic Provinces to conduct lotteries and other gambling activities on behalf of the Crown. Douglas Babstock and Fred Small brought an application for certification as representatives of a class action against ALC and several other third party suppliers to ALC. The proposed class action alleged harm by video lottery terminals which offered line games similar to slot machines. The seven causes of action included (amongst others) breach of contract, negligence, unjust enrichment, and waiver of tort. </w:t>
            </w:r>
            <w:r w:rsidRPr="00FC5507">
              <w:rPr>
                <w:sz w:val="20"/>
              </w:rPr>
              <w:t>In two separate decisions, the Supreme Court of Newfoundland and Labrador determined that it was not plain and obvious that any of the seven causes of action would fail. The judge determined that line games played on video lottery terminals (“VLTs”) could be similar to “three</w:t>
            </w:r>
            <w:r w:rsidRPr="00FC5507">
              <w:rPr>
                <w:sz w:val="20"/>
              </w:rPr>
              <w:noBreakHyphen/>
              <w:t xml:space="preserve">card monte” (which is prohibited under the </w:t>
            </w:r>
            <w:r w:rsidRPr="00FC5507">
              <w:rPr>
                <w:i/>
                <w:sz w:val="20"/>
              </w:rPr>
              <w:t>Criminal Code</w:t>
            </w:r>
            <w:r w:rsidRPr="00FC5507">
              <w:rPr>
                <w:sz w:val="20"/>
              </w:rPr>
              <w:t xml:space="preserve"> without exception). Accordingly, the judge certified the class action. A majority of the Court of Appeal of Newfoundland and Labrador struck causes of action under the </w:t>
            </w:r>
            <w:r w:rsidRPr="00FC5507">
              <w:rPr>
                <w:i/>
                <w:iCs/>
                <w:sz w:val="20"/>
                <w:lang w:val="en"/>
              </w:rPr>
              <w:t>Competition Act</w:t>
            </w:r>
            <w:r w:rsidRPr="00FC5507">
              <w:rPr>
                <w:sz w:val="20"/>
                <w:lang w:val="en"/>
              </w:rPr>
              <w:t>, R.S.C., 1985, c. C</w:t>
            </w:r>
            <w:r w:rsidRPr="00FC5507">
              <w:rPr>
                <w:sz w:val="20"/>
                <w:lang w:val="en"/>
              </w:rPr>
              <w:noBreakHyphen/>
              <w:t>34</w:t>
            </w:r>
            <w:r w:rsidRPr="00FC5507">
              <w:rPr>
                <w:color w:val="027ABB"/>
                <w:sz w:val="20"/>
                <w:lang w:val="en"/>
              </w:rPr>
              <w:t xml:space="preserve"> </w:t>
            </w:r>
            <w:r w:rsidRPr="00FC5507">
              <w:rPr>
                <w:sz w:val="20"/>
              </w:rPr>
              <w:t xml:space="preserve">and the </w:t>
            </w:r>
            <w:r w:rsidRPr="00FC5507">
              <w:rPr>
                <w:i/>
                <w:iCs/>
                <w:sz w:val="20"/>
                <w:lang w:val="en"/>
              </w:rPr>
              <w:t>Statute of Anne, 1710 (Gaming Act, 1710) 9 Anne cap. XIV</w:t>
            </w:r>
            <w:r w:rsidRPr="00FC5507">
              <w:rPr>
                <w:sz w:val="20"/>
              </w:rPr>
              <w:t>.</w:t>
            </w:r>
            <w:r w:rsidRPr="00FC5507">
              <w:rPr>
                <w:color w:val="212529"/>
                <w:sz w:val="20"/>
                <w:shd w:val="clear" w:color="auto" w:fill="FFFFFF"/>
              </w:rPr>
              <w:t xml:space="preserve"> The majority concluded that disgorgement is an uncertain area of law and it was not clear that arguments on this basis were doomed to fail. The majority also </w:t>
            </w:r>
            <w:r w:rsidRPr="00FC5507">
              <w:rPr>
                <w:sz w:val="20"/>
              </w:rPr>
              <w:t>determined that line games on VLTs might be similar to “three</w:t>
            </w:r>
            <w:r w:rsidRPr="00FC5507">
              <w:rPr>
                <w:sz w:val="20"/>
              </w:rPr>
              <w:noBreakHyphen/>
              <w:t>card monte” and could have a chance of succeeding. In a dissenting opinion, Welsh J.A. would have allowed the appeal, set aside the certification order, and struck the claim in its entirety.</w:t>
            </w:r>
          </w:p>
          <w:p w:rsidR="00FC5507" w:rsidRPr="00FC5507" w:rsidRDefault="00FC5507" w:rsidP="00FC5507">
            <w:pPr>
              <w:jc w:val="both"/>
              <w:rPr>
                <w:sz w:val="20"/>
              </w:rPr>
            </w:pPr>
          </w:p>
        </w:tc>
      </w:tr>
      <w:tr w:rsidR="00FC5507" w:rsidRPr="00FC5507" w:rsidTr="00602075">
        <w:tc>
          <w:tcPr>
            <w:tcW w:w="2427" w:type="pct"/>
            <w:gridSpan w:val="2"/>
          </w:tcPr>
          <w:p w:rsidR="00FC5507" w:rsidRPr="00FC5507" w:rsidRDefault="00FC5507" w:rsidP="00FC5507">
            <w:pPr>
              <w:jc w:val="both"/>
              <w:rPr>
                <w:sz w:val="20"/>
              </w:rPr>
            </w:pPr>
            <w:r w:rsidRPr="00FC5507">
              <w:rPr>
                <w:sz w:val="20"/>
              </w:rPr>
              <w:t>October 1, 2014</w:t>
            </w:r>
          </w:p>
          <w:p w:rsidR="00FC5507" w:rsidRPr="00FC5507" w:rsidRDefault="00FC5507" w:rsidP="00FC5507">
            <w:pPr>
              <w:jc w:val="both"/>
              <w:rPr>
                <w:sz w:val="20"/>
              </w:rPr>
            </w:pPr>
            <w:r w:rsidRPr="00FC5507">
              <w:rPr>
                <w:sz w:val="20"/>
              </w:rPr>
              <w:t>Supreme Court of Newfoundland &amp; Labrador</w:t>
            </w:r>
          </w:p>
          <w:p w:rsidR="00FC5507" w:rsidRPr="00FC5507" w:rsidRDefault="00FC5507" w:rsidP="00FC5507">
            <w:pPr>
              <w:jc w:val="both"/>
              <w:rPr>
                <w:sz w:val="20"/>
              </w:rPr>
            </w:pPr>
            <w:r w:rsidRPr="00FC5507">
              <w:rPr>
                <w:sz w:val="20"/>
              </w:rPr>
              <w:t>Trial Division</w:t>
            </w:r>
          </w:p>
          <w:p w:rsidR="00FC5507" w:rsidRPr="00FC5507" w:rsidRDefault="00FC5507" w:rsidP="00FC5507">
            <w:pPr>
              <w:jc w:val="both"/>
              <w:rPr>
                <w:sz w:val="20"/>
              </w:rPr>
            </w:pPr>
            <w:r w:rsidRPr="00FC5507">
              <w:rPr>
                <w:sz w:val="20"/>
              </w:rPr>
              <w:t>(</w:t>
            </w:r>
            <w:proofErr w:type="spellStart"/>
            <w:r w:rsidRPr="00FC5507">
              <w:rPr>
                <w:sz w:val="20"/>
              </w:rPr>
              <w:t>Faour</w:t>
            </w:r>
            <w:proofErr w:type="spellEnd"/>
            <w:r w:rsidRPr="00FC5507">
              <w:rPr>
                <w:sz w:val="20"/>
              </w:rPr>
              <w:t xml:space="preserve"> J.)</w:t>
            </w:r>
          </w:p>
          <w:p w:rsidR="00FC5507" w:rsidRPr="00FC5507" w:rsidRDefault="00685225" w:rsidP="00FC5507">
            <w:pPr>
              <w:jc w:val="both"/>
              <w:rPr>
                <w:sz w:val="20"/>
              </w:rPr>
            </w:pPr>
            <w:hyperlink r:id="rId119" w:history="1">
              <w:r w:rsidR="00FC5507" w:rsidRPr="00FC5507">
                <w:rPr>
                  <w:rStyle w:val="Hyperlink"/>
                  <w:sz w:val="20"/>
                </w:rPr>
                <w:t>2014 NLTD(G) 114</w:t>
              </w:r>
            </w:hyperlink>
          </w:p>
          <w:p w:rsidR="00FC5507" w:rsidRPr="00FC5507" w:rsidRDefault="00FC5507" w:rsidP="00FC5507">
            <w:pPr>
              <w:jc w:val="both"/>
              <w:rPr>
                <w:sz w:val="20"/>
              </w:rPr>
            </w:pPr>
          </w:p>
        </w:tc>
        <w:tc>
          <w:tcPr>
            <w:tcW w:w="243" w:type="pct"/>
          </w:tcPr>
          <w:p w:rsidR="00FC5507" w:rsidRPr="00FC5507" w:rsidRDefault="00FC5507" w:rsidP="00FC5507">
            <w:pPr>
              <w:jc w:val="both"/>
              <w:rPr>
                <w:sz w:val="20"/>
              </w:rPr>
            </w:pPr>
          </w:p>
        </w:tc>
        <w:tc>
          <w:tcPr>
            <w:tcW w:w="2330" w:type="pct"/>
          </w:tcPr>
          <w:p w:rsidR="00FC5507" w:rsidRPr="00FC5507" w:rsidRDefault="00FC5507" w:rsidP="00FC5507">
            <w:pPr>
              <w:jc w:val="both"/>
              <w:rPr>
                <w:sz w:val="20"/>
              </w:rPr>
            </w:pPr>
            <w:r w:rsidRPr="00FC5507">
              <w:rPr>
                <w:sz w:val="20"/>
              </w:rPr>
              <w:t>Application to strike statement of claim dismissed.</w:t>
            </w:r>
          </w:p>
          <w:p w:rsidR="00FC5507" w:rsidRPr="00FC5507" w:rsidRDefault="00FC5507" w:rsidP="00FC5507">
            <w:pPr>
              <w:jc w:val="both"/>
              <w:rPr>
                <w:sz w:val="20"/>
              </w:rPr>
            </w:pPr>
          </w:p>
        </w:tc>
      </w:tr>
      <w:tr w:rsidR="00FC5507" w:rsidRPr="00FC5507" w:rsidTr="00602075">
        <w:tc>
          <w:tcPr>
            <w:tcW w:w="2427" w:type="pct"/>
            <w:gridSpan w:val="2"/>
          </w:tcPr>
          <w:p w:rsidR="00FC5507" w:rsidRPr="00FC5507" w:rsidRDefault="00FC5507" w:rsidP="00FC5507">
            <w:pPr>
              <w:jc w:val="both"/>
              <w:rPr>
                <w:sz w:val="20"/>
              </w:rPr>
            </w:pPr>
            <w:r w:rsidRPr="00FC5507">
              <w:rPr>
                <w:sz w:val="20"/>
              </w:rPr>
              <w:t>December 30, 2016</w:t>
            </w:r>
          </w:p>
          <w:p w:rsidR="00FC5507" w:rsidRPr="00FC5507" w:rsidRDefault="00FC5507" w:rsidP="00FC5507">
            <w:pPr>
              <w:jc w:val="both"/>
              <w:rPr>
                <w:sz w:val="20"/>
              </w:rPr>
            </w:pPr>
            <w:r w:rsidRPr="00FC5507">
              <w:rPr>
                <w:sz w:val="20"/>
              </w:rPr>
              <w:t>Supreme Court of Newfoundland &amp; Labrador</w:t>
            </w:r>
          </w:p>
          <w:p w:rsidR="00FC5507" w:rsidRPr="00FC5507" w:rsidRDefault="00FC5507" w:rsidP="00FC5507">
            <w:pPr>
              <w:jc w:val="both"/>
              <w:rPr>
                <w:sz w:val="20"/>
              </w:rPr>
            </w:pPr>
            <w:r w:rsidRPr="00FC5507">
              <w:rPr>
                <w:sz w:val="20"/>
              </w:rPr>
              <w:t>Trial Division</w:t>
            </w:r>
          </w:p>
          <w:p w:rsidR="00FC5507" w:rsidRPr="00FC5507" w:rsidRDefault="00FC5507" w:rsidP="00FC5507">
            <w:pPr>
              <w:jc w:val="both"/>
              <w:rPr>
                <w:sz w:val="20"/>
              </w:rPr>
            </w:pPr>
            <w:r w:rsidRPr="00FC5507">
              <w:rPr>
                <w:sz w:val="20"/>
              </w:rPr>
              <w:t>(</w:t>
            </w:r>
            <w:proofErr w:type="spellStart"/>
            <w:r w:rsidRPr="00FC5507">
              <w:rPr>
                <w:sz w:val="20"/>
              </w:rPr>
              <w:t>Faour</w:t>
            </w:r>
            <w:proofErr w:type="spellEnd"/>
            <w:r w:rsidRPr="00FC5507">
              <w:rPr>
                <w:sz w:val="20"/>
              </w:rPr>
              <w:t xml:space="preserve"> J.)</w:t>
            </w:r>
          </w:p>
          <w:p w:rsidR="00FC5507" w:rsidRPr="00FC5507" w:rsidRDefault="00685225" w:rsidP="00FC5507">
            <w:pPr>
              <w:jc w:val="both"/>
              <w:rPr>
                <w:sz w:val="20"/>
              </w:rPr>
            </w:pPr>
            <w:hyperlink r:id="rId120" w:history="1">
              <w:r w:rsidR="00FC5507" w:rsidRPr="00FC5507">
                <w:rPr>
                  <w:rStyle w:val="Hyperlink"/>
                  <w:sz w:val="20"/>
                </w:rPr>
                <w:t>2016 NLTD(G) 216</w:t>
              </w:r>
            </w:hyperlink>
          </w:p>
        </w:tc>
        <w:tc>
          <w:tcPr>
            <w:tcW w:w="243" w:type="pct"/>
          </w:tcPr>
          <w:p w:rsidR="00FC5507" w:rsidRPr="00FC5507" w:rsidRDefault="00FC5507" w:rsidP="00FC5507">
            <w:pPr>
              <w:jc w:val="both"/>
              <w:rPr>
                <w:sz w:val="20"/>
              </w:rPr>
            </w:pPr>
          </w:p>
        </w:tc>
        <w:tc>
          <w:tcPr>
            <w:tcW w:w="2330" w:type="pct"/>
          </w:tcPr>
          <w:p w:rsidR="00FC5507" w:rsidRPr="00FC5507" w:rsidRDefault="00FC5507" w:rsidP="00FC5507">
            <w:pPr>
              <w:jc w:val="both"/>
              <w:rPr>
                <w:sz w:val="20"/>
              </w:rPr>
            </w:pPr>
            <w:r w:rsidRPr="00FC5507">
              <w:rPr>
                <w:sz w:val="20"/>
              </w:rPr>
              <w:t>Certification of class action.</w:t>
            </w:r>
          </w:p>
          <w:p w:rsidR="00FC5507" w:rsidRPr="00FC5507" w:rsidRDefault="00FC5507" w:rsidP="00FC5507">
            <w:pPr>
              <w:jc w:val="both"/>
              <w:rPr>
                <w:sz w:val="20"/>
              </w:rPr>
            </w:pPr>
          </w:p>
        </w:tc>
      </w:tr>
      <w:tr w:rsidR="00FC5507" w:rsidRPr="00FC5507" w:rsidTr="00602075">
        <w:tc>
          <w:tcPr>
            <w:tcW w:w="2427" w:type="pct"/>
            <w:gridSpan w:val="2"/>
          </w:tcPr>
          <w:p w:rsidR="00FC5507" w:rsidRPr="00FC5507" w:rsidRDefault="00FC5507" w:rsidP="00FC5507">
            <w:pPr>
              <w:jc w:val="both"/>
              <w:rPr>
                <w:sz w:val="20"/>
              </w:rPr>
            </w:pPr>
            <w:r w:rsidRPr="00FC5507">
              <w:rPr>
                <w:sz w:val="20"/>
              </w:rPr>
              <w:t>December 10, 2018</w:t>
            </w:r>
          </w:p>
          <w:p w:rsidR="00FC5507" w:rsidRPr="00FC5507" w:rsidRDefault="00FC5507" w:rsidP="00FC5507">
            <w:pPr>
              <w:jc w:val="both"/>
              <w:rPr>
                <w:sz w:val="20"/>
              </w:rPr>
            </w:pPr>
            <w:r w:rsidRPr="00FC5507">
              <w:rPr>
                <w:sz w:val="20"/>
              </w:rPr>
              <w:t xml:space="preserve">Court of Appeal of Newfoundland and </w:t>
            </w:r>
          </w:p>
          <w:p w:rsidR="00FC5507" w:rsidRPr="00FC5507" w:rsidRDefault="00FC5507" w:rsidP="00FC5507">
            <w:pPr>
              <w:jc w:val="both"/>
              <w:rPr>
                <w:sz w:val="20"/>
              </w:rPr>
            </w:pPr>
            <w:r w:rsidRPr="00FC5507">
              <w:rPr>
                <w:sz w:val="20"/>
              </w:rPr>
              <w:t>Labrador</w:t>
            </w:r>
          </w:p>
          <w:p w:rsidR="00FC5507" w:rsidRPr="00FC5507" w:rsidRDefault="00FC5507" w:rsidP="00FC5507">
            <w:pPr>
              <w:jc w:val="both"/>
              <w:rPr>
                <w:sz w:val="20"/>
              </w:rPr>
            </w:pPr>
            <w:r w:rsidRPr="00FC5507">
              <w:rPr>
                <w:sz w:val="20"/>
              </w:rPr>
              <w:t xml:space="preserve">(Green C.J.N.L. and Harrington JJ.A.; Welsh </w:t>
            </w:r>
          </w:p>
          <w:p w:rsidR="00FC5507" w:rsidRPr="00FC5507" w:rsidRDefault="00FC5507" w:rsidP="00FC5507">
            <w:pPr>
              <w:jc w:val="both"/>
              <w:rPr>
                <w:sz w:val="20"/>
              </w:rPr>
            </w:pPr>
            <w:r w:rsidRPr="00FC5507">
              <w:rPr>
                <w:sz w:val="20"/>
              </w:rPr>
              <w:t>JJ.A. dissenting)</w:t>
            </w:r>
          </w:p>
          <w:p w:rsidR="00FC5507" w:rsidRPr="00FC5507" w:rsidRDefault="00685225" w:rsidP="00FC5507">
            <w:pPr>
              <w:jc w:val="both"/>
              <w:rPr>
                <w:sz w:val="20"/>
              </w:rPr>
            </w:pPr>
            <w:hyperlink r:id="rId121" w:history="1">
              <w:r w:rsidR="00FC5507" w:rsidRPr="00FC5507">
                <w:rPr>
                  <w:rStyle w:val="Hyperlink"/>
                  <w:sz w:val="20"/>
                </w:rPr>
                <w:t>2018 NLCA 71</w:t>
              </w:r>
            </w:hyperlink>
          </w:p>
          <w:p w:rsidR="00FC5507" w:rsidRPr="00FC5507" w:rsidRDefault="00FC5507" w:rsidP="00FC5507">
            <w:pPr>
              <w:jc w:val="both"/>
              <w:rPr>
                <w:sz w:val="20"/>
              </w:rPr>
            </w:pPr>
          </w:p>
        </w:tc>
        <w:tc>
          <w:tcPr>
            <w:tcW w:w="243" w:type="pct"/>
          </w:tcPr>
          <w:p w:rsidR="00FC5507" w:rsidRPr="00FC5507" w:rsidRDefault="00FC5507" w:rsidP="00FC5507">
            <w:pPr>
              <w:jc w:val="both"/>
              <w:rPr>
                <w:sz w:val="20"/>
              </w:rPr>
            </w:pPr>
          </w:p>
        </w:tc>
        <w:tc>
          <w:tcPr>
            <w:tcW w:w="2330" w:type="pct"/>
          </w:tcPr>
          <w:p w:rsidR="00FC5507" w:rsidRPr="00FC5507" w:rsidRDefault="00FC5507" w:rsidP="00FC5507">
            <w:pPr>
              <w:jc w:val="both"/>
              <w:rPr>
                <w:sz w:val="20"/>
              </w:rPr>
            </w:pPr>
            <w:r w:rsidRPr="00FC5507">
              <w:rPr>
                <w:sz w:val="20"/>
              </w:rPr>
              <w:t>Appeal allowed in part; class action certification amended.</w:t>
            </w:r>
          </w:p>
        </w:tc>
      </w:tr>
      <w:tr w:rsidR="00FC5507" w:rsidRPr="00FC5507" w:rsidTr="00602075">
        <w:tc>
          <w:tcPr>
            <w:tcW w:w="2427" w:type="pct"/>
            <w:gridSpan w:val="2"/>
          </w:tcPr>
          <w:p w:rsidR="00FC5507" w:rsidRPr="00FC5507" w:rsidRDefault="00FC5507" w:rsidP="00FC5507">
            <w:pPr>
              <w:jc w:val="both"/>
              <w:rPr>
                <w:sz w:val="20"/>
              </w:rPr>
            </w:pPr>
            <w:r w:rsidRPr="00FC5507">
              <w:rPr>
                <w:sz w:val="20"/>
              </w:rPr>
              <w:t>February 8, 2019</w:t>
            </w:r>
          </w:p>
          <w:p w:rsidR="00FC5507" w:rsidRPr="00FC5507" w:rsidRDefault="00FC5507" w:rsidP="00FC5507">
            <w:pPr>
              <w:jc w:val="both"/>
              <w:rPr>
                <w:sz w:val="20"/>
              </w:rPr>
            </w:pPr>
            <w:r w:rsidRPr="00FC5507">
              <w:rPr>
                <w:sz w:val="20"/>
              </w:rPr>
              <w:t>Supreme Court of Canada</w:t>
            </w:r>
          </w:p>
        </w:tc>
        <w:tc>
          <w:tcPr>
            <w:tcW w:w="243" w:type="pct"/>
          </w:tcPr>
          <w:p w:rsidR="00FC5507" w:rsidRPr="00FC5507" w:rsidRDefault="00FC5507" w:rsidP="00FC5507">
            <w:pPr>
              <w:jc w:val="both"/>
              <w:rPr>
                <w:sz w:val="20"/>
              </w:rPr>
            </w:pPr>
          </w:p>
        </w:tc>
        <w:tc>
          <w:tcPr>
            <w:tcW w:w="2330" w:type="pct"/>
          </w:tcPr>
          <w:p w:rsidR="00FC5507" w:rsidRPr="00FC5507" w:rsidRDefault="00FC5507" w:rsidP="00FC5507">
            <w:pPr>
              <w:jc w:val="both"/>
              <w:rPr>
                <w:sz w:val="20"/>
              </w:rPr>
            </w:pPr>
            <w:r w:rsidRPr="00FC5507">
              <w:rPr>
                <w:sz w:val="20"/>
              </w:rPr>
              <w:t>Two applications for leave to appeal filed.</w:t>
            </w:r>
          </w:p>
          <w:p w:rsidR="00FC5507" w:rsidRPr="00FC5507" w:rsidRDefault="00FC5507" w:rsidP="00FC5507">
            <w:pPr>
              <w:jc w:val="both"/>
              <w:rPr>
                <w:sz w:val="20"/>
              </w:rPr>
            </w:pPr>
          </w:p>
        </w:tc>
      </w:tr>
    </w:tbl>
    <w:p w:rsidR="00FC5507" w:rsidRDefault="00FC5507" w:rsidP="00FC5507">
      <w:pPr>
        <w:jc w:val="both"/>
        <w:rPr>
          <w:sz w:val="20"/>
        </w:rPr>
      </w:pPr>
    </w:p>
    <w:p w:rsidR="00A6684F" w:rsidRDefault="00A6684F" w:rsidP="00FC5507">
      <w:pPr>
        <w:jc w:val="both"/>
        <w:rPr>
          <w:sz w:val="20"/>
        </w:rPr>
      </w:pPr>
      <w:r>
        <w:rPr>
          <w:sz w:val="20"/>
        </w:rPr>
        <w:pict>
          <v:rect id="_x0000_i1069" style="width:2in;height:1pt" o:hrpct="0" o:hralign="center" o:hrstd="t" o:hrnoshade="t" o:hr="t" fillcolor="black [3213]" stroked="f"/>
        </w:pict>
      </w:r>
    </w:p>
    <w:p w:rsidR="008571F9" w:rsidRPr="00FC5507" w:rsidRDefault="008571F9"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5507" w:rsidRPr="00A6684F" w:rsidTr="00602075">
        <w:tc>
          <w:tcPr>
            <w:tcW w:w="543" w:type="pct"/>
          </w:tcPr>
          <w:p w:rsidR="00FC5507" w:rsidRPr="00FC5507" w:rsidRDefault="00FC5507" w:rsidP="00FC5507">
            <w:pPr>
              <w:jc w:val="both"/>
              <w:rPr>
                <w:sz w:val="20"/>
                <w:lang w:val="fr-CA"/>
              </w:rPr>
            </w:pPr>
            <w:r w:rsidRPr="00FC5507">
              <w:rPr>
                <w:rStyle w:val="SCCFileNumberChar"/>
                <w:sz w:val="20"/>
                <w:szCs w:val="20"/>
                <w:lang w:val="fr-CA"/>
              </w:rPr>
              <w:t>38521</w:t>
            </w:r>
          </w:p>
        </w:tc>
        <w:tc>
          <w:tcPr>
            <w:tcW w:w="4457" w:type="pct"/>
            <w:gridSpan w:val="3"/>
          </w:tcPr>
          <w:p w:rsidR="00FC5507" w:rsidRPr="008571F9" w:rsidRDefault="00FC5507" w:rsidP="00FC5507">
            <w:pPr>
              <w:pStyle w:val="SCCLsocParty"/>
              <w:jc w:val="both"/>
              <w:rPr>
                <w:b/>
                <w:sz w:val="20"/>
                <w:szCs w:val="20"/>
                <w:lang w:val="en-US"/>
              </w:rPr>
            </w:pPr>
            <w:r w:rsidRPr="008571F9">
              <w:rPr>
                <w:b/>
                <w:sz w:val="20"/>
                <w:szCs w:val="20"/>
                <w:lang w:val="en-US"/>
              </w:rPr>
              <w:t xml:space="preserve">Société des </w:t>
            </w:r>
            <w:proofErr w:type="spellStart"/>
            <w:r w:rsidRPr="008571F9">
              <w:rPr>
                <w:b/>
                <w:sz w:val="20"/>
                <w:szCs w:val="20"/>
                <w:lang w:val="en-US"/>
              </w:rPr>
              <w:t>loteries</w:t>
            </w:r>
            <w:proofErr w:type="spellEnd"/>
            <w:r w:rsidRPr="008571F9">
              <w:rPr>
                <w:b/>
                <w:sz w:val="20"/>
                <w:szCs w:val="20"/>
                <w:lang w:val="en-US"/>
              </w:rPr>
              <w:t xml:space="preserve"> de </w:t>
            </w:r>
            <w:proofErr w:type="spellStart"/>
            <w:r w:rsidRPr="008571F9">
              <w:rPr>
                <w:b/>
                <w:sz w:val="20"/>
                <w:szCs w:val="20"/>
                <w:lang w:val="en-US"/>
              </w:rPr>
              <w:t>l'Atlantique</w:t>
            </w:r>
            <w:proofErr w:type="spellEnd"/>
            <w:r w:rsidRPr="008571F9">
              <w:rPr>
                <w:b/>
                <w:sz w:val="20"/>
                <w:szCs w:val="20"/>
                <w:lang w:val="en-US"/>
              </w:rPr>
              <w:t xml:space="preserve"> — Atlantic Lottery Corporation Inc. c. Douglas Babstock, Fred Small</w:t>
            </w:r>
          </w:p>
          <w:p w:rsidR="00FC5507" w:rsidRPr="008571F9" w:rsidRDefault="00FC5507" w:rsidP="00FC5507">
            <w:pPr>
              <w:pStyle w:val="SCCLsocSubfileSeparator"/>
              <w:rPr>
                <w:sz w:val="20"/>
                <w:szCs w:val="20"/>
                <w:lang w:val="en-US"/>
              </w:rPr>
            </w:pPr>
            <w:r w:rsidRPr="008571F9">
              <w:rPr>
                <w:sz w:val="20"/>
                <w:szCs w:val="20"/>
                <w:lang w:val="en-US"/>
              </w:rPr>
              <w:t>— et entre —</w:t>
            </w:r>
          </w:p>
          <w:p w:rsidR="00FC5507" w:rsidRPr="008571F9" w:rsidRDefault="00FC5507" w:rsidP="00FC5507">
            <w:pPr>
              <w:pStyle w:val="SCCLsocParty"/>
              <w:jc w:val="both"/>
              <w:rPr>
                <w:b/>
                <w:sz w:val="20"/>
                <w:szCs w:val="20"/>
                <w:lang w:val="en-US"/>
              </w:rPr>
            </w:pPr>
            <w:r w:rsidRPr="008571F9">
              <w:rPr>
                <w:b/>
                <w:sz w:val="20"/>
                <w:szCs w:val="20"/>
                <w:lang w:val="en-US"/>
              </w:rPr>
              <w:t xml:space="preserve">VLC, Inc., </w:t>
            </w:r>
            <w:proofErr w:type="spellStart"/>
            <w:r w:rsidRPr="008571F9">
              <w:rPr>
                <w:b/>
                <w:sz w:val="20"/>
                <w:szCs w:val="20"/>
                <w:lang w:val="en-US"/>
              </w:rPr>
              <w:t>IGTCanada</w:t>
            </w:r>
            <w:proofErr w:type="spellEnd"/>
            <w:r w:rsidRPr="008571F9">
              <w:rPr>
                <w:b/>
                <w:sz w:val="20"/>
                <w:szCs w:val="20"/>
                <w:lang w:val="en-US"/>
              </w:rPr>
              <w:t xml:space="preserve"> Inc., International Game Technology, </w:t>
            </w:r>
            <w:proofErr w:type="spellStart"/>
            <w:r w:rsidRPr="008571F9">
              <w:rPr>
                <w:b/>
                <w:sz w:val="20"/>
                <w:szCs w:val="20"/>
                <w:lang w:val="en-US"/>
              </w:rPr>
              <w:t>Spielo</w:t>
            </w:r>
            <w:proofErr w:type="spellEnd"/>
            <w:r w:rsidRPr="008571F9">
              <w:rPr>
                <w:b/>
                <w:sz w:val="20"/>
                <w:szCs w:val="20"/>
                <w:lang w:val="en-US"/>
              </w:rPr>
              <w:t xml:space="preserve"> International Canada ULC, Tech Link International Entertainment Limited c. Douglas Babstock, Fred Small</w:t>
            </w:r>
          </w:p>
          <w:p w:rsidR="00FC5507" w:rsidRPr="008571F9" w:rsidRDefault="00FC5507" w:rsidP="00FC5507">
            <w:pPr>
              <w:pStyle w:val="SCCLsocOtherPartySeparator"/>
              <w:rPr>
                <w:sz w:val="20"/>
                <w:szCs w:val="20"/>
                <w:lang w:val="en-US"/>
              </w:rPr>
            </w:pPr>
            <w:r w:rsidRPr="008571F9">
              <w:rPr>
                <w:sz w:val="20"/>
                <w:szCs w:val="20"/>
                <w:lang w:val="en-US"/>
              </w:rPr>
              <w:t>— et —</w:t>
            </w:r>
          </w:p>
          <w:p w:rsidR="00FC5507" w:rsidRPr="008571F9" w:rsidRDefault="00FC5507" w:rsidP="00FC5507">
            <w:pPr>
              <w:pStyle w:val="SCCLsocParty"/>
              <w:jc w:val="both"/>
              <w:rPr>
                <w:b/>
                <w:sz w:val="20"/>
                <w:szCs w:val="20"/>
                <w:lang w:val="en-US"/>
              </w:rPr>
            </w:pPr>
            <w:r w:rsidRPr="008571F9">
              <w:rPr>
                <w:b/>
                <w:sz w:val="20"/>
                <w:szCs w:val="20"/>
                <w:lang w:val="en-US"/>
              </w:rPr>
              <w:t>Bally Gaming Canada Ltd. et Bally Gaming Inc.</w:t>
            </w:r>
          </w:p>
          <w:p w:rsidR="00FC5507" w:rsidRPr="00FC5507" w:rsidRDefault="00FC5507" w:rsidP="00FC5507">
            <w:pPr>
              <w:jc w:val="both"/>
              <w:rPr>
                <w:sz w:val="20"/>
                <w:lang w:val="fr-CA"/>
              </w:rPr>
            </w:pPr>
            <w:r w:rsidRPr="00FC5507">
              <w:rPr>
                <w:sz w:val="20"/>
                <w:lang w:val="fr-CA"/>
              </w:rPr>
              <w:t>(T.</w:t>
            </w:r>
            <w:r w:rsidRPr="00FC5507">
              <w:rPr>
                <w:sz w:val="20"/>
                <w:lang w:val="fr-CA"/>
              </w:rPr>
              <w:noBreakHyphen/>
              <w:t>N.</w:t>
            </w:r>
            <w:r w:rsidRPr="00FC5507">
              <w:rPr>
                <w:sz w:val="20"/>
                <w:lang w:val="fr-CA"/>
              </w:rPr>
              <w:noBreakHyphen/>
              <w:t>L.) (Civile) (Autorisation)</w:t>
            </w:r>
          </w:p>
        </w:tc>
      </w:tr>
      <w:tr w:rsidR="00FC5507" w:rsidRPr="00A6684F" w:rsidTr="00602075">
        <w:tc>
          <w:tcPr>
            <w:tcW w:w="5000" w:type="pct"/>
            <w:gridSpan w:val="4"/>
          </w:tcPr>
          <w:p w:rsidR="00FC5507" w:rsidRPr="00FC5507" w:rsidRDefault="00FC5507" w:rsidP="00FC5507">
            <w:pPr>
              <w:jc w:val="both"/>
              <w:rPr>
                <w:sz w:val="20"/>
                <w:lang w:val="fr-CA"/>
              </w:rPr>
            </w:pPr>
            <w:r w:rsidRPr="00FC5507">
              <w:rPr>
                <w:sz w:val="20"/>
                <w:lang w:val="fr-CA"/>
              </w:rPr>
              <w:t>Responsabilité délictuelle — Obligation de diligence — Causalité — Contrats — Violation — Restitution des profits — Convient</w:t>
            </w:r>
            <w:r w:rsidRPr="00FC5507">
              <w:rPr>
                <w:sz w:val="20"/>
                <w:lang w:val="fr-CA"/>
              </w:rPr>
              <w:noBreakHyphen/>
              <w:t>il de reconnaître une nouvelle cause d’action conférant au demandeur le droit d’intenter un recours en restitution s’il prouve une violation de l’obligation de diligence en l’absence de dommage, de préjudice ou de perte? — Quel cadre d’analyse faut</w:t>
            </w:r>
            <w:r w:rsidRPr="00FC5507">
              <w:rPr>
                <w:sz w:val="20"/>
                <w:lang w:val="fr-CA"/>
              </w:rPr>
              <w:noBreakHyphen/>
              <w:t xml:space="preserve">il </w:t>
            </w:r>
            <w:proofErr w:type="gramStart"/>
            <w:r w:rsidRPr="00FC5507">
              <w:rPr>
                <w:sz w:val="20"/>
                <w:lang w:val="fr-CA"/>
              </w:rPr>
              <w:t>appliquer</w:t>
            </w:r>
            <w:proofErr w:type="gramEnd"/>
            <w:r w:rsidRPr="00FC5507">
              <w:rPr>
                <w:sz w:val="20"/>
                <w:lang w:val="fr-CA"/>
              </w:rPr>
              <w:t xml:space="preserve"> à la question de la causalité lorsqu’on envisage la restitution pour violation de contrat? — Comment faut</w:t>
            </w:r>
            <w:r w:rsidRPr="00FC5507">
              <w:rPr>
                <w:sz w:val="20"/>
                <w:lang w:val="fr-CA"/>
              </w:rPr>
              <w:noBreakHyphen/>
              <w:t xml:space="preserve">il interpréter la définition de « bonneteau » que l’on trouve au paragraphe 206(2) du </w:t>
            </w:r>
            <w:r w:rsidRPr="00FC5507">
              <w:rPr>
                <w:i/>
                <w:sz w:val="20"/>
                <w:lang w:val="fr-CA"/>
              </w:rPr>
              <w:t>Code criminel</w:t>
            </w:r>
            <w:r w:rsidRPr="00FC5507">
              <w:rPr>
                <w:sz w:val="20"/>
                <w:lang w:val="fr-CA"/>
              </w:rPr>
              <w:t>, LRC 1985, ch. C</w:t>
            </w:r>
            <w:r w:rsidRPr="00FC5507">
              <w:rPr>
                <w:sz w:val="20"/>
                <w:lang w:val="fr-CA"/>
              </w:rPr>
              <w:noBreakHyphen/>
              <w:t xml:space="preserve">46, et une violation de l’interdiction du </w:t>
            </w:r>
            <w:r w:rsidRPr="00FC5507">
              <w:rPr>
                <w:i/>
                <w:sz w:val="20"/>
                <w:lang w:val="fr-CA"/>
              </w:rPr>
              <w:t>Code</w:t>
            </w:r>
            <w:r w:rsidRPr="00FC5507">
              <w:rPr>
                <w:sz w:val="20"/>
                <w:lang w:val="fr-CA"/>
              </w:rPr>
              <w:t xml:space="preserve"> visant le jeu de bonneteau suffit</w:t>
            </w:r>
            <w:r w:rsidRPr="00FC5507">
              <w:rPr>
                <w:sz w:val="20"/>
                <w:lang w:val="fr-CA"/>
              </w:rPr>
              <w:noBreakHyphen/>
              <w:t>elle à justifier un recours en restitution?</w:t>
            </w:r>
          </w:p>
        </w:tc>
      </w:tr>
      <w:tr w:rsidR="00FC5507" w:rsidRPr="00A6684F" w:rsidTr="00602075">
        <w:tc>
          <w:tcPr>
            <w:tcW w:w="5000" w:type="pct"/>
            <w:gridSpan w:val="4"/>
          </w:tcPr>
          <w:p w:rsidR="00FC5507" w:rsidRPr="00FC5507" w:rsidRDefault="00FC5507" w:rsidP="00FC5507">
            <w:pPr>
              <w:jc w:val="both"/>
              <w:rPr>
                <w:sz w:val="20"/>
                <w:lang w:val="fr-CA"/>
              </w:rPr>
            </w:pPr>
          </w:p>
        </w:tc>
      </w:tr>
      <w:tr w:rsidR="00FC5507" w:rsidRPr="00A6684F" w:rsidTr="00602075">
        <w:tc>
          <w:tcPr>
            <w:tcW w:w="5000" w:type="pct"/>
            <w:gridSpan w:val="4"/>
          </w:tcPr>
          <w:p w:rsidR="00FC5507" w:rsidRPr="00FC5507" w:rsidRDefault="00FC5507" w:rsidP="00FC5507">
            <w:pPr>
              <w:jc w:val="both"/>
              <w:rPr>
                <w:sz w:val="20"/>
                <w:lang w:val="fr-CA"/>
              </w:rPr>
            </w:pPr>
            <w:r w:rsidRPr="00FC5507">
              <w:rPr>
                <w:sz w:val="20"/>
                <w:lang w:val="fr-CA"/>
              </w:rPr>
              <w:t xml:space="preserve">La Société des loteries de l’Atlantique (« SLA ») </w:t>
            </w:r>
            <w:r w:rsidRPr="00FC5507">
              <w:rPr>
                <w:color w:val="000000"/>
                <w:sz w:val="20"/>
                <w:shd w:val="clear" w:color="auto" w:fill="FFFFFF"/>
                <w:lang w:val="fr-CA"/>
              </w:rPr>
              <w:t xml:space="preserve">est une personne morale constituée par les gouvernements des quatre provinces de l’Atlantique pour administrer des loteries et exercer d’autres activités de jeu au nom de l’État. Douglas Babstock et Fred Small ont présenté une demande de certification comme représentants d’un recours collectif exercé contre la SLA et plusieurs autres tiers fournisseurs de la SLA. Le recours collectif proposé allègue un préjudice causé par des terminaux de loterie qui offraient de jeux en ligne semblables à des machines à sous. Les sept causes d’action comprenaient notamment la violation de contrat, la négligence, l’enrichissement injustifié et la renonciation à un recours délictuel. </w:t>
            </w:r>
            <w:r w:rsidRPr="00FC5507">
              <w:rPr>
                <w:sz w:val="20"/>
                <w:lang w:val="fr-CA"/>
              </w:rPr>
              <w:t>Dans deux jugements distincts, la Cour suprême de Terre</w:t>
            </w:r>
            <w:r w:rsidRPr="00FC5507">
              <w:rPr>
                <w:sz w:val="20"/>
                <w:lang w:val="fr-CA"/>
              </w:rPr>
              <w:noBreakHyphen/>
              <w:t>Neuve</w:t>
            </w:r>
            <w:r w:rsidRPr="00FC5507">
              <w:rPr>
                <w:sz w:val="20"/>
                <w:lang w:val="fr-CA"/>
              </w:rPr>
              <w:noBreakHyphen/>
              <w:t>et</w:t>
            </w:r>
            <w:r w:rsidRPr="00FC5507">
              <w:rPr>
                <w:sz w:val="20"/>
                <w:lang w:val="fr-CA"/>
              </w:rPr>
              <w:noBreakHyphen/>
              <w:t xml:space="preserve">Labrador a conclu qu’il n’était pas manifeste et évident que l’une ou l’autre des sept causes d’action était vouée à l’échec. Le juge a conclu que les jeux en ligne joués sur des terminaux de loterie vidéo (« TLV ») pouvaient être semblables au « bonneteau » (un jeu interdit par le </w:t>
            </w:r>
            <w:r w:rsidRPr="00FC5507">
              <w:rPr>
                <w:i/>
                <w:sz w:val="20"/>
                <w:lang w:val="fr-CA"/>
              </w:rPr>
              <w:t xml:space="preserve">Code criminel </w:t>
            </w:r>
            <w:r w:rsidRPr="00FC5507">
              <w:rPr>
                <w:sz w:val="20"/>
                <w:lang w:val="fr-CA"/>
              </w:rPr>
              <w:t>sans exception). En conséquence, le juge a certifié l’action à titre de recours collectif. Les juges majoritaires de la Cour d’appel de Terre</w:t>
            </w:r>
            <w:r w:rsidRPr="00FC5507">
              <w:rPr>
                <w:sz w:val="20"/>
                <w:lang w:val="fr-CA"/>
              </w:rPr>
              <w:noBreakHyphen/>
              <w:t>Neuve</w:t>
            </w:r>
            <w:r w:rsidRPr="00FC5507">
              <w:rPr>
                <w:sz w:val="20"/>
                <w:lang w:val="fr-CA"/>
              </w:rPr>
              <w:noBreakHyphen/>
              <w:t>et</w:t>
            </w:r>
            <w:r w:rsidRPr="00FC5507">
              <w:rPr>
                <w:sz w:val="20"/>
                <w:lang w:val="fr-CA"/>
              </w:rPr>
              <w:noBreakHyphen/>
              <w:t xml:space="preserve">Labrador ont radié des causes d’actions fondées sur la </w:t>
            </w:r>
            <w:r w:rsidRPr="00FC5507">
              <w:rPr>
                <w:i/>
                <w:iCs/>
                <w:sz w:val="20"/>
                <w:lang w:val="fr-CA"/>
              </w:rPr>
              <w:t>Loi sur la concurrence</w:t>
            </w:r>
            <w:r w:rsidRPr="00FC5507">
              <w:rPr>
                <w:sz w:val="20"/>
                <w:lang w:val="fr-CA"/>
              </w:rPr>
              <w:t>, L.R.C., 1985, ch. C</w:t>
            </w:r>
            <w:r w:rsidRPr="00FC5507">
              <w:rPr>
                <w:sz w:val="20"/>
                <w:lang w:val="fr-CA"/>
              </w:rPr>
              <w:noBreakHyphen/>
              <w:t>34</w:t>
            </w:r>
            <w:r w:rsidRPr="00FC5507">
              <w:rPr>
                <w:color w:val="027ABB"/>
                <w:sz w:val="20"/>
                <w:lang w:val="fr-CA"/>
              </w:rPr>
              <w:t xml:space="preserve"> </w:t>
            </w:r>
            <w:r w:rsidRPr="00FC5507">
              <w:rPr>
                <w:sz w:val="20"/>
                <w:lang w:val="fr-CA"/>
              </w:rPr>
              <w:t xml:space="preserve">et la </w:t>
            </w:r>
            <w:proofErr w:type="spellStart"/>
            <w:r w:rsidRPr="00FC5507">
              <w:rPr>
                <w:i/>
                <w:iCs/>
                <w:sz w:val="20"/>
                <w:lang w:val="fr-CA"/>
              </w:rPr>
              <w:t>Statute</w:t>
            </w:r>
            <w:proofErr w:type="spellEnd"/>
            <w:r w:rsidRPr="00FC5507">
              <w:rPr>
                <w:i/>
                <w:iCs/>
                <w:sz w:val="20"/>
                <w:lang w:val="fr-CA"/>
              </w:rPr>
              <w:t xml:space="preserve"> of Anne, 1710 (Gaming Act, 1710) 9 Anne cap. XIV</w:t>
            </w:r>
            <w:r w:rsidRPr="00FC5507">
              <w:rPr>
                <w:sz w:val="20"/>
                <w:lang w:val="fr-CA"/>
              </w:rPr>
              <w:t>.</w:t>
            </w:r>
            <w:r w:rsidRPr="00FC5507">
              <w:rPr>
                <w:color w:val="212529"/>
                <w:sz w:val="20"/>
                <w:shd w:val="clear" w:color="auto" w:fill="FFFFFF"/>
                <w:lang w:val="fr-CA"/>
              </w:rPr>
              <w:t xml:space="preserve"> Les juges majoritaires ont conclu que la restitution relevait d’un domaine incertain du droit et qu’il n’était pas évident que les arguments sur ce fondement étaient voués à l’échec. Les juges majoritaires ont conclu en outre que les jeux en ligne sur les TLV</w:t>
            </w:r>
            <w:r w:rsidRPr="00FC5507">
              <w:rPr>
                <w:sz w:val="20"/>
                <w:lang w:val="fr-CA"/>
              </w:rPr>
              <w:t xml:space="preserve"> pouvaient être semblables au « bonneteau » et que le recours sous ce chef avait des chances d’être accueilli. Dans une opinion dissidente, la juge </w:t>
            </w:r>
            <w:proofErr w:type="spellStart"/>
            <w:r w:rsidRPr="00FC5507">
              <w:rPr>
                <w:sz w:val="20"/>
                <w:lang w:val="fr-CA"/>
              </w:rPr>
              <w:t>Welsh</w:t>
            </w:r>
            <w:proofErr w:type="spellEnd"/>
            <w:r w:rsidRPr="00FC5507">
              <w:rPr>
                <w:sz w:val="20"/>
                <w:lang w:val="fr-CA"/>
              </w:rPr>
              <w:t xml:space="preserve"> aurait accueilli l’appel, annulé l’ordonnance de certification et radié la demande au complet.</w:t>
            </w:r>
          </w:p>
          <w:p w:rsidR="00FC5507" w:rsidRPr="00FC5507" w:rsidRDefault="00FC5507" w:rsidP="00FC5507">
            <w:pPr>
              <w:jc w:val="both"/>
              <w:rPr>
                <w:sz w:val="20"/>
                <w:lang w:val="fr-CA"/>
              </w:rPr>
            </w:pPr>
          </w:p>
        </w:tc>
      </w:tr>
      <w:tr w:rsidR="00FC5507" w:rsidRPr="00A6684F" w:rsidTr="00602075">
        <w:tc>
          <w:tcPr>
            <w:tcW w:w="2427" w:type="pct"/>
            <w:gridSpan w:val="2"/>
          </w:tcPr>
          <w:p w:rsidR="00FC5507" w:rsidRPr="00FC5507" w:rsidRDefault="00FC5507" w:rsidP="00FC5507">
            <w:pPr>
              <w:jc w:val="both"/>
              <w:rPr>
                <w:sz w:val="20"/>
                <w:lang w:val="fr-CA"/>
              </w:rPr>
            </w:pPr>
            <w:r w:rsidRPr="00FC5507">
              <w:rPr>
                <w:sz w:val="20"/>
                <w:lang w:val="fr-CA"/>
              </w:rPr>
              <w:t>1</w:t>
            </w:r>
            <w:r w:rsidRPr="00FC5507">
              <w:rPr>
                <w:sz w:val="20"/>
                <w:vertAlign w:val="superscript"/>
                <w:lang w:val="fr-CA"/>
              </w:rPr>
              <w:t>er</w:t>
            </w:r>
            <w:r w:rsidRPr="00FC5507">
              <w:rPr>
                <w:sz w:val="20"/>
                <w:lang w:val="fr-CA"/>
              </w:rPr>
              <w:t> octobre 2014</w:t>
            </w:r>
          </w:p>
          <w:p w:rsidR="00FC5507" w:rsidRPr="00FC5507" w:rsidRDefault="00FC5507" w:rsidP="00FC5507">
            <w:pPr>
              <w:jc w:val="both"/>
              <w:rPr>
                <w:sz w:val="20"/>
                <w:lang w:val="fr-CA"/>
              </w:rPr>
            </w:pPr>
            <w:r w:rsidRPr="00FC5507">
              <w:rPr>
                <w:sz w:val="20"/>
                <w:lang w:val="fr-CA"/>
              </w:rPr>
              <w:t>Cour suprême de Terre</w:t>
            </w:r>
            <w:r w:rsidRPr="00FC5507">
              <w:rPr>
                <w:sz w:val="20"/>
                <w:lang w:val="fr-CA"/>
              </w:rPr>
              <w:noBreakHyphen/>
              <w:t>Neuve</w:t>
            </w:r>
            <w:r w:rsidRPr="00FC5507">
              <w:rPr>
                <w:sz w:val="20"/>
                <w:lang w:val="fr-CA"/>
              </w:rPr>
              <w:noBreakHyphen/>
              <w:t>et</w:t>
            </w:r>
            <w:r w:rsidRPr="00FC5507">
              <w:rPr>
                <w:sz w:val="20"/>
                <w:lang w:val="fr-CA"/>
              </w:rPr>
              <w:noBreakHyphen/>
              <w:t>Labrador</w:t>
            </w:r>
          </w:p>
          <w:p w:rsidR="00FC5507" w:rsidRPr="00FC5507" w:rsidRDefault="00FC5507" w:rsidP="00FC5507">
            <w:pPr>
              <w:jc w:val="both"/>
              <w:rPr>
                <w:sz w:val="20"/>
                <w:lang w:val="fr-CA"/>
              </w:rPr>
            </w:pPr>
            <w:r w:rsidRPr="00FC5507">
              <w:rPr>
                <w:sz w:val="20"/>
                <w:lang w:val="fr-CA"/>
              </w:rPr>
              <w:t>Section de première instance</w:t>
            </w:r>
          </w:p>
          <w:p w:rsidR="00FC5507" w:rsidRPr="00FC5507" w:rsidRDefault="00FC5507" w:rsidP="00FC5507">
            <w:pPr>
              <w:jc w:val="both"/>
              <w:rPr>
                <w:sz w:val="20"/>
                <w:lang w:val="fr-CA"/>
              </w:rPr>
            </w:pPr>
            <w:r w:rsidRPr="00FC5507">
              <w:rPr>
                <w:sz w:val="20"/>
                <w:lang w:val="fr-CA"/>
              </w:rPr>
              <w:t xml:space="preserve">(Juge </w:t>
            </w:r>
            <w:proofErr w:type="spellStart"/>
            <w:r w:rsidRPr="00FC5507">
              <w:rPr>
                <w:sz w:val="20"/>
                <w:lang w:val="fr-CA"/>
              </w:rPr>
              <w:t>Faour</w:t>
            </w:r>
            <w:proofErr w:type="spellEnd"/>
            <w:r w:rsidRPr="00FC5507">
              <w:rPr>
                <w:sz w:val="20"/>
                <w:lang w:val="fr-CA"/>
              </w:rPr>
              <w:t>)</w:t>
            </w:r>
          </w:p>
          <w:p w:rsidR="00FC5507" w:rsidRPr="00FC5507" w:rsidRDefault="00685225" w:rsidP="00FC5507">
            <w:pPr>
              <w:jc w:val="both"/>
              <w:rPr>
                <w:sz w:val="20"/>
                <w:lang w:val="fr-CA"/>
              </w:rPr>
            </w:pPr>
            <w:hyperlink r:id="rId122" w:history="1">
              <w:r w:rsidR="00FC5507" w:rsidRPr="00FC5507">
                <w:rPr>
                  <w:rStyle w:val="Hyperlink"/>
                  <w:sz w:val="20"/>
                  <w:lang w:val="fr-CA"/>
                </w:rPr>
                <w:t>2014 NLTD(G) 114</w:t>
              </w:r>
            </w:hyperlink>
          </w:p>
          <w:p w:rsidR="00FC5507" w:rsidRPr="00FC5507" w:rsidRDefault="00FC5507" w:rsidP="00FC5507">
            <w:pPr>
              <w:jc w:val="both"/>
              <w:rPr>
                <w:sz w:val="20"/>
                <w:lang w:val="fr-CA"/>
              </w:rPr>
            </w:pP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lang w:val="fr-CA"/>
              </w:rPr>
            </w:pPr>
            <w:r w:rsidRPr="00FC5507">
              <w:rPr>
                <w:sz w:val="20"/>
                <w:lang w:val="fr-CA"/>
              </w:rPr>
              <w:t>Rejet de la demande de radiation de la déclaration.</w:t>
            </w:r>
          </w:p>
          <w:p w:rsidR="00FC5507" w:rsidRPr="00FC5507" w:rsidRDefault="00FC5507" w:rsidP="00FC5507">
            <w:pPr>
              <w:jc w:val="both"/>
              <w:rPr>
                <w:sz w:val="20"/>
                <w:lang w:val="fr-CA"/>
              </w:rPr>
            </w:pPr>
          </w:p>
        </w:tc>
      </w:tr>
      <w:tr w:rsidR="00FC5507" w:rsidRPr="00A6684F" w:rsidTr="00602075">
        <w:tc>
          <w:tcPr>
            <w:tcW w:w="2427" w:type="pct"/>
            <w:gridSpan w:val="2"/>
          </w:tcPr>
          <w:p w:rsidR="00FC5507" w:rsidRPr="00FC5507" w:rsidRDefault="00FC5507" w:rsidP="00FC5507">
            <w:pPr>
              <w:jc w:val="both"/>
              <w:rPr>
                <w:sz w:val="20"/>
                <w:lang w:val="fr-CA"/>
              </w:rPr>
            </w:pPr>
            <w:r w:rsidRPr="00FC5507">
              <w:rPr>
                <w:sz w:val="20"/>
                <w:lang w:val="fr-CA"/>
              </w:rPr>
              <w:lastRenderedPageBreak/>
              <w:t>30 décembre 2016</w:t>
            </w:r>
          </w:p>
          <w:p w:rsidR="00FC5507" w:rsidRPr="00FC5507" w:rsidRDefault="00FC5507" w:rsidP="00FC5507">
            <w:pPr>
              <w:jc w:val="both"/>
              <w:rPr>
                <w:sz w:val="20"/>
                <w:lang w:val="fr-CA"/>
              </w:rPr>
            </w:pPr>
            <w:r w:rsidRPr="00FC5507">
              <w:rPr>
                <w:sz w:val="20"/>
                <w:lang w:val="fr-CA"/>
              </w:rPr>
              <w:t>Cour suprême de Terre-Neuve-et-Labrador</w:t>
            </w:r>
          </w:p>
          <w:p w:rsidR="00FC5507" w:rsidRPr="00FC5507" w:rsidRDefault="00FC5507" w:rsidP="00FC5507">
            <w:pPr>
              <w:jc w:val="both"/>
              <w:rPr>
                <w:sz w:val="20"/>
                <w:lang w:val="fr-CA"/>
              </w:rPr>
            </w:pPr>
            <w:r w:rsidRPr="00FC5507">
              <w:rPr>
                <w:sz w:val="20"/>
                <w:lang w:val="fr-CA"/>
              </w:rPr>
              <w:t>Section de première instance</w:t>
            </w:r>
          </w:p>
          <w:p w:rsidR="00FC5507" w:rsidRPr="00FC5507" w:rsidRDefault="00FC5507" w:rsidP="00FC5507">
            <w:pPr>
              <w:jc w:val="both"/>
              <w:rPr>
                <w:sz w:val="20"/>
                <w:lang w:val="fr-CA"/>
              </w:rPr>
            </w:pPr>
            <w:r w:rsidRPr="00FC5507">
              <w:rPr>
                <w:sz w:val="20"/>
                <w:lang w:val="fr-CA"/>
              </w:rPr>
              <w:t xml:space="preserve">(Juge </w:t>
            </w:r>
            <w:proofErr w:type="spellStart"/>
            <w:r w:rsidRPr="00FC5507">
              <w:rPr>
                <w:sz w:val="20"/>
                <w:lang w:val="fr-CA"/>
              </w:rPr>
              <w:t>Faour</w:t>
            </w:r>
            <w:proofErr w:type="spellEnd"/>
            <w:r w:rsidRPr="00FC5507">
              <w:rPr>
                <w:sz w:val="20"/>
                <w:lang w:val="fr-CA"/>
              </w:rPr>
              <w:t>)</w:t>
            </w:r>
          </w:p>
          <w:p w:rsidR="00FC5507" w:rsidRPr="00FC5507" w:rsidRDefault="00685225" w:rsidP="00FC5507">
            <w:pPr>
              <w:jc w:val="both"/>
              <w:rPr>
                <w:sz w:val="20"/>
                <w:lang w:val="fr-CA"/>
              </w:rPr>
            </w:pPr>
            <w:hyperlink r:id="rId123" w:history="1">
              <w:r w:rsidR="00FC5507" w:rsidRPr="00FC5507">
                <w:rPr>
                  <w:rStyle w:val="Hyperlink"/>
                  <w:sz w:val="20"/>
                  <w:lang w:val="fr-CA"/>
                </w:rPr>
                <w:t>2016 NLTD(G) 216</w:t>
              </w:r>
            </w:hyperlink>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lang w:val="fr-CA"/>
              </w:rPr>
            </w:pPr>
            <w:r w:rsidRPr="00FC5507">
              <w:rPr>
                <w:sz w:val="20"/>
                <w:lang w:val="fr-CA"/>
              </w:rPr>
              <w:t>Certification de l’action à titre de recours collectif.</w:t>
            </w:r>
          </w:p>
          <w:p w:rsidR="00FC5507" w:rsidRPr="00FC5507" w:rsidRDefault="00FC5507" w:rsidP="00FC5507">
            <w:pPr>
              <w:jc w:val="both"/>
              <w:rPr>
                <w:sz w:val="20"/>
                <w:lang w:val="fr-CA"/>
              </w:rPr>
            </w:pPr>
          </w:p>
        </w:tc>
      </w:tr>
      <w:tr w:rsidR="00FC5507" w:rsidRPr="00A6684F" w:rsidTr="00602075">
        <w:tc>
          <w:tcPr>
            <w:tcW w:w="2427" w:type="pct"/>
            <w:gridSpan w:val="2"/>
          </w:tcPr>
          <w:p w:rsidR="00FC5507" w:rsidRPr="00FC5507" w:rsidRDefault="00FC5507" w:rsidP="00FC5507">
            <w:pPr>
              <w:jc w:val="both"/>
              <w:rPr>
                <w:sz w:val="20"/>
                <w:lang w:val="fr-CA"/>
              </w:rPr>
            </w:pPr>
            <w:r w:rsidRPr="00FC5507">
              <w:rPr>
                <w:sz w:val="20"/>
                <w:lang w:val="fr-CA"/>
              </w:rPr>
              <w:t>10 décembre 2018</w:t>
            </w:r>
          </w:p>
          <w:p w:rsidR="00FC5507" w:rsidRPr="00FC5507" w:rsidRDefault="00FC5507" w:rsidP="00FC5507">
            <w:pPr>
              <w:jc w:val="both"/>
              <w:rPr>
                <w:sz w:val="20"/>
                <w:lang w:val="fr-CA"/>
              </w:rPr>
            </w:pPr>
            <w:r w:rsidRPr="00FC5507">
              <w:rPr>
                <w:sz w:val="20"/>
                <w:lang w:val="fr-CA"/>
              </w:rPr>
              <w:t>Cour d’appel de Terre-Neuve-et-Labrador</w:t>
            </w:r>
          </w:p>
          <w:p w:rsidR="00FC5507" w:rsidRPr="00FC5507" w:rsidRDefault="00FC5507" w:rsidP="00FC5507">
            <w:pPr>
              <w:jc w:val="both"/>
              <w:rPr>
                <w:sz w:val="20"/>
                <w:lang w:val="fr-CA"/>
              </w:rPr>
            </w:pPr>
            <w:r w:rsidRPr="00FC5507">
              <w:rPr>
                <w:sz w:val="20"/>
                <w:lang w:val="fr-CA"/>
              </w:rPr>
              <w:t xml:space="preserve"> (Juge en chef Green, juges Harrington et; </w:t>
            </w:r>
            <w:proofErr w:type="spellStart"/>
            <w:r w:rsidRPr="00FC5507">
              <w:rPr>
                <w:sz w:val="20"/>
                <w:lang w:val="fr-CA"/>
              </w:rPr>
              <w:t>Welsh</w:t>
            </w:r>
            <w:proofErr w:type="spellEnd"/>
            <w:r w:rsidRPr="00FC5507">
              <w:rPr>
                <w:sz w:val="20"/>
                <w:lang w:val="fr-CA"/>
              </w:rPr>
              <w:t xml:space="preserve"> (dissidente)</w:t>
            </w:r>
          </w:p>
          <w:p w:rsidR="00FC5507" w:rsidRPr="00FC5507" w:rsidRDefault="00685225" w:rsidP="00FC5507">
            <w:pPr>
              <w:jc w:val="both"/>
              <w:rPr>
                <w:sz w:val="20"/>
                <w:lang w:val="fr-CA"/>
              </w:rPr>
            </w:pPr>
            <w:hyperlink r:id="rId124" w:history="1">
              <w:r w:rsidR="00FC5507" w:rsidRPr="00FC5507">
                <w:rPr>
                  <w:rStyle w:val="Hyperlink"/>
                  <w:sz w:val="20"/>
                  <w:lang w:val="fr-CA"/>
                </w:rPr>
                <w:t>2018 NLCA 71</w:t>
              </w:r>
            </w:hyperlink>
          </w:p>
          <w:p w:rsidR="00FC5507" w:rsidRPr="00FC5507" w:rsidRDefault="00FC5507" w:rsidP="00FC5507">
            <w:pPr>
              <w:jc w:val="both"/>
              <w:rPr>
                <w:sz w:val="20"/>
                <w:lang w:val="fr-CA"/>
              </w:rPr>
            </w:pP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lang w:val="fr-CA"/>
              </w:rPr>
            </w:pPr>
            <w:r w:rsidRPr="00FC5507">
              <w:rPr>
                <w:sz w:val="20"/>
                <w:lang w:val="fr-CA"/>
              </w:rPr>
              <w:t>Arrêt accueillant l’appel en partie et modifiant la certification du recours collectif.</w:t>
            </w:r>
          </w:p>
        </w:tc>
      </w:tr>
      <w:tr w:rsidR="00FC5507" w:rsidRPr="00A6684F" w:rsidTr="00602075">
        <w:tc>
          <w:tcPr>
            <w:tcW w:w="2427" w:type="pct"/>
            <w:gridSpan w:val="2"/>
          </w:tcPr>
          <w:p w:rsidR="00FC5507" w:rsidRPr="00FC5507" w:rsidRDefault="00FC5507" w:rsidP="00FC5507">
            <w:pPr>
              <w:jc w:val="both"/>
              <w:rPr>
                <w:sz w:val="20"/>
                <w:lang w:val="fr-CA"/>
              </w:rPr>
            </w:pPr>
            <w:r w:rsidRPr="00FC5507">
              <w:rPr>
                <w:sz w:val="20"/>
                <w:lang w:val="fr-CA"/>
              </w:rPr>
              <w:t>8 février 2019</w:t>
            </w:r>
          </w:p>
          <w:p w:rsidR="00FC5507" w:rsidRPr="00FC5507" w:rsidRDefault="00FC5507" w:rsidP="00FC5507">
            <w:pPr>
              <w:jc w:val="both"/>
              <w:rPr>
                <w:sz w:val="20"/>
                <w:lang w:val="fr-CA"/>
              </w:rPr>
            </w:pPr>
            <w:r w:rsidRPr="00FC5507">
              <w:rPr>
                <w:sz w:val="20"/>
                <w:lang w:val="fr-CA"/>
              </w:rPr>
              <w:t>Cour suprême du Canada</w:t>
            </w: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lang w:val="fr-CA"/>
              </w:rPr>
            </w:pPr>
            <w:r w:rsidRPr="00FC5507">
              <w:rPr>
                <w:sz w:val="20"/>
                <w:lang w:val="fr-CA"/>
              </w:rPr>
              <w:t>Dépôt de deux demandes d’autorisation d’appel.</w:t>
            </w:r>
          </w:p>
          <w:p w:rsidR="00FC5507" w:rsidRPr="00FC5507" w:rsidRDefault="00FC5507" w:rsidP="00FC5507">
            <w:pPr>
              <w:jc w:val="both"/>
              <w:rPr>
                <w:sz w:val="20"/>
                <w:lang w:val="fr-CA"/>
              </w:rPr>
            </w:pPr>
          </w:p>
        </w:tc>
      </w:tr>
    </w:tbl>
    <w:p w:rsidR="00FC5507" w:rsidRDefault="00FC5507" w:rsidP="00FC5507">
      <w:pPr>
        <w:jc w:val="both"/>
        <w:rPr>
          <w:sz w:val="20"/>
          <w:lang w:val="fr-CA"/>
        </w:rPr>
      </w:pPr>
    </w:p>
    <w:p w:rsidR="00A6684F" w:rsidRPr="00FC5507" w:rsidRDefault="00A6684F" w:rsidP="00FC5507">
      <w:pPr>
        <w:jc w:val="both"/>
        <w:rPr>
          <w:sz w:val="20"/>
          <w:lang w:val="fr-CA"/>
        </w:rPr>
      </w:pPr>
      <w:r>
        <w:rPr>
          <w:sz w:val="20"/>
        </w:rPr>
        <w:pict>
          <v:rect id="_x0000_i1070"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5507" w:rsidRPr="00FC5507" w:rsidTr="00602075">
        <w:tc>
          <w:tcPr>
            <w:tcW w:w="543" w:type="pct"/>
          </w:tcPr>
          <w:p w:rsidR="00FC5507" w:rsidRPr="00FC5507" w:rsidRDefault="00FC5507" w:rsidP="00FC5507">
            <w:pPr>
              <w:jc w:val="both"/>
              <w:rPr>
                <w:sz w:val="20"/>
              </w:rPr>
            </w:pPr>
            <w:r w:rsidRPr="00FC5507">
              <w:rPr>
                <w:rStyle w:val="SCCFileNumberChar"/>
                <w:sz w:val="20"/>
                <w:szCs w:val="20"/>
              </w:rPr>
              <w:t>38503</w:t>
            </w:r>
          </w:p>
        </w:tc>
        <w:tc>
          <w:tcPr>
            <w:tcW w:w="4457" w:type="pct"/>
            <w:gridSpan w:val="3"/>
          </w:tcPr>
          <w:p w:rsidR="00FC5507" w:rsidRPr="008571F9" w:rsidRDefault="00FC5507" w:rsidP="00FC5507">
            <w:pPr>
              <w:pStyle w:val="SCCLsocParty"/>
              <w:jc w:val="both"/>
              <w:rPr>
                <w:b/>
                <w:sz w:val="20"/>
                <w:szCs w:val="20"/>
                <w:lang w:val="en-US"/>
              </w:rPr>
            </w:pPr>
            <w:r w:rsidRPr="008571F9">
              <w:rPr>
                <w:b/>
                <w:sz w:val="20"/>
                <w:szCs w:val="20"/>
                <w:lang w:val="en-US"/>
              </w:rPr>
              <w:t>Steven Kerzner v. American Iron &amp; Metal Company Inc.</w:t>
            </w:r>
          </w:p>
          <w:p w:rsidR="00FC5507" w:rsidRPr="00FC5507" w:rsidRDefault="00FC5507" w:rsidP="00FC5507">
            <w:pPr>
              <w:jc w:val="both"/>
              <w:rPr>
                <w:sz w:val="20"/>
              </w:rPr>
            </w:pPr>
            <w:r w:rsidRPr="00FC5507">
              <w:rPr>
                <w:sz w:val="20"/>
              </w:rPr>
              <w:t>(Ont.) (Civil) (By Leave)</w:t>
            </w:r>
          </w:p>
        </w:tc>
      </w:tr>
      <w:tr w:rsidR="00FC5507" w:rsidRPr="00FC5507" w:rsidTr="00602075">
        <w:tc>
          <w:tcPr>
            <w:tcW w:w="5000" w:type="pct"/>
            <w:gridSpan w:val="4"/>
          </w:tcPr>
          <w:p w:rsidR="00FC5507" w:rsidRPr="00FC5507" w:rsidRDefault="00FC5507" w:rsidP="00FC5507">
            <w:pPr>
              <w:jc w:val="both"/>
              <w:rPr>
                <w:sz w:val="20"/>
              </w:rPr>
            </w:pPr>
            <w:r w:rsidRPr="00FC5507">
              <w:rPr>
                <w:sz w:val="20"/>
              </w:rPr>
              <w:t xml:space="preserve">Employment law — Labour standards — Contracts — Release agreements — Does s. 5(1) of the </w:t>
            </w:r>
            <w:r w:rsidRPr="00FC5507">
              <w:rPr>
                <w:i/>
                <w:sz w:val="20"/>
              </w:rPr>
              <w:t>Employment Standards Act</w:t>
            </w:r>
            <w:r w:rsidRPr="00FC5507">
              <w:rPr>
                <w:sz w:val="20"/>
              </w:rPr>
              <w:t>, SO 2000, c. 41, apply only to employee contracts or also to release agreements? — If s. 5(1) applies to release agreements, how much is nullified and to which released claims will that nullification apply? — If s. 5(1) does not fully apply to release agreements, then what is its scope and to what extent does it apply to other employment-related agreements?</w:t>
            </w:r>
          </w:p>
        </w:tc>
      </w:tr>
      <w:tr w:rsidR="00FC5507" w:rsidRPr="00FC5507" w:rsidTr="00602075">
        <w:tc>
          <w:tcPr>
            <w:tcW w:w="5000" w:type="pct"/>
            <w:gridSpan w:val="4"/>
          </w:tcPr>
          <w:p w:rsidR="00FC5507" w:rsidRPr="00FC5507" w:rsidRDefault="00FC5507" w:rsidP="00FC5507">
            <w:pPr>
              <w:jc w:val="both"/>
              <w:rPr>
                <w:sz w:val="20"/>
              </w:rPr>
            </w:pPr>
          </w:p>
        </w:tc>
      </w:tr>
      <w:tr w:rsidR="00FC5507" w:rsidRPr="00FC5507" w:rsidTr="00602075">
        <w:tc>
          <w:tcPr>
            <w:tcW w:w="5000" w:type="pct"/>
            <w:gridSpan w:val="4"/>
          </w:tcPr>
          <w:p w:rsidR="00FC5507" w:rsidRPr="00FC5507" w:rsidRDefault="00FC5507" w:rsidP="00FC5507">
            <w:pPr>
              <w:jc w:val="both"/>
              <w:rPr>
                <w:sz w:val="20"/>
              </w:rPr>
            </w:pPr>
            <w:r w:rsidRPr="00FC5507">
              <w:rPr>
                <w:sz w:val="20"/>
              </w:rPr>
              <w:t>Steven Kerzner was an employee and one</w:t>
            </w:r>
            <w:r w:rsidRPr="00FC5507">
              <w:rPr>
                <w:sz w:val="20"/>
              </w:rPr>
              <w:noBreakHyphen/>
              <w:t xml:space="preserve">third owner of </w:t>
            </w:r>
            <w:proofErr w:type="spellStart"/>
            <w:r w:rsidRPr="00FC5507">
              <w:rPr>
                <w:sz w:val="20"/>
              </w:rPr>
              <w:t>Bakermet</w:t>
            </w:r>
            <w:proofErr w:type="spellEnd"/>
            <w:r w:rsidRPr="00FC5507">
              <w:rPr>
                <w:sz w:val="20"/>
              </w:rPr>
              <w:t xml:space="preserve"> Inc. when it was sold in 2008 to ArcelorMittal. As part of the share purchase agreement, Mr. Kerzner signed a release in favour of </w:t>
            </w:r>
            <w:proofErr w:type="spellStart"/>
            <w:r w:rsidRPr="00FC5507">
              <w:rPr>
                <w:sz w:val="20"/>
              </w:rPr>
              <w:t>Bakermet</w:t>
            </w:r>
            <w:proofErr w:type="spellEnd"/>
            <w:r w:rsidRPr="00FC5507">
              <w:rPr>
                <w:sz w:val="20"/>
              </w:rPr>
              <w:t xml:space="preserve"> and its successors. Two subsequent employment agreements were signed by Mr. Kerzner in 2011 and 2014. American Iron &amp; Metal Company </w:t>
            </w:r>
            <w:proofErr w:type="spellStart"/>
            <w:r w:rsidRPr="00FC5507">
              <w:rPr>
                <w:sz w:val="20"/>
              </w:rPr>
              <w:t>Inc</w:t>
            </w:r>
            <w:proofErr w:type="spellEnd"/>
            <w:r w:rsidRPr="00FC5507">
              <w:rPr>
                <w:sz w:val="20"/>
              </w:rPr>
              <w:t xml:space="preserve"> (“AIM”) bought out ArcelorMittal and was assigned Mr. </w:t>
            </w:r>
            <w:proofErr w:type="spellStart"/>
            <w:r w:rsidRPr="00FC5507">
              <w:rPr>
                <w:sz w:val="20"/>
              </w:rPr>
              <w:t>Kerzner’s</w:t>
            </w:r>
            <w:proofErr w:type="spellEnd"/>
            <w:r w:rsidRPr="00FC5507">
              <w:rPr>
                <w:sz w:val="20"/>
              </w:rPr>
              <w:t xml:space="preserve"> employment contract. In 2015, AIM terminated Mr. </w:t>
            </w:r>
            <w:proofErr w:type="spellStart"/>
            <w:r w:rsidRPr="00FC5507">
              <w:rPr>
                <w:sz w:val="20"/>
              </w:rPr>
              <w:t>Kerzner’s</w:t>
            </w:r>
            <w:proofErr w:type="spellEnd"/>
            <w:r w:rsidRPr="00FC5507">
              <w:rPr>
                <w:sz w:val="20"/>
              </w:rPr>
              <w:t xml:space="preserve"> employment with one week’s working notice. Shortly after his termination, Mr. Kerzner found a new job with a competing company. In accordance with the 2014 agreement, Mr. Kerzner was offered six months’ salary and continuation of benefits. Mr. Kerzner brought a wrongful dismissal action seeking 24 to 30 months’ pay in lieu of notice, based on 35 years of continuous employment with AIM and its predecessors. AIM counterclaimed for damages based on Mr. </w:t>
            </w:r>
            <w:proofErr w:type="spellStart"/>
            <w:r w:rsidRPr="00FC5507">
              <w:rPr>
                <w:sz w:val="20"/>
              </w:rPr>
              <w:t>Kerzner’s</w:t>
            </w:r>
            <w:proofErr w:type="spellEnd"/>
            <w:r w:rsidRPr="00FC5507">
              <w:rPr>
                <w:sz w:val="20"/>
              </w:rPr>
              <w:t xml:space="preserve"> alleged breach of the restrictive covenants and fiduciary duty in the 2014 agreement. The Ontario Superior Court of Justice determined that Mr. Kerzner was employed pursuant to a fixed</w:t>
            </w:r>
            <w:r w:rsidRPr="00FC5507">
              <w:rPr>
                <w:sz w:val="20"/>
              </w:rPr>
              <w:noBreakHyphen/>
              <w:t>term contract rather than a contract of indefinite hire and that the 2008 agreement re</w:t>
            </w:r>
            <w:r w:rsidRPr="00FC5507">
              <w:rPr>
                <w:sz w:val="20"/>
              </w:rPr>
              <w:noBreakHyphen/>
              <w:t>set Mr. </w:t>
            </w:r>
            <w:proofErr w:type="spellStart"/>
            <w:r w:rsidRPr="00FC5507">
              <w:rPr>
                <w:sz w:val="20"/>
              </w:rPr>
              <w:t>Kerzner’s</w:t>
            </w:r>
            <w:proofErr w:type="spellEnd"/>
            <w:r w:rsidRPr="00FC5507">
              <w:rPr>
                <w:sz w:val="20"/>
              </w:rPr>
              <w:t xml:space="preserve"> employment clock. The judge ordered Mr. Kerzner paid in accordance with the 2014 Agreement. On the counter</w:t>
            </w:r>
            <w:r w:rsidRPr="00FC5507">
              <w:rPr>
                <w:sz w:val="20"/>
              </w:rPr>
              <w:noBreakHyphen/>
              <w:t xml:space="preserve">claim the judge found insufficient evidence to demonstrate a breach of ongoing fiduciary obligations. The Court of Appeal for Ontario granted the appeal. It determined that the 2008 release in the share purchase agreement had to comply with the </w:t>
            </w:r>
            <w:r w:rsidRPr="00FC5507">
              <w:rPr>
                <w:i/>
                <w:sz w:val="20"/>
              </w:rPr>
              <w:t>Employment Standards Act</w:t>
            </w:r>
            <w:r w:rsidRPr="00FC5507">
              <w:rPr>
                <w:sz w:val="20"/>
              </w:rPr>
              <w:t>, SO 2000, c. 41 but that it released him from common law notice prior to 2008. The court of appeal concluded that Mr. Kerzner was entitled to the maximum termination and severance pay permitted under the Act. The court of appeal dismissed the cross</w:t>
            </w:r>
            <w:r w:rsidRPr="00FC5507">
              <w:rPr>
                <w:sz w:val="20"/>
              </w:rPr>
              <w:noBreakHyphen/>
              <w:t>appeal.</w:t>
            </w:r>
          </w:p>
          <w:p w:rsidR="00FC5507" w:rsidRPr="00FC5507" w:rsidRDefault="00FC5507" w:rsidP="00FC5507">
            <w:pPr>
              <w:jc w:val="both"/>
              <w:rPr>
                <w:sz w:val="20"/>
              </w:rPr>
            </w:pPr>
          </w:p>
        </w:tc>
      </w:tr>
      <w:tr w:rsidR="00FC5507" w:rsidRPr="00FC5507" w:rsidTr="00602075">
        <w:tc>
          <w:tcPr>
            <w:tcW w:w="2427" w:type="pct"/>
            <w:gridSpan w:val="2"/>
          </w:tcPr>
          <w:p w:rsidR="00FC5507" w:rsidRPr="00FC5507" w:rsidRDefault="00FC5507" w:rsidP="00FC5507">
            <w:pPr>
              <w:jc w:val="both"/>
              <w:rPr>
                <w:sz w:val="20"/>
              </w:rPr>
            </w:pPr>
            <w:r w:rsidRPr="00FC5507">
              <w:rPr>
                <w:sz w:val="20"/>
              </w:rPr>
              <w:t>July 17, 2017</w:t>
            </w:r>
          </w:p>
          <w:p w:rsidR="00FC5507" w:rsidRPr="00FC5507" w:rsidRDefault="00FC5507" w:rsidP="00FC5507">
            <w:pPr>
              <w:jc w:val="both"/>
              <w:rPr>
                <w:sz w:val="20"/>
              </w:rPr>
            </w:pPr>
            <w:r w:rsidRPr="00FC5507">
              <w:rPr>
                <w:sz w:val="20"/>
              </w:rPr>
              <w:t>Ontario Superior Court of Justice</w:t>
            </w:r>
          </w:p>
          <w:p w:rsidR="00FC5507" w:rsidRPr="00FC5507" w:rsidRDefault="00FC5507" w:rsidP="00FC5507">
            <w:pPr>
              <w:jc w:val="both"/>
              <w:rPr>
                <w:sz w:val="20"/>
              </w:rPr>
            </w:pPr>
            <w:r w:rsidRPr="00FC5507">
              <w:rPr>
                <w:sz w:val="20"/>
              </w:rPr>
              <w:t>(Graeme J.)</w:t>
            </w:r>
          </w:p>
          <w:p w:rsidR="00FC5507" w:rsidRPr="00FC5507" w:rsidRDefault="00685225" w:rsidP="00FC5507">
            <w:pPr>
              <w:jc w:val="both"/>
              <w:rPr>
                <w:sz w:val="20"/>
              </w:rPr>
            </w:pPr>
            <w:hyperlink r:id="rId125" w:history="1">
              <w:r w:rsidR="00FC5507" w:rsidRPr="00FC5507">
                <w:rPr>
                  <w:rStyle w:val="Hyperlink"/>
                  <w:sz w:val="20"/>
                </w:rPr>
                <w:t>2017 ONSC 4352</w:t>
              </w:r>
            </w:hyperlink>
          </w:p>
          <w:p w:rsidR="00FC5507" w:rsidRPr="00FC5507" w:rsidRDefault="00FC5507" w:rsidP="00FC5507">
            <w:pPr>
              <w:jc w:val="both"/>
              <w:rPr>
                <w:sz w:val="20"/>
              </w:rPr>
            </w:pPr>
          </w:p>
        </w:tc>
        <w:tc>
          <w:tcPr>
            <w:tcW w:w="243" w:type="pct"/>
          </w:tcPr>
          <w:p w:rsidR="00FC5507" w:rsidRPr="00FC5507" w:rsidRDefault="00FC5507" w:rsidP="00FC5507">
            <w:pPr>
              <w:jc w:val="both"/>
              <w:rPr>
                <w:sz w:val="20"/>
              </w:rPr>
            </w:pPr>
          </w:p>
        </w:tc>
        <w:tc>
          <w:tcPr>
            <w:tcW w:w="2330" w:type="pct"/>
          </w:tcPr>
          <w:p w:rsidR="00FC5507" w:rsidRPr="00FC5507" w:rsidRDefault="00FC5507" w:rsidP="00FC5507">
            <w:pPr>
              <w:jc w:val="both"/>
              <w:rPr>
                <w:sz w:val="20"/>
              </w:rPr>
            </w:pPr>
            <w:r w:rsidRPr="00FC5507">
              <w:rPr>
                <w:sz w:val="20"/>
              </w:rPr>
              <w:t>Order for payment to Steven Kerzner of severance in accordance with 2014 agreement.</w:t>
            </w:r>
          </w:p>
          <w:p w:rsidR="00FC5507" w:rsidRPr="00FC5507" w:rsidRDefault="00FC5507" w:rsidP="00FC5507">
            <w:pPr>
              <w:jc w:val="both"/>
              <w:rPr>
                <w:sz w:val="20"/>
              </w:rPr>
            </w:pPr>
          </w:p>
        </w:tc>
      </w:tr>
      <w:tr w:rsidR="00FC5507" w:rsidRPr="00FC5507" w:rsidTr="00602075">
        <w:tc>
          <w:tcPr>
            <w:tcW w:w="2427" w:type="pct"/>
            <w:gridSpan w:val="2"/>
          </w:tcPr>
          <w:p w:rsidR="00FC5507" w:rsidRPr="00FC5507" w:rsidRDefault="00FC5507" w:rsidP="00FC5507">
            <w:pPr>
              <w:jc w:val="both"/>
              <w:rPr>
                <w:sz w:val="20"/>
              </w:rPr>
            </w:pPr>
            <w:r w:rsidRPr="00FC5507">
              <w:rPr>
                <w:sz w:val="20"/>
              </w:rPr>
              <w:t>December 7, 2018</w:t>
            </w:r>
          </w:p>
          <w:p w:rsidR="00FC5507" w:rsidRPr="00FC5507" w:rsidRDefault="00FC5507" w:rsidP="00FC5507">
            <w:pPr>
              <w:jc w:val="both"/>
              <w:rPr>
                <w:sz w:val="20"/>
              </w:rPr>
            </w:pPr>
            <w:r w:rsidRPr="00FC5507">
              <w:rPr>
                <w:sz w:val="20"/>
              </w:rPr>
              <w:t>Court of Appeal for Ontario</w:t>
            </w:r>
          </w:p>
          <w:p w:rsidR="00FC5507" w:rsidRPr="00FC5507" w:rsidRDefault="00FC5507" w:rsidP="00FC5507">
            <w:pPr>
              <w:jc w:val="both"/>
              <w:rPr>
                <w:sz w:val="20"/>
              </w:rPr>
            </w:pPr>
            <w:r w:rsidRPr="00FC5507">
              <w:rPr>
                <w:sz w:val="20"/>
              </w:rPr>
              <w:t xml:space="preserve">(Simmons, </w:t>
            </w:r>
            <w:proofErr w:type="spellStart"/>
            <w:r w:rsidRPr="00FC5507">
              <w:rPr>
                <w:sz w:val="20"/>
              </w:rPr>
              <w:t>Huscroft</w:t>
            </w:r>
            <w:proofErr w:type="spellEnd"/>
            <w:r w:rsidRPr="00FC5507">
              <w:rPr>
                <w:sz w:val="20"/>
              </w:rPr>
              <w:t>, and Miller JJ.A.)</w:t>
            </w:r>
          </w:p>
          <w:p w:rsidR="00FC5507" w:rsidRPr="00FC5507" w:rsidRDefault="00685225" w:rsidP="00FC5507">
            <w:pPr>
              <w:jc w:val="both"/>
              <w:rPr>
                <w:sz w:val="20"/>
              </w:rPr>
            </w:pPr>
            <w:hyperlink r:id="rId126" w:history="1">
              <w:r w:rsidR="00FC5507" w:rsidRPr="00FC5507">
                <w:rPr>
                  <w:rStyle w:val="Hyperlink"/>
                  <w:sz w:val="20"/>
                </w:rPr>
                <w:t>2018 ONCA 989</w:t>
              </w:r>
            </w:hyperlink>
          </w:p>
          <w:p w:rsidR="00FC5507" w:rsidRPr="00FC5507" w:rsidRDefault="00FC5507" w:rsidP="00FC5507">
            <w:pPr>
              <w:jc w:val="both"/>
              <w:rPr>
                <w:sz w:val="20"/>
                <w:lang w:val="fr-CA"/>
              </w:rPr>
            </w:pP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rPr>
            </w:pPr>
            <w:r w:rsidRPr="00FC5507">
              <w:rPr>
                <w:sz w:val="20"/>
              </w:rPr>
              <w:t>Appeal granted; Cross</w:t>
            </w:r>
            <w:r w:rsidRPr="00FC5507">
              <w:rPr>
                <w:sz w:val="20"/>
              </w:rPr>
              <w:noBreakHyphen/>
              <w:t>appeal dismissed.</w:t>
            </w:r>
          </w:p>
          <w:p w:rsidR="00FC5507" w:rsidRPr="00FC5507" w:rsidRDefault="00FC5507" w:rsidP="00FC5507">
            <w:pPr>
              <w:jc w:val="both"/>
              <w:rPr>
                <w:sz w:val="20"/>
              </w:rPr>
            </w:pPr>
          </w:p>
        </w:tc>
      </w:tr>
      <w:tr w:rsidR="00FC5507" w:rsidRPr="00FC5507" w:rsidTr="00602075">
        <w:tc>
          <w:tcPr>
            <w:tcW w:w="2427" w:type="pct"/>
            <w:gridSpan w:val="2"/>
          </w:tcPr>
          <w:p w:rsidR="00FC5507" w:rsidRPr="00FC5507" w:rsidRDefault="00FC5507" w:rsidP="00FC5507">
            <w:pPr>
              <w:jc w:val="both"/>
              <w:rPr>
                <w:sz w:val="20"/>
              </w:rPr>
            </w:pPr>
            <w:r w:rsidRPr="00FC5507">
              <w:rPr>
                <w:sz w:val="20"/>
              </w:rPr>
              <w:t>February 5, 2019</w:t>
            </w:r>
          </w:p>
          <w:p w:rsidR="00FC5507" w:rsidRPr="00FC5507" w:rsidRDefault="00FC5507" w:rsidP="00FC5507">
            <w:pPr>
              <w:jc w:val="both"/>
              <w:rPr>
                <w:sz w:val="20"/>
              </w:rPr>
            </w:pPr>
            <w:r w:rsidRPr="00FC5507">
              <w:rPr>
                <w:sz w:val="20"/>
              </w:rPr>
              <w:t>Supreme Court of Canada</w:t>
            </w:r>
          </w:p>
        </w:tc>
        <w:tc>
          <w:tcPr>
            <w:tcW w:w="243" w:type="pct"/>
          </w:tcPr>
          <w:p w:rsidR="00FC5507" w:rsidRPr="00FC5507" w:rsidRDefault="00FC5507" w:rsidP="00FC5507">
            <w:pPr>
              <w:jc w:val="both"/>
              <w:rPr>
                <w:sz w:val="20"/>
              </w:rPr>
            </w:pPr>
          </w:p>
        </w:tc>
        <w:tc>
          <w:tcPr>
            <w:tcW w:w="2330" w:type="pct"/>
          </w:tcPr>
          <w:p w:rsidR="00FC5507" w:rsidRPr="00FC5507" w:rsidRDefault="00FC5507" w:rsidP="00FC5507">
            <w:pPr>
              <w:jc w:val="both"/>
              <w:rPr>
                <w:sz w:val="20"/>
              </w:rPr>
            </w:pPr>
            <w:r w:rsidRPr="00FC5507">
              <w:rPr>
                <w:sz w:val="20"/>
              </w:rPr>
              <w:t>Application for leave to appeal filed</w:t>
            </w:r>
          </w:p>
          <w:p w:rsidR="00FC5507" w:rsidRPr="00FC5507" w:rsidRDefault="00FC5507" w:rsidP="00FC5507">
            <w:pPr>
              <w:jc w:val="both"/>
              <w:rPr>
                <w:sz w:val="20"/>
              </w:rPr>
            </w:pPr>
          </w:p>
        </w:tc>
      </w:tr>
    </w:tbl>
    <w:p w:rsidR="00FC5507" w:rsidRDefault="00FC5507" w:rsidP="00FC5507">
      <w:pPr>
        <w:jc w:val="both"/>
        <w:rPr>
          <w:sz w:val="20"/>
        </w:rPr>
      </w:pPr>
    </w:p>
    <w:p w:rsidR="008571F9" w:rsidRDefault="00A6684F" w:rsidP="00FC5507">
      <w:pPr>
        <w:jc w:val="both"/>
        <w:rPr>
          <w:sz w:val="20"/>
        </w:rPr>
      </w:pPr>
      <w:r>
        <w:rPr>
          <w:sz w:val="20"/>
        </w:rPr>
        <w:pict>
          <v:rect id="_x0000_i1071" style="width:2in;height:1pt" o:hrpct="0" o:hralign="center" o:hrstd="t" o:hrnoshade="t" o:hr="t" fillcolor="black [3213]" stroked="f"/>
        </w:pict>
      </w:r>
    </w:p>
    <w:p w:rsidR="00A6684F" w:rsidRPr="00FC5507" w:rsidRDefault="00A6684F"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5507" w:rsidRPr="00FC5507" w:rsidTr="00602075">
        <w:tc>
          <w:tcPr>
            <w:tcW w:w="543" w:type="pct"/>
          </w:tcPr>
          <w:p w:rsidR="00FC5507" w:rsidRPr="00FC5507" w:rsidRDefault="00FC5507" w:rsidP="00FC5507">
            <w:pPr>
              <w:jc w:val="both"/>
              <w:rPr>
                <w:sz w:val="20"/>
                <w:lang w:val="fr-CA"/>
              </w:rPr>
            </w:pPr>
            <w:r w:rsidRPr="00FC5507">
              <w:rPr>
                <w:rStyle w:val="SCCFileNumberChar"/>
                <w:sz w:val="20"/>
                <w:szCs w:val="20"/>
                <w:lang w:val="fr-CA"/>
              </w:rPr>
              <w:t>38503</w:t>
            </w:r>
          </w:p>
        </w:tc>
        <w:tc>
          <w:tcPr>
            <w:tcW w:w="4457" w:type="pct"/>
            <w:gridSpan w:val="3"/>
          </w:tcPr>
          <w:p w:rsidR="00FC5507" w:rsidRPr="008571F9" w:rsidRDefault="00FC5507" w:rsidP="00FC5507">
            <w:pPr>
              <w:pStyle w:val="SCCLsocParty"/>
              <w:jc w:val="both"/>
              <w:rPr>
                <w:b/>
                <w:sz w:val="20"/>
                <w:szCs w:val="20"/>
                <w:lang w:val="en-US"/>
              </w:rPr>
            </w:pPr>
            <w:r w:rsidRPr="008571F9">
              <w:rPr>
                <w:b/>
                <w:sz w:val="20"/>
                <w:szCs w:val="20"/>
                <w:lang w:val="en-US"/>
              </w:rPr>
              <w:t>Steven Kerzner c. American Iron &amp; Metal Company Inc.</w:t>
            </w:r>
          </w:p>
          <w:p w:rsidR="00FC5507" w:rsidRPr="00FC5507" w:rsidRDefault="00FC5507" w:rsidP="00FC5507">
            <w:pPr>
              <w:jc w:val="both"/>
              <w:rPr>
                <w:sz w:val="20"/>
                <w:lang w:val="fr-CA"/>
              </w:rPr>
            </w:pPr>
            <w:r w:rsidRPr="00FC5507">
              <w:rPr>
                <w:sz w:val="20"/>
                <w:lang w:val="fr-CA"/>
              </w:rPr>
              <w:t>(Ont.) (Civile) (Autorisation)</w:t>
            </w:r>
          </w:p>
        </w:tc>
      </w:tr>
      <w:tr w:rsidR="00FC5507" w:rsidRPr="00A6684F" w:rsidTr="00602075">
        <w:tc>
          <w:tcPr>
            <w:tcW w:w="5000" w:type="pct"/>
            <w:gridSpan w:val="4"/>
          </w:tcPr>
          <w:p w:rsidR="00FC5507" w:rsidRPr="00FC5507" w:rsidRDefault="00FC5507" w:rsidP="00FC5507">
            <w:pPr>
              <w:jc w:val="both"/>
              <w:rPr>
                <w:sz w:val="20"/>
                <w:lang w:val="fr-CA"/>
              </w:rPr>
            </w:pPr>
            <w:r w:rsidRPr="00FC5507">
              <w:rPr>
                <w:sz w:val="20"/>
                <w:lang w:val="fr-CA"/>
              </w:rPr>
              <w:t xml:space="preserve">Droit de l’emploi — Normes du travail — Contrats — Accords de renonciation — Le par. 5(1) de la </w:t>
            </w:r>
            <w:r w:rsidRPr="00FC5507">
              <w:rPr>
                <w:i/>
                <w:sz w:val="20"/>
                <w:lang w:val="fr-CA"/>
              </w:rPr>
              <w:t>Loi de 2000 sur les normes d’emploi</w:t>
            </w:r>
            <w:r w:rsidRPr="00FC5507">
              <w:rPr>
                <w:sz w:val="20"/>
                <w:lang w:val="fr-CA"/>
              </w:rPr>
              <w:t>, LO 2000, ch. 41, s’applique</w:t>
            </w:r>
            <w:r w:rsidRPr="00FC5507">
              <w:rPr>
                <w:sz w:val="20"/>
                <w:lang w:val="fr-CA"/>
              </w:rPr>
              <w:noBreakHyphen/>
              <w:t>t</w:t>
            </w:r>
            <w:r w:rsidRPr="00FC5507">
              <w:rPr>
                <w:sz w:val="20"/>
                <w:lang w:val="fr-CA"/>
              </w:rPr>
              <w:noBreakHyphen/>
              <w:t>il uniquement aux contrats de travail ou s’applique</w:t>
            </w:r>
            <w:r w:rsidRPr="00FC5507">
              <w:rPr>
                <w:sz w:val="20"/>
                <w:lang w:val="fr-CA"/>
              </w:rPr>
              <w:noBreakHyphen/>
              <w:t>t</w:t>
            </w:r>
            <w:r w:rsidRPr="00FC5507">
              <w:rPr>
                <w:sz w:val="20"/>
                <w:lang w:val="fr-CA"/>
              </w:rPr>
              <w:noBreakHyphen/>
              <w:t>il aussi aux accords de renonciation? — Si le par. 5(1) s’applique aux accords de renonciation, quels éléments de ces accords sont annulés et à quels droits d’action faisant l’objet de la renonciation s’applique l’annulation? — Si le par. 5(1) ne s’applique pas pleinement aux accords de renonciation, quelle est la portée de cette disposition et dans quelle mesure s’applique</w:t>
            </w:r>
            <w:r w:rsidRPr="00FC5507">
              <w:rPr>
                <w:sz w:val="20"/>
                <w:lang w:val="fr-CA"/>
              </w:rPr>
              <w:noBreakHyphen/>
              <w:t>t</w:t>
            </w:r>
            <w:r w:rsidRPr="00FC5507">
              <w:rPr>
                <w:sz w:val="20"/>
                <w:lang w:val="fr-CA"/>
              </w:rPr>
              <w:noBreakHyphen/>
              <w:t>elle à d’autres accords liés à l’emploi?</w:t>
            </w:r>
          </w:p>
        </w:tc>
      </w:tr>
      <w:tr w:rsidR="00FC5507" w:rsidRPr="00A6684F" w:rsidTr="00602075">
        <w:tc>
          <w:tcPr>
            <w:tcW w:w="5000" w:type="pct"/>
            <w:gridSpan w:val="4"/>
          </w:tcPr>
          <w:p w:rsidR="00FC5507" w:rsidRPr="00FC5507" w:rsidRDefault="00FC5507" w:rsidP="00FC5507">
            <w:pPr>
              <w:jc w:val="both"/>
              <w:rPr>
                <w:sz w:val="20"/>
                <w:lang w:val="fr-CA"/>
              </w:rPr>
            </w:pPr>
          </w:p>
        </w:tc>
      </w:tr>
      <w:tr w:rsidR="00FC5507" w:rsidRPr="00FC5507" w:rsidTr="00602075">
        <w:tc>
          <w:tcPr>
            <w:tcW w:w="5000" w:type="pct"/>
            <w:gridSpan w:val="4"/>
          </w:tcPr>
          <w:p w:rsidR="00FC5507" w:rsidRPr="00FC5507" w:rsidRDefault="00FC5507" w:rsidP="00FC5507">
            <w:pPr>
              <w:jc w:val="both"/>
              <w:rPr>
                <w:sz w:val="20"/>
                <w:lang w:val="fr-CA"/>
              </w:rPr>
            </w:pPr>
            <w:r w:rsidRPr="00FC5507">
              <w:rPr>
                <w:sz w:val="20"/>
                <w:lang w:val="fr-CA"/>
              </w:rPr>
              <w:t>Steven Kerzner était employé et propriétaire pour un tiers de Bakermet Inc. lorsque celle</w:t>
            </w:r>
            <w:r w:rsidRPr="00FC5507">
              <w:rPr>
                <w:sz w:val="20"/>
                <w:lang w:val="fr-CA"/>
              </w:rPr>
              <w:noBreakHyphen/>
              <w:t>ci a été vendue en 2008 à ArcelorMittal. Dans le cadre de la convention de vente d’actions, M. Kerzner a signé une renonciation en faveur de Bakermet et de ses ayants cause. Monsieur Kerzner a signé deux contrats de travail subséquents en 2011 et en 2014. American Iron &amp; Metal Company Inc (« AIM ») a racheté ArcelorMittal et s’est vu céder le contrat de travail de M. Kerzner. En 2015, AIM a licencié M. Kerzner en lui donnant un préavis de travail d’une semaine. Peu de temps après son licenciement, M. Kerzner s’est trouvé un nouvel emploi au service d’une entreprise concurrente. Conformément au contrat de 2014, M. Kerzner s’est vu offrir six semaines de salaire et la continuation d’avantages sociaux. Monsieur Kerzner a intenté une action en congédiement injustifié et a demandé une indemnité de préavis de 24 à 30 mois, établie en fonction de 35 ans d’emploi continu au service d’AIM et des sociétés qu’elle remplace. AIM a intenté une action reconventionnelle en dommages</w:t>
            </w:r>
            <w:r w:rsidRPr="00FC5507">
              <w:rPr>
                <w:sz w:val="20"/>
                <w:lang w:val="fr-CA"/>
              </w:rPr>
              <w:noBreakHyphen/>
              <w:t xml:space="preserve">intérêts, reprochant à M. Kerzner d’avoir violé des clauses restrictives et une obligation fiduciaire prévues dans le contrat de 2014. La Cour supérieure de justice de l’Ontario a conclu que le contrat de travail de M. Kerzner était à durée déterminée, plutôt qu’à durée indéterminée et que l’accord de 2008 avait eu pour effet de mettre à zéro le compteur dans le calcul des états de service de M. Kerzner. Le juge a ordonné que M. Kerzner soit payé conformément au contrat de 2014. Pour ce qui est de l’action reconventionnelle, le juge a conclu à l’insuffisance de la preuve susceptible d’établir une violation d’obligations fiduciaires continues. La Cour d’appel de l’Ontario a accueilli l’appel. Elle a conclu que la renonciation de 2008 stipulée dans la convention d’achat d’actions devait respecter la </w:t>
            </w:r>
            <w:r w:rsidRPr="00FC5507">
              <w:rPr>
                <w:i/>
                <w:sz w:val="20"/>
                <w:lang w:val="fr-CA"/>
              </w:rPr>
              <w:t>Loi de 2000 sur les normes d’emploi</w:t>
            </w:r>
            <w:r w:rsidRPr="00FC5507">
              <w:rPr>
                <w:sz w:val="20"/>
                <w:lang w:val="fr-CA"/>
              </w:rPr>
              <w:t>, LO 2000, ch. 41, mais que la renonciation s’appliquait à l’égard du préavis de common law avant 2008. La Cour d’appel a conclu que M. Kerzner avait droit à l’indemnité de licenciement et de cessation d’emploi maximale permise par la Loi. La Cour d’appel a rejeté l’appel incident.</w:t>
            </w:r>
          </w:p>
          <w:p w:rsidR="00FC5507" w:rsidRPr="00FC5507" w:rsidRDefault="00FC5507" w:rsidP="00FC5507">
            <w:pPr>
              <w:jc w:val="both"/>
              <w:rPr>
                <w:sz w:val="20"/>
                <w:lang w:val="fr-CA"/>
              </w:rPr>
            </w:pPr>
          </w:p>
        </w:tc>
      </w:tr>
      <w:tr w:rsidR="00FC5507" w:rsidRPr="00A6684F" w:rsidTr="00602075">
        <w:tc>
          <w:tcPr>
            <w:tcW w:w="2427" w:type="pct"/>
            <w:gridSpan w:val="2"/>
          </w:tcPr>
          <w:p w:rsidR="00FC5507" w:rsidRPr="00FC5507" w:rsidRDefault="00FC5507" w:rsidP="00FC5507">
            <w:pPr>
              <w:jc w:val="both"/>
              <w:rPr>
                <w:sz w:val="20"/>
                <w:lang w:val="fr-CA"/>
              </w:rPr>
            </w:pPr>
            <w:r w:rsidRPr="00FC5507">
              <w:rPr>
                <w:sz w:val="20"/>
                <w:lang w:val="fr-CA"/>
              </w:rPr>
              <w:t>17 juillet 2017</w:t>
            </w:r>
          </w:p>
          <w:p w:rsidR="00FC5507" w:rsidRPr="00FC5507" w:rsidRDefault="00FC5507" w:rsidP="00FC5507">
            <w:pPr>
              <w:jc w:val="both"/>
              <w:rPr>
                <w:sz w:val="20"/>
                <w:lang w:val="fr-CA"/>
              </w:rPr>
            </w:pPr>
            <w:r w:rsidRPr="00FC5507">
              <w:rPr>
                <w:sz w:val="20"/>
                <w:lang w:val="fr-CA"/>
              </w:rPr>
              <w:t>Cour supérieure de justice de l’Ontario</w:t>
            </w:r>
          </w:p>
          <w:p w:rsidR="00FC5507" w:rsidRPr="00FC5507" w:rsidRDefault="00FC5507" w:rsidP="00FC5507">
            <w:pPr>
              <w:jc w:val="both"/>
              <w:rPr>
                <w:sz w:val="20"/>
                <w:lang w:val="fr-CA"/>
              </w:rPr>
            </w:pPr>
            <w:r w:rsidRPr="00FC5507">
              <w:rPr>
                <w:sz w:val="20"/>
                <w:lang w:val="fr-CA"/>
              </w:rPr>
              <w:t>(Juge Graeme)</w:t>
            </w:r>
          </w:p>
          <w:p w:rsidR="00FC5507" w:rsidRPr="00FC5507" w:rsidRDefault="00685225" w:rsidP="00FC5507">
            <w:pPr>
              <w:jc w:val="both"/>
              <w:rPr>
                <w:sz w:val="20"/>
                <w:lang w:val="fr-CA"/>
              </w:rPr>
            </w:pPr>
            <w:hyperlink r:id="rId127" w:history="1">
              <w:r w:rsidR="00FC5507" w:rsidRPr="00FC5507">
                <w:rPr>
                  <w:rStyle w:val="Hyperlink"/>
                  <w:sz w:val="20"/>
                  <w:lang w:val="fr-CA"/>
                </w:rPr>
                <w:t>2017 ONSC 4352</w:t>
              </w:r>
            </w:hyperlink>
          </w:p>
          <w:p w:rsidR="00FC5507" w:rsidRPr="00FC5507" w:rsidRDefault="00FC5507" w:rsidP="00FC5507">
            <w:pPr>
              <w:jc w:val="both"/>
              <w:rPr>
                <w:sz w:val="20"/>
                <w:lang w:val="fr-CA"/>
              </w:rPr>
            </w:pP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lang w:val="fr-CA"/>
              </w:rPr>
            </w:pPr>
            <w:r w:rsidRPr="00FC5507">
              <w:rPr>
                <w:sz w:val="20"/>
                <w:lang w:val="fr-CA"/>
              </w:rPr>
              <w:t>Ordonnance de paiement à Steven Kerzner d’une indemnité de cessation d’emploi conformément au contrat de 2014.</w:t>
            </w:r>
          </w:p>
          <w:p w:rsidR="00FC5507" w:rsidRPr="00FC5507" w:rsidRDefault="00FC5507" w:rsidP="00FC5507">
            <w:pPr>
              <w:jc w:val="both"/>
              <w:rPr>
                <w:sz w:val="20"/>
                <w:lang w:val="fr-CA"/>
              </w:rPr>
            </w:pPr>
          </w:p>
        </w:tc>
      </w:tr>
      <w:tr w:rsidR="00FC5507" w:rsidRPr="00A6684F" w:rsidTr="00602075">
        <w:tc>
          <w:tcPr>
            <w:tcW w:w="2427" w:type="pct"/>
            <w:gridSpan w:val="2"/>
          </w:tcPr>
          <w:p w:rsidR="00FC5507" w:rsidRPr="00FC5507" w:rsidRDefault="00FC5507" w:rsidP="00FC5507">
            <w:pPr>
              <w:jc w:val="both"/>
              <w:rPr>
                <w:sz w:val="20"/>
                <w:lang w:val="fr-CA"/>
              </w:rPr>
            </w:pPr>
            <w:r w:rsidRPr="00FC5507">
              <w:rPr>
                <w:sz w:val="20"/>
                <w:lang w:val="fr-CA"/>
              </w:rPr>
              <w:t>7 décembre 2018</w:t>
            </w:r>
          </w:p>
          <w:p w:rsidR="00FC5507" w:rsidRPr="00FC5507" w:rsidRDefault="00FC5507" w:rsidP="00FC5507">
            <w:pPr>
              <w:jc w:val="both"/>
              <w:rPr>
                <w:sz w:val="20"/>
                <w:lang w:val="fr-CA"/>
              </w:rPr>
            </w:pPr>
            <w:r w:rsidRPr="00FC5507">
              <w:rPr>
                <w:sz w:val="20"/>
                <w:lang w:val="fr-CA"/>
              </w:rPr>
              <w:t>Cour d’appel de l’Ontario</w:t>
            </w:r>
          </w:p>
          <w:p w:rsidR="00FC5507" w:rsidRPr="00FC5507" w:rsidRDefault="00FC5507" w:rsidP="00FC5507">
            <w:pPr>
              <w:jc w:val="both"/>
              <w:rPr>
                <w:sz w:val="20"/>
                <w:lang w:val="fr-CA"/>
              </w:rPr>
            </w:pPr>
            <w:r w:rsidRPr="00FC5507">
              <w:rPr>
                <w:sz w:val="20"/>
                <w:lang w:val="fr-CA"/>
              </w:rPr>
              <w:t>(Juges Simmons, Huscroft et Miller)</w:t>
            </w:r>
          </w:p>
          <w:p w:rsidR="00FC5507" w:rsidRPr="00FC5507" w:rsidRDefault="00685225" w:rsidP="00FC5507">
            <w:pPr>
              <w:jc w:val="both"/>
              <w:rPr>
                <w:sz w:val="20"/>
                <w:lang w:val="fr-CA"/>
              </w:rPr>
            </w:pPr>
            <w:hyperlink r:id="rId128" w:history="1">
              <w:r w:rsidR="00FC5507" w:rsidRPr="00FC5507">
                <w:rPr>
                  <w:rStyle w:val="Hyperlink"/>
                  <w:sz w:val="20"/>
                  <w:lang w:val="fr-CA"/>
                </w:rPr>
                <w:t>2018 ONCA 989</w:t>
              </w:r>
            </w:hyperlink>
          </w:p>
          <w:p w:rsidR="00FC5507" w:rsidRPr="00FC5507" w:rsidRDefault="00FC5507" w:rsidP="00FC5507">
            <w:pPr>
              <w:jc w:val="both"/>
              <w:rPr>
                <w:sz w:val="20"/>
                <w:lang w:val="fr-CA"/>
              </w:rPr>
            </w:pP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lang w:val="fr-CA"/>
              </w:rPr>
            </w:pPr>
            <w:r w:rsidRPr="00FC5507">
              <w:rPr>
                <w:sz w:val="20"/>
                <w:lang w:val="fr-CA"/>
              </w:rPr>
              <w:t>Arrêt accueillant l’appel et rejetant l’appel incident.</w:t>
            </w:r>
          </w:p>
          <w:p w:rsidR="00FC5507" w:rsidRPr="00FC5507" w:rsidRDefault="00FC5507" w:rsidP="00FC5507">
            <w:pPr>
              <w:jc w:val="both"/>
              <w:rPr>
                <w:sz w:val="20"/>
                <w:lang w:val="fr-CA"/>
              </w:rPr>
            </w:pPr>
          </w:p>
        </w:tc>
      </w:tr>
      <w:tr w:rsidR="00FC5507" w:rsidRPr="00A6684F" w:rsidTr="00602075">
        <w:tc>
          <w:tcPr>
            <w:tcW w:w="2427" w:type="pct"/>
            <w:gridSpan w:val="2"/>
          </w:tcPr>
          <w:p w:rsidR="00FC5507" w:rsidRPr="00FC5507" w:rsidRDefault="00FC5507" w:rsidP="00FC5507">
            <w:pPr>
              <w:jc w:val="both"/>
              <w:rPr>
                <w:sz w:val="20"/>
                <w:lang w:val="fr-CA"/>
              </w:rPr>
            </w:pPr>
            <w:r w:rsidRPr="00FC5507">
              <w:rPr>
                <w:sz w:val="20"/>
                <w:lang w:val="fr-CA"/>
              </w:rPr>
              <w:t>5 février 2019</w:t>
            </w:r>
          </w:p>
          <w:p w:rsidR="00FC5507" w:rsidRPr="00FC5507" w:rsidRDefault="00FC5507" w:rsidP="00FC5507">
            <w:pPr>
              <w:jc w:val="both"/>
              <w:rPr>
                <w:sz w:val="20"/>
                <w:lang w:val="fr-CA"/>
              </w:rPr>
            </w:pPr>
            <w:r w:rsidRPr="00FC5507">
              <w:rPr>
                <w:sz w:val="20"/>
                <w:lang w:val="fr-CA"/>
              </w:rPr>
              <w:t>Cour suprême du Canada</w:t>
            </w: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lang w:val="fr-CA"/>
              </w:rPr>
            </w:pPr>
            <w:r w:rsidRPr="00FC5507">
              <w:rPr>
                <w:sz w:val="20"/>
                <w:lang w:val="fr-CA"/>
              </w:rPr>
              <w:t>Dépôt de la demande d’autorisation d’appel</w:t>
            </w:r>
          </w:p>
          <w:p w:rsidR="00FC5507" w:rsidRPr="00FC5507" w:rsidRDefault="00FC5507" w:rsidP="00FC5507">
            <w:pPr>
              <w:jc w:val="both"/>
              <w:rPr>
                <w:sz w:val="20"/>
                <w:lang w:val="fr-CA"/>
              </w:rPr>
            </w:pPr>
          </w:p>
        </w:tc>
      </w:tr>
    </w:tbl>
    <w:p w:rsidR="00FC5507" w:rsidRDefault="00FC5507" w:rsidP="00FC5507">
      <w:pPr>
        <w:jc w:val="both"/>
        <w:rPr>
          <w:sz w:val="20"/>
          <w:lang w:val="fr-CA"/>
        </w:rPr>
      </w:pPr>
    </w:p>
    <w:p w:rsidR="00A6684F" w:rsidRPr="00FC5507" w:rsidRDefault="00A6684F" w:rsidP="00FC5507">
      <w:pPr>
        <w:jc w:val="both"/>
        <w:rPr>
          <w:sz w:val="20"/>
          <w:lang w:val="fr-CA"/>
        </w:rPr>
      </w:pPr>
      <w:r>
        <w:rPr>
          <w:sz w:val="20"/>
        </w:rPr>
        <w:pict>
          <v:rect id="_x0000_i1072"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5507" w:rsidRPr="00FC5507" w:rsidTr="00602075">
        <w:tc>
          <w:tcPr>
            <w:tcW w:w="543" w:type="pct"/>
          </w:tcPr>
          <w:p w:rsidR="00FC5507" w:rsidRPr="00FC5507" w:rsidRDefault="00FC5507" w:rsidP="00FC5507">
            <w:pPr>
              <w:jc w:val="both"/>
              <w:rPr>
                <w:sz w:val="20"/>
              </w:rPr>
            </w:pPr>
            <w:r w:rsidRPr="00FC5507">
              <w:rPr>
                <w:rStyle w:val="SCCFileNumberChar"/>
                <w:sz w:val="20"/>
                <w:szCs w:val="20"/>
              </w:rPr>
              <w:t>38517</w:t>
            </w:r>
          </w:p>
        </w:tc>
        <w:tc>
          <w:tcPr>
            <w:tcW w:w="4457" w:type="pct"/>
            <w:gridSpan w:val="3"/>
          </w:tcPr>
          <w:p w:rsidR="00FC5507" w:rsidRPr="008571F9" w:rsidRDefault="00FC5507" w:rsidP="00FC5507">
            <w:pPr>
              <w:pStyle w:val="SCCLsocParty"/>
              <w:jc w:val="both"/>
              <w:rPr>
                <w:b/>
                <w:sz w:val="20"/>
                <w:szCs w:val="20"/>
                <w:lang w:val="en-US"/>
              </w:rPr>
            </w:pPr>
            <w:r w:rsidRPr="008571F9">
              <w:rPr>
                <w:b/>
                <w:sz w:val="20"/>
                <w:szCs w:val="20"/>
                <w:lang w:val="en-US"/>
              </w:rPr>
              <w:t>2099232 Ontario Inc. v. Giuseppe Di Millo</w:t>
            </w:r>
          </w:p>
          <w:p w:rsidR="00FC5507" w:rsidRPr="00FC5507" w:rsidRDefault="00FC5507" w:rsidP="00FC5507">
            <w:pPr>
              <w:jc w:val="both"/>
              <w:rPr>
                <w:sz w:val="20"/>
              </w:rPr>
            </w:pPr>
            <w:r w:rsidRPr="00FC5507">
              <w:rPr>
                <w:sz w:val="20"/>
              </w:rPr>
              <w:lastRenderedPageBreak/>
              <w:t>(Ont.) (Civil) (By Leave)</w:t>
            </w:r>
          </w:p>
        </w:tc>
      </w:tr>
      <w:tr w:rsidR="00FC5507" w:rsidRPr="00FC5507" w:rsidTr="00602075">
        <w:tc>
          <w:tcPr>
            <w:tcW w:w="5000" w:type="pct"/>
            <w:gridSpan w:val="4"/>
          </w:tcPr>
          <w:p w:rsidR="00FC5507" w:rsidRPr="00FC5507" w:rsidRDefault="00FC5507" w:rsidP="00FC5507">
            <w:pPr>
              <w:jc w:val="both"/>
              <w:rPr>
                <w:sz w:val="20"/>
              </w:rPr>
            </w:pPr>
            <w:r w:rsidRPr="00FC5507">
              <w:rPr>
                <w:sz w:val="20"/>
              </w:rPr>
              <w:lastRenderedPageBreak/>
              <w:t>Sale of land — Property — Real Property — Agreement of Purchase and Sale — Option to repurchase land subject to agreement — Claim brought by vendor for specific performance of the option to repurchase — Whether vendor was ready, willing and able to complete the option —Whether finding of anticipatory repudiation was justified on the record — Whether anticipatory repudiation relieves the vendor of making himself ready, willing and able to complete the option — Whether Court of Appeal erred in substituting a discretionary decision of the application judge.</w:t>
            </w:r>
          </w:p>
        </w:tc>
      </w:tr>
      <w:tr w:rsidR="00FC5507" w:rsidRPr="00FC5507" w:rsidTr="00602075">
        <w:tc>
          <w:tcPr>
            <w:tcW w:w="5000" w:type="pct"/>
            <w:gridSpan w:val="4"/>
          </w:tcPr>
          <w:p w:rsidR="00FC5507" w:rsidRPr="00FC5507" w:rsidRDefault="00FC5507" w:rsidP="00FC5507">
            <w:pPr>
              <w:jc w:val="both"/>
              <w:rPr>
                <w:sz w:val="20"/>
              </w:rPr>
            </w:pPr>
          </w:p>
        </w:tc>
      </w:tr>
      <w:tr w:rsidR="00FC5507" w:rsidRPr="00FC5507" w:rsidTr="00602075">
        <w:tc>
          <w:tcPr>
            <w:tcW w:w="5000" w:type="pct"/>
            <w:gridSpan w:val="4"/>
          </w:tcPr>
          <w:p w:rsidR="00FC5507" w:rsidRPr="00FC5507" w:rsidRDefault="00FC5507" w:rsidP="00FC5507">
            <w:pPr>
              <w:jc w:val="both"/>
              <w:rPr>
                <w:sz w:val="20"/>
                <w:lang w:val="en"/>
              </w:rPr>
            </w:pPr>
            <w:r w:rsidRPr="00FC5507">
              <w:rPr>
                <w:sz w:val="20"/>
              </w:rPr>
              <w:t xml:space="preserve">The applicant, 2099232 Ontario Inc. (“232 Inc.”), purchased land from the respondent, Mr. Di Millo, in 2012. The agreement of purchase and sale (the “agreement”) contained an option for Mr. Di Millo to repurchase the land on certain building conditions not being met by 232 Inc., as the sale was effected in the context of a greater subdivision plan. The agreement also precluded 232 Inc. from </w:t>
            </w:r>
            <w:r w:rsidRPr="00FC5507">
              <w:rPr>
                <w:sz w:val="20"/>
                <w:lang w:val="en"/>
              </w:rPr>
              <w:t>selling, assigning or transferring its interest in the land without the prior written consent of Mr. Di Millo. After being given two extensions, 232 Inc. had still not commenced building on the land and Mr. Di Millo sought to exercise his option under the agreement. At that time, he learned that 232 Inc. had placed two mortgages on the land without his consent. Mr. Di Millo purchased one of the two mortgages, in part as evidence of his ability to close. He then applied for specific performance of his option to repurchase the land. The Superior Court dismissed Mr. Di </w:t>
            </w:r>
            <w:proofErr w:type="spellStart"/>
            <w:r w:rsidRPr="00FC5507">
              <w:rPr>
                <w:sz w:val="20"/>
                <w:lang w:val="en"/>
              </w:rPr>
              <w:t>Millo’s</w:t>
            </w:r>
            <w:proofErr w:type="spellEnd"/>
            <w:r w:rsidRPr="00FC5507">
              <w:rPr>
                <w:sz w:val="20"/>
                <w:lang w:val="en"/>
              </w:rPr>
              <w:t xml:space="preserve"> application, having found that he did not meet the timing requirements of the option to repurchase. The Court of Appeal allowed Mr. Di </w:t>
            </w:r>
            <w:proofErr w:type="spellStart"/>
            <w:r w:rsidRPr="00FC5507">
              <w:rPr>
                <w:sz w:val="20"/>
                <w:lang w:val="en"/>
              </w:rPr>
              <w:t>Millo’s</w:t>
            </w:r>
            <w:proofErr w:type="spellEnd"/>
            <w:r w:rsidRPr="00FC5507">
              <w:rPr>
                <w:sz w:val="20"/>
                <w:lang w:val="en"/>
              </w:rPr>
              <w:t xml:space="preserve"> appeal and ordered specific performance of the option to repurchase.</w:t>
            </w:r>
          </w:p>
          <w:p w:rsidR="00FC5507" w:rsidRPr="00FC5507" w:rsidRDefault="00FC5507" w:rsidP="00FC5507">
            <w:pPr>
              <w:jc w:val="both"/>
              <w:rPr>
                <w:sz w:val="20"/>
              </w:rPr>
            </w:pPr>
          </w:p>
        </w:tc>
      </w:tr>
      <w:tr w:rsidR="00FC5507" w:rsidRPr="00FC5507" w:rsidTr="00602075">
        <w:tc>
          <w:tcPr>
            <w:tcW w:w="2427" w:type="pct"/>
            <w:gridSpan w:val="2"/>
          </w:tcPr>
          <w:p w:rsidR="00FC5507" w:rsidRPr="00FC5507" w:rsidRDefault="00FC5507" w:rsidP="00FC5507">
            <w:pPr>
              <w:jc w:val="both"/>
              <w:rPr>
                <w:sz w:val="20"/>
              </w:rPr>
            </w:pPr>
            <w:r w:rsidRPr="00FC5507">
              <w:rPr>
                <w:sz w:val="20"/>
              </w:rPr>
              <w:t>February 6, 2018</w:t>
            </w:r>
          </w:p>
          <w:p w:rsidR="00FC5507" w:rsidRPr="00FC5507" w:rsidRDefault="00FC5507" w:rsidP="00FC5507">
            <w:pPr>
              <w:jc w:val="both"/>
              <w:rPr>
                <w:sz w:val="20"/>
              </w:rPr>
            </w:pPr>
            <w:r w:rsidRPr="00FC5507">
              <w:rPr>
                <w:sz w:val="20"/>
              </w:rPr>
              <w:t>Ontario Superior Court of Justice</w:t>
            </w:r>
          </w:p>
          <w:p w:rsidR="00FC5507" w:rsidRPr="00FC5507" w:rsidRDefault="00FC5507" w:rsidP="00FC5507">
            <w:pPr>
              <w:jc w:val="both"/>
              <w:rPr>
                <w:sz w:val="20"/>
              </w:rPr>
            </w:pPr>
            <w:r w:rsidRPr="00FC5507">
              <w:rPr>
                <w:sz w:val="20"/>
              </w:rPr>
              <w:t>(Trimble J.)</w:t>
            </w:r>
          </w:p>
          <w:p w:rsidR="00FC5507" w:rsidRPr="00FC5507" w:rsidRDefault="00685225" w:rsidP="00FC5507">
            <w:pPr>
              <w:jc w:val="both"/>
              <w:rPr>
                <w:sz w:val="20"/>
              </w:rPr>
            </w:pPr>
            <w:hyperlink r:id="rId129" w:history="1">
              <w:r w:rsidR="00FC5507" w:rsidRPr="00FC5507">
                <w:rPr>
                  <w:rStyle w:val="Hyperlink"/>
                  <w:sz w:val="20"/>
                </w:rPr>
                <w:t>2018 ONSC 816</w:t>
              </w:r>
            </w:hyperlink>
          </w:p>
          <w:p w:rsidR="00FC5507" w:rsidRPr="00FC5507" w:rsidRDefault="00FC5507" w:rsidP="00FC5507">
            <w:pPr>
              <w:jc w:val="both"/>
              <w:rPr>
                <w:sz w:val="20"/>
              </w:rPr>
            </w:pPr>
          </w:p>
        </w:tc>
        <w:tc>
          <w:tcPr>
            <w:tcW w:w="243" w:type="pct"/>
          </w:tcPr>
          <w:p w:rsidR="00FC5507" w:rsidRPr="00FC5507" w:rsidRDefault="00FC5507" w:rsidP="00FC5507">
            <w:pPr>
              <w:jc w:val="both"/>
              <w:rPr>
                <w:sz w:val="20"/>
              </w:rPr>
            </w:pPr>
          </w:p>
        </w:tc>
        <w:tc>
          <w:tcPr>
            <w:tcW w:w="2330" w:type="pct"/>
          </w:tcPr>
          <w:p w:rsidR="00FC5507" w:rsidRPr="00FC5507" w:rsidRDefault="00FC5507" w:rsidP="00FC5507">
            <w:pPr>
              <w:jc w:val="both"/>
              <w:rPr>
                <w:sz w:val="20"/>
              </w:rPr>
            </w:pPr>
            <w:r w:rsidRPr="00FC5507">
              <w:rPr>
                <w:sz w:val="20"/>
              </w:rPr>
              <w:t xml:space="preserve">Application for specific performance of the option to repurchase dismissed </w:t>
            </w:r>
          </w:p>
          <w:p w:rsidR="00FC5507" w:rsidRPr="00FC5507" w:rsidRDefault="00FC5507" w:rsidP="00FC5507">
            <w:pPr>
              <w:jc w:val="both"/>
              <w:rPr>
                <w:sz w:val="20"/>
              </w:rPr>
            </w:pPr>
          </w:p>
        </w:tc>
      </w:tr>
      <w:tr w:rsidR="00FC5507" w:rsidRPr="00FC5507" w:rsidTr="00602075">
        <w:tc>
          <w:tcPr>
            <w:tcW w:w="2427" w:type="pct"/>
            <w:gridSpan w:val="2"/>
          </w:tcPr>
          <w:p w:rsidR="00FC5507" w:rsidRPr="00FC5507" w:rsidRDefault="00FC5507" w:rsidP="00FC5507">
            <w:pPr>
              <w:jc w:val="both"/>
              <w:rPr>
                <w:sz w:val="20"/>
              </w:rPr>
            </w:pPr>
            <w:r w:rsidRPr="00FC5507">
              <w:rPr>
                <w:sz w:val="20"/>
              </w:rPr>
              <w:t>December 19, 2018</w:t>
            </w:r>
          </w:p>
          <w:p w:rsidR="00FC5507" w:rsidRPr="00FC5507" w:rsidRDefault="00FC5507" w:rsidP="00FC5507">
            <w:pPr>
              <w:jc w:val="both"/>
              <w:rPr>
                <w:sz w:val="20"/>
              </w:rPr>
            </w:pPr>
            <w:r w:rsidRPr="00FC5507">
              <w:rPr>
                <w:sz w:val="20"/>
              </w:rPr>
              <w:t>Court of Appeal for Ontario</w:t>
            </w:r>
          </w:p>
          <w:p w:rsidR="00FC5507" w:rsidRPr="00FC5507" w:rsidRDefault="00FC5507" w:rsidP="00FC5507">
            <w:pPr>
              <w:jc w:val="both"/>
              <w:rPr>
                <w:sz w:val="20"/>
              </w:rPr>
            </w:pPr>
            <w:r w:rsidRPr="00FC5507">
              <w:rPr>
                <w:sz w:val="20"/>
              </w:rPr>
              <w:t xml:space="preserve">(Rouleau, Pardu and </w:t>
            </w:r>
            <w:proofErr w:type="spellStart"/>
            <w:r w:rsidRPr="00FC5507">
              <w:rPr>
                <w:sz w:val="20"/>
              </w:rPr>
              <w:t>Benotto</w:t>
            </w:r>
            <w:proofErr w:type="spellEnd"/>
            <w:r w:rsidRPr="00FC5507">
              <w:rPr>
                <w:sz w:val="20"/>
              </w:rPr>
              <w:t xml:space="preserve"> JJ.A.)</w:t>
            </w:r>
          </w:p>
          <w:p w:rsidR="00FC5507" w:rsidRPr="00FC5507" w:rsidRDefault="00FC5507" w:rsidP="00FC5507">
            <w:pPr>
              <w:jc w:val="both"/>
              <w:rPr>
                <w:sz w:val="20"/>
              </w:rPr>
            </w:pPr>
            <w:r w:rsidRPr="00FC5507">
              <w:rPr>
                <w:sz w:val="20"/>
              </w:rPr>
              <w:t>File no. C65032</w:t>
            </w:r>
          </w:p>
          <w:p w:rsidR="00FC5507" w:rsidRPr="00FC5507" w:rsidRDefault="00685225" w:rsidP="00FC5507">
            <w:pPr>
              <w:jc w:val="both"/>
              <w:rPr>
                <w:sz w:val="20"/>
              </w:rPr>
            </w:pPr>
            <w:hyperlink r:id="rId130" w:history="1">
              <w:r w:rsidR="00FC5507" w:rsidRPr="00FC5507">
                <w:rPr>
                  <w:rStyle w:val="Hyperlink"/>
                  <w:sz w:val="20"/>
                </w:rPr>
                <w:t>2018 ONCA 1051</w:t>
              </w:r>
            </w:hyperlink>
          </w:p>
          <w:p w:rsidR="00FC5507" w:rsidRPr="00FC5507" w:rsidRDefault="00FC5507" w:rsidP="00FC5507">
            <w:pPr>
              <w:jc w:val="both"/>
              <w:rPr>
                <w:sz w:val="20"/>
                <w:lang w:val="fr-CA"/>
              </w:rPr>
            </w:pP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rPr>
            </w:pPr>
            <w:r w:rsidRPr="00FC5507">
              <w:rPr>
                <w:sz w:val="20"/>
              </w:rPr>
              <w:t>Appeal allowed; specific performance of the option to repurchase ordered</w:t>
            </w:r>
          </w:p>
          <w:p w:rsidR="00FC5507" w:rsidRPr="00FC5507" w:rsidRDefault="00FC5507" w:rsidP="00FC5507">
            <w:pPr>
              <w:jc w:val="both"/>
              <w:rPr>
                <w:sz w:val="20"/>
              </w:rPr>
            </w:pPr>
          </w:p>
        </w:tc>
      </w:tr>
      <w:tr w:rsidR="00FC5507" w:rsidRPr="00FC5507" w:rsidTr="00602075">
        <w:tc>
          <w:tcPr>
            <w:tcW w:w="2427" w:type="pct"/>
            <w:gridSpan w:val="2"/>
          </w:tcPr>
          <w:p w:rsidR="00FC5507" w:rsidRPr="00FC5507" w:rsidRDefault="00FC5507" w:rsidP="00FC5507">
            <w:pPr>
              <w:jc w:val="both"/>
              <w:rPr>
                <w:sz w:val="20"/>
              </w:rPr>
            </w:pPr>
            <w:r w:rsidRPr="00FC5507">
              <w:rPr>
                <w:sz w:val="20"/>
              </w:rPr>
              <w:t>February 13, 2019</w:t>
            </w:r>
          </w:p>
          <w:p w:rsidR="00FC5507" w:rsidRPr="00FC5507" w:rsidRDefault="00FC5507" w:rsidP="00FC5507">
            <w:pPr>
              <w:jc w:val="both"/>
              <w:rPr>
                <w:sz w:val="20"/>
              </w:rPr>
            </w:pPr>
            <w:r w:rsidRPr="00FC5507">
              <w:rPr>
                <w:sz w:val="20"/>
              </w:rPr>
              <w:t>Supreme Court of Canada</w:t>
            </w:r>
          </w:p>
        </w:tc>
        <w:tc>
          <w:tcPr>
            <w:tcW w:w="243" w:type="pct"/>
          </w:tcPr>
          <w:p w:rsidR="00FC5507" w:rsidRPr="00FC5507" w:rsidRDefault="00FC5507" w:rsidP="00FC5507">
            <w:pPr>
              <w:jc w:val="both"/>
              <w:rPr>
                <w:sz w:val="20"/>
              </w:rPr>
            </w:pPr>
          </w:p>
        </w:tc>
        <w:tc>
          <w:tcPr>
            <w:tcW w:w="2330" w:type="pct"/>
          </w:tcPr>
          <w:p w:rsidR="00FC5507" w:rsidRPr="00FC5507" w:rsidRDefault="00FC5507" w:rsidP="00FC5507">
            <w:pPr>
              <w:jc w:val="both"/>
              <w:rPr>
                <w:sz w:val="20"/>
              </w:rPr>
            </w:pPr>
            <w:r w:rsidRPr="00FC5507">
              <w:rPr>
                <w:sz w:val="20"/>
              </w:rPr>
              <w:t>Application for leave to appeal filed</w:t>
            </w:r>
          </w:p>
          <w:p w:rsidR="00FC5507" w:rsidRPr="00FC5507" w:rsidRDefault="00FC5507" w:rsidP="00FC5507">
            <w:pPr>
              <w:jc w:val="both"/>
              <w:rPr>
                <w:sz w:val="20"/>
              </w:rPr>
            </w:pPr>
          </w:p>
        </w:tc>
      </w:tr>
    </w:tbl>
    <w:p w:rsidR="00FC5507" w:rsidRDefault="00FC5507" w:rsidP="00FC5507">
      <w:pPr>
        <w:jc w:val="both"/>
        <w:rPr>
          <w:sz w:val="20"/>
        </w:rPr>
      </w:pPr>
    </w:p>
    <w:p w:rsidR="00A6684F" w:rsidRDefault="00A6684F" w:rsidP="00FC5507">
      <w:pPr>
        <w:jc w:val="both"/>
        <w:rPr>
          <w:sz w:val="20"/>
        </w:rPr>
      </w:pPr>
      <w:r>
        <w:rPr>
          <w:sz w:val="20"/>
        </w:rPr>
        <w:pict>
          <v:rect id="_x0000_i1073" style="width:2in;height:1pt" o:hrpct="0" o:hralign="center" o:hrstd="t" o:hrnoshade="t" o:hr="t" fillcolor="black [3213]" stroked="f"/>
        </w:pict>
      </w:r>
    </w:p>
    <w:p w:rsidR="008571F9" w:rsidRPr="00FC5507" w:rsidRDefault="008571F9"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5507" w:rsidRPr="00A6684F" w:rsidTr="00602075">
        <w:tc>
          <w:tcPr>
            <w:tcW w:w="543" w:type="pct"/>
          </w:tcPr>
          <w:p w:rsidR="00FC5507" w:rsidRPr="00FC5507" w:rsidRDefault="00FC5507" w:rsidP="00FC5507">
            <w:pPr>
              <w:jc w:val="both"/>
              <w:rPr>
                <w:sz w:val="20"/>
                <w:lang w:val="fr-CA"/>
              </w:rPr>
            </w:pPr>
            <w:r w:rsidRPr="00FC5507">
              <w:rPr>
                <w:rStyle w:val="SCCFileNumberChar"/>
                <w:sz w:val="20"/>
                <w:szCs w:val="20"/>
                <w:lang w:val="fr-CA"/>
              </w:rPr>
              <w:t>38517</w:t>
            </w:r>
          </w:p>
        </w:tc>
        <w:tc>
          <w:tcPr>
            <w:tcW w:w="4457" w:type="pct"/>
            <w:gridSpan w:val="3"/>
          </w:tcPr>
          <w:p w:rsidR="00FC5507" w:rsidRPr="008571F9" w:rsidRDefault="00FC5507" w:rsidP="00FC5507">
            <w:pPr>
              <w:pStyle w:val="SCCLsocParty"/>
              <w:jc w:val="both"/>
              <w:rPr>
                <w:b/>
                <w:sz w:val="20"/>
                <w:szCs w:val="20"/>
              </w:rPr>
            </w:pPr>
            <w:r w:rsidRPr="008571F9">
              <w:rPr>
                <w:b/>
                <w:sz w:val="20"/>
                <w:szCs w:val="20"/>
              </w:rPr>
              <w:t>2099232 Ontario Inc. c. Giuseppe Di Millo</w:t>
            </w:r>
          </w:p>
          <w:p w:rsidR="00FC5507" w:rsidRPr="00FC5507" w:rsidRDefault="00FC5507" w:rsidP="00FC5507">
            <w:pPr>
              <w:jc w:val="both"/>
              <w:rPr>
                <w:sz w:val="20"/>
                <w:lang w:val="fr-CA"/>
              </w:rPr>
            </w:pPr>
            <w:r w:rsidRPr="00FC5507">
              <w:rPr>
                <w:sz w:val="20"/>
                <w:lang w:val="fr-CA"/>
              </w:rPr>
              <w:t>(Ont.) (Civile) (Autorisation)</w:t>
            </w:r>
          </w:p>
        </w:tc>
      </w:tr>
      <w:tr w:rsidR="00FC5507" w:rsidRPr="00A6684F" w:rsidTr="00602075">
        <w:tc>
          <w:tcPr>
            <w:tcW w:w="5000" w:type="pct"/>
            <w:gridSpan w:val="4"/>
          </w:tcPr>
          <w:p w:rsidR="00FC5507" w:rsidRPr="00FC5507" w:rsidRDefault="00FC5507" w:rsidP="00FC5507">
            <w:pPr>
              <w:jc w:val="both"/>
              <w:rPr>
                <w:sz w:val="20"/>
                <w:lang w:val="fr-CA"/>
              </w:rPr>
            </w:pPr>
            <w:r w:rsidRPr="00FC5507">
              <w:rPr>
                <w:sz w:val="20"/>
                <w:lang w:val="fr-CA"/>
              </w:rPr>
              <w:t>Vente de bien</w:t>
            </w:r>
            <w:r w:rsidRPr="00FC5507">
              <w:rPr>
                <w:sz w:val="20"/>
                <w:lang w:val="fr-CA"/>
              </w:rPr>
              <w:noBreakHyphen/>
              <w:t>fonds — Biens — Biens réels — Convention d’achat-vente — Option de racheter un bien</w:t>
            </w:r>
            <w:r w:rsidRPr="00FC5507">
              <w:rPr>
                <w:sz w:val="20"/>
                <w:lang w:val="fr-CA"/>
              </w:rPr>
              <w:noBreakHyphen/>
              <w:t>fonds faisant l’objet d’une convention — Le vendeur introduit une demande pour l’exécution en nature de l’option de rachat — Le vendeur était-il disposé et en mesure de lever l’option? — La conclusion de répudiation anticipative était</w:t>
            </w:r>
            <w:r w:rsidRPr="00FC5507">
              <w:rPr>
                <w:sz w:val="20"/>
                <w:lang w:val="fr-CA"/>
              </w:rPr>
              <w:noBreakHyphen/>
              <w:t>elle justifiée au vu de la preuve? — La répudiation anticipative dispense</w:t>
            </w:r>
            <w:r w:rsidRPr="00FC5507">
              <w:rPr>
                <w:sz w:val="20"/>
                <w:lang w:val="fr-CA"/>
              </w:rPr>
              <w:noBreakHyphen/>
              <w:t>t</w:t>
            </w:r>
            <w:r w:rsidRPr="00FC5507">
              <w:rPr>
                <w:sz w:val="20"/>
                <w:lang w:val="fr-CA"/>
              </w:rPr>
              <w:noBreakHyphen/>
              <w:t>elle le vendeur d’être disposé et en mesure de lever l’option? — La Cour d’appel a</w:t>
            </w:r>
            <w:r w:rsidRPr="00FC5507">
              <w:rPr>
                <w:sz w:val="20"/>
                <w:lang w:val="fr-CA"/>
              </w:rPr>
              <w:noBreakHyphen/>
              <w:t>t</w:t>
            </w:r>
            <w:r w:rsidRPr="00FC5507">
              <w:rPr>
                <w:sz w:val="20"/>
                <w:lang w:val="fr-CA"/>
              </w:rPr>
              <w:noBreakHyphen/>
              <w:t>elle eu tort de substituer sa décision à une décision discrétionnaire du juge de première instance?</w:t>
            </w:r>
          </w:p>
        </w:tc>
      </w:tr>
      <w:tr w:rsidR="00FC5507" w:rsidRPr="00A6684F" w:rsidTr="00602075">
        <w:tc>
          <w:tcPr>
            <w:tcW w:w="5000" w:type="pct"/>
            <w:gridSpan w:val="4"/>
          </w:tcPr>
          <w:p w:rsidR="00FC5507" w:rsidRPr="00FC5507" w:rsidRDefault="00FC5507" w:rsidP="00FC5507">
            <w:pPr>
              <w:jc w:val="both"/>
              <w:rPr>
                <w:sz w:val="20"/>
                <w:lang w:val="fr-CA"/>
              </w:rPr>
            </w:pPr>
          </w:p>
        </w:tc>
      </w:tr>
      <w:tr w:rsidR="00FC5507" w:rsidRPr="00A6684F" w:rsidTr="00602075">
        <w:tc>
          <w:tcPr>
            <w:tcW w:w="5000" w:type="pct"/>
            <w:gridSpan w:val="4"/>
          </w:tcPr>
          <w:p w:rsidR="00FC5507" w:rsidRPr="00FC5507" w:rsidRDefault="00FC5507" w:rsidP="00FC5507">
            <w:pPr>
              <w:jc w:val="both"/>
              <w:rPr>
                <w:sz w:val="20"/>
                <w:lang w:val="fr-CA"/>
              </w:rPr>
            </w:pPr>
            <w:r w:rsidRPr="00FC5507">
              <w:rPr>
                <w:sz w:val="20"/>
                <w:lang w:val="fr-CA"/>
              </w:rPr>
              <w:t>La demanderesse, 2099232 Ontario Inc. (« 232 Inc. »), a acheté un bien</w:t>
            </w:r>
            <w:r w:rsidRPr="00FC5507">
              <w:rPr>
                <w:sz w:val="20"/>
                <w:lang w:val="fr-CA"/>
              </w:rPr>
              <w:noBreakHyphen/>
              <w:t>fonds de l’intimé, M. Di Millo, en 2012. La convention d’achat</w:t>
            </w:r>
            <w:r w:rsidRPr="00FC5507">
              <w:rPr>
                <w:sz w:val="20"/>
                <w:lang w:val="fr-CA"/>
              </w:rPr>
              <w:noBreakHyphen/>
              <w:t>vente (la « convention ») renfermait une option en vertu de laquelle M. Di Millo pouvait racheter le bien</w:t>
            </w:r>
            <w:r w:rsidRPr="00FC5507">
              <w:rPr>
                <w:sz w:val="20"/>
                <w:lang w:val="fr-CA"/>
              </w:rPr>
              <w:noBreakHyphen/>
              <w:t xml:space="preserve">fonds si 232 Inc. ne </w:t>
            </w:r>
            <w:proofErr w:type="gramStart"/>
            <w:r w:rsidRPr="00FC5507">
              <w:rPr>
                <w:sz w:val="20"/>
                <w:lang w:val="fr-CA"/>
              </w:rPr>
              <w:t>remplissait</w:t>
            </w:r>
            <w:proofErr w:type="gramEnd"/>
            <w:r w:rsidRPr="00FC5507">
              <w:rPr>
                <w:sz w:val="20"/>
                <w:lang w:val="fr-CA"/>
              </w:rPr>
              <w:t xml:space="preserve"> pas certaines conditions de construction, puisque la vente avait été faite dans le contexte d’un plan de lotissement plus vaste. En outre, la convention empêchait 232 Inc. de vendre, de céder ou de transférer ses droits à l’égard du bien</w:t>
            </w:r>
            <w:r w:rsidRPr="00FC5507">
              <w:rPr>
                <w:sz w:val="20"/>
                <w:lang w:val="fr-CA"/>
              </w:rPr>
              <w:noBreakHyphen/>
              <w:t xml:space="preserve">fonds sans le consentement écrit préalable de M. Di Millo. Après s’être vu accorder deux prorogations, 232 Inc. </w:t>
            </w:r>
            <w:proofErr w:type="gramStart"/>
            <w:r w:rsidRPr="00FC5507">
              <w:rPr>
                <w:sz w:val="20"/>
                <w:lang w:val="fr-CA"/>
              </w:rPr>
              <w:t>n’avait</w:t>
            </w:r>
            <w:proofErr w:type="gramEnd"/>
            <w:r w:rsidRPr="00FC5507">
              <w:rPr>
                <w:sz w:val="20"/>
                <w:lang w:val="fr-CA"/>
              </w:rPr>
              <w:t xml:space="preserve"> toujours pas commencé à construire sur le bien</w:t>
            </w:r>
            <w:r w:rsidRPr="00FC5507">
              <w:rPr>
                <w:sz w:val="20"/>
                <w:lang w:val="fr-CA"/>
              </w:rPr>
              <w:noBreakHyphen/>
              <w:t xml:space="preserve">fonds et M. Di Millo a </w:t>
            </w:r>
            <w:r w:rsidRPr="00FC5507">
              <w:rPr>
                <w:sz w:val="20"/>
                <w:lang w:val="fr-CA"/>
              </w:rPr>
              <w:lastRenderedPageBreak/>
              <w:t xml:space="preserve">cherché à lever son option en exécution de la convention. À cette époque, il a appris que 232 Inc. </w:t>
            </w:r>
            <w:proofErr w:type="gramStart"/>
            <w:r w:rsidRPr="00FC5507">
              <w:rPr>
                <w:sz w:val="20"/>
                <w:lang w:val="fr-CA"/>
              </w:rPr>
              <w:t>avait</w:t>
            </w:r>
            <w:proofErr w:type="gramEnd"/>
            <w:r w:rsidRPr="00FC5507">
              <w:rPr>
                <w:sz w:val="20"/>
                <w:lang w:val="fr-CA"/>
              </w:rPr>
              <w:t xml:space="preserve"> grevé le bien</w:t>
            </w:r>
            <w:r w:rsidRPr="00FC5507">
              <w:rPr>
                <w:sz w:val="20"/>
                <w:lang w:val="fr-CA"/>
              </w:rPr>
              <w:noBreakHyphen/>
              <w:t>fonds de deux hypothèques sans son consentement. Monsieur Di Millo a acheté une des deux hypothèques, en partie pour prouver sa capacité de clore. Il a ensuite demandé l’exécution en nature de son option de rachat du bien</w:t>
            </w:r>
            <w:r w:rsidRPr="00FC5507">
              <w:rPr>
                <w:sz w:val="20"/>
                <w:lang w:val="fr-CA"/>
              </w:rPr>
              <w:noBreakHyphen/>
              <w:t>fonds. La Cour supérieure a rejeté la demande de M. Di Millo, ayant conclu qu’il ne respectait pas les délais de l’option de rachat. La Cour d’appel a accueilli l’appel de M. Di Millo et a ordonné l’exécution en nature de l’option de rachat.</w:t>
            </w:r>
          </w:p>
          <w:p w:rsidR="00FC5507" w:rsidRPr="00FC5507" w:rsidRDefault="00FC5507" w:rsidP="00FC5507">
            <w:pPr>
              <w:jc w:val="both"/>
              <w:rPr>
                <w:sz w:val="20"/>
                <w:lang w:val="fr-CA"/>
              </w:rPr>
            </w:pPr>
          </w:p>
        </w:tc>
      </w:tr>
      <w:tr w:rsidR="00FC5507" w:rsidRPr="00A6684F" w:rsidTr="00602075">
        <w:tc>
          <w:tcPr>
            <w:tcW w:w="2427" w:type="pct"/>
            <w:gridSpan w:val="2"/>
          </w:tcPr>
          <w:p w:rsidR="00FC5507" w:rsidRPr="00FC5507" w:rsidRDefault="00FC5507" w:rsidP="00FC5507">
            <w:pPr>
              <w:jc w:val="both"/>
              <w:rPr>
                <w:sz w:val="20"/>
                <w:lang w:val="fr-CA"/>
              </w:rPr>
            </w:pPr>
            <w:r w:rsidRPr="00FC5507">
              <w:rPr>
                <w:sz w:val="20"/>
                <w:lang w:val="fr-CA"/>
              </w:rPr>
              <w:lastRenderedPageBreak/>
              <w:t>6 février 2018</w:t>
            </w:r>
          </w:p>
          <w:p w:rsidR="00FC5507" w:rsidRPr="00FC5507" w:rsidRDefault="00FC5507" w:rsidP="00FC5507">
            <w:pPr>
              <w:jc w:val="both"/>
              <w:rPr>
                <w:sz w:val="20"/>
                <w:lang w:val="fr-CA"/>
              </w:rPr>
            </w:pPr>
            <w:r w:rsidRPr="00FC5507">
              <w:rPr>
                <w:sz w:val="20"/>
                <w:lang w:val="fr-CA"/>
              </w:rPr>
              <w:t>Cour supérieure de justice de l’Ontario</w:t>
            </w:r>
          </w:p>
          <w:p w:rsidR="00FC5507" w:rsidRPr="00FC5507" w:rsidRDefault="00FC5507" w:rsidP="00FC5507">
            <w:pPr>
              <w:jc w:val="both"/>
              <w:rPr>
                <w:sz w:val="20"/>
                <w:lang w:val="fr-CA"/>
              </w:rPr>
            </w:pPr>
            <w:r w:rsidRPr="00FC5507">
              <w:rPr>
                <w:sz w:val="20"/>
                <w:lang w:val="fr-CA"/>
              </w:rPr>
              <w:t>(Juge Trimble)</w:t>
            </w:r>
          </w:p>
          <w:p w:rsidR="00FC5507" w:rsidRPr="00FC5507" w:rsidRDefault="00685225" w:rsidP="00FC5507">
            <w:pPr>
              <w:jc w:val="both"/>
              <w:rPr>
                <w:sz w:val="20"/>
                <w:lang w:val="fr-CA"/>
              </w:rPr>
            </w:pPr>
            <w:hyperlink r:id="rId131" w:history="1">
              <w:r w:rsidR="00FC5507" w:rsidRPr="00FC5507">
                <w:rPr>
                  <w:rStyle w:val="Hyperlink"/>
                  <w:sz w:val="20"/>
                  <w:lang w:val="fr-CA"/>
                </w:rPr>
                <w:t>2018 ONSC 816</w:t>
              </w:r>
            </w:hyperlink>
          </w:p>
          <w:p w:rsidR="00FC5507" w:rsidRPr="00FC5507" w:rsidRDefault="00FC5507" w:rsidP="00FC5507">
            <w:pPr>
              <w:jc w:val="both"/>
              <w:rPr>
                <w:sz w:val="20"/>
                <w:lang w:val="fr-CA"/>
              </w:rPr>
            </w:pP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lang w:val="fr-CA"/>
              </w:rPr>
            </w:pPr>
            <w:r w:rsidRPr="00FC5507">
              <w:rPr>
                <w:sz w:val="20"/>
                <w:lang w:val="fr-CA"/>
              </w:rPr>
              <w:t>Rejet de la demande d’exécution en nature de l’option de rachat</w:t>
            </w:r>
          </w:p>
          <w:p w:rsidR="00FC5507" w:rsidRPr="00FC5507" w:rsidRDefault="00FC5507" w:rsidP="00FC5507">
            <w:pPr>
              <w:jc w:val="both"/>
              <w:rPr>
                <w:sz w:val="20"/>
                <w:lang w:val="fr-CA"/>
              </w:rPr>
            </w:pPr>
          </w:p>
        </w:tc>
      </w:tr>
      <w:tr w:rsidR="00FC5507" w:rsidRPr="00A6684F" w:rsidTr="00602075">
        <w:tc>
          <w:tcPr>
            <w:tcW w:w="2427" w:type="pct"/>
            <w:gridSpan w:val="2"/>
          </w:tcPr>
          <w:p w:rsidR="00FC5507" w:rsidRPr="00FC5507" w:rsidRDefault="00FC5507" w:rsidP="00FC5507">
            <w:pPr>
              <w:jc w:val="both"/>
              <w:rPr>
                <w:sz w:val="20"/>
                <w:lang w:val="fr-CA"/>
              </w:rPr>
            </w:pPr>
            <w:r w:rsidRPr="00FC5507">
              <w:rPr>
                <w:sz w:val="20"/>
                <w:lang w:val="fr-CA"/>
              </w:rPr>
              <w:t>19 décembre 2018</w:t>
            </w:r>
          </w:p>
          <w:p w:rsidR="00FC5507" w:rsidRPr="00FC5507" w:rsidRDefault="00FC5507" w:rsidP="00FC5507">
            <w:pPr>
              <w:jc w:val="both"/>
              <w:rPr>
                <w:sz w:val="20"/>
                <w:lang w:val="fr-CA"/>
              </w:rPr>
            </w:pPr>
            <w:r w:rsidRPr="00FC5507">
              <w:rPr>
                <w:sz w:val="20"/>
                <w:lang w:val="fr-CA"/>
              </w:rPr>
              <w:t>Cour d’appel de l’Ontario</w:t>
            </w:r>
          </w:p>
          <w:p w:rsidR="00FC5507" w:rsidRPr="00FC5507" w:rsidRDefault="00FC5507" w:rsidP="00FC5507">
            <w:pPr>
              <w:jc w:val="both"/>
              <w:rPr>
                <w:sz w:val="20"/>
                <w:lang w:val="fr-CA"/>
              </w:rPr>
            </w:pPr>
            <w:r w:rsidRPr="00FC5507">
              <w:rPr>
                <w:sz w:val="20"/>
                <w:lang w:val="fr-CA"/>
              </w:rPr>
              <w:t>(Juges Rouleau, Pardu et Benotto)</w:t>
            </w:r>
          </w:p>
          <w:p w:rsidR="00FC5507" w:rsidRPr="00FC5507" w:rsidRDefault="00FC5507" w:rsidP="00FC5507">
            <w:pPr>
              <w:jc w:val="both"/>
              <w:rPr>
                <w:sz w:val="20"/>
                <w:lang w:val="fr-CA"/>
              </w:rPr>
            </w:pPr>
            <w:r w:rsidRPr="00FC5507">
              <w:rPr>
                <w:sz w:val="20"/>
                <w:lang w:val="fr-CA"/>
              </w:rPr>
              <w:t>N</w:t>
            </w:r>
            <w:r w:rsidRPr="00FC5507">
              <w:rPr>
                <w:sz w:val="20"/>
                <w:vertAlign w:val="superscript"/>
                <w:lang w:val="fr-CA"/>
              </w:rPr>
              <w:t>o</w:t>
            </w:r>
            <w:r w:rsidRPr="00FC5507">
              <w:rPr>
                <w:sz w:val="20"/>
                <w:lang w:val="fr-CA"/>
              </w:rPr>
              <w:t xml:space="preserve"> de dossier C65032</w:t>
            </w:r>
          </w:p>
          <w:p w:rsidR="00FC5507" w:rsidRPr="00FC5507" w:rsidRDefault="00685225" w:rsidP="00FC5507">
            <w:pPr>
              <w:jc w:val="both"/>
              <w:rPr>
                <w:sz w:val="20"/>
                <w:lang w:val="fr-CA"/>
              </w:rPr>
            </w:pPr>
            <w:hyperlink r:id="rId132" w:history="1">
              <w:r w:rsidR="00FC5507" w:rsidRPr="00FC5507">
                <w:rPr>
                  <w:rStyle w:val="Hyperlink"/>
                  <w:sz w:val="20"/>
                  <w:lang w:val="fr-CA"/>
                </w:rPr>
                <w:t>2018 ONCA 1051</w:t>
              </w:r>
            </w:hyperlink>
          </w:p>
          <w:p w:rsidR="00FC5507" w:rsidRPr="00FC5507" w:rsidRDefault="00FC5507" w:rsidP="00FC5507">
            <w:pPr>
              <w:jc w:val="both"/>
              <w:rPr>
                <w:sz w:val="20"/>
                <w:lang w:val="fr-CA"/>
              </w:rPr>
            </w:pP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lang w:val="fr-CA"/>
              </w:rPr>
            </w:pPr>
            <w:r w:rsidRPr="00FC5507">
              <w:rPr>
                <w:sz w:val="20"/>
                <w:lang w:val="fr-CA"/>
              </w:rPr>
              <w:t>Arrêt accueillant l’appel et ordonnant l’exécution en nature de l’option de rachat</w:t>
            </w:r>
          </w:p>
          <w:p w:rsidR="00FC5507" w:rsidRPr="00FC5507" w:rsidRDefault="00FC5507" w:rsidP="00FC5507">
            <w:pPr>
              <w:jc w:val="both"/>
              <w:rPr>
                <w:sz w:val="20"/>
                <w:lang w:val="fr-CA"/>
              </w:rPr>
            </w:pPr>
          </w:p>
        </w:tc>
      </w:tr>
      <w:tr w:rsidR="00FC5507" w:rsidRPr="00A6684F" w:rsidTr="00602075">
        <w:tc>
          <w:tcPr>
            <w:tcW w:w="2427" w:type="pct"/>
            <w:gridSpan w:val="2"/>
          </w:tcPr>
          <w:p w:rsidR="00FC5507" w:rsidRPr="00FC5507" w:rsidRDefault="00FC5507" w:rsidP="00FC5507">
            <w:pPr>
              <w:jc w:val="both"/>
              <w:rPr>
                <w:sz w:val="20"/>
                <w:lang w:val="fr-CA"/>
              </w:rPr>
            </w:pPr>
            <w:r w:rsidRPr="00FC5507">
              <w:rPr>
                <w:sz w:val="20"/>
                <w:lang w:val="fr-CA"/>
              </w:rPr>
              <w:t>13 février 2019</w:t>
            </w:r>
          </w:p>
          <w:p w:rsidR="00FC5507" w:rsidRPr="00FC5507" w:rsidRDefault="00FC5507" w:rsidP="00FC5507">
            <w:pPr>
              <w:jc w:val="both"/>
              <w:rPr>
                <w:sz w:val="20"/>
                <w:lang w:val="fr-CA"/>
              </w:rPr>
            </w:pPr>
            <w:r w:rsidRPr="00FC5507">
              <w:rPr>
                <w:sz w:val="20"/>
                <w:lang w:val="fr-CA"/>
              </w:rPr>
              <w:t>Cour suprême du Canada</w:t>
            </w: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lang w:val="fr-CA"/>
              </w:rPr>
            </w:pPr>
            <w:r w:rsidRPr="00FC5507">
              <w:rPr>
                <w:sz w:val="20"/>
                <w:lang w:val="fr-CA"/>
              </w:rPr>
              <w:t>Dépôt de la demande d’autorisation d’appel</w:t>
            </w:r>
          </w:p>
          <w:p w:rsidR="00FC5507" w:rsidRPr="00FC5507" w:rsidRDefault="00FC5507" w:rsidP="00FC5507">
            <w:pPr>
              <w:jc w:val="both"/>
              <w:rPr>
                <w:sz w:val="20"/>
                <w:lang w:val="fr-CA"/>
              </w:rPr>
            </w:pPr>
          </w:p>
        </w:tc>
      </w:tr>
    </w:tbl>
    <w:p w:rsidR="00FC5507" w:rsidRDefault="00FC5507" w:rsidP="00FC5507">
      <w:pPr>
        <w:jc w:val="both"/>
        <w:rPr>
          <w:sz w:val="20"/>
          <w:lang w:val="fr-CA"/>
        </w:rPr>
      </w:pPr>
    </w:p>
    <w:p w:rsidR="00A6684F" w:rsidRPr="00FC5507" w:rsidRDefault="00A6684F" w:rsidP="00FC5507">
      <w:pPr>
        <w:jc w:val="both"/>
        <w:rPr>
          <w:sz w:val="20"/>
          <w:lang w:val="fr-CA"/>
        </w:rPr>
      </w:pPr>
      <w:r>
        <w:rPr>
          <w:sz w:val="20"/>
        </w:rPr>
        <w:pict>
          <v:rect id="_x0000_i1074" style="width:2in;height:1pt" o:hrpct="0" o:hralign="center" o:hrstd="t" o:hrnoshade="t" o:hr="t" fillcolor="black [3213]" stroked="f"/>
        </w:pict>
      </w:r>
    </w:p>
    <w:p w:rsidR="001E56A6" w:rsidRPr="00FC5507" w:rsidRDefault="001E56A6" w:rsidP="00FC5507">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5507" w:rsidRPr="00FC5507" w:rsidTr="00602075">
        <w:tc>
          <w:tcPr>
            <w:tcW w:w="543" w:type="pct"/>
          </w:tcPr>
          <w:p w:rsidR="00FC5507" w:rsidRPr="00FC5507" w:rsidRDefault="00FC5507" w:rsidP="00FC5507">
            <w:pPr>
              <w:jc w:val="both"/>
              <w:rPr>
                <w:sz w:val="20"/>
              </w:rPr>
            </w:pPr>
            <w:r w:rsidRPr="00FC5507">
              <w:rPr>
                <w:rStyle w:val="SCCFileNumberChar"/>
                <w:sz w:val="20"/>
                <w:szCs w:val="20"/>
              </w:rPr>
              <w:t>38534</w:t>
            </w:r>
          </w:p>
        </w:tc>
        <w:tc>
          <w:tcPr>
            <w:tcW w:w="4457" w:type="pct"/>
            <w:gridSpan w:val="3"/>
          </w:tcPr>
          <w:p w:rsidR="00FC5507" w:rsidRPr="008571F9" w:rsidRDefault="00FC5507" w:rsidP="00FC5507">
            <w:pPr>
              <w:pStyle w:val="SCCLsocParty"/>
              <w:jc w:val="both"/>
              <w:rPr>
                <w:b/>
                <w:sz w:val="20"/>
                <w:szCs w:val="20"/>
                <w:lang w:val="en-US"/>
              </w:rPr>
            </w:pPr>
            <w:r w:rsidRPr="008571F9">
              <w:rPr>
                <w:b/>
                <w:sz w:val="20"/>
                <w:szCs w:val="20"/>
                <w:lang w:val="en-US"/>
              </w:rPr>
              <w:t xml:space="preserve">Uber Technologies Inc., Uber Canada, Inc., Uber B.V., </w:t>
            </w:r>
            <w:proofErr w:type="spellStart"/>
            <w:r w:rsidRPr="008571F9">
              <w:rPr>
                <w:b/>
                <w:sz w:val="20"/>
                <w:szCs w:val="20"/>
                <w:lang w:val="en-US"/>
              </w:rPr>
              <w:t>Rasier</w:t>
            </w:r>
            <w:proofErr w:type="spellEnd"/>
            <w:r w:rsidRPr="008571F9">
              <w:rPr>
                <w:b/>
                <w:sz w:val="20"/>
                <w:szCs w:val="20"/>
                <w:lang w:val="en-US"/>
              </w:rPr>
              <w:t xml:space="preserve"> Operations B.V. v. David Heller</w:t>
            </w:r>
          </w:p>
          <w:p w:rsidR="00FC5507" w:rsidRPr="00FC5507" w:rsidRDefault="00FC5507" w:rsidP="00FC5507">
            <w:pPr>
              <w:jc w:val="both"/>
              <w:rPr>
                <w:sz w:val="20"/>
              </w:rPr>
            </w:pPr>
            <w:r w:rsidRPr="00FC5507">
              <w:rPr>
                <w:sz w:val="20"/>
              </w:rPr>
              <w:t>(Ont.) (Civil) (By Leave)</w:t>
            </w:r>
          </w:p>
        </w:tc>
      </w:tr>
      <w:tr w:rsidR="00FC5507" w:rsidRPr="00FC5507" w:rsidTr="00602075">
        <w:tc>
          <w:tcPr>
            <w:tcW w:w="5000" w:type="pct"/>
            <w:gridSpan w:val="4"/>
          </w:tcPr>
          <w:p w:rsidR="00FC5507" w:rsidRPr="00FC5507" w:rsidRDefault="00FC5507" w:rsidP="00FC5507">
            <w:pPr>
              <w:jc w:val="both"/>
              <w:rPr>
                <w:sz w:val="20"/>
              </w:rPr>
            </w:pPr>
            <w:r w:rsidRPr="00FC5507">
              <w:rPr>
                <w:sz w:val="20"/>
              </w:rPr>
              <w:t>Employment law — Labour standards — Contracts — Private international law — Arbitration — What is the proper role for a court (and how and to what extent does the competence</w:t>
            </w:r>
            <w:r w:rsidRPr="00FC5507">
              <w:rPr>
                <w:sz w:val="20"/>
              </w:rPr>
              <w:noBreakHyphen/>
              <w:t>competence principle apply) in determining the validity of an arbitration agreement? — What is the proper allocation of responsibility as between the courts and the legislatures in determining whether to allow for or restrict arbitration, and to what extent must courts defer to that legislative determination? — What is the governing test for the unconscionability doctrine in determining the enforceability of an arbitration agreement?</w:t>
            </w:r>
          </w:p>
        </w:tc>
      </w:tr>
      <w:tr w:rsidR="00FC5507" w:rsidRPr="00FC5507" w:rsidTr="00602075">
        <w:tc>
          <w:tcPr>
            <w:tcW w:w="5000" w:type="pct"/>
            <w:gridSpan w:val="4"/>
          </w:tcPr>
          <w:p w:rsidR="00FC5507" w:rsidRPr="00FC5507" w:rsidRDefault="00FC5507" w:rsidP="00FC5507">
            <w:pPr>
              <w:jc w:val="both"/>
              <w:rPr>
                <w:sz w:val="20"/>
              </w:rPr>
            </w:pPr>
          </w:p>
        </w:tc>
      </w:tr>
      <w:tr w:rsidR="00FC5507" w:rsidRPr="00FC5507" w:rsidTr="00602075">
        <w:tc>
          <w:tcPr>
            <w:tcW w:w="5000" w:type="pct"/>
            <w:gridSpan w:val="4"/>
          </w:tcPr>
          <w:p w:rsidR="00FC5507" w:rsidRPr="00FC5507" w:rsidRDefault="00FC5507" w:rsidP="00FC5507">
            <w:pPr>
              <w:jc w:val="both"/>
              <w:rPr>
                <w:sz w:val="20"/>
              </w:rPr>
            </w:pPr>
            <w:r w:rsidRPr="00FC5507">
              <w:rPr>
                <w:sz w:val="20"/>
              </w:rPr>
              <w:t xml:space="preserve">The applicants, Uber Technologies Inc., Uber Canada Inc., Uber B.V., and </w:t>
            </w:r>
            <w:proofErr w:type="spellStart"/>
            <w:r w:rsidRPr="00FC5507">
              <w:rPr>
                <w:sz w:val="20"/>
              </w:rPr>
              <w:t>Rasier</w:t>
            </w:r>
            <w:proofErr w:type="spellEnd"/>
            <w:r w:rsidRPr="00FC5507">
              <w:rPr>
                <w:sz w:val="20"/>
              </w:rPr>
              <w:t xml:space="preserve"> Operations B.V. are part of a group of companies that have come to be known collectively and individually as Uber. Uber has developed computer software applications for GPS</w:t>
            </w:r>
            <w:r w:rsidRPr="00FC5507">
              <w:rPr>
                <w:sz w:val="20"/>
              </w:rPr>
              <w:noBreakHyphen/>
              <w:t>enabled smartphones for transportation and restaurant delivery. David Heller, a resident of Ontario, has been licensed to use the Uber driver app (</w:t>
            </w:r>
            <w:proofErr w:type="spellStart"/>
            <w:r w:rsidRPr="00FC5507">
              <w:rPr>
                <w:sz w:val="20"/>
              </w:rPr>
              <w:t>UberEATS</w:t>
            </w:r>
            <w:proofErr w:type="spellEnd"/>
            <w:r w:rsidRPr="00FC5507">
              <w:rPr>
                <w:sz w:val="20"/>
              </w:rPr>
              <w:t xml:space="preserve">) to deliver food in Toronto since February 2016. He has never used the app to provide personal transportation services. In order to use the driver app, Mr. Heller had to meet certain criteria and accept Uber’s licencing agreement. That agreement states that it is governed by the law of the Netherlands. It includes an arbitration clause stating that disputes connected to the agreement shall be resolved by arbitration in Amsterdam. Mr. Heller brought a proposed class action on behalf of Uber drivers alleging that they were employees of Uber and entitled to benefits under Ontario’s </w:t>
            </w:r>
            <w:r w:rsidRPr="00FC5507">
              <w:rPr>
                <w:i/>
                <w:sz w:val="20"/>
              </w:rPr>
              <w:t>Employment Standards Act</w:t>
            </w:r>
            <w:r w:rsidRPr="00FC5507">
              <w:rPr>
                <w:sz w:val="20"/>
              </w:rPr>
              <w:t xml:space="preserve">, SO 2000, c. 41 (“The </w:t>
            </w:r>
            <w:r w:rsidRPr="00FC5507">
              <w:rPr>
                <w:i/>
                <w:sz w:val="20"/>
              </w:rPr>
              <w:t>ESA</w:t>
            </w:r>
            <w:r w:rsidRPr="00FC5507">
              <w:rPr>
                <w:sz w:val="20"/>
              </w:rPr>
              <w:t xml:space="preserve">”). The Ontario Superior Court of Justice granted a motion brought by Uber to stay Mr. Heller’s action in favour of arbitration. The motion judge determined that Mr. Heller was unable to demonstrate any exceptions under the </w:t>
            </w:r>
            <w:r w:rsidRPr="00FC5507">
              <w:rPr>
                <w:i/>
                <w:sz w:val="20"/>
              </w:rPr>
              <w:t>Arbitration Act</w:t>
            </w:r>
            <w:r w:rsidRPr="00FC5507">
              <w:rPr>
                <w:sz w:val="20"/>
              </w:rPr>
              <w:t xml:space="preserve">, SO 1991, c. 17 — including unconscionability — warranting a denial of Uber’s stay motion. The Court of Appeal for Ontario allowed the appeal on the basis that the arbitration clause amounted to an illegal contracting out of the </w:t>
            </w:r>
            <w:r w:rsidRPr="00FC5507">
              <w:rPr>
                <w:i/>
                <w:sz w:val="20"/>
              </w:rPr>
              <w:t>ESA</w:t>
            </w:r>
            <w:r w:rsidRPr="00FC5507">
              <w:rPr>
                <w:sz w:val="20"/>
              </w:rPr>
              <w:t xml:space="preserve"> and was thus invalid. It determined that it was for the court, not an arbitrator, to determine whether a stay was warranted. The court of appeal concluded that the arbitration clause was unconscionable at common law and grossly unfair.</w:t>
            </w:r>
          </w:p>
          <w:p w:rsidR="00FC5507" w:rsidRPr="00FC5507" w:rsidRDefault="00FC5507" w:rsidP="00FC5507">
            <w:pPr>
              <w:jc w:val="both"/>
              <w:rPr>
                <w:sz w:val="20"/>
              </w:rPr>
            </w:pPr>
          </w:p>
        </w:tc>
      </w:tr>
      <w:tr w:rsidR="00FC5507" w:rsidRPr="00FC5507" w:rsidTr="00602075">
        <w:tc>
          <w:tcPr>
            <w:tcW w:w="2427" w:type="pct"/>
            <w:gridSpan w:val="2"/>
          </w:tcPr>
          <w:p w:rsidR="00FC5507" w:rsidRPr="00FC5507" w:rsidRDefault="00FC5507" w:rsidP="00FC5507">
            <w:pPr>
              <w:jc w:val="both"/>
              <w:rPr>
                <w:sz w:val="20"/>
              </w:rPr>
            </w:pPr>
            <w:r w:rsidRPr="00FC5507">
              <w:rPr>
                <w:sz w:val="20"/>
              </w:rPr>
              <w:t>January 30, 2018</w:t>
            </w:r>
          </w:p>
          <w:p w:rsidR="00FC5507" w:rsidRPr="00FC5507" w:rsidRDefault="00FC5507" w:rsidP="00FC5507">
            <w:pPr>
              <w:jc w:val="both"/>
              <w:rPr>
                <w:sz w:val="20"/>
              </w:rPr>
            </w:pPr>
            <w:r w:rsidRPr="00FC5507">
              <w:rPr>
                <w:sz w:val="20"/>
              </w:rPr>
              <w:t>Ontario Superior Court of Justice</w:t>
            </w:r>
          </w:p>
          <w:p w:rsidR="00FC5507" w:rsidRPr="00FC5507" w:rsidRDefault="00FC5507" w:rsidP="00FC5507">
            <w:pPr>
              <w:jc w:val="both"/>
              <w:rPr>
                <w:sz w:val="20"/>
              </w:rPr>
            </w:pPr>
            <w:r w:rsidRPr="00FC5507">
              <w:rPr>
                <w:sz w:val="20"/>
              </w:rPr>
              <w:t>(</w:t>
            </w:r>
            <w:proofErr w:type="spellStart"/>
            <w:r w:rsidRPr="00FC5507">
              <w:rPr>
                <w:sz w:val="20"/>
              </w:rPr>
              <w:t>Perell</w:t>
            </w:r>
            <w:proofErr w:type="spellEnd"/>
            <w:r w:rsidRPr="00FC5507">
              <w:rPr>
                <w:sz w:val="20"/>
              </w:rPr>
              <w:t xml:space="preserve"> J.)</w:t>
            </w:r>
          </w:p>
          <w:p w:rsidR="00FC5507" w:rsidRPr="00FC5507" w:rsidRDefault="00685225" w:rsidP="00FC5507">
            <w:pPr>
              <w:jc w:val="both"/>
              <w:rPr>
                <w:sz w:val="20"/>
              </w:rPr>
            </w:pPr>
            <w:hyperlink r:id="rId133" w:history="1">
              <w:r w:rsidR="00FC5507" w:rsidRPr="00FC5507">
                <w:rPr>
                  <w:rStyle w:val="Hyperlink"/>
                  <w:sz w:val="20"/>
                </w:rPr>
                <w:t>2018 ONSC 718</w:t>
              </w:r>
            </w:hyperlink>
          </w:p>
          <w:p w:rsidR="00FC5507" w:rsidRPr="00FC5507" w:rsidRDefault="00FC5507" w:rsidP="00FC5507">
            <w:pPr>
              <w:jc w:val="both"/>
              <w:rPr>
                <w:sz w:val="20"/>
              </w:rPr>
            </w:pPr>
          </w:p>
        </w:tc>
        <w:tc>
          <w:tcPr>
            <w:tcW w:w="243" w:type="pct"/>
          </w:tcPr>
          <w:p w:rsidR="00FC5507" w:rsidRPr="00FC5507" w:rsidRDefault="00FC5507" w:rsidP="00FC5507">
            <w:pPr>
              <w:jc w:val="both"/>
              <w:rPr>
                <w:sz w:val="20"/>
              </w:rPr>
            </w:pPr>
          </w:p>
        </w:tc>
        <w:tc>
          <w:tcPr>
            <w:tcW w:w="2330" w:type="pct"/>
          </w:tcPr>
          <w:p w:rsidR="00FC5507" w:rsidRPr="00FC5507" w:rsidRDefault="00FC5507" w:rsidP="00FC5507">
            <w:pPr>
              <w:jc w:val="both"/>
              <w:rPr>
                <w:sz w:val="20"/>
              </w:rPr>
            </w:pPr>
            <w:r w:rsidRPr="00FC5507">
              <w:rPr>
                <w:sz w:val="20"/>
              </w:rPr>
              <w:t>Action stayed in favour of arbitration.</w:t>
            </w:r>
          </w:p>
          <w:p w:rsidR="00FC5507" w:rsidRPr="00FC5507" w:rsidRDefault="00FC5507" w:rsidP="00FC5507">
            <w:pPr>
              <w:jc w:val="both"/>
              <w:rPr>
                <w:sz w:val="20"/>
              </w:rPr>
            </w:pPr>
          </w:p>
        </w:tc>
      </w:tr>
      <w:tr w:rsidR="00FC5507" w:rsidRPr="00FC5507" w:rsidTr="00602075">
        <w:tc>
          <w:tcPr>
            <w:tcW w:w="2427" w:type="pct"/>
            <w:gridSpan w:val="2"/>
          </w:tcPr>
          <w:p w:rsidR="00FC5507" w:rsidRPr="00FC5507" w:rsidRDefault="00FC5507" w:rsidP="00FC5507">
            <w:pPr>
              <w:jc w:val="both"/>
              <w:rPr>
                <w:sz w:val="20"/>
              </w:rPr>
            </w:pPr>
            <w:r w:rsidRPr="00FC5507">
              <w:rPr>
                <w:sz w:val="20"/>
              </w:rPr>
              <w:lastRenderedPageBreak/>
              <w:t>January 2, 2019</w:t>
            </w:r>
          </w:p>
          <w:p w:rsidR="00FC5507" w:rsidRPr="00FC5507" w:rsidRDefault="00FC5507" w:rsidP="00FC5507">
            <w:pPr>
              <w:jc w:val="both"/>
              <w:rPr>
                <w:sz w:val="20"/>
              </w:rPr>
            </w:pPr>
            <w:r w:rsidRPr="00FC5507">
              <w:rPr>
                <w:sz w:val="20"/>
              </w:rPr>
              <w:t>Court of Appeal for Ontario</w:t>
            </w:r>
          </w:p>
          <w:p w:rsidR="00FC5507" w:rsidRPr="00FC5507" w:rsidRDefault="00FC5507" w:rsidP="00FC5507">
            <w:pPr>
              <w:jc w:val="both"/>
              <w:rPr>
                <w:sz w:val="20"/>
              </w:rPr>
            </w:pPr>
            <w:r w:rsidRPr="00FC5507">
              <w:rPr>
                <w:sz w:val="20"/>
              </w:rPr>
              <w:t xml:space="preserve">(Feldman, Pardu, and </w:t>
            </w:r>
            <w:proofErr w:type="spellStart"/>
            <w:r w:rsidRPr="00FC5507">
              <w:rPr>
                <w:sz w:val="20"/>
              </w:rPr>
              <w:t>Nordheimer</w:t>
            </w:r>
            <w:proofErr w:type="spellEnd"/>
            <w:r w:rsidRPr="00FC5507">
              <w:rPr>
                <w:sz w:val="20"/>
              </w:rPr>
              <w:t xml:space="preserve"> JJ.A.)</w:t>
            </w:r>
          </w:p>
          <w:p w:rsidR="00FC5507" w:rsidRPr="00FC5507" w:rsidRDefault="00685225" w:rsidP="00FC5507">
            <w:pPr>
              <w:jc w:val="both"/>
              <w:rPr>
                <w:sz w:val="20"/>
              </w:rPr>
            </w:pPr>
            <w:hyperlink r:id="rId134" w:history="1">
              <w:r w:rsidR="00FC5507" w:rsidRPr="00FC5507">
                <w:rPr>
                  <w:rStyle w:val="Hyperlink"/>
                  <w:sz w:val="20"/>
                </w:rPr>
                <w:t>2019 ONCA 1</w:t>
              </w:r>
            </w:hyperlink>
          </w:p>
          <w:p w:rsidR="00FC5507" w:rsidRPr="00FC5507" w:rsidRDefault="00FC5507" w:rsidP="00FC5507">
            <w:pPr>
              <w:jc w:val="both"/>
              <w:rPr>
                <w:sz w:val="20"/>
                <w:lang w:val="fr-CA"/>
              </w:rPr>
            </w:pP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rPr>
            </w:pPr>
            <w:r w:rsidRPr="00FC5507">
              <w:rPr>
                <w:sz w:val="20"/>
              </w:rPr>
              <w:t>Appeal allowed.</w:t>
            </w:r>
          </w:p>
          <w:p w:rsidR="00FC5507" w:rsidRPr="00FC5507" w:rsidRDefault="00FC5507" w:rsidP="00FC5507">
            <w:pPr>
              <w:jc w:val="both"/>
              <w:rPr>
                <w:sz w:val="20"/>
              </w:rPr>
            </w:pPr>
          </w:p>
        </w:tc>
      </w:tr>
      <w:tr w:rsidR="00FC5507" w:rsidRPr="00FC5507" w:rsidTr="00602075">
        <w:tc>
          <w:tcPr>
            <w:tcW w:w="2427" w:type="pct"/>
            <w:gridSpan w:val="2"/>
          </w:tcPr>
          <w:p w:rsidR="00FC5507" w:rsidRPr="00FC5507" w:rsidRDefault="00FC5507" w:rsidP="00FC5507">
            <w:pPr>
              <w:jc w:val="both"/>
              <w:rPr>
                <w:sz w:val="20"/>
              </w:rPr>
            </w:pPr>
            <w:r w:rsidRPr="00FC5507">
              <w:rPr>
                <w:sz w:val="20"/>
              </w:rPr>
              <w:t>March 4, 2019</w:t>
            </w:r>
          </w:p>
          <w:p w:rsidR="00FC5507" w:rsidRPr="00FC5507" w:rsidRDefault="00FC5507" w:rsidP="00FC5507">
            <w:pPr>
              <w:jc w:val="both"/>
              <w:rPr>
                <w:sz w:val="20"/>
              </w:rPr>
            </w:pPr>
            <w:r w:rsidRPr="00FC5507">
              <w:rPr>
                <w:sz w:val="20"/>
              </w:rPr>
              <w:t>Supreme Court of Canada</w:t>
            </w:r>
          </w:p>
        </w:tc>
        <w:tc>
          <w:tcPr>
            <w:tcW w:w="243" w:type="pct"/>
          </w:tcPr>
          <w:p w:rsidR="00FC5507" w:rsidRPr="00FC5507" w:rsidRDefault="00FC5507" w:rsidP="00FC5507">
            <w:pPr>
              <w:jc w:val="both"/>
              <w:rPr>
                <w:sz w:val="20"/>
              </w:rPr>
            </w:pPr>
          </w:p>
        </w:tc>
        <w:tc>
          <w:tcPr>
            <w:tcW w:w="2330" w:type="pct"/>
          </w:tcPr>
          <w:p w:rsidR="00FC5507" w:rsidRPr="00FC5507" w:rsidRDefault="00FC5507" w:rsidP="00FC5507">
            <w:pPr>
              <w:jc w:val="both"/>
              <w:rPr>
                <w:sz w:val="20"/>
              </w:rPr>
            </w:pPr>
            <w:r w:rsidRPr="00FC5507">
              <w:rPr>
                <w:sz w:val="20"/>
              </w:rPr>
              <w:t>Application for leave to appeal filed</w:t>
            </w:r>
          </w:p>
          <w:p w:rsidR="00FC5507" w:rsidRPr="00FC5507" w:rsidRDefault="00FC5507" w:rsidP="00FC5507">
            <w:pPr>
              <w:jc w:val="both"/>
              <w:rPr>
                <w:sz w:val="20"/>
              </w:rPr>
            </w:pPr>
          </w:p>
        </w:tc>
      </w:tr>
    </w:tbl>
    <w:p w:rsidR="00FC5507" w:rsidRDefault="00FC5507" w:rsidP="00FC5507">
      <w:pPr>
        <w:jc w:val="both"/>
        <w:rPr>
          <w:sz w:val="20"/>
        </w:rPr>
      </w:pPr>
    </w:p>
    <w:p w:rsidR="008571F9" w:rsidRDefault="00A6684F" w:rsidP="00FC5507">
      <w:pPr>
        <w:jc w:val="both"/>
        <w:rPr>
          <w:sz w:val="20"/>
        </w:rPr>
      </w:pPr>
      <w:r>
        <w:rPr>
          <w:sz w:val="20"/>
        </w:rPr>
        <w:pict>
          <v:rect id="_x0000_i1077" style="width:2in;height:1pt" o:hrpct="0" o:hralign="center" o:hrstd="t" o:hrnoshade="t" o:hr="t" fillcolor="black [3213]" stroked="f"/>
        </w:pict>
      </w:r>
    </w:p>
    <w:p w:rsidR="00A6684F" w:rsidRPr="00FC5507" w:rsidRDefault="00A6684F" w:rsidP="00FC550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C5507" w:rsidRPr="00FC5507" w:rsidTr="00602075">
        <w:tc>
          <w:tcPr>
            <w:tcW w:w="543" w:type="pct"/>
          </w:tcPr>
          <w:p w:rsidR="00FC5507" w:rsidRPr="00FC5507" w:rsidRDefault="00FC5507" w:rsidP="00FC5507">
            <w:pPr>
              <w:jc w:val="both"/>
              <w:rPr>
                <w:sz w:val="20"/>
                <w:lang w:val="fr-CA"/>
              </w:rPr>
            </w:pPr>
            <w:r w:rsidRPr="00FC5507">
              <w:rPr>
                <w:rStyle w:val="SCCFileNumberChar"/>
                <w:sz w:val="20"/>
                <w:szCs w:val="20"/>
                <w:lang w:val="fr-CA"/>
              </w:rPr>
              <w:t>38534</w:t>
            </w:r>
          </w:p>
        </w:tc>
        <w:tc>
          <w:tcPr>
            <w:tcW w:w="4457" w:type="pct"/>
            <w:gridSpan w:val="3"/>
          </w:tcPr>
          <w:p w:rsidR="00FC5507" w:rsidRPr="008571F9" w:rsidRDefault="00FC5507" w:rsidP="00FC5507">
            <w:pPr>
              <w:pStyle w:val="SCCLsocParty"/>
              <w:jc w:val="both"/>
              <w:rPr>
                <w:b/>
                <w:sz w:val="20"/>
                <w:szCs w:val="20"/>
              </w:rPr>
            </w:pPr>
            <w:r w:rsidRPr="008571F9">
              <w:rPr>
                <w:b/>
                <w:sz w:val="20"/>
                <w:szCs w:val="20"/>
              </w:rPr>
              <w:t xml:space="preserve">Uber Technologies Inc., Uber Canada, Inc., Uber B.V., </w:t>
            </w:r>
            <w:proofErr w:type="spellStart"/>
            <w:r w:rsidRPr="008571F9">
              <w:rPr>
                <w:b/>
                <w:sz w:val="20"/>
                <w:szCs w:val="20"/>
              </w:rPr>
              <w:t>Rasier</w:t>
            </w:r>
            <w:proofErr w:type="spellEnd"/>
            <w:r w:rsidRPr="008571F9">
              <w:rPr>
                <w:b/>
                <w:sz w:val="20"/>
                <w:szCs w:val="20"/>
              </w:rPr>
              <w:t xml:space="preserve"> Operations B.V. c. David Heller</w:t>
            </w:r>
          </w:p>
          <w:p w:rsidR="00FC5507" w:rsidRPr="00FC5507" w:rsidRDefault="00FC5507" w:rsidP="00FC5507">
            <w:pPr>
              <w:jc w:val="both"/>
              <w:rPr>
                <w:sz w:val="20"/>
                <w:lang w:val="fr-CA"/>
              </w:rPr>
            </w:pPr>
            <w:r w:rsidRPr="00FC5507">
              <w:rPr>
                <w:sz w:val="20"/>
                <w:lang w:val="fr-CA"/>
              </w:rPr>
              <w:t>(Ont.) (Civile) (Autorisation)</w:t>
            </w:r>
          </w:p>
        </w:tc>
      </w:tr>
      <w:tr w:rsidR="00FC5507" w:rsidRPr="00A6684F" w:rsidTr="00602075">
        <w:tc>
          <w:tcPr>
            <w:tcW w:w="5000" w:type="pct"/>
            <w:gridSpan w:val="4"/>
          </w:tcPr>
          <w:p w:rsidR="00FC5507" w:rsidRPr="00FC5507" w:rsidRDefault="00FC5507" w:rsidP="00FC5507">
            <w:pPr>
              <w:jc w:val="both"/>
              <w:rPr>
                <w:sz w:val="20"/>
                <w:lang w:val="fr-CA"/>
              </w:rPr>
            </w:pPr>
            <w:r w:rsidRPr="00FC5507">
              <w:rPr>
                <w:sz w:val="20"/>
                <w:lang w:val="fr-CA"/>
              </w:rPr>
              <w:t>Droit de l’emploi — Normes du travail — Contrats — Droit international privé — Arbitrage — Quel est le rôle dévolu au tribunal (et comment et dans quelle mesure le principe de compétence-compétence s’applique</w:t>
            </w:r>
            <w:r w:rsidRPr="00FC5507">
              <w:rPr>
                <w:sz w:val="20"/>
                <w:lang w:val="fr-CA"/>
              </w:rPr>
              <w:noBreakHyphen/>
              <w:t>t</w:t>
            </w:r>
            <w:r w:rsidRPr="00FC5507">
              <w:rPr>
                <w:sz w:val="20"/>
                <w:lang w:val="fr-CA"/>
              </w:rPr>
              <w:noBreakHyphen/>
              <w:t>il) dans la détermination de la validité d’une convention d’arbitrage? — Comment convient</w:t>
            </w:r>
            <w:r w:rsidRPr="00FC5507">
              <w:rPr>
                <w:sz w:val="20"/>
                <w:lang w:val="fr-CA"/>
              </w:rPr>
              <w:noBreakHyphen/>
              <w:t>il de partager la responsabilité entre les tribunaux et le législateur quant à la question de savoir s’il faut permettre ou restreindre l’arbitrage, et dans quelle mesure les tribunaux doivent</w:t>
            </w:r>
            <w:r w:rsidRPr="00FC5507">
              <w:rPr>
                <w:sz w:val="20"/>
                <w:lang w:val="fr-CA"/>
              </w:rPr>
              <w:noBreakHyphen/>
              <w:t>ils faire preuve de retenue à l’égard de la décision du législateur à cet égard? — Quel est le critère applicable à la théorie de l’iniquité pour statuer sur le caractère exécutoire d’une convention d’arbitrage?</w:t>
            </w:r>
          </w:p>
        </w:tc>
      </w:tr>
      <w:tr w:rsidR="00FC5507" w:rsidRPr="00A6684F" w:rsidTr="00602075">
        <w:tc>
          <w:tcPr>
            <w:tcW w:w="5000" w:type="pct"/>
            <w:gridSpan w:val="4"/>
          </w:tcPr>
          <w:p w:rsidR="00FC5507" w:rsidRPr="00FC5507" w:rsidRDefault="00FC5507" w:rsidP="00FC5507">
            <w:pPr>
              <w:jc w:val="both"/>
              <w:rPr>
                <w:sz w:val="20"/>
                <w:lang w:val="fr-CA"/>
              </w:rPr>
            </w:pPr>
          </w:p>
        </w:tc>
      </w:tr>
      <w:tr w:rsidR="00FC5507" w:rsidRPr="00A6684F" w:rsidTr="00602075">
        <w:tc>
          <w:tcPr>
            <w:tcW w:w="5000" w:type="pct"/>
            <w:gridSpan w:val="4"/>
          </w:tcPr>
          <w:p w:rsidR="00FC5507" w:rsidRPr="00FC5507" w:rsidRDefault="00FC5507" w:rsidP="00FC5507">
            <w:pPr>
              <w:jc w:val="both"/>
              <w:rPr>
                <w:sz w:val="20"/>
                <w:lang w:val="fr-CA"/>
              </w:rPr>
            </w:pPr>
            <w:r w:rsidRPr="00FC5507">
              <w:rPr>
                <w:sz w:val="20"/>
                <w:lang w:val="fr-CA"/>
              </w:rPr>
              <w:t xml:space="preserve">Les demanderesses, Uber Technologies Inc., Uber Canada Inc., Uber B.V. et </w:t>
            </w:r>
            <w:proofErr w:type="spellStart"/>
            <w:r w:rsidRPr="00FC5507">
              <w:rPr>
                <w:sz w:val="20"/>
                <w:lang w:val="fr-CA"/>
              </w:rPr>
              <w:t>Rasier</w:t>
            </w:r>
            <w:proofErr w:type="spellEnd"/>
            <w:r w:rsidRPr="00FC5507">
              <w:rPr>
                <w:sz w:val="20"/>
                <w:lang w:val="fr-CA"/>
              </w:rPr>
              <w:t xml:space="preserve"> Operations B.V. font partie d’un groupe de sociétés que l’on désigne collectivement et individuellement comme Uber. Uber a mis au point des applications logicielles destinées aux téléphones intelligents avec GPS pour le transport et pour la livraison dans la restauration. David Heller, un résident de l’Ontario, est titulaire d’une licence d’utilisation de l’appli de conducteur Uber (</w:t>
            </w:r>
            <w:proofErr w:type="spellStart"/>
            <w:r w:rsidRPr="00FC5507">
              <w:rPr>
                <w:sz w:val="20"/>
                <w:lang w:val="fr-CA"/>
              </w:rPr>
              <w:t>UberEATS</w:t>
            </w:r>
            <w:proofErr w:type="spellEnd"/>
            <w:r w:rsidRPr="00FC5507">
              <w:rPr>
                <w:sz w:val="20"/>
                <w:lang w:val="fr-CA"/>
              </w:rPr>
              <w:t>) pour faire la livraison d’aliments à Toronto depuis février 2016. Il n’a jamais utilisé l’appli pour fournir des services de transport de personnes. Pour pouvoir utiliser l’appli de conducteur, M. Heller devait satisfaire à certains critères et accepter le contrat de licence d’Uber. Ce contrat prévoit qu’il est régi par le droit des Pays</w:t>
            </w:r>
            <w:r w:rsidRPr="00FC5507">
              <w:rPr>
                <w:sz w:val="20"/>
                <w:lang w:val="fr-CA"/>
              </w:rPr>
              <w:noBreakHyphen/>
              <w:t xml:space="preserve">Bas. Il comprend une clause d’arbitrage qui prévoit que les différends en lien avec le contrat sont réglés par arbitrage à Amsterdam. Monsieur Heller a exercé un recours collectif proposé au nom des conducteurs d’Uber alléguant que ce sont des employés d’Uber et qu’ils ont droit aux avantages conférés par la </w:t>
            </w:r>
            <w:r w:rsidRPr="00FC5507">
              <w:rPr>
                <w:i/>
                <w:sz w:val="20"/>
                <w:lang w:val="fr-CA"/>
              </w:rPr>
              <w:t>Loi sur les normes d’emploi</w:t>
            </w:r>
            <w:r w:rsidRPr="00FC5507">
              <w:rPr>
                <w:sz w:val="20"/>
                <w:lang w:val="fr-CA"/>
              </w:rPr>
              <w:t>, LO 2000, ch. 41 (la « </w:t>
            </w:r>
            <w:r w:rsidRPr="00FC5507">
              <w:rPr>
                <w:i/>
                <w:sz w:val="20"/>
                <w:lang w:val="fr-CA"/>
              </w:rPr>
              <w:t>LNE</w:t>
            </w:r>
            <w:r w:rsidRPr="00FC5507">
              <w:rPr>
                <w:sz w:val="20"/>
                <w:lang w:val="fr-CA"/>
              </w:rPr>
              <w:t xml:space="preserve"> »). La Cour supérieure de justice de l’Ontario a accueilli une motion présentée par Uber en suspension de l’action de M. Heller en faveur de l’arbitrage. Le juge saisi de la motion a conclu que M. Heller était incapable d’établir l’existence d’une exception sous le régime de la </w:t>
            </w:r>
            <w:r w:rsidRPr="00FC5507">
              <w:rPr>
                <w:i/>
                <w:sz w:val="20"/>
                <w:lang w:val="fr-CA"/>
              </w:rPr>
              <w:t>Loi de 1991 sur l’arbitrage</w:t>
            </w:r>
            <w:r w:rsidRPr="00FC5507">
              <w:rPr>
                <w:sz w:val="20"/>
                <w:lang w:val="fr-CA"/>
              </w:rPr>
              <w:t xml:space="preserve">, LO 1991, ch. 17 — y compris l’iniquité — justifiant un rejet de la motion d’Uber en suspension. La Cour d’appel a accueilli l’appel, concluant que la clause d’arbitrage équivalait à une renonciation illégale à l’application la </w:t>
            </w:r>
            <w:r w:rsidRPr="00FC5507">
              <w:rPr>
                <w:i/>
                <w:sz w:val="20"/>
                <w:lang w:val="fr-CA"/>
              </w:rPr>
              <w:t>LNE</w:t>
            </w:r>
            <w:r w:rsidRPr="00FC5507">
              <w:rPr>
                <w:sz w:val="20"/>
                <w:lang w:val="fr-CA"/>
              </w:rPr>
              <w:t xml:space="preserve"> et qu’elle était invalide en conséquence. La Cour d’appel a statué qu’il appartenait au tribunal, et non à un arbitre, de juger si une suspension était justifiée. La Cour d’appel a conclu que la clause d’arbitrage était inique en common law et nettement injuste.</w:t>
            </w:r>
          </w:p>
          <w:p w:rsidR="00FC5507" w:rsidRPr="00FC5507" w:rsidRDefault="00FC5507" w:rsidP="00FC5507">
            <w:pPr>
              <w:jc w:val="both"/>
              <w:rPr>
                <w:sz w:val="20"/>
                <w:lang w:val="fr-CA"/>
              </w:rPr>
            </w:pPr>
          </w:p>
        </w:tc>
      </w:tr>
      <w:tr w:rsidR="00FC5507" w:rsidRPr="00A6684F" w:rsidTr="00602075">
        <w:tc>
          <w:tcPr>
            <w:tcW w:w="2427" w:type="pct"/>
            <w:gridSpan w:val="2"/>
          </w:tcPr>
          <w:p w:rsidR="00FC5507" w:rsidRPr="00FC5507" w:rsidRDefault="00FC5507" w:rsidP="00FC5507">
            <w:pPr>
              <w:jc w:val="both"/>
              <w:rPr>
                <w:sz w:val="20"/>
                <w:lang w:val="fr-CA"/>
              </w:rPr>
            </w:pPr>
            <w:r w:rsidRPr="00FC5507">
              <w:rPr>
                <w:sz w:val="20"/>
                <w:lang w:val="fr-CA"/>
              </w:rPr>
              <w:t>30 janvier 2018</w:t>
            </w:r>
          </w:p>
          <w:p w:rsidR="00FC5507" w:rsidRPr="00FC5507" w:rsidRDefault="00FC5507" w:rsidP="00FC5507">
            <w:pPr>
              <w:jc w:val="both"/>
              <w:rPr>
                <w:sz w:val="20"/>
                <w:lang w:val="fr-CA"/>
              </w:rPr>
            </w:pPr>
            <w:r w:rsidRPr="00FC5507">
              <w:rPr>
                <w:sz w:val="20"/>
                <w:lang w:val="fr-CA"/>
              </w:rPr>
              <w:t>Cour supérieure de justice de l’Ontario</w:t>
            </w:r>
          </w:p>
          <w:p w:rsidR="00FC5507" w:rsidRPr="00FC5507" w:rsidRDefault="00FC5507" w:rsidP="00FC5507">
            <w:pPr>
              <w:jc w:val="both"/>
              <w:rPr>
                <w:sz w:val="20"/>
                <w:lang w:val="fr-CA"/>
              </w:rPr>
            </w:pPr>
            <w:r w:rsidRPr="00FC5507">
              <w:rPr>
                <w:sz w:val="20"/>
                <w:lang w:val="fr-CA"/>
              </w:rPr>
              <w:t xml:space="preserve">(Juge </w:t>
            </w:r>
            <w:proofErr w:type="spellStart"/>
            <w:r w:rsidRPr="00FC5507">
              <w:rPr>
                <w:sz w:val="20"/>
                <w:lang w:val="fr-CA"/>
              </w:rPr>
              <w:t>Perell</w:t>
            </w:r>
            <w:proofErr w:type="spellEnd"/>
            <w:r w:rsidRPr="00FC5507">
              <w:rPr>
                <w:sz w:val="20"/>
                <w:lang w:val="fr-CA"/>
              </w:rPr>
              <w:t>)</w:t>
            </w:r>
          </w:p>
          <w:p w:rsidR="00FC5507" w:rsidRPr="00FC5507" w:rsidRDefault="00685225" w:rsidP="00FC5507">
            <w:pPr>
              <w:jc w:val="both"/>
              <w:rPr>
                <w:sz w:val="20"/>
                <w:lang w:val="fr-CA"/>
              </w:rPr>
            </w:pPr>
            <w:hyperlink r:id="rId135" w:history="1">
              <w:r w:rsidR="00FC5507" w:rsidRPr="00FC5507">
                <w:rPr>
                  <w:rStyle w:val="Hyperlink"/>
                  <w:sz w:val="20"/>
                  <w:lang w:val="fr-CA"/>
                </w:rPr>
                <w:t>2018 ONSC 718</w:t>
              </w:r>
            </w:hyperlink>
          </w:p>
          <w:p w:rsidR="00FC5507" w:rsidRPr="00FC5507" w:rsidRDefault="00FC5507" w:rsidP="00FC5507">
            <w:pPr>
              <w:jc w:val="both"/>
              <w:rPr>
                <w:sz w:val="20"/>
                <w:lang w:val="fr-CA"/>
              </w:rPr>
            </w:pP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lang w:val="fr-CA"/>
              </w:rPr>
            </w:pPr>
            <w:r w:rsidRPr="00FC5507">
              <w:rPr>
                <w:sz w:val="20"/>
                <w:lang w:val="fr-CA"/>
              </w:rPr>
              <w:t>Suspension de l’action en faveur de l’arbitrage.</w:t>
            </w:r>
          </w:p>
          <w:p w:rsidR="00FC5507" w:rsidRPr="00FC5507" w:rsidRDefault="00FC5507" w:rsidP="00FC5507">
            <w:pPr>
              <w:jc w:val="both"/>
              <w:rPr>
                <w:sz w:val="20"/>
                <w:lang w:val="fr-CA"/>
              </w:rPr>
            </w:pPr>
          </w:p>
        </w:tc>
      </w:tr>
      <w:tr w:rsidR="00FC5507" w:rsidRPr="00FC5507" w:rsidTr="00602075">
        <w:tc>
          <w:tcPr>
            <w:tcW w:w="2427" w:type="pct"/>
            <w:gridSpan w:val="2"/>
          </w:tcPr>
          <w:p w:rsidR="00FC5507" w:rsidRPr="00FC5507" w:rsidRDefault="00FC5507" w:rsidP="00FC5507">
            <w:pPr>
              <w:jc w:val="both"/>
              <w:rPr>
                <w:sz w:val="20"/>
                <w:lang w:val="fr-CA"/>
              </w:rPr>
            </w:pPr>
            <w:r w:rsidRPr="00FC5507">
              <w:rPr>
                <w:sz w:val="20"/>
                <w:lang w:val="fr-CA"/>
              </w:rPr>
              <w:t>2 janvier 2019</w:t>
            </w:r>
          </w:p>
          <w:p w:rsidR="00FC5507" w:rsidRPr="00FC5507" w:rsidRDefault="00FC5507" w:rsidP="00FC5507">
            <w:pPr>
              <w:jc w:val="both"/>
              <w:rPr>
                <w:sz w:val="20"/>
                <w:lang w:val="fr-CA"/>
              </w:rPr>
            </w:pPr>
            <w:r w:rsidRPr="00FC5507">
              <w:rPr>
                <w:sz w:val="20"/>
                <w:lang w:val="fr-CA"/>
              </w:rPr>
              <w:t>Cour d’appel de l’Ontario</w:t>
            </w:r>
          </w:p>
          <w:p w:rsidR="00FC5507" w:rsidRPr="00FC5507" w:rsidRDefault="00FC5507" w:rsidP="00FC5507">
            <w:pPr>
              <w:jc w:val="both"/>
              <w:rPr>
                <w:sz w:val="20"/>
                <w:lang w:val="fr-CA"/>
              </w:rPr>
            </w:pPr>
            <w:r w:rsidRPr="00FC5507">
              <w:rPr>
                <w:sz w:val="20"/>
                <w:lang w:val="fr-CA"/>
              </w:rPr>
              <w:t xml:space="preserve">(Juges </w:t>
            </w:r>
            <w:proofErr w:type="spellStart"/>
            <w:r w:rsidRPr="00FC5507">
              <w:rPr>
                <w:sz w:val="20"/>
                <w:lang w:val="fr-CA"/>
              </w:rPr>
              <w:t>Feldman</w:t>
            </w:r>
            <w:proofErr w:type="spellEnd"/>
            <w:r w:rsidRPr="00FC5507">
              <w:rPr>
                <w:sz w:val="20"/>
                <w:lang w:val="fr-CA"/>
              </w:rPr>
              <w:t xml:space="preserve">, Pardu et </w:t>
            </w:r>
            <w:proofErr w:type="spellStart"/>
            <w:r w:rsidRPr="00FC5507">
              <w:rPr>
                <w:sz w:val="20"/>
                <w:lang w:val="fr-CA"/>
              </w:rPr>
              <w:t>Nordheimer</w:t>
            </w:r>
            <w:proofErr w:type="spellEnd"/>
            <w:r w:rsidRPr="00FC5507">
              <w:rPr>
                <w:sz w:val="20"/>
                <w:lang w:val="fr-CA"/>
              </w:rPr>
              <w:t>)</w:t>
            </w:r>
          </w:p>
          <w:p w:rsidR="00FC5507" w:rsidRPr="00FC5507" w:rsidRDefault="00685225" w:rsidP="00FC5507">
            <w:pPr>
              <w:jc w:val="both"/>
              <w:rPr>
                <w:sz w:val="20"/>
                <w:lang w:val="fr-CA"/>
              </w:rPr>
            </w:pPr>
            <w:hyperlink r:id="rId136" w:history="1">
              <w:r w:rsidR="00FC5507" w:rsidRPr="00FC5507">
                <w:rPr>
                  <w:rStyle w:val="Hyperlink"/>
                  <w:sz w:val="20"/>
                  <w:lang w:val="fr-CA"/>
                </w:rPr>
                <w:t>2019 ONCA 1</w:t>
              </w:r>
            </w:hyperlink>
          </w:p>
          <w:p w:rsidR="00FC5507" w:rsidRPr="00FC5507" w:rsidRDefault="00FC5507" w:rsidP="00FC5507">
            <w:pPr>
              <w:jc w:val="both"/>
              <w:rPr>
                <w:sz w:val="20"/>
                <w:lang w:val="fr-CA"/>
              </w:rPr>
            </w:pP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lang w:val="fr-CA"/>
              </w:rPr>
            </w:pPr>
            <w:r w:rsidRPr="00FC5507">
              <w:rPr>
                <w:sz w:val="20"/>
                <w:lang w:val="fr-CA"/>
              </w:rPr>
              <w:t>Arrêt accueillant l’appel.</w:t>
            </w:r>
          </w:p>
          <w:p w:rsidR="00FC5507" w:rsidRPr="00FC5507" w:rsidRDefault="00FC5507" w:rsidP="00FC5507">
            <w:pPr>
              <w:jc w:val="both"/>
              <w:rPr>
                <w:sz w:val="20"/>
                <w:lang w:val="fr-CA"/>
              </w:rPr>
            </w:pPr>
          </w:p>
        </w:tc>
      </w:tr>
      <w:tr w:rsidR="00FC5507" w:rsidRPr="00A6684F" w:rsidTr="00602075">
        <w:tc>
          <w:tcPr>
            <w:tcW w:w="2427" w:type="pct"/>
            <w:gridSpan w:val="2"/>
          </w:tcPr>
          <w:p w:rsidR="00FC5507" w:rsidRPr="00FC5507" w:rsidRDefault="00FC5507" w:rsidP="00FC5507">
            <w:pPr>
              <w:jc w:val="both"/>
              <w:rPr>
                <w:sz w:val="20"/>
                <w:lang w:val="fr-CA"/>
              </w:rPr>
            </w:pPr>
            <w:r w:rsidRPr="00FC5507">
              <w:rPr>
                <w:sz w:val="20"/>
                <w:lang w:val="fr-CA"/>
              </w:rPr>
              <w:t>4 mars 2019</w:t>
            </w:r>
          </w:p>
          <w:p w:rsidR="00FC5507" w:rsidRPr="00FC5507" w:rsidRDefault="00FC5507" w:rsidP="00FC5507">
            <w:pPr>
              <w:jc w:val="both"/>
              <w:rPr>
                <w:sz w:val="20"/>
                <w:lang w:val="fr-CA"/>
              </w:rPr>
            </w:pPr>
            <w:r w:rsidRPr="00FC5507">
              <w:rPr>
                <w:sz w:val="20"/>
                <w:lang w:val="fr-CA"/>
              </w:rPr>
              <w:t>Cour suprême du Canada</w:t>
            </w:r>
          </w:p>
        </w:tc>
        <w:tc>
          <w:tcPr>
            <w:tcW w:w="243" w:type="pct"/>
          </w:tcPr>
          <w:p w:rsidR="00FC5507" w:rsidRPr="00FC5507" w:rsidRDefault="00FC5507" w:rsidP="00FC5507">
            <w:pPr>
              <w:jc w:val="both"/>
              <w:rPr>
                <w:sz w:val="20"/>
                <w:lang w:val="fr-CA"/>
              </w:rPr>
            </w:pPr>
          </w:p>
        </w:tc>
        <w:tc>
          <w:tcPr>
            <w:tcW w:w="2330" w:type="pct"/>
          </w:tcPr>
          <w:p w:rsidR="00FC5507" w:rsidRPr="00FC5507" w:rsidRDefault="00FC5507" w:rsidP="00FC5507">
            <w:pPr>
              <w:jc w:val="both"/>
              <w:rPr>
                <w:sz w:val="20"/>
                <w:lang w:val="fr-CA"/>
              </w:rPr>
            </w:pPr>
            <w:r w:rsidRPr="00FC5507">
              <w:rPr>
                <w:sz w:val="20"/>
                <w:lang w:val="fr-CA"/>
              </w:rPr>
              <w:t>Dépôt de la demande d’autorisation d’appel</w:t>
            </w:r>
          </w:p>
          <w:p w:rsidR="00FC5507" w:rsidRPr="00FC5507" w:rsidRDefault="00FC5507" w:rsidP="00FC5507">
            <w:pPr>
              <w:jc w:val="both"/>
              <w:rPr>
                <w:sz w:val="20"/>
                <w:lang w:val="fr-CA"/>
              </w:rPr>
            </w:pPr>
          </w:p>
        </w:tc>
      </w:tr>
    </w:tbl>
    <w:p w:rsidR="00BF6BD1" w:rsidRDefault="00BF6BD1" w:rsidP="006A22CA">
      <w:pPr>
        <w:ind w:left="142" w:hanging="142"/>
        <w:jc w:val="both"/>
        <w:rPr>
          <w:sz w:val="20"/>
          <w:lang w:val="fr-CA"/>
        </w:rPr>
      </w:pPr>
    </w:p>
    <w:p w:rsidR="00A6684F" w:rsidRDefault="00A6684F" w:rsidP="006A22CA">
      <w:pPr>
        <w:ind w:left="142" w:hanging="142"/>
        <w:jc w:val="both"/>
        <w:rPr>
          <w:sz w:val="20"/>
          <w:lang w:val="fr-CA"/>
        </w:rPr>
      </w:pPr>
      <w:r>
        <w:rPr>
          <w:sz w:val="20"/>
        </w:rPr>
        <w:pict>
          <v:rect id="_x0000_i1078" style="width:2in;height:1pt" o:hrpct="0" o:hralign="center" o:hrstd="t" o:hrnoshade="t" o:hr="t" fillcolor="black [3213]" stroked="f"/>
        </w:pict>
      </w:r>
    </w:p>
    <w:p w:rsidR="00A6684F" w:rsidRDefault="00A6684F" w:rsidP="006A22CA">
      <w:pPr>
        <w:ind w:left="142" w:hanging="142"/>
        <w:jc w:val="both"/>
        <w:rPr>
          <w:sz w:val="20"/>
          <w:lang w:val="fr-CA"/>
        </w:rPr>
      </w:pPr>
    </w:p>
    <w:p w:rsidR="00A6684F" w:rsidRPr="00A16319" w:rsidRDefault="00A6684F" w:rsidP="006A22CA">
      <w:pPr>
        <w:ind w:left="142" w:hanging="142"/>
        <w:jc w:val="both"/>
        <w:rPr>
          <w:sz w:val="20"/>
          <w:lang w:val="fr-CA"/>
        </w:rPr>
      </w:pPr>
    </w:p>
    <w:p w:rsidR="00FD3FA0" w:rsidRPr="00A16319" w:rsidRDefault="00FD3FA0" w:rsidP="006A22CA">
      <w:pPr>
        <w:ind w:left="142" w:hanging="142"/>
        <w:jc w:val="both"/>
        <w:rPr>
          <w:sz w:val="20"/>
          <w:lang w:val="fr-CA"/>
        </w:rPr>
      </w:pPr>
    </w:p>
    <w:p w:rsidR="00D3344A" w:rsidRPr="00FE4977" w:rsidRDefault="00D3344A" w:rsidP="00D3344A">
      <w:pPr>
        <w:widowControl w:val="0"/>
        <w:outlineLvl w:val="0"/>
      </w:pPr>
      <w:r w:rsidRPr="00FE4977">
        <w:t xml:space="preserve">Supreme Court of Canada / Cour suprême du </w:t>
      </w:r>
      <w:proofErr w:type="gramStart"/>
      <w:r w:rsidRPr="00FE4977">
        <w:t>Canad</w:t>
      </w:r>
      <w:r w:rsidR="00EE289F" w:rsidRPr="00FE4977">
        <w:t>a</w:t>
      </w:r>
      <w:r w:rsidRPr="00FE4977">
        <w:t xml:space="preserve"> :</w:t>
      </w:r>
      <w:proofErr w:type="gramEnd"/>
    </w:p>
    <w:p w:rsidR="00D3344A" w:rsidRPr="00FE4977" w:rsidRDefault="00685225" w:rsidP="00D3344A">
      <w:pPr>
        <w:widowControl w:val="0"/>
        <w:outlineLvl w:val="0"/>
        <w:rPr>
          <w:u w:val="single"/>
        </w:rPr>
      </w:pPr>
      <w:hyperlink r:id="rId137" w:history="1">
        <w:r w:rsidR="009B7391" w:rsidRPr="00FE4977">
          <w:rPr>
            <w:rStyle w:val="Hyperlink"/>
          </w:rPr>
          <w:t>comments-commentaires@scc-csc.ca</w:t>
        </w:r>
      </w:hyperlink>
    </w:p>
    <w:p w:rsidR="00D3344A" w:rsidRPr="00FE4977" w:rsidRDefault="0065588C" w:rsidP="00D3344A">
      <w:pPr>
        <w:widowControl w:val="0"/>
        <w:outlineLvl w:val="0"/>
      </w:pPr>
      <w:r w:rsidRPr="00FE4977">
        <w:t>613-</w:t>
      </w:r>
      <w:r w:rsidR="00D3344A" w:rsidRPr="00FE4977">
        <w:t>995-4330</w:t>
      </w:r>
    </w:p>
    <w:p w:rsidR="00497B5E" w:rsidRPr="00FE4977" w:rsidRDefault="00497B5E" w:rsidP="00497B5E">
      <w:pPr>
        <w:widowControl w:val="0"/>
        <w:rPr>
          <w:sz w:val="20"/>
        </w:rPr>
      </w:pPr>
    </w:p>
    <w:p w:rsidR="00F6251B" w:rsidRPr="006E558B" w:rsidRDefault="003F43E6" w:rsidP="00F6251B">
      <w:pPr>
        <w:pStyle w:val="Footer"/>
        <w:jc w:val="center"/>
      </w:pPr>
      <w:r w:rsidRPr="00FE4977">
        <w:t>- 30 -</w:t>
      </w:r>
    </w:p>
    <w:sectPr w:rsidR="00F6251B" w:rsidRPr="006E558B" w:rsidSect="00524822">
      <w:headerReference w:type="even" r:id="rId138"/>
      <w:headerReference w:type="default" r:id="rId139"/>
      <w:footerReference w:type="even" r:id="rId140"/>
      <w:footerReference w:type="default" r:id="rId141"/>
      <w:headerReference w:type="first" r:id="rId142"/>
      <w:footerReference w:type="first" r:id="rId14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075" w:rsidRDefault="00602075" w:rsidP="0034178A">
      <w:r>
        <w:separator/>
      </w:r>
    </w:p>
  </w:endnote>
  <w:endnote w:type="continuationSeparator" w:id="0">
    <w:p w:rsidR="00602075" w:rsidRDefault="0060207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75" w:rsidRDefault="00602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75" w:rsidRPr="009F77F0" w:rsidRDefault="0060207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75" w:rsidRDefault="00602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075" w:rsidRDefault="00602075" w:rsidP="0034178A">
      <w:r>
        <w:separator/>
      </w:r>
    </w:p>
  </w:footnote>
  <w:footnote w:type="continuationSeparator" w:id="0">
    <w:p w:rsidR="00602075" w:rsidRDefault="0060207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75" w:rsidRDefault="00602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75" w:rsidRDefault="00602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75" w:rsidRDefault="00602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6A9"/>
    <w:multiLevelType w:val="hybridMultilevel"/>
    <w:tmpl w:val="BD9ED894"/>
    <w:lvl w:ilvl="0" w:tplc="488480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33E7"/>
    <w:multiLevelType w:val="hybridMultilevel"/>
    <w:tmpl w:val="DB0E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0147E"/>
    <w:multiLevelType w:val="hybridMultilevel"/>
    <w:tmpl w:val="EB2C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A0DEC"/>
    <w:multiLevelType w:val="hybridMultilevel"/>
    <w:tmpl w:val="E4449AFC"/>
    <w:lvl w:ilvl="0" w:tplc="1DDC0A7E">
      <w:start w:val="2"/>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8335B"/>
    <w:multiLevelType w:val="hybridMultilevel"/>
    <w:tmpl w:val="1F2433A0"/>
    <w:lvl w:ilvl="0" w:tplc="673E3DA4">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D404C"/>
    <w:multiLevelType w:val="hybridMultilevel"/>
    <w:tmpl w:val="2FD41E04"/>
    <w:lvl w:ilvl="0" w:tplc="70A8647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E7791"/>
    <w:multiLevelType w:val="hybridMultilevel"/>
    <w:tmpl w:val="68609A06"/>
    <w:lvl w:ilvl="0" w:tplc="50D0B6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3C5334"/>
    <w:multiLevelType w:val="hybridMultilevel"/>
    <w:tmpl w:val="11FA2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8C7FF5"/>
    <w:multiLevelType w:val="hybridMultilevel"/>
    <w:tmpl w:val="45681954"/>
    <w:lvl w:ilvl="0" w:tplc="6602F5DA">
      <w:start w:val="6"/>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36"/>
  </w:num>
  <w:num w:numId="4">
    <w:abstractNumId w:val="28"/>
  </w:num>
  <w:num w:numId="5">
    <w:abstractNumId w:val="4"/>
  </w:num>
  <w:num w:numId="6">
    <w:abstractNumId w:val="29"/>
  </w:num>
  <w:num w:numId="7">
    <w:abstractNumId w:val="21"/>
  </w:num>
  <w:num w:numId="8">
    <w:abstractNumId w:val="17"/>
  </w:num>
  <w:num w:numId="9">
    <w:abstractNumId w:val="16"/>
  </w:num>
  <w:num w:numId="10">
    <w:abstractNumId w:val="15"/>
  </w:num>
  <w:num w:numId="11">
    <w:abstractNumId w:val="37"/>
  </w:num>
  <w:num w:numId="12">
    <w:abstractNumId w:val="11"/>
  </w:num>
  <w:num w:numId="13">
    <w:abstractNumId w:val="24"/>
  </w:num>
  <w:num w:numId="14">
    <w:abstractNumId w:val="31"/>
  </w:num>
  <w:num w:numId="15">
    <w:abstractNumId w:val="32"/>
  </w:num>
  <w:num w:numId="16">
    <w:abstractNumId w:val="18"/>
  </w:num>
  <w:num w:numId="17">
    <w:abstractNumId w:val="27"/>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6"/>
  </w:num>
  <w:num w:numId="22">
    <w:abstractNumId w:val="3"/>
  </w:num>
  <w:num w:numId="23">
    <w:abstractNumId w:val="25"/>
  </w:num>
  <w:num w:numId="24">
    <w:abstractNumId w:val="0"/>
  </w:num>
  <w:num w:numId="25">
    <w:abstractNumId w:val="10"/>
  </w:num>
  <w:num w:numId="26">
    <w:abstractNumId w:val="30"/>
  </w:num>
  <w:num w:numId="27">
    <w:abstractNumId w:val="23"/>
  </w:num>
  <w:num w:numId="28">
    <w:abstractNumId w:val="19"/>
  </w:num>
  <w:num w:numId="29">
    <w:abstractNumId w:val="9"/>
  </w:num>
  <w:num w:numId="30">
    <w:abstractNumId w:val="38"/>
  </w:num>
  <w:num w:numId="31">
    <w:abstractNumId w:val="12"/>
  </w:num>
  <w:num w:numId="32">
    <w:abstractNumId w:val="14"/>
  </w:num>
  <w:num w:numId="33">
    <w:abstractNumId w:val="8"/>
  </w:num>
  <w:num w:numId="34">
    <w:abstractNumId w:val="7"/>
  </w:num>
  <w:num w:numId="35">
    <w:abstractNumId w:val="35"/>
  </w:num>
  <w:num w:numId="36">
    <w:abstractNumId w:val="13"/>
  </w:num>
  <w:num w:numId="37">
    <w:abstractNumId w:val="34"/>
  </w:num>
  <w:num w:numId="38">
    <w:abstractNumId w:val="1"/>
  </w:num>
  <w:num w:numId="39">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39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61E"/>
    <w:rsid w:val="000577D9"/>
    <w:rsid w:val="000579A0"/>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161"/>
    <w:rsid w:val="000D25A2"/>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6BF5"/>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8F6"/>
    <w:rsid w:val="00161E40"/>
    <w:rsid w:val="00161F83"/>
    <w:rsid w:val="00163837"/>
    <w:rsid w:val="00163A54"/>
    <w:rsid w:val="00164791"/>
    <w:rsid w:val="00165EAA"/>
    <w:rsid w:val="0016645E"/>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8E0"/>
    <w:rsid w:val="00183A15"/>
    <w:rsid w:val="00185355"/>
    <w:rsid w:val="0018535B"/>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3100"/>
    <w:rsid w:val="001A3A22"/>
    <w:rsid w:val="001A3AA1"/>
    <w:rsid w:val="001A3F98"/>
    <w:rsid w:val="001A4109"/>
    <w:rsid w:val="001A4547"/>
    <w:rsid w:val="001A48FB"/>
    <w:rsid w:val="001A4C89"/>
    <w:rsid w:val="001A4F4E"/>
    <w:rsid w:val="001A562F"/>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73D"/>
    <w:rsid w:val="001E4E84"/>
    <w:rsid w:val="001E4EBC"/>
    <w:rsid w:val="001E55D4"/>
    <w:rsid w:val="001E56A6"/>
    <w:rsid w:val="001E71B5"/>
    <w:rsid w:val="001E7B18"/>
    <w:rsid w:val="001F15CD"/>
    <w:rsid w:val="001F1A6D"/>
    <w:rsid w:val="001F1F3F"/>
    <w:rsid w:val="001F27B1"/>
    <w:rsid w:val="001F2F00"/>
    <w:rsid w:val="001F348D"/>
    <w:rsid w:val="001F3AE7"/>
    <w:rsid w:val="001F4516"/>
    <w:rsid w:val="001F47D0"/>
    <w:rsid w:val="001F5B11"/>
    <w:rsid w:val="001F6550"/>
    <w:rsid w:val="001F69E8"/>
    <w:rsid w:val="001F7038"/>
    <w:rsid w:val="001F7320"/>
    <w:rsid w:val="001F7689"/>
    <w:rsid w:val="00200F31"/>
    <w:rsid w:val="00201B26"/>
    <w:rsid w:val="0020221F"/>
    <w:rsid w:val="00202E67"/>
    <w:rsid w:val="00203082"/>
    <w:rsid w:val="00203AEA"/>
    <w:rsid w:val="00203D33"/>
    <w:rsid w:val="00205051"/>
    <w:rsid w:val="0020794A"/>
    <w:rsid w:val="00207A23"/>
    <w:rsid w:val="00207C7F"/>
    <w:rsid w:val="00210B48"/>
    <w:rsid w:val="00210F53"/>
    <w:rsid w:val="00211174"/>
    <w:rsid w:val="0021175A"/>
    <w:rsid w:val="00211B5E"/>
    <w:rsid w:val="00211B9D"/>
    <w:rsid w:val="002120BD"/>
    <w:rsid w:val="00212962"/>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7A81"/>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0FA5"/>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43A1"/>
    <w:rsid w:val="002D50B7"/>
    <w:rsid w:val="002D6310"/>
    <w:rsid w:val="002D63D6"/>
    <w:rsid w:val="002D65E4"/>
    <w:rsid w:val="002D6680"/>
    <w:rsid w:val="002D6EFA"/>
    <w:rsid w:val="002D7F1A"/>
    <w:rsid w:val="002E00CC"/>
    <w:rsid w:val="002E047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3E5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83"/>
    <w:rsid w:val="00393660"/>
    <w:rsid w:val="00393E6D"/>
    <w:rsid w:val="003940A4"/>
    <w:rsid w:val="00394A88"/>
    <w:rsid w:val="00395509"/>
    <w:rsid w:val="003957B6"/>
    <w:rsid w:val="003958AE"/>
    <w:rsid w:val="00395D43"/>
    <w:rsid w:val="00396076"/>
    <w:rsid w:val="0039618A"/>
    <w:rsid w:val="0039624A"/>
    <w:rsid w:val="0039709D"/>
    <w:rsid w:val="00397213"/>
    <w:rsid w:val="003A00C9"/>
    <w:rsid w:val="003A0258"/>
    <w:rsid w:val="003A0632"/>
    <w:rsid w:val="003A08CE"/>
    <w:rsid w:val="003A100F"/>
    <w:rsid w:val="003A11C4"/>
    <w:rsid w:val="003A1F69"/>
    <w:rsid w:val="003A320F"/>
    <w:rsid w:val="003A47E8"/>
    <w:rsid w:val="003A4AB7"/>
    <w:rsid w:val="003A58BA"/>
    <w:rsid w:val="003A7124"/>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76E"/>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077"/>
    <w:rsid w:val="004762ED"/>
    <w:rsid w:val="00476F6F"/>
    <w:rsid w:val="00477469"/>
    <w:rsid w:val="004774B6"/>
    <w:rsid w:val="004775E8"/>
    <w:rsid w:val="00477A87"/>
    <w:rsid w:val="0048052E"/>
    <w:rsid w:val="00481888"/>
    <w:rsid w:val="0048213C"/>
    <w:rsid w:val="00482A6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CE9"/>
    <w:rsid w:val="00495E5A"/>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E10"/>
    <w:rsid w:val="004B60AB"/>
    <w:rsid w:val="004B612C"/>
    <w:rsid w:val="004B62A5"/>
    <w:rsid w:val="004B73F5"/>
    <w:rsid w:val="004B7E3E"/>
    <w:rsid w:val="004C0544"/>
    <w:rsid w:val="004C07ED"/>
    <w:rsid w:val="004C0DFB"/>
    <w:rsid w:val="004C1AF9"/>
    <w:rsid w:val="004C228F"/>
    <w:rsid w:val="004C2469"/>
    <w:rsid w:val="004C2585"/>
    <w:rsid w:val="004C279B"/>
    <w:rsid w:val="004C281D"/>
    <w:rsid w:val="004C2D71"/>
    <w:rsid w:val="004C2E9D"/>
    <w:rsid w:val="004C3C2F"/>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428"/>
    <w:rsid w:val="004D5D5C"/>
    <w:rsid w:val="004D5FBA"/>
    <w:rsid w:val="004D6E67"/>
    <w:rsid w:val="004D6FCC"/>
    <w:rsid w:val="004D752E"/>
    <w:rsid w:val="004E00B4"/>
    <w:rsid w:val="004E0745"/>
    <w:rsid w:val="004E0963"/>
    <w:rsid w:val="004E0B2F"/>
    <w:rsid w:val="004E0CCF"/>
    <w:rsid w:val="004E1B3F"/>
    <w:rsid w:val="004E21ED"/>
    <w:rsid w:val="004E2A8E"/>
    <w:rsid w:val="004E3262"/>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701C"/>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9DA"/>
    <w:rsid w:val="00565B20"/>
    <w:rsid w:val="00566C79"/>
    <w:rsid w:val="00567966"/>
    <w:rsid w:val="00570169"/>
    <w:rsid w:val="00571DC3"/>
    <w:rsid w:val="00571DD3"/>
    <w:rsid w:val="00571EA8"/>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844"/>
    <w:rsid w:val="00584922"/>
    <w:rsid w:val="005854E3"/>
    <w:rsid w:val="005858C5"/>
    <w:rsid w:val="00587407"/>
    <w:rsid w:val="00587914"/>
    <w:rsid w:val="005900F4"/>
    <w:rsid w:val="0059181C"/>
    <w:rsid w:val="005921B3"/>
    <w:rsid w:val="00592318"/>
    <w:rsid w:val="005925EC"/>
    <w:rsid w:val="00594F57"/>
    <w:rsid w:val="00595123"/>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FBF"/>
    <w:rsid w:val="005B3737"/>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0A5C"/>
    <w:rsid w:val="005C1453"/>
    <w:rsid w:val="005C196C"/>
    <w:rsid w:val="005C1C71"/>
    <w:rsid w:val="005C205B"/>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1E5"/>
    <w:rsid w:val="005F6596"/>
    <w:rsid w:val="005F6751"/>
    <w:rsid w:val="005F7D76"/>
    <w:rsid w:val="00601639"/>
    <w:rsid w:val="00602075"/>
    <w:rsid w:val="00602309"/>
    <w:rsid w:val="006024F3"/>
    <w:rsid w:val="006028B7"/>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07"/>
    <w:rsid w:val="00626190"/>
    <w:rsid w:val="00627517"/>
    <w:rsid w:val="00630B1A"/>
    <w:rsid w:val="00632281"/>
    <w:rsid w:val="00632364"/>
    <w:rsid w:val="006324C1"/>
    <w:rsid w:val="006327BE"/>
    <w:rsid w:val="00632A4A"/>
    <w:rsid w:val="00633369"/>
    <w:rsid w:val="00634573"/>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A27"/>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266"/>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225"/>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5F49"/>
    <w:rsid w:val="006B60A2"/>
    <w:rsid w:val="006B6A20"/>
    <w:rsid w:val="006B7ABD"/>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AF9"/>
    <w:rsid w:val="0073707B"/>
    <w:rsid w:val="00737C67"/>
    <w:rsid w:val="00737D1D"/>
    <w:rsid w:val="00737F76"/>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868"/>
    <w:rsid w:val="00746066"/>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4FD3"/>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1F9"/>
    <w:rsid w:val="008578F2"/>
    <w:rsid w:val="00857A16"/>
    <w:rsid w:val="00857DB6"/>
    <w:rsid w:val="008600ED"/>
    <w:rsid w:val="00860366"/>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77C2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1E5E"/>
    <w:rsid w:val="008A29BC"/>
    <w:rsid w:val="008A3884"/>
    <w:rsid w:val="008A3A4B"/>
    <w:rsid w:val="008A41DE"/>
    <w:rsid w:val="008A48F2"/>
    <w:rsid w:val="008A49EA"/>
    <w:rsid w:val="008A4ABF"/>
    <w:rsid w:val="008A4B88"/>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8AF"/>
    <w:rsid w:val="009E52A8"/>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F4"/>
    <w:rsid w:val="009F6DB9"/>
    <w:rsid w:val="009F70AA"/>
    <w:rsid w:val="009F740D"/>
    <w:rsid w:val="009F77F0"/>
    <w:rsid w:val="009F7E73"/>
    <w:rsid w:val="00A0020E"/>
    <w:rsid w:val="00A00370"/>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319"/>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04E"/>
    <w:rsid w:val="00A61446"/>
    <w:rsid w:val="00A615E0"/>
    <w:rsid w:val="00A61D87"/>
    <w:rsid w:val="00A62285"/>
    <w:rsid w:val="00A62821"/>
    <w:rsid w:val="00A6338B"/>
    <w:rsid w:val="00A6390A"/>
    <w:rsid w:val="00A64524"/>
    <w:rsid w:val="00A64A9B"/>
    <w:rsid w:val="00A65A66"/>
    <w:rsid w:val="00A65C73"/>
    <w:rsid w:val="00A6684F"/>
    <w:rsid w:val="00A66BBF"/>
    <w:rsid w:val="00A66EE4"/>
    <w:rsid w:val="00A67235"/>
    <w:rsid w:val="00A675DD"/>
    <w:rsid w:val="00A70197"/>
    <w:rsid w:val="00A7045E"/>
    <w:rsid w:val="00A7047F"/>
    <w:rsid w:val="00A70585"/>
    <w:rsid w:val="00A70728"/>
    <w:rsid w:val="00A70C52"/>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D06"/>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A36"/>
    <w:rsid w:val="00B27DB4"/>
    <w:rsid w:val="00B30861"/>
    <w:rsid w:val="00B311A8"/>
    <w:rsid w:val="00B3300D"/>
    <w:rsid w:val="00B33676"/>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0ED5"/>
    <w:rsid w:val="00BF159A"/>
    <w:rsid w:val="00BF1A2A"/>
    <w:rsid w:val="00BF1A6B"/>
    <w:rsid w:val="00BF1EEF"/>
    <w:rsid w:val="00BF1FCA"/>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67F"/>
    <w:rsid w:val="00C342CA"/>
    <w:rsid w:val="00C34515"/>
    <w:rsid w:val="00C34A03"/>
    <w:rsid w:val="00C34D9A"/>
    <w:rsid w:val="00C34ECA"/>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20"/>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D17"/>
    <w:rsid w:val="00C6294C"/>
    <w:rsid w:val="00C62B06"/>
    <w:rsid w:val="00C62DF8"/>
    <w:rsid w:val="00C62E03"/>
    <w:rsid w:val="00C63365"/>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37CC"/>
    <w:rsid w:val="00CA418B"/>
    <w:rsid w:val="00CA42DE"/>
    <w:rsid w:val="00CA4A0D"/>
    <w:rsid w:val="00CA52C0"/>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113C"/>
    <w:rsid w:val="00CE1E9C"/>
    <w:rsid w:val="00CE1F89"/>
    <w:rsid w:val="00CE2C20"/>
    <w:rsid w:val="00CE2CC9"/>
    <w:rsid w:val="00CE3697"/>
    <w:rsid w:val="00CE42F4"/>
    <w:rsid w:val="00CE47E8"/>
    <w:rsid w:val="00CE4C9B"/>
    <w:rsid w:val="00CE6109"/>
    <w:rsid w:val="00CE6260"/>
    <w:rsid w:val="00CE633C"/>
    <w:rsid w:val="00CE6C1C"/>
    <w:rsid w:val="00CE761A"/>
    <w:rsid w:val="00CE7796"/>
    <w:rsid w:val="00CE7B3F"/>
    <w:rsid w:val="00CE7C81"/>
    <w:rsid w:val="00CF0386"/>
    <w:rsid w:val="00CF0D83"/>
    <w:rsid w:val="00CF0EF2"/>
    <w:rsid w:val="00CF234B"/>
    <w:rsid w:val="00CF33AC"/>
    <w:rsid w:val="00CF3400"/>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E3B"/>
    <w:rsid w:val="00D10705"/>
    <w:rsid w:val="00D11276"/>
    <w:rsid w:val="00D1233D"/>
    <w:rsid w:val="00D123CF"/>
    <w:rsid w:val="00D127DF"/>
    <w:rsid w:val="00D1308F"/>
    <w:rsid w:val="00D13678"/>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86D"/>
    <w:rsid w:val="00D34CA3"/>
    <w:rsid w:val="00D356A6"/>
    <w:rsid w:val="00D35AA2"/>
    <w:rsid w:val="00D362BE"/>
    <w:rsid w:val="00D36BE9"/>
    <w:rsid w:val="00D3722A"/>
    <w:rsid w:val="00D37579"/>
    <w:rsid w:val="00D379CE"/>
    <w:rsid w:val="00D4006F"/>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39A"/>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BD9"/>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65CB"/>
    <w:rsid w:val="00E677B3"/>
    <w:rsid w:val="00E706A0"/>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5D5"/>
    <w:rsid w:val="00EE1612"/>
    <w:rsid w:val="00EE173D"/>
    <w:rsid w:val="00EE1BE8"/>
    <w:rsid w:val="00EE1F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3BDB"/>
    <w:rsid w:val="00EF41F1"/>
    <w:rsid w:val="00EF491E"/>
    <w:rsid w:val="00EF50F3"/>
    <w:rsid w:val="00EF6828"/>
    <w:rsid w:val="00EF6E6D"/>
    <w:rsid w:val="00EF775A"/>
    <w:rsid w:val="00EF7A66"/>
    <w:rsid w:val="00EF7D2B"/>
    <w:rsid w:val="00F00020"/>
    <w:rsid w:val="00F00DA4"/>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7E7"/>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889"/>
    <w:rsid w:val="00F347C0"/>
    <w:rsid w:val="00F351D3"/>
    <w:rsid w:val="00F357FA"/>
    <w:rsid w:val="00F35C22"/>
    <w:rsid w:val="00F365CD"/>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1FB8"/>
    <w:rsid w:val="00F921C0"/>
    <w:rsid w:val="00F92282"/>
    <w:rsid w:val="00F9337A"/>
    <w:rsid w:val="00F93967"/>
    <w:rsid w:val="00F9402E"/>
    <w:rsid w:val="00F944B3"/>
    <w:rsid w:val="00F960B1"/>
    <w:rsid w:val="00F962B4"/>
    <w:rsid w:val="00F96CF3"/>
    <w:rsid w:val="00F972B0"/>
    <w:rsid w:val="00FA0210"/>
    <w:rsid w:val="00FA08D8"/>
    <w:rsid w:val="00FA2BC5"/>
    <w:rsid w:val="00FA2BF8"/>
    <w:rsid w:val="00FA381D"/>
    <w:rsid w:val="00FA3AA3"/>
    <w:rsid w:val="00FA3D00"/>
    <w:rsid w:val="00FA3F17"/>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07"/>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6EE"/>
    <w:rsid w:val="00FE4721"/>
    <w:rsid w:val="00FE4977"/>
    <w:rsid w:val="00FE4D2A"/>
    <w:rsid w:val="00FE4FA0"/>
    <w:rsid w:val="00FE4FD0"/>
    <w:rsid w:val="00FE5051"/>
    <w:rsid w:val="00FE53DC"/>
    <w:rsid w:val="00FE566B"/>
    <w:rsid w:val="00FE5839"/>
    <w:rsid w:val="00FE5B58"/>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9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1E56A6"/>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1E56A6"/>
    <w:rPr>
      <w:rFonts w:ascii="Times New Roman" w:eastAsiaTheme="minorHAnsi" w:hAnsi="Times New Roman"/>
      <w:b/>
      <w:sz w:val="24"/>
      <w:szCs w:val="24"/>
      <w:lang w:val="en-CA"/>
    </w:rPr>
  </w:style>
  <w:style w:type="paragraph" w:customStyle="1" w:styleId="SCCLsocOtherPartySeparator">
    <w:name w:val="SCC.Lsoc.OtherPartySeparator"/>
    <w:basedOn w:val="Normal"/>
    <w:next w:val="Normal"/>
    <w:link w:val="SCCLsocOtherPartySeparatorChar"/>
    <w:rsid w:val="00A16319"/>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A16319"/>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38525" TargetMode="External"/><Relationship Id="rId117" Type="http://schemas.openxmlformats.org/officeDocument/2006/relationships/hyperlink" Target="https://www.canlii.org/fr/qc/qcca/doc/2018/2018qcca2165/2018qcca2165.html" TargetMode="External"/><Relationship Id="rId21" Type="http://schemas.openxmlformats.org/officeDocument/2006/relationships/hyperlink" Target="https://www.scc-csc.ca/case-dossier/info/sum-som-eng.aspx?cas=38488" TargetMode="External"/><Relationship Id="rId42" Type="http://schemas.openxmlformats.org/officeDocument/2006/relationships/hyperlink" Target="http://canlii.ca/t/hwdlw" TargetMode="External"/><Relationship Id="rId47" Type="http://schemas.openxmlformats.org/officeDocument/2006/relationships/hyperlink" Target="https://www.canlii.org/en/ab/abqb/doc/2017/2017abqb464/2017abqb464.html?autocompleteStr=2017%20ABQB%20464&amp;autocompletePos=1" TargetMode="External"/><Relationship Id="rId63" Type="http://schemas.openxmlformats.org/officeDocument/2006/relationships/hyperlink" Target="https://www.canlii.org/fr/qc/qccm/doc/2015/2015canlii62548/2015canlii62548.html?searchUrlHash=AAAAAQAhInBhcmFjaHV0aXNtZSIgZXQgImHDqXJvbmF1dGlxdWUiAAAAAAE&amp;resultIndex=2" TargetMode="External"/><Relationship Id="rId68" Type="http://schemas.openxmlformats.org/officeDocument/2006/relationships/hyperlink" Target="https://www.canlii.org/fr/qc/qcca/doc/2018/2018qcca1567/2018qcca1567.html?searchUrlHash=AAAAAQAhInBhcmFjaHV0aXNtZSIgZXQgImHDqXJvbmF1dGlxdWUiAAAAAAE&amp;resultIndex=1" TargetMode="External"/><Relationship Id="rId84" Type="http://schemas.openxmlformats.org/officeDocument/2006/relationships/hyperlink" Target="https://www.canlii.org/en/ca/laws/stat/schedule-b-to-the-canada-act-1982-uk-1982-c-11/latest/schedule-b-to-the-canada-act-1982-uk-1982-c-11.html" TargetMode="External"/><Relationship Id="rId89" Type="http://schemas.openxmlformats.org/officeDocument/2006/relationships/hyperlink" Target="https://www.canlii.org/fr/qc/qcca/doc/2018/2018qcca1880/2018qcca1880.html" TargetMode="External"/><Relationship Id="rId112" Type="http://schemas.openxmlformats.org/officeDocument/2006/relationships/hyperlink" Target="https://www.canlii.org/en/on/onscdc/doc/2018/2018onsc942/2018onsc942.html?searchUrlHash=AAAAAQANMjAxOCBPTlNDIDk0MgAAAAAB&amp;resultIndex=2" TargetMode="External"/><Relationship Id="rId133" Type="http://schemas.openxmlformats.org/officeDocument/2006/relationships/hyperlink" Target="https://www.canlii.org/en/on/onsc/doc/2018/2018onsc718/2018onsc718.html?autocompleteStr=2018%20onsc%20718&amp;autocompletePos=1" TargetMode="External"/><Relationship Id="rId138" Type="http://schemas.openxmlformats.org/officeDocument/2006/relationships/header" Target="header1.xml"/><Relationship Id="rId16" Type="http://schemas.openxmlformats.org/officeDocument/2006/relationships/hyperlink" Target="https://www.scc-csc.ca/case-dossier/info/sum-som-eng.aspx?cas=38541" TargetMode="External"/><Relationship Id="rId107" Type="http://schemas.openxmlformats.org/officeDocument/2006/relationships/hyperlink" Target="https://www.canlii.org/en/mb/mbqb/doc/2017/2017mbqb90/2017mbqb90.html?autocompleteStr=Volden&amp;autocompletePos=3" TargetMode="External"/><Relationship Id="rId11" Type="http://schemas.openxmlformats.org/officeDocument/2006/relationships/hyperlink" Target="https://www.scc-csc.ca/case-dossier/info/sum-som-fra.aspx?cas=38533" TargetMode="External"/><Relationship Id="rId32" Type="http://schemas.openxmlformats.org/officeDocument/2006/relationships/hyperlink" Target="https://www.scc-csc.ca/case-dossier/info/sum-som-eng.aspx?cas=38534" TargetMode="External"/><Relationship Id="rId37" Type="http://schemas.openxmlformats.org/officeDocument/2006/relationships/hyperlink" Target="https://www.canlii.org/en/on/onsc/doc/2018/2018onsc101/2018onsc101.pdf" TargetMode="External"/><Relationship Id="rId53" Type="http://schemas.openxmlformats.org/officeDocument/2006/relationships/hyperlink" Target="https://www.canlii.org/en/ca/laws/stat/rsc-1985-c-p-4/latest/rsc-1985-c-p-4.html" TargetMode="External"/><Relationship Id="rId58" Type="http://schemas.openxmlformats.org/officeDocument/2006/relationships/hyperlink" Target="https://www.canlii.org/fr/ca/legis/lois/lrc-1985-c-p-4/derniere/lrc-1985-c-p-4.html" TargetMode="External"/><Relationship Id="rId74" Type="http://schemas.openxmlformats.org/officeDocument/2006/relationships/hyperlink" Target="http://canlii.ca/t/hw70f" TargetMode="External"/><Relationship Id="rId79" Type="http://schemas.openxmlformats.org/officeDocument/2006/relationships/hyperlink" Target="https://www.canlii.org/en/ca/laws/stat/schedule-b-to-the-canada-act-1982-uk-1982-c-11/latest/schedule-b-to-the-canada-act-1982-uk-1982-c-11.html" TargetMode="External"/><Relationship Id="rId102" Type="http://schemas.openxmlformats.org/officeDocument/2006/relationships/hyperlink" Target="https://www.canlii.org/en/ca/fca/doc/2018/2018fca222/2018fca222.html?autocompleteStr=2018%20fca%20222&amp;autocompletePos=1" TargetMode="External"/><Relationship Id="rId123" Type="http://schemas.openxmlformats.org/officeDocument/2006/relationships/hyperlink" Target="https://www.canlii.org/en/nl/nlsctd/doc/2016/2016canlii90989/2016canlii90989.html" TargetMode="External"/><Relationship Id="rId128" Type="http://schemas.openxmlformats.org/officeDocument/2006/relationships/hyperlink" Target="https://www.canlii.org/en/on/onca/doc/2018/2018onca989/2018onca989.html?autocompleteStr=2018%20onca%20989&amp;autocompletePos=1"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canlii.org/fr/qc/qccs/doc/2017/2017qccs3262/2017qccs3262.html" TargetMode="External"/><Relationship Id="rId95" Type="http://schemas.openxmlformats.org/officeDocument/2006/relationships/hyperlink" Target="http://canlii.ca/t/h03f2" TargetMode="External"/><Relationship Id="rId22" Type="http://schemas.openxmlformats.org/officeDocument/2006/relationships/hyperlink" Target="https://www.scc-csc.ca/case-dossier/info/sum-som-eng.aspx?cas=38526" TargetMode="External"/><Relationship Id="rId27" Type="http://schemas.openxmlformats.org/officeDocument/2006/relationships/hyperlink" Target="https://www.scc-csc.ca/case-dossier/info/sum-som-eng.aspx?cas=38473" TargetMode="External"/><Relationship Id="rId43" Type="http://schemas.openxmlformats.org/officeDocument/2006/relationships/hyperlink" Target="http://canlii.ca/t/gttvk" TargetMode="External"/><Relationship Id="rId48" Type="http://schemas.openxmlformats.org/officeDocument/2006/relationships/hyperlink" Target="https://www.canlii.org/en/ab/abca/doc/2018/2018abca380/2018abca380.html?autocompleteStr=2018%20ABCA%20380&amp;autocompletePos=1" TargetMode="External"/><Relationship Id="rId64" Type="http://schemas.openxmlformats.org/officeDocument/2006/relationships/hyperlink" Target="https://www.canlii.org/fr/qc/qccs/doc/2016/2016qccs6328/2016qccs6328.html?searchUrlHash=AAAAAQAhInBhcmFjaHV0aXNtZSIgZXQgImHDqXJvbmF1dGlxdWUiAAAAAAE&amp;resultIndex=3" TargetMode="External"/><Relationship Id="rId69" Type="http://schemas.openxmlformats.org/officeDocument/2006/relationships/hyperlink" Target="http://canlii.ca/t/ht9nq" TargetMode="External"/><Relationship Id="rId113" Type="http://schemas.openxmlformats.org/officeDocument/2006/relationships/hyperlink" Target="https://www.canlii.org/en/bc/bcsc/doc/2017/2017bcsc1880/2017bcsc1880.html?autocompleteStr=2017%20BCSC%201880&amp;autocompletePos=1" TargetMode="External"/><Relationship Id="rId118" Type="http://schemas.openxmlformats.org/officeDocument/2006/relationships/hyperlink" Target="https://www.canlii.org/fr/qc/qcca/doc/2018/2018qcca2165/2018qcca2165.html" TargetMode="External"/><Relationship Id="rId134" Type="http://schemas.openxmlformats.org/officeDocument/2006/relationships/hyperlink" Target="https://www.canlii.org/en/on/onca/doc/2019/2019onca1/2019onca1.html?autocompleteStr=2019%20ONCA%201&amp;autocompletePos=1" TargetMode="External"/><Relationship Id="rId139" Type="http://schemas.openxmlformats.org/officeDocument/2006/relationships/header" Target="header2.xml"/><Relationship Id="rId80" Type="http://schemas.openxmlformats.org/officeDocument/2006/relationships/hyperlink" Target="https://www.canlii.org/en/ca/laws/stat/schedule-b-to-the-canada-act-1982-uk-1982-c-11/latest/schedule-b-to-the-canada-act-1982-uk-1982-c-11.html" TargetMode="External"/><Relationship Id="rId85" Type="http://schemas.openxmlformats.org/officeDocument/2006/relationships/hyperlink" Target="https://www.canlii.org/en/ab/abqb/doc/2017/2017abqb726/2017abqb726.html?resultIndex=1" TargetMode="External"/><Relationship Id="rId3" Type="http://schemas.openxmlformats.org/officeDocument/2006/relationships/styles" Target="styles.xml"/><Relationship Id="rId12" Type="http://schemas.openxmlformats.org/officeDocument/2006/relationships/hyperlink" Target="https://www.scc-csc.ca/case-dossier/info/sum-som-eng.aspx?cas=38486" TargetMode="External"/><Relationship Id="rId17" Type="http://schemas.openxmlformats.org/officeDocument/2006/relationships/hyperlink" Target="https://www.scc-csc.ca/case-dossier/info/sum-som-eng.aspx?cas=38538" TargetMode="External"/><Relationship Id="rId25" Type="http://schemas.openxmlformats.org/officeDocument/2006/relationships/hyperlink" Target="https://www.scc-csc.ca/case-dossier/info/sum-som-eng.aspx?cas=38494" TargetMode="External"/><Relationship Id="rId33" Type="http://schemas.openxmlformats.org/officeDocument/2006/relationships/hyperlink" Target="https://www.canlii.org/en/ab/abca/doc/2018/2018abca321/2018abca321.html?autocompleteStr=cuthill&amp;autocompletePos=3" TargetMode="External"/><Relationship Id="rId38" Type="http://schemas.openxmlformats.org/officeDocument/2006/relationships/hyperlink" Target="https://www.canlii.org/en/on/onca/doc/2018/2018onca901/2018onca901.pdf" TargetMode="External"/><Relationship Id="rId46" Type="http://schemas.openxmlformats.org/officeDocument/2006/relationships/hyperlink" Target="https://www.canlii.org/en/ab/abca/doc/2018/2018abca384/2018abca384.html?autocompleteStr=2018%20ABCA%20384&amp;autocompletePos=1" TargetMode="External"/><Relationship Id="rId59" Type="http://schemas.openxmlformats.org/officeDocument/2006/relationships/hyperlink" Target="https://www.canlii.org/fr/ca/cfpi/doc/2014/2014cf1254/2014cf1254.html" TargetMode="External"/><Relationship Id="rId67" Type="http://schemas.openxmlformats.org/officeDocument/2006/relationships/hyperlink" Target="https://www.canlii.org/fr/qc/qccs/doc/2016/2016qccs6328/2016qccs6328.html?searchUrlHash=AAAAAQAhInBhcmFjaHV0aXNtZSIgZXQgImHDqXJvbmF1dGlxdWUiAAAAAAE&amp;resultIndex=3" TargetMode="External"/><Relationship Id="rId103" Type="http://schemas.openxmlformats.org/officeDocument/2006/relationships/hyperlink" Target="https://www.canlii.org/fr/ca/cfpi/doc/2016/2016cf294/2016cf294.html" TargetMode="External"/><Relationship Id="rId108" Type="http://schemas.openxmlformats.org/officeDocument/2006/relationships/hyperlink" Target="https://www.canlii.org/en/mb/mbca/doc/2018/2018mbca91/2018mbca91.html" TargetMode="External"/><Relationship Id="rId116" Type="http://schemas.openxmlformats.org/officeDocument/2006/relationships/hyperlink" Target="https://www.canlii.org/en/bc/bcca/doc/2018/2018bcca279/2018bcca279.html?autocompleteStr=2018%20BCCA%20279&amp;autocompletePos=1" TargetMode="External"/><Relationship Id="rId124" Type="http://schemas.openxmlformats.org/officeDocument/2006/relationships/hyperlink" Target="https://www.canlii.org/en/nl/nlca/doc/2018/2018nlca71/2018nlca71.html?autocompleteStr=2018%20NLCA%2071&amp;autocompletePos=1" TargetMode="External"/><Relationship Id="rId129" Type="http://schemas.openxmlformats.org/officeDocument/2006/relationships/hyperlink" Target="https://www.canlii.org/en/on/onsc/doc/2018/2018onsc816/2018onsc816.html?autocompleteStr=2018%20ONSC%20816&amp;autocompletePos=1" TargetMode="External"/><Relationship Id="rId137" Type="http://schemas.openxmlformats.org/officeDocument/2006/relationships/hyperlink" Target="mailto:comments-commentaires@scc-csc.ca" TargetMode="External"/><Relationship Id="rId20" Type="http://schemas.openxmlformats.org/officeDocument/2006/relationships/hyperlink" Target="https://www.scc-csc.ca/case-dossier/info/sum-som-eng.aspx?cas=38396" TargetMode="External"/><Relationship Id="rId41" Type="http://schemas.openxmlformats.org/officeDocument/2006/relationships/hyperlink" Target="http://canlii.ca/t/gttvk" TargetMode="External"/><Relationship Id="rId54" Type="http://schemas.openxmlformats.org/officeDocument/2006/relationships/hyperlink" Target="https://www.canlii.org/en/ca/laws/stat/rsc-1985-c-p-4/latest/rsc-1985-c-p-4.html" TargetMode="External"/><Relationship Id="rId62" Type="http://schemas.openxmlformats.org/officeDocument/2006/relationships/hyperlink" Target="https://www.canlii.org/en/nb/nbca/doc/2018/2018nbca64/2018nbca64.html?autocompleteStr=Aviva%20Insurance%20Company%20of%20Canada%20v.%20%C3%89v%C3%AAque%20catholique%20romain%20de%20Bathurst&amp;autocompletePos=1" TargetMode="External"/><Relationship Id="rId70" Type="http://schemas.openxmlformats.org/officeDocument/2006/relationships/hyperlink" Target="http://canlii.ca/t/hwhg7" TargetMode="External"/><Relationship Id="rId75" Type="http://schemas.openxmlformats.org/officeDocument/2006/relationships/hyperlink" Target="http://canlii.ca/t/hsbzz" TargetMode="External"/><Relationship Id="rId83" Type="http://schemas.openxmlformats.org/officeDocument/2006/relationships/hyperlink" Target="https://www.canlii.org/en/ca/laws/stat/rsc-1985-c-c-46/latest/rsc-1985-c-c-46.html" TargetMode="External"/><Relationship Id="rId88" Type="http://schemas.openxmlformats.org/officeDocument/2006/relationships/hyperlink" Target="https://www.canlii.org/fr/qc/qcca/doc/2017/2017qcca1841/2017qcca1841.html" TargetMode="External"/><Relationship Id="rId91" Type="http://schemas.openxmlformats.org/officeDocument/2006/relationships/hyperlink" Target="https://www.canlii.org/fr/qc/qcca/doc/2017/2017qcca1841/2017qcca1841.html" TargetMode="External"/><Relationship Id="rId96" Type="http://schemas.openxmlformats.org/officeDocument/2006/relationships/hyperlink" Target="https://www.canlii.org/en/ab/abca/doc/2018/2018abca305/2018abca305.html?searchUrlHash=AAAAAQBYQ2FuYWRpYW4gTmF0dXJhbCBSZXNvdXJjZXMgTGltaXRlZCB2IFdvb2QgR3JvdXAgTXVzdGFuZyAoQ2FuYWRhKSBJbmMgKElNViBQcm9qZWN0cyBJbmMpIAAAAAAB&amp;resultIndex=1" TargetMode="External"/><Relationship Id="rId111" Type="http://schemas.openxmlformats.org/officeDocument/2006/relationships/hyperlink" Target="https://www.canlii.org/en/on/onscdc/doc/2018/2018onsc942/2018onsc942.html?searchUrlHash=AAAAAQANMjAxOCBPTlNDIDk0MgAAAAAB&amp;resultIndex=2" TargetMode="External"/><Relationship Id="rId132" Type="http://schemas.openxmlformats.org/officeDocument/2006/relationships/hyperlink" Target="https://www.canlii.org/en/on/onca/doc/2018/2018onca1051/2018onca1051.html?autocompleteStr=2018%20ONCA%201051&amp;autocompletePos=1" TargetMode="External"/><Relationship Id="rId140" Type="http://schemas.openxmlformats.org/officeDocument/2006/relationships/footer" Target="footer1.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fra.aspx?cas=38414" TargetMode="External"/><Relationship Id="rId23" Type="http://schemas.openxmlformats.org/officeDocument/2006/relationships/hyperlink" Target="https://www.scc-csc.ca/case-dossier/info/sum-som-eng.aspx?cas=38506" TargetMode="External"/><Relationship Id="rId28" Type="http://schemas.openxmlformats.org/officeDocument/2006/relationships/hyperlink" Target="https://www.scc-csc.ca/case-dossier/info/sum-som-fra.aspx?cas=38522" TargetMode="External"/><Relationship Id="rId36" Type="http://schemas.openxmlformats.org/officeDocument/2006/relationships/hyperlink" Target="https://www.canlii.org/en/ab/abca/doc/2018/2018abca321/2018abca321.html?autocompleteStr=cuthill&amp;autocompletePos=3" TargetMode="External"/><Relationship Id="rId49" Type="http://schemas.openxmlformats.org/officeDocument/2006/relationships/hyperlink" Target="https://www.canlii.org/en/ab/abqb/doc/2017/2017abqb466/2017abqb466.html?autocompleteStr=2017%20ABQB%20466&amp;autocompletePos=1" TargetMode="External"/><Relationship Id="rId57" Type="http://schemas.openxmlformats.org/officeDocument/2006/relationships/hyperlink" Target="https://www.canlii.org/fr/ca/legis/lois/lrc-1985-c-p-4/derniere/lrc-1985-c-p-4.html" TargetMode="External"/><Relationship Id="rId106" Type="http://schemas.openxmlformats.org/officeDocument/2006/relationships/hyperlink" Target="http://canlii.ca/t/hp3t7" TargetMode="External"/><Relationship Id="rId114" Type="http://schemas.openxmlformats.org/officeDocument/2006/relationships/hyperlink" Target="https://www.canlii.org/en/bc/bcca/doc/2018/2018bcca279/2018bcca279.html?autocompleteStr=2018%20BCCA%20279&amp;autocompletePos=1" TargetMode="External"/><Relationship Id="rId119" Type="http://schemas.openxmlformats.org/officeDocument/2006/relationships/hyperlink" Target="https://www.canlii.org/en/nl/nlsctd/doc/2014/2014canlii56981/2014canlii56981.html" TargetMode="External"/><Relationship Id="rId127" Type="http://schemas.openxmlformats.org/officeDocument/2006/relationships/hyperlink" Target="https://www.canlii.org/en/on/onsc/doc/2017/2017onsc4352/2017onsc4352.html?autocompleteStr=2017%20ONSC%204352&amp;autocompletePos=1" TargetMode="External"/><Relationship Id="rId10" Type="http://schemas.openxmlformats.org/officeDocument/2006/relationships/hyperlink" Target="https://www.scc-csc.ca/case-dossier/info/sum-som-eng.aspx?cas=38464" TargetMode="External"/><Relationship Id="rId31" Type="http://schemas.openxmlformats.org/officeDocument/2006/relationships/hyperlink" Target="https://www.scc-csc.ca/case-dossier/info/sum-som-eng.aspx?cas=38517" TargetMode="External"/><Relationship Id="rId44" Type="http://schemas.openxmlformats.org/officeDocument/2006/relationships/hyperlink" Target="http://canlii.ca/t/hwdlw" TargetMode="External"/><Relationship Id="rId52" Type="http://schemas.openxmlformats.org/officeDocument/2006/relationships/hyperlink" Target="https://www.canlii.org/en/ab/abca/doc/2018/2018abca380/2018abca380.html?autocompleteStr=2018%20ABCA%20380&amp;autocompletePos=1" TargetMode="External"/><Relationship Id="rId60" Type="http://schemas.openxmlformats.org/officeDocument/2006/relationships/hyperlink" Target="http://canlii.ca/t/hwbcc" TargetMode="External"/><Relationship Id="rId65" Type="http://schemas.openxmlformats.org/officeDocument/2006/relationships/hyperlink" Target="https://www.canlii.org/fr/qc/qcca/doc/2018/2018qcca1567/2018qcca1567.html?searchUrlHash=AAAAAQAhInBhcmFjaHV0aXNtZSIgZXQgImHDqXJvbmF1dGlxdWUiAAAAAAE&amp;resultIndex=1" TargetMode="External"/><Relationship Id="rId73" Type="http://schemas.openxmlformats.org/officeDocument/2006/relationships/hyperlink" Target="http://canlii.ca/t/hsbzz" TargetMode="External"/><Relationship Id="rId78" Type="http://schemas.openxmlformats.org/officeDocument/2006/relationships/hyperlink" Target="https://www.canlii.org/en/ca/laws/stat/rsc-1985-c-c-46/latest/rsc-1985-c-c-46.html" TargetMode="External"/><Relationship Id="rId81" Type="http://schemas.openxmlformats.org/officeDocument/2006/relationships/hyperlink" Target="https://www.canlii.org/en/ab/abqb/doc/2017/2017abqb726/2017abqb726.html?resultIndex=1" TargetMode="External"/><Relationship Id="rId86" Type="http://schemas.openxmlformats.org/officeDocument/2006/relationships/hyperlink" Target="https://www.canlii.org/en/ab/abca/doc/2018/2018abca239/2018abca239.html?resultIndex=1" TargetMode="External"/><Relationship Id="rId94" Type="http://schemas.openxmlformats.org/officeDocument/2006/relationships/hyperlink" Target="https://www.canlii.org/en/ab/abca/doc/2018/2018abca305/2018abca305.html?searchUrlHash=AAAAAQBYQ2FuYWRpYW4gTmF0dXJhbCBSZXNvdXJjZXMgTGltaXRlZCB2IFdvb2QgR3JvdXAgTXVzdGFuZyAoQ2FuYWRhKSBJbmMgKElNViBQcm9qZWN0cyBJbmMpIAAAAAAB&amp;resultIndex=1" TargetMode="External"/><Relationship Id="rId99" Type="http://schemas.openxmlformats.org/officeDocument/2006/relationships/hyperlink" Target="https://www.canlii.org/en/ab/abqb/doc/2017/2017abqb389/2017abqb389.html?autocompleteStr=Mufuta&amp;autocompletePos=2" TargetMode="External"/><Relationship Id="rId101" Type="http://schemas.openxmlformats.org/officeDocument/2006/relationships/hyperlink" Target="https://www.canlii.org/en/ca/fct/doc/2016/2016fc294/2016fc294.html" TargetMode="External"/><Relationship Id="rId122" Type="http://schemas.openxmlformats.org/officeDocument/2006/relationships/hyperlink" Target="https://www.canlii.org/en/nl/nlsctd/doc/2014/2014canlii56981/2014canlii56981.html" TargetMode="External"/><Relationship Id="rId130" Type="http://schemas.openxmlformats.org/officeDocument/2006/relationships/hyperlink" Target="https://www.canlii.org/en/on/onca/doc/2018/2018onca1051/2018onca1051.html?autocompleteStr=2018%20ONCA%201051&amp;autocompletePos=1" TargetMode="External"/><Relationship Id="rId135" Type="http://schemas.openxmlformats.org/officeDocument/2006/relationships/hyperlink" Target="https://www.canlii.org/en/on/onsc/doc/2018/2018onsc718/2018onsc718.html?autocompleteStr=2018%20onsc%20718&amp;autocompletePos=1" TargetMode="External"/><Relationship Id="rId14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8504" TargetMode="External"/><Relationship Id="rId13" Type="http://schemas.openxmlformats.org/officeDocument/2006/relationships/hyperlink" Target="https://www.scc-csc.ca/case-dossier/info/sum-som-eng.aspx?cas=38485" TargetMode="External"/><Relationship Id="rId18" Type="http://schemas.openxmlformats.org/officeDocument/2006/relationships/hyperlink" Target="https://www.scc-csc.ca/case-dossier/info/sum-som-eng.aspx?cas=38367" TargetMode="External"/><Relationship Id="rId39" Type="http://schemas.openxmlformats.org/officeDocument/2006/relationships/hyperlink" Target="https://www.canlii.org/en/on/onsc/doc/2018/2018onsc101/2018onsc101.pdf" TargetMode="External"/><Relationship Id="rId109" Type="http://schemas.openxmlformats.org/officeDocument/2006/relationships/hyperlink" Target="https://www.canlii.org/en/mb/mbqb/doc/2017/2017mbqb90/2017mbqb90.html?autocompleteStr=Volden&amp;autocompletePos=3" TargetMode="External"/><Relationship Id="rId34" Type="http://schemas.openxmlformats.org/officeDocument/2006/relationships/hyperlink" Target="https://www.canlii.org/en/ab/abca/doc/2018/2018abca321/2018abca321.html?autocompleteStr=cuthill&amp;autocompletePos=3" TargetMode="External"/><Relationship Id="rId50" Type="http://schemas.openxmlformats.org/officeDocument/2006/relationships/hyperlink" Target="https://www.canlii.org/en/ab/abca/doc/2018/2018abca384/2018abca384.html?autocompleteStr=2018%20ABCA%20384&amp;autocompletePos=1" TargetMode="External"/><Relationship Id="rId55" Type="http://schemas.openxmlformats.org/officeDocument/2006/relationships/hyperlink" Target="http://canlii.ca/t/gggr5" TargetMode="External"/><Relationship Id="rId76" Type="http://schemas.openxmlformats.org/officeDocument/2006/relationships/hyperlink" Target="http://canlii.ca/t/hw70f" TargetMode="External"/><Relationship Id="rId97" Type="http://schemas.openxmlformats.org/officeDocument/2006/relationships/hyperlink" Target="https://www.canlii.org/en/ab/abqb/doc/2017/2017abqb389/2017abqb389.html?autocompleteStr=Mufuta&amp;autocompletePos=2" TargetMode="External"/><Relationship Id="rId104" Type="http://schemas.openxmlformats.org/officeDocument/2006/relationships/hyperlink" Target="https://www.canlii.org/en/ca/fca/doc/2018/2018fca222/2018fca222.html?autocompleteStr=2018%20fca%20222&amp;autocompletePos=1" TargetMode="External"/><Relationship Id="rId120" Type="http://schemas.openxmlformats.org/officeDocument/2006/relationships/hyperlink" Target="https://www.canlii.org/en/nl/nlsctd/doc/2016/2016canlii90989/2016canlii90989.html" TargetMode="External"/><Relationship Id="rId125" Type="http://schemas.openxmlformats.org/officeDocument/2006/relationships/hyperlink" Target="https://www.canlii.org/en/on/onsc/doc/2017/2017onsc4352/2017onsc4352.html?autocompleteStr=2017%20ONSC%204352&amp;autocompletePos=1"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canlii.ca/t/ht9nq" TargetMode="External"/><Relationship Id="rId92" Type="http://schemas.openxmlformats.org/officeDocument/2006/relationships/hyperlink" Target="https://www.canlii.org/fr/qc/qcca/doc/2018/2018qcca1880/2018qcca1880.html" TargetMode="External"/><Relationship Id="rId2" Type="http://schemas.openxmlformats.org/officeDocument/2006/relationships/numbering" Target="numbering.xml"/><Relationship Id="rId29" Type="http://schemas.openxmlformats.org/officeDocument/2006/relationships/hyperlink" Target="https://www.scc-csc.ca/case-dossier/info/sum-som-eng.aspx?cas=38521" TargetMode="External"/><Relationship Id="rId24" Type="http://schemas.openxmlformats.org/officeDocument/2006/relationships/hyperlink" Target="https://www.scc-csc.ca/case-dossier/info/sum-som-eng.aspx?cas=38527" TargetMode="External"/><Relationship Id="rId40" Type="http://schemas.openxmlformats.org/officeDocument/2006/relationships/hyperlink" Target="https://www.canlii.org/en/on/onca/doc/2018/2018onca901/2018onca901.pdf" TargetMode="External"/><Relationship Id="rId45" Type="http://schemas.openxmlformats.org/officeDocument/2006/relationships/hyperlink" Target="https://www.canlii.org/en/ab/abqb/doc/2017/2017abqb466/2017abqb466.html?autocompleteStr=2017%20ABQB%20466&amp;autocompletePos=1" TargetMode="External"/><Relationship Id="rId66" Type="http://schemas.openxmlformats.org/officeDocument/2006/relationships/hyperlink" Target="https://www.canlii.org/fr/qc/qccm/doc/2015/2015canlii62548/2015canlii62548.html?searchUrlHash=AAAAAQAhInBhcmFjaHV0aXNtZSIgZXQgImHDqXJvbmF1dGlxdWUiAAAAAAE&amp;resultIndex=2" TargetMode="External"/><Relationship Id="rId87" Type="http://schemas.openxmlformats.org/officeDocument/2006/relationships/hyperlink" Target="https://www.canlii.org/fr/qc/qccs/doc/2017/2017qccs3262/2017qccs3262.html" TargetMode="External"/><Relationship Id="rId110" Type="http://schemas.openxmlformats.org/officeDocument/2006/relationships/hyperlink" Target="https://www.canlii.org/en/mb/mbca/doc/2018/2018mbca91/2018mbca91.html" TargetMode="External"/><Relationship Id="rId115" Type="http://schemas.openxmlformats.org/officeDocument/2006/relationships/hyperlink" Target="https://www.canlii.org/en/bc/bcsc/doc/2017/2017bcsc1880/2017bcsc1880.html?autocompleteStr=2017%20BCSC%201880&amp;autocompletePos=1" TargetMode="External"/><Relationship Id="rId131" Type="http://schemas.openxmlformats.org/officeDocument/2006/relationships/hyperlink" Target="https://www.canlii.org/en/on/onsc/doc/2018/2018onsc816/2018onsc816.html?autocompleteStr=2018%20ONSC%20816&amp;autocompletePos=1" TargetMode="External"/><Relationship Id="rId136" Type="http://schemas.openxmlformats.org/officeDocument/2006/relationships/hyperlink" Target="https://www.canlii.org/en/on/onca/doc/2019/2019onca1/2019onca1.html?autocompleteStr=2019%20ONCA%201&amp;autocompletePos=1" TargetMode="External"/><Relationship Id="rId61" Type="http://schemas.openxmlformats.org/officeDocument/2006/relationships/hyperlink" Target="https://www.canlii.org/en/nb/nbca/doc/2018/2018nbca64/2018nbca64.html?autocompleteStr=Aviva%20Insurance%20Company%20of%20Canada%20v.%20%C3%89v%C3%AAque%20catholique%20romain%20de%20Bathurst&amp;autocompletePos=1" TargetMode="External"/><Relationship Id="rId82" Type="http://schemas.openxmlformats.org/officeDocument/2006/relationships/hyperlink" Target="https://www.canlii.org/en/ab/abca/doc/2018/2018abca239/2018abca239.html?resultIndex=1" TargetMode="External"/><Relationship Id="rId19" Type="http://schemas.openxmlformats.org/officeDocument/2006/relationships/hyperlink" Target="https://www.scc-csc.ca/case-dossier/info/sum-som-fra.aspx?cas=38528" TargetMode="External"/><Relationship Id="rId14" Type="http://schemas.openxmlformats.org/officeDocument/2006/relationships/hyperlink" Target="https://www.scc-csc.ca/case-dossier/info/sum-som-eng.aspx?cas=38443" TargetMode="External"/><Relationship Id="rId30" Type="http://schemas.openxmlformats.org/officeDocument/2006/relationships/hyperlink" Target="https://www.scc-csc.ca/case-dossier/info/sum-som-eng.aspx?cas=38503" TargetMode="External"/><Relationship Id="rId35" Type="http://schemas.openxmlformats.org/officeDocument/2006/relationships/hyperlink" Target="https://www.canlii.org/en/ab/abca/doc/2018/2018abca321/2018abca321.html?autocompleteStr=cuthill&amp;autocompletePos=3" TargetMode="External"/><Relationship Id="rId56" Type="http://schemas.openxmlformats.org/officeDocument/2006/relationships/hyperlink" Target="http://canlii.ca/t/hwbcc" TargetMode="External"/><Relationship Id="rId77" Type="http://schemas.openxmlformats.org/officeDocument/2006/relationships/hyperlink" Target="https://www.canlii.org/en/ca/laws/stat/rsc-1985-c-c-46/latest/rsc-1985-c-c-46.html" TargetMode="External"/><Relationship Id="rId100" Type="http://schemas.openxmlformats.org/officeDocument/2006/relationships/hyperlink" Target="https://www.canlii.org/en/ab/abca/doc/2018/2018abca289/2018abca289.html" TargetMode="External"/><Relationship Id="rId105" Type="http://schemas.openxmlformats.org/officeDocument/2006/relationships/hyperlink" Target="http://canlii.ca/t/hp3t7" TargetMode="External"/><Relationship Id="rId126" Type="http://schemas.openxmlformats.org/officeDocument/2006/relationships/hyperlink" Target="https://www.canlii.org/en/on/onca/doc/2018/2018onca989/2018onca989.html?autocompleteStr=2018%20onca%20989&amp;autocompletePos=1" TargetMode="External"/><Relationship Id="rId8" Type="http://schemas.openxmlformats.org/officeDocument/2006/relationships/hyperlink" Target="https://www.scc-csc.ca/case-dossier/info/sum-som-eng.aspx?cas=38429" TargetMode="External"/><Relationship Id="rId51" Type="http://schemas.openxmlformats.org/officeDocument/2006/relationships/hyperlink" Target="https://www.canlii.org/en/ab/abqb/doc/2017/2017abqb464/2017abqb464.html?autocompleteStr=2017%20ABQB%20464&amp;autocompletePos=1" TargetMode="External"/><Relationship Id="rId72" Type="http://schemas.openxmlformats.org/officeDocument/2006/relationships/hyperlink" Target="http://canlii.ca/t/hwhg7" TargetMode="External"/><Relationship Id="rId93" Type="http://schemas.openxmlformats.org/officeDocument/2006/relationships/hyperlink" Target="http://canlii.ca/t/h03f2" TargetMode="External"/><Relationship Id="rId98" Type="http://schemas.openxmlformats.org/officeDocument/2006/relationships/hyperlink" Target="https://www.canlii.org/en/ab/abca/doc/2018/2018abca289/2018abca289.html" TargetMode="External"/><Relationship Id="rId121" Type="http://schemas.openxmlformats.org/officeDocument/2006/relationships/hyperlink" Target="https://www.canlii.org/en/nl/nlca/doc/2018/2018nlca71/2018nlca71.html?autocompleteStr=2018%20NLCA%2071&amp;autocompletePos=1" TargetMode="External"/><Relationship Id="rId14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C2A4-AC57-4B39-8277-9F8339A1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21865</Words>
  <Characters>124636</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146209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2019-05-17T15:06:00Z</dcterms:created>
  <dcterms:modified xsi:type="dcterms:W3CDTF">2019-05-21T18:40:00Z</dcterms:modified>
</cp:coreProperties>
</file>