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524A0B">
        <w:rPr>
          <w:b/>
        </w:rPr>
        <w:t>S</w:t>
      </w:r>
      <w:r w:rsidR="00FA7412" w:rsidRPr="00EE5A88">
        <w:rPr>
          <w:b/>
        </w:rPr>
        <w:t xml:space="preserve"> TO BE RENDERED IN APPEA</w:t>
      </w:r>
      <w:r w:rsidR="00CC2799" w:rsidRPr="00EE5A88">
        <w:rPr>
          <w:b/>
        </w:rPr>
        <w:t>L</w:t>
      </w:r>
      <w:r w:rsidR="00524A0B">
        <w:rPr>
          <w:b/>
        </w:rPr>
        <w:t>S</w:t>
      </w:r>
    </w:p>
    <w:p w:rsidR="005A7C1B" w:rsidRPr="00EE5A88" w:rsidRDefault="005A7C1B" w:rsidP="005A7C1B">
      <w:pPr>
        <w:widowControl w:val="0"/>
      </w:pPr>
    </w:p>
    <w:p w:rsidR="00EC79B0" w:rsidRPr="00EE5A88" w:rsidRDefault="000A226B" w:rsidP="00EC79B0">
      <w:pPr>
        <w:widowControl w:val="0"/>
        <w:rPr>
          <w:b/>
        </w:rPr>
      </w:pPr>
      <w:r>
        <w:rPr>
          <w:b/>
        </w:rPr>
        <w:t>Ju</w:t>
      </w:r>
      <w:r w:rsidR="00524A0B">
        <w:rPr>
          <w:b/>
        </w:rPr>
        <w:t>ly</w:t>
      </w:r>
      <w:r w:rsidR="00C86395" w:rsidRPr="00EE5A88">
        <w:rPr>
          <w:b/>
        </w:rPr>
        <w:t xml:space="preserve"> </w:t>
      </w:r>
      <w:r w:rsidR="00D00113">
        <w:rPr>
          <w:b/>
        </w:rPr>
        <w:t>19</w:t>
      </w:r>
      <w:r w:rsidR="001667E3">
        <w:rPr>
          <w:b/>
        </w:rPr>
        <w:t>,</w:t>
      </w:r>
      <w:r w:rsidR="00EC79B0" w:rsidRPr="00EE5A88">
        <w:rPr>
          <w:b/>
        </w:rPr>
        <w:t xml:space="preserve">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D00113" w:rsidRDefault="00EC79B0" w:rsidP="00EC79B0">
      <w:pPr>
        <w:widowControl w:val="0"/>
        <w:rPr>
          <w:lang w:val="fr-CA"/>
        </w:rPr>
      </w:pPr>
      <w:r w:rsidRPr="00EE5531">
        <w:rPr>
          <w:b/>
        </w:rPr>
        <w:t>OTTAWA</w:t>
      </w:r>
      <w:r w:rsidRPr="00EE5531">
        <w:t xml:space="preserve"> – The Supreme Court of Canad</w:t>
      </w:r>
      <w:r w:rsidR="00455BB9" w:rsidRPr="00EE5531">
        <w:t>a announced today that judgment</w:t>
      </w:r>
      <w:r w:rsidR="00524A0B">
        <w:t>s</w:t>
      </w:r>
      <w:r w:rsidRPr="00EE5531">
        <w:t xml:space="preserve"> in the following </w:t>
      </w:r>
      <w:r w:rsidRPr="006B786C">
        <w:t>appeal</w:t>
      </w:r>
      <w:r w:rsidR="00524A0B">
        <w:t>s</w:t>
      </w:r>
      <w:r w:rsidRPr="006B786C">
        <w:t xml:space="preserve"> will be delivered at 9:45 a.m. E</w:t>
      </w:r>
      <w:r w:rsidR="00954614" w:rsidRPr="006B786C">
        <w:t>D</w:t>
      </w:r>
      <w:r w:rsidR="00DC6C1E" w:rsidRPr="006B786C">
        <w:t>T</w:t>
      </w:r>
      <w:r w:rsidR="00D74667" w:rsidRPr="006B786C">
        <w:t xml:space="preserve"> on</w:t>
      </w:r>
      <w:r w:rsidR="00DC6C1E" w:rsidRPr="006B786C">
        <w:t xml:space="preserve"> </w:t>
      </w:r>
      <w:r w:rsidR="008B3BD2" w:rsidRPr="006B786C">
        <w:t>Fri</w:t>
      </w:r>
      <w:r w:rsidR="007416D5" w:rsidRPr="006B786C">
        <w:t>day</w:t>
      </w:r>
      <w:r w:rsidR="000A7900" w:rsidRPr="006B786C">
        <w:t xml:space="preserve">, </w:t>
      </w:r>
      <w:r w:rsidR="000A226B" w:rsidRPr="006B786C">
        <w:t>Ju</w:t>
      </w:r>
      <w:r w:rsidR="008D7877" w:rsidRPr="006B786C">
        <w:t>ly</w:t>
      </w:r>
      <w:r w:rsidR="004E605A" w:rsidRPr="006B786C">
        <w:t xml:space="preserve"> </w:t>
      </w:r>
      <w:r w:rsidR="00524A0B">
        <w:t>26</w:t>
      </w:r>
      <w:r w:rsidR="00E63199" w:rsidRPr="006B786C">
        <w:t>, 2</w:t>
      </w:r>
      <w:r w:rsidR="0086609D" w:rsidRPr="006B786C">
        <w:t>01</w:t>
      </w:r>
      <w:r w:rsidR="008C5ACC" w:rsidRPr="006B786C">
        <w:t>9</w:t>
      </w:r>
      <w:r w:rsidR="00455BB9" w:rsidRPr="006B786C">
        <w:t xml:space="preserve">. </w:t>
      </w:r>
      <w:r w:rsidR="00455BB9" w:rsidRPr="00D00113">
        <w:rPr>
          <w:lang w:val="fr-CA"/>
        </w:rPr>
        <w:t>This</w:t>
      </w:r>
      <w:r w:rsidRPr="00D00113">
        <w:rPr>
          <w:lang w:val="fr-CA"/>
        </w:rPr>
        <w:t xml:space="preserve"> list is subject to change.</w:t>
      </w:r>
    </w:p>
    <w:p w:rsidR="001F76DD" w:rsidRPr="00D00113" w:rsidRDefault="001F76DD" w:rsidP="001C4415">
      <w:pPr>
        <w:widowControl w:val="0"/>
        <w:rPr>
          <w:szCs w:val="24"/>
          <w:lang w:val="fr-CA"/>
        </w:rPr>
      </w:pPr>
    </w:p>
    <w:p w:rsidR="001C4415" w:rsidRPr="00D00113" w:rsidRDefault="001C4415" w:rsidP="001C4415">
      <w:pPr>
        <w:widowControl w:val="0"/>
        <w:rPr>
          <w:lang w:val="fr-CA"/>
        </w:rPr>
      </w:pPr>
    </w:p>
    <w:p w:rsidR="001335A1" w:rsidRPr="006B786C" w:rsidRDefault="001335A1" w:rsidP="001335A1">
      <w:pPr>
        <w:widowControl w:val="0"/>
        <w:jc w:val="center"/>
        <w:rPr>
          <w:b/>
          <w:lang w:val="fr-CA"/>
        </w:rPr>
      </w:pPr>
      <w:r w:rsidRPr="006B786C">
        <w:rPr>
          <w:b/>
          <w:lang w:val="fr-CA"/>
        </w:rPr>
        <w:t>PROCHAIN</w:t>
      </w:r>
      <w:r w:rsidR="00524A0B">
        <w:rPr>
          <w:b/>
          <w:lang w:val="fr-CA"/>
        </w:rPr>
        <w:t>S</w:t>
      </w:r>
      <w:r w:rsidRPr="006B786C">
        <w:rPr>
          <w:b/>
          <w:lang w:val="fr-CA"/>
        </w:rPr>
        <w:t xml:space="preserve"> JUGEMENT</w:t>
      </w:r>
      <w:r w:rsidR="00524A0B">
        <w:rPr>
          <w:b/>
          <w:lang w:val="fr-CA"/>
        </w:rPr>
        <w:t>S</w:t>
      </w:r>
      <w:r w:rsidR="00455BB9" w:rsidRPr="006B786C">
        <w:rPr>
          <w:b/>
          <w:lang w:val="fr-CA"/>
        </w:rPr>
        <w:t xml:space="preserve"> SUR APPEL</w:t>
      </w:r>
      <w:r w:rsidR="00524A0B">
        <w:rPr>
          <w:b/>
          <w:lang w:val="fr-CA"/>
        </w:rPr>
        <w:t>S</w:t>
      </w:r>
    </w:p>
    <w:p w:rsidR="001335A1" w:rsidRPr="006B786C" w:rsidRDefault="001335A1" w:rsidP="001335A1">
      <w:pPr>
        <w:widowControl w:val="0"/>
        <w:rPr>
          <w:lang w:val="fr-CA"/>
        </w:rPr>
      </w:pPr>
    </w:p>
    <w:p w:rsidR="00EC79B0" w:rsidRPr="006B786C" w:rsidRDefault="00EC79B0" w:rsidP="00EC79B0">
      <w:pPr>
        <w:widowControl w:val="0"/>
        <w:rPr>
          <w:b/>
          <w:lang w:val="fr-CA"/>
        </w:rPr>
      </w:pPr>
      <w:r w:rsidRPr="006B786C">
        <w:rPr>
          <w:b/>
          <w:lang w:val="fr-CA"/>
        </w:rPr>
        <w:t xml:space="preserve">Le </w:t>
      </w:r>
      <w:r w:rsidR="00D00113">
        <w:rPr>
          <w:b/>
          <w:lang w:val="fr-CA"/>
        </w:rPr>
        <w:t>19</w:t>
      </w:r>
      <w:bookmarkStart w:id="0" w:name="_GoBack"/>
      <w:bookmarkEnd w:id="0"/>
      <w:r w:rsidR="007416D5" w:rsidRPr="006B786C">
        <w:rPr>
          <w:b/>
          <w:lang w:val="fr-CA"/>
        </w:rPr>
        <w:t xml:space="preserve"> </w:t>
      </w:r>
      <w:r w:rsidR="000A226B" w:rsidRPr="006B786C">
        <w:rPr>
          <w:b/>
          <w:lang w:val="fr-CA"/>
        </w:rPr>
        <w:t>jui</w:t>
      </w:r>
      <w:r w:rsidR="00524A0B">
        <w:rPr>
          <w:b/>
          <w:lang w:val="fr-CA"/>
        </w:rPr>
        <w:t>llet</w:t>
      </w:r>
      <w:r w:rsidR="00C86395" w:rsidRPr="006B786C">
        <w:rPr>
          <w:b/>
          <w:lang w:val="fr-CA"/>
        </w:rPr>
        <w:t xml:space="preserve"> </w:t>
      </w:r>
      <w:r w:rsidR="0086609D" w:rsidRPr="006B786C">
        <w:rPr>
          <w:b/>
          <w:lang w:val="fr-CA"/>
        </w:rPr>
        <w:t>201</w:t>
      </w:r>
      <w:r w:rsidR="008C5ACC" w:rsidRPr="006B786C">
        <w:rPr>
          <w:b/>
          <w:lang w:val="fr-CA"/>
        </w:rPr>
        <w:t>9</w:t>
      </w:r>
    </w:p>
    <w:p w:rsidR="00EC79B0" w:rsidRPr="006B786C" w:rsidRDefault="00EC79B0" w:rsidP="00EC79B0">
      <w:pPr>
        <w:widowControl w:val="0"/>
        <w:rPr>
          <w:b/>
          <w:lang w:val="fr-CA"/>
        </w:rPr>
      </w:pPr>
      <w:r w:rsidRPr="006B786C">
        <w:rPr>
          <w:b/>
          <w:lang w:val="fr-CA"/>
        </w:rPr>
        <w:t>Pour diffusion immédiate</w:t>
      </w:r>
    </w:p>
    <w:p w:rsidR="00EC79B0" w:rsidRPr="006B786C" w:rsidRDefault="00EC79B0" w:rsidP="00EC79B0">
      <w:pPr>
        <w:widowControl w:val="0"/>
        <w:rPr>
          <w:b/>
          <w:lang w:val="fr-CA"/>
        </w:rPr>
      </w:pPr>
    </w:p>
    <w:p w:rsidR="00EC79B0" w:rsidRPr="006B786C" w:rsidRDefault="00EC79B0" w:rsidP="00EC79B0">
      <w:pPr>
        <w:widowControl w:val="0"/>
        <w:rPr>
          <w:lang w:val="fr-CA"/>
        </w:rPr>
      </w:pPr>
      <w:r w:rsidRPr="006B786C">
        <w:rPr>
          <w:b/>
          <w:lang w:val="fr-CA"/>
        </w:rPr>
        <w:t>OTTAWA</w:t>
      </w:r>
      <w:r w:rsidRPr="006B786C">
        <w:rPr>
          <w:lang w:val="fr-CA"/>
        </w:rPr>
        <w:t xml:space="preserve"> – La Cour suprême du Canada annonce que jugement</w:t>
      </w:r>
      <w:r w:rsidR="00DA26BB">
        <w:rPr>
          <w:lang w:val="fr-CA"/>
        </w:rPr>
        <w:t>s</w:t>
      </w:r>
      <w:r w:rsidRPr="006B786C">
        <w:rPr>
          <w:lang w:val="fr-CA"/>
        </w:rPr>
        <w:t xml:space="preserve"> ser</w:t>
      </w:r>
      <w:r w:rsidR="00DA26BB">
        <w:rPr>
          <w:lang w:val="fr-CA"/>
        </w:rPr>
        <w:t>ont</w:t>
      </w:r>
      <w:r w:rsidRPr="006B786C">
        <w:rPr>
          <w:lang w:val="fr-CA"/>
        </w:rPr>
        <w:t xml:space="preserve"> rendu</w:t>
      </w:r>
      <w:r w:rsidR="00DA26BB">
        <w:rPr>
          <w:lang w:val="fr-CA"/>
        </w:rPr>
        <w:t>s</w:t>
      </w:r>
      <w:r w:rsidRPr="006B786C">
        <w:rPr>
          <w:lang w:val="fr-CA"/>
        </w:rPr>
        <w:t xml:space="preserve"> dans </w:t>
      </w:r>
      <w:r w:rsidR="001F1643" w:rsidRPr="006B786C">
        <w:rPr>
          <w:lang w:val="fr-CA"/>
        </w:rPr>
        <w:t>l</w:t>
      </w:r>
      <w:r w:rsidR="00DA26BB">
        <w:rPr>
          <w:lang w:val="fr-CA"/>
        </w:rPr>
        <w:t xml:space="preserve">es </w:t>
      </w:r>
      <w:r w:rsidR="001F1643" w:rsidRPr="006B786C">
        <w:rPr>
          <w:lang w:val="fr-CA"/>
        </w:rPr>
        <w:t>appel</w:t>
      </w:r>
      <w:r w:rsidR="00DA26BB">
        <w:rPr>
          <w:lang w:val="fr-CA"/>
        </w:rPr>
        <w:t>s</w:t>
      </w:r>
      <w:r w:rsidR="001F1643" w:rsidRPr="006B786C">
        <w:rPr>
          <w:lang w:val="fr-CA"/>
        </w:rPr>
        <w:t xml:space="preserve"> </w:t>
      </w:r>
      <w:r w:rsidRPr="006B786C">
        <w:rPr>
          <w:lang w:val="fr-CA"/>
        </w:rPr>
        <w:t>suivant</w:t>
      </w:r>
      <w:r w:rsidR="00DA26BB">
        <w:rPr>
          <w:lang w:val="fr-CA"/>
        </w:rPr>
        <w:t>s</w:t>
      </w:r>
      <w:r w:rsidRPr="006B786C">
        <w:rPr>
          <w:lang w:val="fr-CA"/>
        </w:rPr>
        <w:t xml:space="preserve"> le </w:t>
      </w:r>
      <w:r w:rsidR="008B3BD2" w:rsidRPr="006B786C">
        <w:rPr>
          <w:lang w:val="fr-CA"/>
        </w:rPr>
        <w:t>v</w:t>
      </w:r>
      <w:r w:rsidR="008B03CF" w:rsidRPr="006B786C">
        <w:rPr>
          <w:lang w:val="fr-CA"/>
        </w:rPr>
        <w:t>e</w:t>
      </w:r>
      <w:r w:rsidR="008B3BD2" w:rsidRPr="006B786C">
        <w:rPr>
          <w:lang w:val="fr-CA"/>
        </w:rPr>
        <w:t>ndre</w:t>
      </w:r>
      <w:r w:rsidR="00266607" w:rsidRPr="006B786C">
        <w:rPr>
          <w:lang w:val="fr-CA"/>
        </w:rPr>
        <w:t>d</w:t>
      </w:r>
      <w:r w:rsidR="00945121" w:rsidRPr="006B786C">
        <w:rPr>
          <w:lang w:val="fr-CA"/>
        </w:rPr>
        <w:t>i</w:t>
      </w:r>
      <w:r w:rsidR="007C1648" w:rsidRPr="006B786C">
        <w:rPr>
          <w:lang w:val="fr-CA"/>
        </w:rPr>
        <w:t xml:space="preserve"> </w:t>
      </w:r>
      <w:r w:rsidR="00DA26BB">
        <w:rPr>
          <w:lang w:val="fr-CA"/>
        </w:rPr>
        <w:t>26</w:t>
      </w:r>
      <w:r w:rsidR="00F62251" w:rsidRPr="006B786C">
        <w:rPr>
          <w:lang w:val="fr-CA"/>
        </w:rPr>
        <w:t xml:space="preserve"> </w:t>
      </w:r>
      <w:r w:rsidR="000A226B" w:rsidRPr="006B786C">
        <w:rPr>
          <w:lang w:val="fr-CA"/>
        </w:rPr>
        <w:t>jui</w:t>
      </w:r>
      <w:r w:rsidR="008D7877" w:rsidRPr="006B786C">
        <w:rPr>
          <w:lang w:val="fr-CA"/>
        </w:rPr>
        <w:t>llet</w:t>
      </w:r>
      <w:r w:rsidR="00282563" w:rsidRPr="006B786C">
        <w:rPr>
          <w:lang w:val="fr-CA"/>
        </w:rPr>
        <w:t xml:space="preserve"> </w:t>
      </w:r>
      <w:r w:rsidRPr="006B786C">
        <w:rPr>
          <w:lang w:val="fr-CA"/>
        </w:rPr>
        <w:t>201</w:t>
      </w:r>
      <w:r w:rsidR="008C5ACC" w:rsidRPr="006B786C">
        <w:rPr>
          <w:lang w:val="fr-CA"/>
        </w:rPr>
        <w:t>9</w:t>
      </w:r>
      <w:r w:rsidRPr="006B786C">
        <w:rPr>
          <w:lang w:val="fr-CA"/>
        </w:rPr>
        <w:t>, à 9 h 45 H</w:t>
      </w:r>
      <w:r w:rsidR="00E7729C" w:rsidRPr="006B786C">
        <w:rPr>
          <w:lang w:val="fr-CA"/>
        </w:rPr>
        <w:t>A</w:t>
      </w:r>
      <w:r w:rsidRPr="006B786C">
        <w:rPr>
          <w:lang w:val="fr-CA"/>
        </w:rPr>
        <w:t>E. Cette liste est sujette à modifications.</w:t>
      </w:r>
    </w:p>
    <w:p w:rsidR="00340C6D" w:rsidRPr="006B786C" w:rsidRDefault="00340C6D" w:rsidP="00340C6D">
      <w:pPr>
        <w:jc w:val="both"/>
        <w:rPr>
          <w:bCs/>
          <w:szCs w:val="24"/>
          <w:lang w:val="fr-CA"/>
        </w:rPr>
      </w:pPr>
    </w:p>
    <w:p w:rsidR="008F607D" w:rsidRDefault="00D00113"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Default="00430BBD" w:rsidP="00772636">
      <w:pPr>
        <w:jc w:val="both"/>
      </w:pPr>
      <w:r w:rsidRPr="00430BBD">
        <w:rPr>
          <w:i/>
          <w:szCs w:val="24"/>
        </w:rPr>
        <w:t>Master Corporal C.J. Stillman, et al. v</w:t>
      </w:r>
      <w:r>
        <w:rPr>
          <w:i/>
          <w:szCs w:val="24"/>
        </w:rPr>
        <w:t>. Her Majesty the Queen, et al.</w:t>
      </w:r>
      <w:r w:rsidR="00D21369" w:rsidRPr="009D295C">
        <w:rPr>
          <w:i/>
          <w:szCs w:val="24"/>
        </w:rPr>
        <w:t xml:space="preserve"> </w:t>
      </w:r>
      <w:r w:rsidR="00772636" w:rsidRPr="009D295C">
        <w:rPr>
          <w:szCs w:val="24"/>
        </w:rPr>
        <w:t>(</w:t>
      </w:r>
      <w:r w:rsidR="00AC4280">
        <w:rPr>
          <w:szCs w:val="24"/>
        </w:rPr>
        <w:t>C</w:t>
      </w:r>
      <w:r w:rsidR="009D295C">
        <w:rPr>
          <w:szCs w:val="24"/>
        </w:rPr>
        <w:t>.</w:t>
      </w:r>
      <w:r w:rsidR="00C57739">
        <w:rPr>
          <w:szCs w:val="24"/>
        </w:rPr>
        <w:t>M.A.C.</w:t>
      </w:r>
      <w:r w:rsidR="00772636" w:rsidRPr="009D295C">
        <w:rPr>
          <w:szCs w:val="24"/>
        </w:rPr>
        <w:t xml:space="preserve">) </w:t>
      </w:r>
      <w:r w:rsidR="00772636" w:rsidRPr="009D295C">
        <w:t>(</w:t>
      </w:r>
      <w:hyperlink r:id="rId7" w:history="1">
        <w:r w:rsidR="00772636" w:rsidRPr="009D295C">
          <w:rPr>
            <w:rStyle w:val="Hyperlink"/>
          </w:rPr>
          <w:t>3</w:t>
        </w:r>
        <w:r w:rsidR="00AE7E7E">
          <w:rPr>
            <w:rStyle w:val="Hyperlink"/>
          </w:rPr>
          <w:t>7701</w:t>
        </w:r>
      </w:hyperlink>
      <w:r w:rsidR="00772636" w:rsidRPr="009D295C">
        <w:t>)</w:t>
      </w:r>
    </w:p>
    <w:p w:rsidR="00AE7E7E" w:rsidRDefault="00AE7E7E" w:rsidP="00772636">
      <w:pPr>
        <w:jc w:val="both"/>
      </w:pPr>
    </w:p>
    <w:p w:rsidR="00AE7E7E" w:rsidRPr="00AC4280" w:rsidRDefault="001B7036" w:rsidP="00AE7E7E">
      <w:pPr>
        <w:jc w:val="both"/>
        <w:rPr>
          <w:szCs w:val="24"/>
        </w:rPr>
      </w:pPr>
      <w:r w:rsidRPr="001B7036">
        <w:rPr>
          <w:i/>
          <w:szCs w:val="24"/>
        </w:rPr>
        <w:t>Her Majesty the Queen v. Corporal R.P. Beaudry</w:t>
      </w:r>
      <w:r w:rsidR="00AE7E7E" w:rsidRPr="009D295C">
        <w:rPr>
          <w:i/>
          <w:szCs w:val="24"/>
        </w:rPr>
        <w:t xml:space="preserve"> </w:t>
      </w:r>
      <w:r w:rsidR="00AE7E7E" w:rsidRPr="009D295C">
        <w:rPr>
          <w:szCs w:val="24"/>
        </w:rPr>
        <w:t>(</w:t>
      </w:r>
      <w:r w:rsidR="00C57739">
        <w:rPr>
          <w:szCs w:val="24"/>
        </w:rPr>
        <w:t>C</w:t>
      </w:r>
      <w:r w:rsidR="00AE7E7E">
        <w:rPr>
          <w:szCs w:val="24"/>
        </w:rPr>
        <w:t>.</w:t>
      </w:r>
      <w:r w:rsidR="00C57739">
        <w:rPr>
          <w:szCs w:val="24"/>
        </w:rPr>
        <w:t>M</w:t>
      </w:r>
      <w:r w:rsidR="00AE7E7E">
        <w:rPr>
          <w:szCs w:val="24"/>
        </w:rPr>
        <w:t>.</w:t>
      </w:r>
      <w:r w:rsidR="00C57739">
        <w:rPr>
          <w:szCs w:val="24"/>
        </w:rPr>
        <w:t>A.C.</w:t>
      </w:r>
      <w:r w:rsidR="00AE7E7E" w:rsidRPr="009D295C">
        <w:rPr>
          <w:szCs w:val="24"/>
        </w:rPr>
        <w:t xml:space="preserve">) </w:t>
      </w:r>
      <w:r w:rsidR="00AE7E7E" w:rsidRPr="009D295C">
        <w:t>(</w:t>
      </w:r>
      <w:hyperlink r:id="rId8" w:history="1">
        <w:r w:rsidR="00AE7E7E" w:rsidRPr="009D295C">
          <w:rPr>
            <w:rStyle w:val="Hyperlink"/>
          </w:rPr>
          <w:t>3</w:t>
        </w:r>
        <w:r w:rsidR="00AE7E7E">
          <w:rPr>
            <w:rStyle w:val="Hyperlink"/>
          </w:rPr>
          <w:t>8308</w:t>
        </w:r>
      </w:hyperlink>
      <w:r w:rsidR="00AE7E7E" w:rsidRPr="009D295C">
        <w:t>)</w:t>
      </w:r>
    </w:p>
    <w:p w:rsidR="009F18D7" w:rsidRDefault="009F18D7" w:rsidP="00340C6D">
      <w:pPr>
        <w:jc w:val="both"/>
      </w:pPr>
    </w:p>
    <w:p w:rsidR="00C57739" w:rsidRPr="00C57739" w:rsidRDefault="00C57739" w:rsidP="00340C6D">
      <w:pPr>
        <w:jc w:val="both"/>
        <w:rPr>
          <w:sz w:val="20"/>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C57739" w:rsidRPr="00C57739" w:rsidTr="00986279">
        <w:tc>
          <w:tcPr>
            <w:tcW w:w="395" w:type="pct"/>
          </w:tcPr>
          <w:p w:rsidR="00C57739" w:rsidRPr="00C57739" w:rsidRDefault="00C57739" w:rsidP="00F9479E">
            <w:pPr>
              <w:rPr>
                <w:sz w:val="20"/>
              </w:rPr>
            </w:pPr>
            <w:r w:rsidRPr="00C57739">
              <w:rPr>
                <w:rStyle w:val="SCCFileNumberChar"/>
                <w:sz w:val="20"/>
                <w:szCs w:val="20"/>
              </w:rPr>
              <w:t>37701</w:t>
            </w:r>
          </w:p>
        </w:tc>
        <w:tc>
          <w:tcPr>
            <w:tcW w:w="4605" w:type="pct"/>
          </w:tcPr>
          <w:p w:rsidR="00C57739" w:rsidRPr="00C57739" w:rsidRDefault="00C57739" w:rsidP="00986279">
            <w:pPr>
              <w:pStyle w:val="SCCLsocParty"/>
              <w:rPr>
                <w:b/>
                <w:i w:val="0"/>
                <w:sz w:val="20"/>
                <w:szCs w:val="20"/>
                <w:lang w:val="en-US"/>
              </w:rPr>
            </w:pPr>
            <w:r w:rsidRPr="00C57739">
              <w:rPr>
                <w:b/>
                <w:sz w:val="20"/>
                <w:szCs w:val="20"/>
                <w:lang w:val="en-US"/>
              </w:rPr>
              <w:t>Master Corporal C.J. Stillman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Ex-Petty Officer 2nd Class J.K. Wilks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Warrant Officer J.G.A. Gagnon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Lieutenant (Navy) G.M. Klein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Corporal Charles Nadeau-Dion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 xml:space="preserve">Corporal F.P. </w:t>
            </w:r>
            <w:proofErr w:type="spellStart"/>
            <w:r w:rsidRPr="00C57739">
              <w:rPr>
                <w:b/>
                <w:sz w:val="20"/>
                <w:szCs w:val="20"/>
                <w:lang w:val="en-US"/>
              </w:rPr>
              <w:t>Pfahl</w:t>
            </w:r>
            <w:proofErr w:type="spellEnd"/>
            <w:r w:rsidRPr="00C57739">
              <w:rPr>
                <w:b/>
                <w:sz w:val="20"/>
                <w:szCs w:val="20"/>
                <w:lang w:val="en-US"/>
              </w:rPr>
              <w:t xml:space="preserve">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Corporal A.J.R. Thibault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 xml:space="preserve">Second Lieutenant </w:t>
            </w:r>
            <w:proofErr w:type="spellStart"/>
            <w:r w:rsidRPr="00C57739">
              <w:rPr>
                <w:b/>
                <w:sz w:val="20"/>
                <w:szCs w:val="20"/>
                <w:lang w:val="en-US"/>
              </w:rPr>
              <w:t>Soudri</w:t>
            </w:r>
            <w:proofErr w:type="spellEnd"/>
            <w:r w:rsidRPr="00C57739">
              <w:rPr>
                <w:b/>
                <w:sz w:val="20"/>
                <w:szCs w:val="20"/>
                <w:lang w:val="en-US"/>
              </w:rPr>
              <w:t xml:space="preserve"> v. Her Majesty the Queen</w:t>
            </w:r>
          </w:p>
          <w:p w:rsidR="00C57739" w:rsidRPr="00C57739" w:rsidRDefault="00C57739">
            <w:pPr>
              <w:pStyle w:val="SCCLsocSubfileSeparator"/>
              <w:rPr>
                <w:i/>
                <w:sz w:val="20"/>
                <w:szCs w:val="20"/>
              </w:rPr>
            </w:pPr>
            <w:r w:rsidRPr="00C57739">
              <w:rPr>
                <w:i/>
                <w:sz w:val="20"/>
                <w:szCs w:val="20"/>
              </w:rPr>
              <w:t>- and between -</w:t>
            </w:r>
          </w:p>
          <w:p w:rsidR="00C57739" w:rsidRPr="00C57739" w:rsidRDefault="00C57739">
            <w:pPr>
              <w:pStyle w:val="SCCLsocParty"/>
              <w:rPr>
                <w:b/>
                <w:i w:val="0"/>
                <w:sz w:val="20"/>
                <w:szCs w:val="20"/>
                <w:lang w:val="en-US"/>
              </w:rPr>
            </w:pPr>
            <w:r w:rsidRPr="00C57739">
              <w:rPr>
                <w:b/>
                <w:sz w:val="20"/>
                <w:szCs w:val="20"/>
                <w:lang w:val="en-US"/>
              </w:rPr>
              <w:t>K39 842 031 Petty Officer 2nd Class R.K. Blackman v. Her Majesty the Queen</w:t>
            </w:r>
          </w:p>
          <w:p w:rsidR="00C57739" w:rsidRPr="00C57739" w:rsidRDefault="00C57739">
            <w:pPr>
              <w:rPr>
                <w:sz w:val="20"/>
              </w:rPr>
            </w:pPr>
            <w:r w:rsidRPr="00C57739">
              <w:rPr>
                <w:sz w:val="20"/>
              </w:rPr>
              <w:t>(C</w:t>
            </w:r>
            <w:r>
              <w:rPr>
                <w:sz w:val="20"/>
              </w:rPr>
              <w:t>.</w:t>
            </w:r>
            <w:r w:rsidRPr="00C57739">
              <w:rPr>
                <w:sz w:val="20"/>
              </w:rPr>
              <w:t>M</w:t>
            </w:r>
            <w:r>
              <w:rPr>
                <w:sz w:val="20"/>
              </w:rPr>
              <w:t>.</w:t>
            </w:r>
            <w:r w:rsidRPr="00C57739">
              <w:rPr>
                <w:sz w:val="20"/>
              </w:rPr>
              <w:t>A</w:t>
            </w:r>
            <w:r>
              <w:rPr>
                <w:sz w:val="20"/>
              </w:rPr>
              <w:t>.</w:t>
            </w:r>
            <w:r w:rsidRPr="00C57739">
              <w:rPr>
                <w:sz w:val="20"/>
              </w:rPr>
              <w:t>C</w:t>
            </w:r>
            <w:r>
              <w:rPr>
                <w:sz w:val="20"/>
              </w:rPr>
              <w:t>.</w:t>
            </w:r>
            <w:r w:rsidRPr="00C57739">
              <w:rPr>
                <w:sz w:val="20"/>
              </w:rPr>
              <w:t>) (Criminal) (By Leave)</w:t>
            </w:r>
          </w:p>
        </w:tc>
      </w:tr>
      <w:tr w:rsidR="00C57739" w:rsidRPr="00C57739" w:rsidTr="00986279">
        <w:tc>
          <w:tcPr>
            <w:tcW w:w="5000" w:type="pct"/>
            <w:gridSpan w:val="2"/>
          </w:tcPr>
          <w:p w:rsidR="00C57739" w:rsidRPr="00C57739" w:rsidRDefault="00C57739" w:rsidP="003E42AA">
            <w:pPr>
              <w:rPr>
                <w:sz w:val="20"/>
              </w:rPr>
            </w:pPr>
            <w:r w:rsidRPr="00C57739">
              <w:rPr>
                <w:i/>
                <w:sz w:val="20"/>
              </w:rPr>
              <w:t>Canadian Charter of Rights and Freedoms</w:t>
            </w:r>
            <w:r w:rsidRPr="00C57739">
              <w:rPr>
                <w:sz w:val="20"/>
              </w:rPr>
              <w:t xml:space="preserve"> - Criminal law - Offences - Constitutional law - Military offences - Right to jury - Whether s. 130(1)(a) of </w:t>
            </w:r>
            <w:r w:rsidRPr="00C57739">
              <w:rPr>
                <w:i/>
                <w:sz w:val="20"/>
              </w:rPr>
              <w:t>National Defence Act</w:t>
            </w:r>
            <w:r w:rsidRPr="00C57739">
              <w:rPr>
                <w:sz w:val="20"/>
              </w:rPr>
              <w:t xml:space="preserve">, R.S.C. 1985, c. N-5, violates s. 11(f) of </w:t>
            </w:r>
            <w:r w:rsidRPr="00C57739">
              <w:rPr>
                <w:i/>
                <w:sz w:val="20"/>
              </w:rPr>
              <w:t>Canadian Charter of Rights and Freedoms</w:t>
            </w:r>
            <w:r w:rsidRPr="00C57739">
              <w:rPr>
                <w:sz w:val="20"/>
              </w:rPr>
              <w:t>.</w:t>
            </w:r>
          </w:p>
          <w:p w:rsidR="00C57739" w:rsidRPr="00C57739" w:rsidRDefault="00C57739" w:rsidP="00C01DCD">
            <w:pPr>
              <w:rPr>
                <w:sz w:val="20"/>
              </w:rPr>
            </w:pPr>
          </w:p>
        </w:tc>
      </w:tr>
      <w:tr w:rsidR="00C57739" w:rsidRPr="00C57739" w:rsidTr="00986279">
        <w:tc>
          <w:tcPr>
            <w:tcW w:w="5000" w:type="pct"/>
            <w:gridSpan w:val="2"/>
          </w:tcPr>
          <w:p w:rsidR="00C57739" w:rsidRPr="00C57739" w:rsidRDefault="00C57739" w:rsidP="00DC23A8">
            <w:pPr>
              <w:rPr>
                <w:sz w:val="20"/>
                <w:lang w:val="en"/>
              </w:rPr>
            </w:pPr>
            <w:r w:rsidRPr="00C57739">
              <w:rPr>
                <w:sz w:val="20"/>
              </w:rPr>
              <w:lastRenderedPageBreak/>
              <w:t xml:space="preserve">In </w:t>
            </w:r>
            <w:r w:rsidRPr="00C57739">
              <w:rPr>
                <w:i/>
                <w:sz w:val="20"/>
              </w:rPr>
              <w:t>R. v. Moriarity</w:t>
            </w:r>
            <w:r w:rsidRPr="00C57739">
              <w:rPr>
                <w:sz w:val="20"/>
              </w:rPr>
              <w:t>, [</w:t>
            </w:r>
            <w:r w:rsidRPr="00C57739">
              <w:rPr>
                <w:sz w:val="20"/>
                <w:lang w:val="en"/>
              </w:rPr>
              <w:t xml:space="preserve">2015] 3 SCR 485, a constitutional challenge based on s. 7 of the </w:t>
            </w:r>
            <w:r w:rsidRPr="00C57739">
              <w:rPr>
                <w:i/>
                <w:sz w:val="20"/>
                <w:lang w:val="en"/>
              </w:rPr>
              <w:t xml:space="preserve">Charter </w:t>
            </w:r>
            <w:r w:rsidRPr="00C57739">
              <w:rPr>
                <w:sz w:val="20"/>
                <w:lang w:val="en"/>
              </w:rPr>
              <w:t>to s. 130(1</w:t>
            </w:r>
            <w:proofErr w:type="gramStart"/>
            <w:r w:rsidRPr="00C57739">
              <w:rPr>
                <w:sz w:val="20"/>
                <w:lang w:val="en"/>
              </w:rPr>
              <w:t>)(</w:t>
            </w:r>
            <w:proofErr w:type="gramEnd"/>
            <w:r w:rsidRPr="00C57739">
              <w:rPr>
                <w:sz w:val="20"/>
                <w:lang w:val="en"/>
              </w:rPr>
              <w:t xml:space="preserve">a) of the </w:t>
            </w:r>
            <w:r w:rsidRPr="00C57739">
              <w:rPr>
                <w:i/>
                <w:sz w:val="20"/>
                <w:lang w:val="en"/>
              </w:rPr>
              <w:t xml:space="preserve">National Defence Act </w:t>
            </w:r>
            <w:r w:rsidRPr="00C57739">
              <w:rPr>
                <w:sz w:val="20"/>
                <w:lang w:val="en"/>
              </w:rPr>
              <w:t>was dismissed. The Supreme Court left open the question whether s. 130(1</w:t>
            </w:r>
            <w:proofErr w:type="gramStart"/>
            <w:r w:rsidRPr="00C57739">
              <w:rPr>
                <w:sz w:val="20"/>
                <w:lang w:val="en"/>
              </w:rPr>
              <w:t>)(</w:t>
            </w:r>
            <w:proofErr w:type="gramEnd"/>
            <w:r w:rsidRPr="00C57739">
              <w:rPr>
                <w:sz w:val="20"/>
                <w:lang w:val="en"/>
              </w:rPr>
              <w:t>a) violates s. </w:t>
            </w:r>
            <w:r w:rsidRPr="00C57739">
              <w:rPr>
                <w:sz w:val="20"/>
              </w:rPr>
              <w:t>11(</w:t>
            </w:r>
            <w:r w:rsidRPr="00C57739">
              <w:rPr>
                <w:i/>
                <w:sz w:val="20"/>
              </w:rPr>
              <w:t>f</w:t>
            </w:r>
            <w:r w:rsidRPr="00C57739">
              <w:rPr>
                <w:sz w:val="20"/>
              </w:rPr>
              <w:t xml:space="preserve">) of the </w:t>
            </w:r>
            <w:r w:rsidRPr="00C57739">
              <w:rPr>
                <w:i/>
                <w:sz w:val="20"/>
              </w:rPr>
              <w:t>Charter</w:t>
            </w:r>
            <w:r w:rsidRPr="00C57739">
              <w:rPr>
                <w:sz w:val="20"/>
              </w:rPr>
              <w:t xml:space="preserve"> (which protects the right to a jury trial for anyone charged with an offence where the punishment would be five years or more imprisonment “except in the case of an offence under military law tried before a military tribunal.”) </w:t>
            </w:r>
          </w:p>
          <w:p w:rsidR="00C57739" w:rsidRPr="00C57739" w:rsidRDefault="00C57739" w:rsidP="00DC23A8">
            <w:pPr>
              <w:rPr>
                <w:sz w:val="20"/>
              </w:rPr>
            </w:pPr>
          </w:p>
          <w:p w:rsidR="00C57739" w:rsidRPr="00C57739" w:rsidRDefault="00C57739" w:rsidP="00DC23A8">
            <w:pPr>
              <w:rPr>
                <w:i/>
                <w:sz w:val="20"/>
              </w:rPr>
            </w:pPr>
            <w:r w:rsidRPr="00C57739">
              <w:rPr>
                <w:sz w:val="20"/>
              </w:rPr>
              <w:t xml:space="preserve">Following the decision in </w:t>
            </w:r>
            <w:r w:rsidRPr="00C57739">
              <w:rPr>
                <w:i/>
                <w:sz w:val="20"/>
              </w:rPr>
              <w:t xml:space="preserve">Moriarity, </w:t>
            </w:r>
            <w:r w:rsidRPr="00C57739">
              <w:rPr>
                <w:sz w:val="20"/>
              </w:rPr>
              <w:t>a constitutional challenge against s. 130(1</w:t>
            </w:r>
            <w:proofErr w:type="gramStart"/>
            <w:r w:rsidRPr="00C57739">
              <w:rPr>
                <w:sz w:val="20"/>
              </w:rPr>
              <w:t>)(</w:t>
            </w:r>
            <w:proofErr w:type="gramEnd"/>
            <w:r w:rsidRPr="00C57739">
              <w:rPr>
                <w:sz w:val="20"/>
              </w:rPr>
              <w:t>a) was brought by in the Court Martial Appeal Court specifically on the basis that it violated s. 11(</w:t>
            </w:r>
            <w:r w:rsidRPr="00C57739">
              <w:rPr>
                <w:i/>
                <w:sz w:val="20"/>
              </w:rPr>
              <w:t>f</w:t>
            </w:r>
            <w:r w:rsidRPr="00C57739">
              <w:rPr>
                <w:sz w:val="20"/>
              </w:rPr>
              <w:t xml:space="preserve">) of the </w:t>
            </w:r>
            <w:r w:rsidRPr="00C57739">
              <w:rPr>
                <w:i/>
                <w:sz w:val="20"/>
              </w:rPr>
              <w:t xml:space="preserve">Charter. </w:t>
            </w:r>
            <w:r w:rsidRPr="00C57739">
              <w:rPr>
                <w:sz w:val="20"/>
              </w:rPr>
              <w:t xml:space="preserve">The Court Martial Appeal Court rejected the challenge: </w:t>
            </w:r>
            <w:r w:rsidRPr="00C57739">
              <w:rPr>
                <w:i/>
                <w:sz w:val="20"/>
              </w:rPr>
              <w:t>R. v. Royes,</w:t>
            </w:r>
            <w:r w:rsidRPr="00C57739">
              <w:rPr>
                <w:sz w:val="20"/>
              </w:rPr>
              <w:t xml:space="preserve"> 2016 CMAC 1.  Leave to appeal was denied.</w:t>
            </w:r>
            <w:r w:rsidRPr="00C57739">
              <w:rPr>
                <w:i/>
                <w:sz w:val="20"/>
              </w:rPr>
              <w:t xml:space="preserve"> </w:t>
            </w:r>
          </w:p>
          <w:p w:rsidR="00C57739" w:rsidRPr="00C57739" w:rsidRDefault="00C57739" w:rsidP="00DC23A8">
            <w:pPr>
              <w:rPr>
                <w:i/>
                <w:sz w:val="20"/>
              </w:rPr>
            </w:pPr>
          </w:p>
          <w:p w:rsidR="00C57739" w:rsidRPr="00C57739" w:rsidRDefault="00C57739" w:rsidP="00DC23A8">
            <w:pPr>
              <w:rPr>
                <w:sz w:val="20"/>
                <w:lang w:val="en"/>
              </w:rPr>
            </w:pPr>
            <w:r w:rsidRPr="00C57739">
              <w:rPr>
                <w:sz w:val="20"/>
              </w:rPr>
              <w:t xml:space="preserve">The cases that have given rise to this appeal were all in the system at the time that </w:t>
            </w:r>
            <w:r w:rsidRPr="00C57739">
              <w:rPr>
                <w:i/>
                <w:sz w:val="20"/>
              </w:rPr>
              <w:t xml:space="preserve">Moriarity </w:t>
            </w:r>
            <w:r w:rsidRPr="00C57739">
              <w:rPr>
                <w:sz w:val="20"/>
              </w:rPr>
              <w:t xml:space="preserve">and </w:t>
            </w:r>
            <w:r w:rsidRPr="00C57739">
              <w:rPr>
                <w:i/>
                <w:sz w:val="20"/>
              </w:rPr>
              <w:t>Royes</w:t>
            </w:r>
            <w:r w:rsidRPr="00C57739">
              <w:rPr>
                <w:sz w:val="20"/>
              </w:rPr>
              <w:t xml:space="preserve"> were being decided. The Court Martial Appeal Court concluded it was bound by its decision in </w:t>
            </w:r>
            <w:r w:rsidRPr="00C57739">
              <w:rPr>
                <w:i/>
                <w:sz w:val="20"/>
              </w:rPr>
              <w:t>Royes</w:t>
            </w:r>
            <w:r w:rsidRPr="00C57739">
              <w:rPr>
                <w:sz w:val="20"/>
              </w:rPr>
              <w:t xml:space="preserve"> and dismissed the Appellants’ constitutional challenges to </w:t>
            </w:r>
            <w:r w:rsidRPr="00C57739">
              <w:rPr>
                <w:sz w:val="20"/>
                <w:lang w:val="en"/>
              </w:rPr>
              <w:t>s. 130(1</w:t>
            </w:r>
            <w:proofErr w:type="gramStart"/>
            <w:r w:rsidRPr="00C57739">
              <w:rPr>
                <w:sz w:val="20"/>
                <w:lang w:val="en"/>
              </w:rPr>
              <w:t>)(</w:t>
            </w:r>
            <w:proofErr w:type="gramEnd"/>
            <w:r w:rsidRPr="00C57739">
              <w:rPr>
                <w:sz w:val="20"/>
                <w:lang w:val="en"/>
              </w:rPr>
              <w:t xml:space="preserve">a).  </w:t>
            </w:r>
          </w:p>
          <w:p w:rsidR="00C57739" w:rsidRPr="00C57739" w:rsidRDefault="00C57739" w:rsidP="00DC23A8">
            <w:pPr>
              <w:rPr>
                <w:sz w:val="20"/>
                <w:lang w:val="en"/>
              </w:rPr>
            </w:pPr>
          </w:p>
          <w:p w:rsidR="00C57739" w:rsidRPr="00C57739" w:rsidRDefault="00C57739" w:rsidP="00986279">
            <w:pPr>
              <w:rPr>
                <w:sz w:val="20"/>
              </w:rPr>
            </w:pPr>
            <w:r w:rsidRPr="00C57739">
              <w:rPr>
                <w:sz w:val="20"/>
              </w:rPr>
              <w:t xml:space="preserve">After the Supreme Court of Canada granted leave to appeal, the Court Martial Appeal Court declared the provision to be of no force and effect: </w:t>
            </w:r>
            <w:r w:rsidRPr="00C57739">
              <w:rPr>
                <w:i/>
                <w:sz w:val="20"/>
              </w:rPr>
              <w:t>R. v. Beaudry</w:t>
            </w:r>
            <w:r w:rsidRPr="00C57739">
              <w:rPr>
                <w:sz w:val="20"/>
              </w:rPr>
              <w:t xml:space="preserve">, </w:t>
            </w:r>
            <w:r w:rsidRPr="00C57739">
              <w:rPr>
                <w:rStyle w:val="Hyperlink"/>
                <w:sz w:val="20"/>
                <w:lang w:val="en"/>
              </w:rPr>
              <w:t xml:space="preserve">2018 CMAC 4.  An appeal as of right has been filed by the Crown in the </w:t>
            </w:r>
            <w:r w:rsidRPr="00C57739">
              <w:rPr>
                <w:rStyle w:val="Hyperlink"/>
                <w:i/>
                <w:sz w:val="20"/>
                <w:lang w:val="en"/>
              </w:rPr>
              <w:t xml:space="preserve">Beaudry </w:t>
            </w:r>
            <w:r w:rsidRPr="00C57739">
              <w:rPr>
                <w:rStyle w:val="Hyperlink"/>
                <w:sz w:val="20"/>
                <w:lang w:val="en"/>
              </w:rPr>
              <w:t>case (file 38308).</w:t>
            </w:r>
          </w:p>
        </w:tc>
      </w:tr>
    </w:tbl>
    <w:p w:rsidR="00C57739" w:rsidRDefault="00C57739" w:rsidP="00097BBF">
      <w:pPr>
        <w:rPr>
          <w:sz w:val="20"/>
        </w:rPr>
      </w:pPr>
    </w:p>
    <w:p w:rsidR="00C57739" w:rsidRDefault="00D00113" w:rsidP="00097BBF">
      <w:pPr>
        <w:rPr>
          <w:sz w:val="20"/>
        </w:rPr>
      </w:pPr>
      <w:r>
        <w:rPr>
          <w:sz w:val="20"/>
        </w:rPr>
        <w:pict>
          <v:rect id="_x0000_i1026" style="width:2in;height:1pt" o:hrpct="0" o:hralign="center" o:hrstd="t" o:hrnoshade="t" o:hr="t" fillcolor="black [3213]" stroked="f"/>
        </w:pict>
      </w:r>
    </w:p>
    <w:p w:rsidR="00C57739" w:rsidRPr="00C57739" w:rsidRDefault="00C57739" w:rsidP="00097BBF">
      <w:pPr>
        <w:rPr>
          <w:sz w:val="20"/>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C57739" w:rsidRPr="00D00113" w:rsidTr="00B81AB6">
        <w:tc>
          <w:tcPr>
            <w:tcW w:w="395" w:type="pct"/>
          </w:tcPr>
          <w:p w:rsidR="00C57739" w:rsidRPr="00C57739" w:rsidRDefault="00C57739" w:rsidP="00F9479E">
            <w:pPr>
              <w:rPr>
                <w:sz w:val="20"/>
                <w:lang w:val="fr-CA"/>
              </w:rPr>
            </w:pPr>
            <w:r w:rsidRPr="00C57739">
              <w:rPr>
                <w:rStyle w:val="SCCFileNumberChar"/>
                <w:sz w:val="20"/>
                <w:szCs w:val="20"/>
                <w:lang w:val="fr-CA"/>
              </w:rPr>
              <w:t>37701</w:t>
            </w:r>
          </w:p>
        </w:tc>
        <w:tc>
          <w:tcPr>
            <w:tcW w:w="4605" w:type="pct"/>
          </w:tcPr>
          <w:p w:rsidR="00C57739" w:rsidRPr="00C57739" w:rsidRDefault="00C57739" w:rsidP="00B81AB6">
            <w:pPr>
              <w:pStyle w:val="SCCLsocParty"/>
              <w:rPr>
                <w:b/>
                <w:i w:val="0"/>
                <w:sz w:val="20"/>
                <w:szCs w:val="20"/>
              </w:rPr>
            </w:pPr>
            <w:r w:rsidRPr="00C57739">
              <w:rPr>
                <w:b/>
                <w:sz w:val="20"/>
                <w:szCs w:val="20"/>
              </w:rPr>
              <w:t>Le caporal-chef C.J. Stillman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L’ancien maître de 2</w:t>
            </w:r>
            <w:r w:rsidRPr="00C57739">
              <w:rPr>
                <w:b/>
                <w:sz w:val="20"/>
                <w:szCs w:val="20"/>
                <w:vertAlign w:val="superscript"/>
              </w:rPr>
              <w:t>e</w:t>
            </w:r>
            <w:r w:rsidRPr="00C57739">
              <w:rPr>
                <w:b/>
                <w:sz w:val="20"/>
                <w:szCs w:val="20"/>
              </w:rPr>
              <w:t xml:space="preserve"> classe J.K. Wilks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L’adjudant J.G.A. Gagnon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Le lieutenant de vaisseau G.M. Klein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Le caporal Charles Nadeau-Dion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Le caporal F.P. Pfahl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Le caporal A.J.R. Thibault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i w:val="0"/>
                <w:sz w:val="20"/>
                <w:szCs w:val="20"/>
              </w:rPr>
            </w:pPr>
            <w:r w:rsidRPr="00C57739">
              <w:rPr>
                <w:b/>
                <w:sz w:val="20"/>
                <w:szCs w:val="20"/>
              </w:rPr>
              <w:t>Le sous-lieutenant Soudri c. Sa Majesté la Reine</w:t>
            </w:r>
          </w:p>
          <w:p w:rsidR="00C57739" w:rsidRPr="00C57739" w:rsidRDefault="00C57739">
            <w:pPr>
              <w:pStyle w:val="SCCLsocSubfileSeparator"/>
              <w:rPr>
                <w:i/>
                <w:sz w:val="20"/>
                <w:szCs w:val="20"/>
                <w:lang w:val="fr-CA"/>
              </w:rPr>
            </w:pPr>
            <w:r w:rsidRPr="00C57739">
              <w:rPr>
                <w:i/>
                <w:sz w:val="20"/>
                <w:szCs w:val="20"/>
                <w:lang w:val="fr-CA"/>
              </w:rPr>
              <w:t>- et entre -</w:t>
            </w:r>
          </w:p>
          <w:p w:rsidR="00C57739" w:rsidRPr="00C57739" w:rsidRDefault="00C57739">
            <w:pPr>
              <w:pStyle w:val="SCCLsocParty"/>
              <w:rPr>
                <w:b/>
                <w:sz w:val="20"/>
                <w:szCs w:val="20"/>
              </w:rPr>
            </w:pPr>
            <w:r w:rsidRPr="00C57739">
              <w:rPr>
                <w:b/>
                <w:sz w:val="20"/>
                <w:szCs w:val="20"/>
              </w:rPr>
              <w:t>Le maître de 2</w:t>
            </w:r>
            <w:r w:rsidRPr="00C57739">
              <w:rPr>
                <w:b/>
                <w:sz w:val="20"/>
                <w:szCs w:val="20"/>
                <w:vertAlign w:val="superscript"/>
              </w:rPr>
              <w:t>e</w:t>
            </w:r>
            <w:r w:rsidRPr="00C57739">
              <w:rPr>
                <w:b/>
                <w:sz w:val="20"/>
                <w:szCs w:val="20"/>
              </w:rPr>
              <w:t xml:space="preserve"> classe R.K. Blackman, K39 842 031 c. Sa Majesté la Reine</w:t>
            </w:r>
          </w:p>
          <w:p w:rsidR="00C57739" w:rsidRPr="00C57739" w:rsidRDefault="00C57739" w:rsidP="00E9084A">
            <w:pPr>
              <w:rPr>
                <w:sz w:val="20"/>
                <w:lang w:val="fr-CA"/>
              </w:rPr>
            </w:pPr>
            <w:r w:rsidRPr="00C57739">
              <w:rPr>
                <w:sz w:val="20"/>
                <w:lang w:val="fr-CA"/>
              </w:rPr>
              <w:t>(C</w:t>
            </w:r>
            <w:r>
              <w:rPr>
                <w:sz w:val="20"/>
                <w:lang w:val="fr-CA"/>
              </w:rPr>
              <w:t>.</w:t>
            </w:r>
            <w:r w:rsidRPr="00C57739">
              <w:rPr>
                <w:sz w:val="20"/>
                <w:lang w:val="fr-CA"/>
              </w:rPr>
              <w:t>A</w:t>
            </w:r>
            <w:r>
              <w:rPr>
                <w:sz w:val="20"/>
                <w:lang w:val="fr-CA"/>
              </w:rPr>
              <w:t>.</w:t>
            </w:r>
            <w:r w:rsidRPr="00C57739">
              <w:rPr>
                <w:sz w:val="20"/>
                <w:lang w:val="fr-CA"/>
              </w:rPr>
              <w:t>C</w:t>
            </w:r>
            <w:r>
              <w:rPr>
                <w:sz w:val="20"/>
                <w:lang w:val="fr-CA"/>
              </w:rPr>
              <w:t>.</w:t>
            </w:r>
            <w:r w:rsidRPr="00C57739">
              <w:rPr>
                <w:sz w:val="20"/>
                <w:lang w:val="fr-CA"/>
              </w:rPr>
              <w:t>M</w:t>
            </w:r>
            <w:r>
              <w:rPr>
                <w:sz w:val="20"/>
                <w:lang w:val="fr-CA"/>
              </w:rPr>
              <w:t>.</w:t>
            </w:r>
            <w:r w:rsidRPr="00C57739">
              <w:rPr>
                <w:sz w:val="20"/>
                <w:lang w:val="fr-CA"/>
              </w:rPr>
              <w:t>) (Criminelle) (Sur autorisation)</w:t>
            </w:r>
          </w:p>
        </w:tc>
      </w:tr>
      <w:tr w:rsidR="00C57739" w:rsidRPr="00D00113" w:rsidTr="00B81AB6">
        <w:tc>
          <w:tcPr>
            <w:tcW w:w="5000" w:type="pct"/>
            <w:gridSpan w:val="2"/>
          </w:tcPr>
          <w:p w:rsidR="00C57739" w:rsidRPr="00C57739" w:rsidRDefault="00C57739" w:rsidP="00E9084A">
            <w:pPr>
              <w:rPr>
                <w:sz w:val="20"/>
                <w:lang w:val="fr-CA"/>
              </w:rPr>
            </w:pPr>
            <w:r w:rsidRPr="00C57739">
              <w:rPr>
                <w:i/>
                <w:sz w:val="20"/>
                <w:lang w:val="fr-CA"/>
              </w:rPr>
              <w:t>Charte canadienne des droits et libertés</w:t>
            </w:r>
            <w:r w:rsidRPr="00C57739">
              <w:rPr>
                <w:sz w:val="20"/>
                <w:lang w:val="fr-CA"/>
              </w:rPr>
              <w:t xml:space="preserve"> - Droit criminel - Infractions - Droit constitutionnel - Infractions militaires - Droit à un jury - L’alinéa 130(1)a) de la </w:t>
            </w:r>
            <w:r w:rsidRPr="00C57739">
              <w:rPr>
                <w:i/>
                <w:sz w:val="20"/>
                <w:lang w:val="fr-CA"/>
              </w:rPr>
              <w:t>Loi sur la défense nationale</w:t>
            </w:r>
            <w:r w:rsidRPr="00C57739">
              <w:rPr>
                <w:sz w:val="20"/>
                <w:lang w:val="fr-CA"/>
              </w:rPr>
              <w:t>, L.R.C. 1985, c. N-5, viole-t-il l’al. 11</w:t>
            </w:r>
            <w:r w:rsidRPr="00C57739">
              <w:rPr>
                <w:i/>
                <w:sz w:val="20"/>
                <w:lang w:val="fr-CA"/>
              </w:rPr>
              <w:t>f</w:t>
            </w:r>
            <w:r w:rsidRPr="00C57739">
              <w:rPr>
                <w:sz w:val="20"/>
                <w:lang w:val="fr-CA"/>
              </w:rPr>
              <w:t xml:space="preserve">) de la </w:t>
            </w:r>
            <w:r w:rsidRPr="00C57739">
              <w:rPr>
                <w:i/>
                <w:sz w:val="20"/>
                <w:lang w:val="fr-CA"/>
              </w:rPr>
              <w:t>Charte canadienne des droits et libertés</w:t>
            </w:r>
            <w:r w:rsidRPr="00C57739">
              <w:rPr>
                <w:sz w:val="20"/>
                <w:lang w:val="fr-CA"/>
              </w:rPr>
              <w:t>?</w:t>
            </w:r>
          </w:p>
        </w:tc>
      </w:tr>
      <w:tr w:rsidR="00C57739" w:rsidRPr="00D00113" w:rsidTr="00B81AB6">
        <w:tc>
          <w:tcPr>
            <w:tcW w:w="5000" w:type="pct"/>
            <w:gridSpan w:val="2"/>
          </w:tcPr>
          <w:p w:rsidR="00C57739" w:rsidRPr="00C57739" w:rsidRDefault="00C57739" w:rsidP="00F950AB">
            <w:pPr>
              <w:rPr>
                <w:sz w:val="20"/>
                <w:lang w:val="fr-CA"/>
              </w:rPr>
            </w:pPr>
          </w:p>
          <w:p w:rsidR="00C57739" w:rsidRPr="00C57739" w:rsidRDefault="00C57739" w:rsidP="00F950AB">
            <w:pPr>
              <w:rPr>
                <w:sz w:val="20"/>
                <w:lang w:val="fr-CA"/>
              </w:rPr>
            </w:pPr>
            <w:r w:rsidRPr="00C57739">
              <w:rPr>
                <w:sz w:val="20"/>
                <w:lang w:val="fr-CA"/>
              </w:rPr>
              <w:t xml:space="preserve">Dans </w:t>
            </w:r>
            <w:r w:rsidRPr="00C57739">
              <w:rPr>
                <w:i/>
                <w:sz w:val="20"/>
                <w:lang w:val="fr-CA"/>
              </w:rPr>
              <w:t>R. c. Moriarity</w:t>
            </w:r>
            <w:r w:rsidRPr="00C57739">
              <w:rPr>
                <w:sz w:val="20"/>
                <w:lang w:val="fr-CA"/>
              </w:rPr>
              <w:t xml:space="preserve">, [2015] 3 R.C.S. 485, une contestation constitutionnelle, fondée sur l’art. 7 de la </w:t>
            </w:r>
            <w:r w:rsidRPr="00C57739">
              <w:rPr>
                <w:i/>
                <w:sz w:val="20"/>
                <w:lang w:val="fr-CA"/>
              </w:rPr>
              <w:t>Charte</w:t>
            </w:r>
            <w:r w:rsidRPr="00C57739">
              <w:rPr>
                <w:sz w:val="20"/>
                <w:lang w:val="fr-CA"/>
              </w:rPr>
              <w:t xml:space="preserve">, de l’al. 130(1)a) de la </w:t>
            </w:r>
            <w:r w:rsidRPr="00C57739">
              <w:rPr>
                <w:i/>
                <w:sz w:val="20"/>
                <w:lang w:val="fr-CA"/>
              </w:rPr>
              <w:t>Loi sur la défense nati</w:t>
            </w:r>
            <w:r w:rsidRPr="00C57739">
              <w:rPr>
                <w:sz w:val="20"/>
                <w:lang w:val="fr-CA"/>
              </w:rPr>
              <w:t>onale a été rejetée. La Cour suprême du Canada a refusé de trancher la question de savoir si l’al. 130(1)a) viole l’al. 11</w:t>
            </w:r>
            <w:r w:rsidRPr="00C57739">
              <w:rPr>
                <w:i/>
                <w:sz w:val="20"/>
                <w:lang w:val="fr-CA"/>
              </w:rPr>
              <w:t>f</w:t>
            </w:r>
            <w:r w:rsidRPr="00C57739">
              <w:rPr>
                <w:sz w:val="20"/>
                <w:lang w:val="fr-CA"/>
              </w:rPr>
              <w:t xml:space="preserve">) de la </w:t>
            </w:r>
            <w:r w:rsidRPr="00C57739">
              <w:rPr>
                <w:i/>
                <w:sz w:val="20"/>
                <w:lang w:val="fr-CA"/>
              </w:rPr>
              <w:t>Charte</w:t>
            </w:r>
            <w:r w:rsidRPr="00C57739">
              <w:rPr>
                <w:sz w:val="20"/>
                <w:lang w:val="fr-CA"/>
              </w:rPr>
              <w:t xml:space="preserve"> (qui protège le droit à un procès par un jury à quiconque est accusé d’une infraction lorsque la peine serait un emprisonnement de cinq ans ou plus « sauf s’il s’agit d’une infraction qui relève de la justice militaire ») </w:t>
            </w:r>
          </w:p>
          <w:p w:rsidR="00C57739" w:rsidRPr="00C57739" w:rsidRDefault="00C57739" w:rsidP="00F950AB">
            <w:pPr>
              <w:rPr>
                <w:sz w:val="20"/>
                <w:lang w:val="fr-CA"/>
              </w:rPr>
            </w:pPr>
          </w:p>
          <w:p w:rsidR="00C57739" w:rsidRPr="00C57739" w:rsidRDefault="00C57739" w:rsidP="00F950AB">
            <w:pPr>
              <w:rPr>
                <w:sz w:val="20"/>
                <w:lang w:val="fr-CA"/>
              </w:rPr>
            </w:pPr>
            <w:r w:rsidRPr="00C57739">
              <w:rPr>
                <w:sz w:val="20"/>
                <w:lang w:val="fr-CA"/>
              </w:rPr>
              <w:t xml:space="preserve">Après le prononcé de l’arrêt </w:t>
            </w:r>
            <w:r w:rsidRPr="00C57739">
              <w:rPr>
                <w:i/>
                <w:sz w:val="20"/>
                <w:lang w:val="fr-CA"/>
              </w:rPr>
              <w:t>Moriarity</w:t>
            </w:r>
            <w:r w:rsidRPr="00C57739">
              <w:rPr>
                <w:sz w:val="20"/>
                <w:lang w:val="fr-CA"/>
              </w:rPr>
              <w:t xml:space="preserve">, une contestation constitutionnelle de l’al. 130(1)a) a été présentée à la Cour d’appel de la Cour martiale, alléguant plus particulièrement que cette disposition violait l’al. 11f) de la Charte. La Cour d’appel de la Cour martiale a rejeté la contestation : </w:t>
            </w:r>
            <w:r w:rsidRPr="00C57739">
              <w:rPr>
                <w:i/>
                <w:sz w:val="20"/>
                <w:lang w:val="fr-CA"/>
              </w:rPr>
              <w:t>R. c. Royes</w:t>
            </w:r>
            <w:r w:rsidRPr="00C57739">
              <w:rPr>
                <w:sz w:val="20"/>
                <w:lang w:val="fr-CA"/>
              </w:rPr>
              <w:t xml:space="preserve">, 2016 CACM 1. L’autorisation d’appel a été refusée. </w:t>
            </w:r>
          </w:p>
          <w:p w:rsidR="00C57739" w:rsidRPr="00C57739" w:rsidRDefault="00C57739" w:rsidP="00F950AB">
            <w:pPr>
              <w:rPr>
                <w:sz w:val="20"/>
                <w:lang w:val="fr-CA"/>
              </w:rPr>
            </w:pPr>
          </w:p>
          <w:p w:rsidR="00C57739" w:rsidRPr="00C57739" w:rsidRDefault="00C57739" w:rsidP="00F950AB">
            <w:pPr>
              <w:rPr>
                <w:sz w:val="20"/>
                <w:lang w:val="fr-CA"/>
              </w:rPr>
            </w:pPr>
            <w:r w:rsidRPr="00C57739">
              <w:rPr>
                <w:sz w:val="20"/>
                <w:lang w:val="fr-CA"/>
              </w:rPr>
              <w:t xml:space="preserve">Les affaires à l’origine du présent pourvoi étaient toutes en cours à l’époque où les jugements </w:t>
            </w:r>
            <w:r w:rsidRPr="00C57739">
              <w:rPr>
                <w:i/>
                <w:sz w:val="20"/>
                <w:lang w:val="fr-CA"/>
              </w:rPr>
              <w:t>Moriarity</w:t>
            </w:r>
            <w:r w:rsidRPr="00C57739">
              <w:rPr>
                <w:sz w:val="20"/>
                <w:lang w:val="fr-CA"/>
              </w:rPr>
              <w:t xml:space="preserve"> et </w:t>
            </w:r>
            <w:r w:rsidRPr="00C57739">
              <w:rPr>
                <w:i/>
                <w:sz w:val="20"/>
                <w:lang w:val="fr-CA"/>
              </w:rPr>
              <w:t>Royes</w:t>
            </w:r>
            <w:r w:rsidRPr="00C57739">
              <w:rPr>
                <w:sz w:val="20"/>
                <w:lang w:val="fr-CA"/>
              </w:rPr>
              <w:t xml:space="preserve"> ont été rendus. La Cour d’appel de la Cour martiale a conclu qu’elle était liée par l’arrêt </w:t>
            </w:r>
            <w:r w:rsidRPr="00C57739">
              <w:rPr>
                <w:i/>
                <w:sz w:val="20"/>
                <w:lang w:val="fr-CA"/>
              </w:rPr>
              <w:t>Royes</w:t>
            </w:r>
            <w:r w:rsidRPr="00C57739">
              <w:rPr>
                <w:sz w:val="20"/>
                <w:lang w:val="fr-CA"/>
              </w:rPr>
              <w:t xml:space="preserve"> et a rejeté les contestations constitutionnelles de l’al. 130(1)a) présentées par les appelants.</w:t>
            </w:r>
          </w:p>
          <w:p w:rsidR="00C57739" w:rsidRPr="00C57739" w:rsidRDefault="00C57739" w:rsidP="00F950AB">
            <w:pPr>
              <w:rPr>
                <w:sz w:val="20"/>
                <w:lang w:val="fr-CA"/>
              </w:rPr>
            </w:pPr>
          </w:p>
          <w:p w:rsidR="00C57739" w:rsidRPr="00C57739" w:rsidRDefault="00C57739" w:rsidP="00B81AB6">
            <w:pPr>
              <w:rPr>
                <w:sz w:val="20"/>
                <w:lang w:val="fr-CA"/>
              </w:rPr>
            </w:pPr>
            <w:r w:rsidRPr="00C57739">
              <w:rPr>
                <w:sz w:val="20"/>
                <w:lang w:val="fr-CA"/>
              </w:rPr>
              <w:lastRenderedPageBreak/>
              <w:t xml:space="preserve">Après que la Cour suprême du Canada eut accordé l’autorisation d’appel, la Cour d’appel de la cour martiale a déclaré la disposition inopérante : </w:t>
            </w:r>
            <w:r w:rsidRPr="00C57739">
              <w:rPr>
                <w:i/>
                <w:sz w:val="20"/>
                <w:lang w:val="fr-CA"/>
              </w:rPr>
              <w:t>R. c. Beaudry</w:t>
            </w:r>
            <w:r w:rsidRPr="00C57739">
              <w:rPr>
                <w:sz w:val="20"/>
                <w:lang w:val="fr-CA"/>
              </w:rPr>
              <w:t xml:space="preserve">, </w:t>
            </w:r>
            <w:r w:rsidRPr="00C57739">
              <w:rPr>
                <w:rStyle w:val="Hyperlink"/>
                <w:sz w:val="20"/>
                <w:lang w:val="fr-CA"/>
              </w:rPr>
              <w:t xml:space="preserve">2018 CACM 4. La Couronne a interjeté un appel de plein droit dans l’affaire </w:t>
            </w:r>
            <w:r w:rsidRPr="00C57739">
              <w:rPr>
                <w:rStyle w:val="Hyperlink"/>
                <w:i/>
                <w:sz w:val="20"/>
                <w:lang w:val="fr-CA"/>
              </w:rPr>
              <w:t>Beaudry</w:t>
            </w:r>
            <w:r w:rsidRPr="00C57739">
              <w:rPr>
                <w:rStyle w:val="Hyperlink"/>
                <w:sz w:val="20"/>
                <w:lang w:val="fr-CA"/>
              </w:rPr>
              <w:t xml:space="preserve"> (dossier 38308).</w:t>
            </w:r>
            <w:r w:rsidRPr="00C57739">
              <w:rPr>
                <w:sz w:val="20"/>
                <w:lang w:val="fr-CA"/>
              </w:rPr>
              <w:t xml:space="preserve"> </w:t>
            </w:r>
          </w:p>
        </w:tc>
      </w:tr>
    </w:tbl>
    <w:p w:rsidR="00C57739" w:rsidRPr="00C57739" w:rsidRDefault="00C57739" w:rsidP="00097BBF">
      <w:pPr>
        <w:rPr>
          <w:sz w:val="20"/>
          <w:lang w:val="fr-CA"/>
        </w:rPr>
      </w:pPr>
    </w:p>
    <w:p w:rsidR="00C57739" w:rsidRDefault="00D00113" w:rsidP="00340C6D">
      <w:pPr>
        <w:jc w:val="both"/>
        <w:rPr>
          <w:sz w:val="20"/>
          <w:lang w:val="fr-CA"/>
        </w:rPr>
      </w:pPr>
      <w:r>
        <w:rPr>
          <w:sz w:val="20"/>
        </w:rPr>
        <w:pict>
          <v:rect id="_x0000_i1027" style="width:2in;height:1pt" o:hrpct="0" o:hralign="center" o:hrstd="t" o:hrnoshade="t" o:hr="t" fillcolor="black [3213]" stroked="f"/>
        </w:pict>
      </w:r>
    </w:p>
    <w:p w:rsidR="004163C1" w:rsidRPr="00C57739" w:rsidRDefault="004163C1" w:rsidP="00340C6D">
      <w:pPr>
        <w:jc w:val="both"/>
        <w:rPr>
          <w:sz w:val="20"/>
          <w:lang w:val="fr-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C57739" w:rsidRPr="00C57739" w:rsidTr="00CA72D0">
        <w:tc>
          <w:tcPr>
            <w:tcW w:w="395" w:type="pct"/>
          </w:tcPr>
          <w:p w:rsidR="00C57739" w:rsidRPr="00C57739" w:rsidRDefault="00C57739" w:rsidP="00F9479E">
            <w:pPr>
              <w:rPr>
                <w:sz w:val="20"/>
              </w:rPr>
            </w:pPr>
            <w:r w:rsidRPr="00C57739">
              <w:rPr>
                <w:rStyle w:val="SCCFileNumberChar"/>
                <w:sz w:val="20"/>
                <w:szCs w:val="20"/>
              </w:rPr>
              <w:t>38308</w:t>
            </w:r>
          </w:p>
        </w:tc>
        <w:tc>
          <w:tcPr>
            <w:tcW w:w="4605" w:type="pct"/>
          </w:tcPr>
          <w:p w:rsidR="00C57739" w:rsidRPr="00C57739" w:rsidRDefault="00C57739" w:rsidP="00CA72D0">
            <w:pPr>
              <w:pStyle w:val="SCCLsocParty"/>
              <w:rPr>
                <w:b/>
                <w:i w:val="0"/>
                <w:sz w:val="20"/>
                <w:szCs w:val="20"/>
                <w:lang w:val="en-US"/>
              </w:rPr>
            </w:pPr>
            <w:r w:rsidRPr="00C57739">
              <w:rPr>
                <w:b/>
                <w:sz w:val="20"/>
                <w:szCs w:val="20"/>
                <w:lang w:val="en-US"/>
              </w:rPr>
              <w:t>Her Majesty the Queen v. Corporal R.P. Beaudry</w:t>
            </w:r>
          </w:p>
          <w:p w:rsidR="00C57739" w:rsidRPr="00C57739" w:rsidRDefault="00C57739">
            <w:pPr>
              <w:rPr>
                <w:sz w:val="20"/>
              </w:rPr>
            </w:pPr>
            <w:r w:rsidRPr="00C57739">
              <w:rPr>
                <w:sz w:val="20"/>
              </w:rPr>
              <w:t>(C</w:t>
            </w:r>
            <w:r>
              <w:rPr>
                <w:sz w:val="20"/>
              </w:rPr>
              <w:t>.</w:t>
            </w:r>
            <w:r w:rsidRPr="00C57739">
              <w:rPr>
                <w:sz w:val="20"/>
              </w:rPr>
              <w:t>M</w:t>
            </w:r>
            <w:r>
              <w:rPr>
                <w:sz w:val="20"/>
              </w:rPr>
              <w:t>.</w:t>
            </w:r>
            <w:r w:rsidRPr="00C57739">
              <w:rPr>
                <w:sz w:val="20"/>
              </w:rPr>
              <w:t>A</w:t>
            </w:r>
            <w:r>
              <w:rPr>
                <w:sz w:val="20"/>
              </w:rPr>
              <w:t>.</w:t>
            </w:r>
            <w:r w:rsidRPr="00C57739">
              <w:rPr>
                <w:sz w:val="20"/>
              </w:rPr>
              <w:t>C</w:t>
            </w:r>
            <w:r>
              <w:rPr>
                <w:sz w:val="20"/>
              </w:rPr>
              <w:t>.</w:t>
            </w:r>
            <w:r w:rsidRPr="00C57739">
              <w:rPr>
                <w:sz w:val="20"/>
              </w:rPr>
              <w:t>) (Criminal) (As of Right)</w:t>
            </w:r>
          </w:p>
        </w:tc>
      </w:tr>
      <w:tr w:rsidR="00C57739" w:rsidRPr="00C57739" w:rsidTr="00CA72D0">
        <w:tc>
          <w:tcPr>
            <w:tcW w:w="5000" w:type="pct"/>
            <w:gridSpan w:val="2"/>
          </w:tcPr>
          <w:p w:rsidR="00C57739" w:rsidRPr="00C57739" w:rsidRDefault="00C57739" w:rsidP="007F2E8C">
            <w:pPr>
              <w:rPr>
                <w:sz w:val="20"/>
              </w:rPr>
            </w:pPr>
            <w:r w:rsidRPr="00C57739">
              <w:rPr>
                <w:i/>
                <w:sz w:val="20"/>
              </w:rPr>
              <w:t>Canadian Charter of Rights and Freedoms</w:t>
            </w:r>
            <w:r w:rsidRPr="00C57739">
              <w:rPr>
                <w:sz w:val="20"/>
              </w:rPr>
              <w:t xml:space="preserve"> - Criminal law - Offences - Constitutional law - Military offences - Right to jury - Whether s. 130(1)(a) of </w:t>
            </w:r>
            <w:r w:rsidRPr="00C57739">
              <w:rPr>
                <w:i/>
                <w:sz w:val="20"/>
              </w:rPr>
              <w:t>National Defence Act</w:t>
            </w:r>
            <w:r w:rsidRPr="00C57739">
              <w:rPr>
                <w:sz w:val="20"/>
              </w:rPr>
              <w:t xml:space="preserve">, R.S.C. 1985, c. N-5, violates s. 11(f) of </w:t>
            </w:r>
            <w:r w:rsidRPr="00C57739">
              <w:rPr>
                <w:i/>
                <w:sz w:val="20"/>
              </w:rPr>
              <w:t>Canadian Charter of Rights and Freedoms</w:t>
            </w:r>
            <w:r w:rsidRPr="00C57739">
              <w:rPr>
                <w:sz w:val="20"/>
              </w:rPr>
              <w:t>.</w:t>
            </w:r>
          </w:p>
          <w:p w:rsidR="00C57739" w:rsidRPr="00C57739" w:rsidRDefault="00C57739" w:rsidP="00C01DCD">
            <w:pPr>
              <w:rPr>
                <w:sz w:val="20"/>
              </w:rPr>
            </w:pPr>
          </w:p>
        </w:tc>
      </w:tr>
      <w:tr w:rsidR="00C57739" w:rsidRPr="00C57739" w:rsidTr="00CA72D0">
        <w:tc>
          <w:tcPr>
            <w:tcW w:w="5000" w:type="pct"/>
            <w:gridSpan w:val="2"/>
          </w:tcPr>
          <w:p w:rsidR="00C57739" w:rsidRPr="00C57739" w:rsidRDefault="00C57739" w:rsidP="007F2E8C">
            <w:pPr>
              <w:rPr>
                <w:sz w:val="20"/>
                <w:lang w:val="en"/>
              </w:rPr>
            </w:pPr>
            <w:r w:rsidRPr="00C57739">
              <w:rPr>
                <w:sz w:val="20"/>
                <w:lang w:val="en"/>
              </w:rPr>
              <w:t xml:space="preserve">On July 14, 2016, the respondent Corporal Beaudry, a member of the Canadian Armed Forces, was convicted of sexual assault causing bodily harm (an offence under s. 272 of the </w:t>
            </w:r>
            <w:r w:rsidRPr="00C57739">
              <w:rPr>
                <w:i/>
                <w:sz w:val="20"/>
                <w:lang w:val="en"/>
              </w:rPr>
              <w:t>Criminal Code</w:t>
            </w:r>
            <w:r w:rsidRPr="00C57739">
              <w:rPr>
                <w:sz w:val="20"/>
                <w:lang w:val="en"/>
              </w:rPr>
              <w:t xml:space="preserve">) by a Standing Court Martial. Section 130 of the </w:t>
            </w:r>
            <w:r w:rsidRPr="00C57739">
              <w:rPr>
                <w:i/>
                <w:sz w:val="20"/>
                <w:lang w:val="en"/>
              </w:rPr>
              <w:t>National Defence Act</w:t>
            </w:r>
            <w:r w:rsidRPr="00C57739">
              <w:rPr>
                <w:sz w:val="20"/>
                <w:lang w:val="en"/>
              </w:rPr>
              <w:t xml:space="preserve"> (</w:t>
            </w:r>
            <w:r w:rsidRPr="00C57739">
              <w:rPr>
                <w:i/>
                <w:sz w:val="20"/>
                <w:lang w:val="en"/>
              </w:rPr>
              <w:t>NDA</w:t>
            </w:r>
            <w:r w:rsidRPr="00C57739">
              <w:rPr>
                <w:sz w:val="20"/>
                <w:lang w:val="en"/>
              </w:rPr>
              <w:t xml:space="preserve">) provides that </w:t>
            </w:r>
            <w:r w:rsidRPr="00C57739">
              <w:rPr>
                <w:i/>
                <w:sz w:val="20"/>
                <w:lang w:val="en"/>
              </w:rPr>
              <w:t xml:space="preserve">Criminal Code </w:t>
            </w:r>
            <w:r w:rsidRPr="00C57739">
              <w:rPr>
                <w:sz w:val="20"/>
                <w:lang w:val="en"/>
              </w:rPr>
              <w:t xml:space="preserve">offences are service offences that can be tried in the military justice system.  Before trial, Cpl. Beaudry had asked for a trial before judge and jury, but this was denied. </w:t>
            </w:r>
          </w:p>
          <w:p w:rsidR="00C57739" w:rsidRPr="00C57739" w:rsidRDefault="00C57739" w:rsidP="007F2E8C">
            <w:pPr>
              <w:rPr>
                <w:sz w:val="20"/>
                <w:lang w:val="en"/>
              </w:rPr>
            </w:pPr>
          </w:p>
          <w:p w:rsidR="00C57739" w:rsidRPr="00C57739" w:rsidRDefault="00C57739" w:rsidP="009830C2">
            <w:pPr>
              <w:rPr>
                <w:sz w:val="20"/>
              </w:rPr>
            </w:pPr>
            <w:r w:rsidRPr="00C57739">
              <w:rPr>
                <w:sz w:val="20"/>
                <w:lang w:val="en"/>
              </w:rPr>
              <w:t>On appeal, Cpl. Beaudry argued that s. 130 violates his rights to a jury trial protected by s. 11(</w:t>
            </w:r>
            <w:r w:rsidRPr="00C57739">
              <w:rPr>
                <w:i/>
                <w:sz w:val="20"/>
                <w:lang w:val="en"/>
              </w:rPr>
              <w:t>f</w:t>
            </w:r>
            <w:r w:rsidRPr="00C57739">
              <w:rPr>
                <w:sz w:val="20"/>
                <w:lang w:val="en"/>
              </w:rPr>
              <w:t xml:space="preserve">) of the </w:t>
            </w:r>
            <w:r w:rsidRPr="00C57739">
              <w:rPr>
                <w:i/>
                <w:sz w:val="20"/>
                <w:lang w:val="en"/>
              </w:rPr>
              <w:t>Charter</w:t>
            </w:r>
            <w:r w:rsidRPr="00C57739">
              <w:rPr>
                <w:sz w:val="20"/>
                <w:lang w:val="en"/>
              </w:rPr>
              <w:t>. His appeal was allowed.  The Court declared p</w:t>
            </w:r>
            <w:r w:rsidRPr="00C57739">
              <w:rPr>
                <w:sz w:val="20"/>
              </w:rPr>
              <w:t xml:space="preserve">aragraph 130(1)(a) of the </w:t>
            </w:r>
            <w:r w:rsidRPr="00C57739">
              <w:rPr>
                <w:i/>
                <w:sz w:val="20"/>
              </w:rPr>
              <w:t>National Defence Act</w:t>
            </w:r>
            <w:r w:rsidRPr="00C57739">
              <w:rPr>
                <w:sz w:val="20"/>
              </w:rPr>
              <w:t>, R.S.C. 1985, c. N-5, to be of no force or effect in its application to any civil offence for which the maximum sentence is five years or more. Bell C.J., dissenting, would have upheld the constitutionality of the provision.</w:t>
            </w:r>
          </w:p>
        </w:tc>
      </w:tr>
    </w:tbl>
    <w:p w:rsidR="00C57739" w:rsidRDefault="00C57739" w:rsidP="00097BBF">
      <w:pPr>
        <w:rPr>
          <w:sz w:val="20"/>
        </w:rPr>
      </w:pPr>
    </w:p>
    <w:p w:rsidR="00C57739" w:rsidRDefault="00D00113" w:rsidP="00097BBF">
      <w:pPr>
        <w:rPr>
          <w:sz w:val="20"/>
        </w:rPr>
      </w:pPr>
      <w:r>
        <w:rPr>
          <w:sz w:val="20"/>
        </w:rPr>
        <w:pict>
          <v:rect id="_x0000_i1028" style="width:2in;height:1pt" o:hrpct="0" o:hralign="center" o:hrstd="t" o:hrnoshade="t" o:hr="t" fillcolor="black [3213]" stroked="f"/>
        </w:pict>
      </w:r>
    </w:p>
    <w:p w:rsidR="00C57739" w:rsidRPr="00C57739" w:rsidRDefault="00C57739" w:rsidP="00097BBF">
      <w:pPr>
        <w:rPr>
          <w:sz w:val="20"/>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C57739" w:rsidRPr="00D00113" w:rsidTr="00CA72D0">
        <w:tc>
          <w:tcPr>
            <w:tcW w:w="395" w:type="pct"/>
          </w:tcPr>
          <w:p w:rsidR="00C57739" w:rsidRPr="00C57739" w:rsidRDefault="00C57739" w:rsidP="00F9479E">
            <w:pPr>
              <w:rPr>
                <w:sz w:val="20"/>
              </w:rPr>
            </w:pPr>
            <w:r w:rsidRPr="00C57739">
              <w:rPr>
                <w:rStyle w:val="SCCFileNumberChar"/>
                <w:sz w:val="20"/>
                <w:szCs w:val="20"/>
              </w:rPr>
              <w:t>38308</w:t>
            </w:r>
          </w:p>
        </w:tc>
        <w:tc>
          <w:tcPr>
            <w:tcW w:w="4605" w:type="pct"/>
          </w:tcPr>
          <w:p w:rsidR="00C57739" w:rsidRPr="00C57739" w:rsidRDefault="00C57739" w:rsidP="00CA72D0">
            <w:pPr>
              <w:pStyle w:val="SCCLsocParty"/>
              <w:rPr>
                <w:b/>
                <w:i w:val="0"/>
                <w:sz w:val="20"/>
                <w:szCs w:val="20"/>
              </w:rPr>
            </w:pPr>
            <w:r w:rsidRPr="00C57739">
              <w:rPr>
                <w:b/>
                <w:sz w:val="20"/>
                <w:szCs w:val="20"/>
              </w:rPr>
              <w:t>Sa Majesté la Reine c. Caporal R.P. Beaudry</w:t>
            </w:r>
          </w:p>
          <w:p w:rsidR="00C57739" w:rsidRPr="00C57739" w:rsidRDefault="00C57739" w:rsidP="00616753">
            <w:pPr>
              <w:rPr>
                <w:sz w:val="20"/>
                <w:lang w:val="fr-CA"/>
              </w:rPr>
            </w:pPr>
            <w:r w:rsidRPr="00C57739">
              <w:rPr>
                <w:sz w:val="20"/>
                <w:lang w:val="fr-CA"/>
              </w:rPr>
              <w:t>(C</w:t>
            </w:r>
            <w:r>
              <w:rPr>
                <w:sz w:val="20"/>
                <w:lang w:val="fr-CA"/>
              </w:rPr>
              <w:t>.</w:t>
            </w:r>
            <w:r w:rsidRPr="00C57739">
              <w:rPr>
                <w:sz w:val="20"/>
                <w:lang w:val="fr-CA"/>
              </w:rPr>
              <w:t>A</w:t>
            </w:r>
            <w:r>
              <w:rPr>
                <w:sz w:val="20"/>
                <w:lang w:val="fr-CA"/>
              </w:rPr>
              <w:t>.</w:t>
            </w:r>
            <w:r w:rsidRPr="00C57739">
              <w:rPr>
                <w:sz w:val="20"/>
                <w:lang w:val="fr-CA"/>
              </w:rPr>
              <w:t>C</w:t>
            </w:r>
            <w:r>
              <w:rPr>
                <w:sz w:val="20"/>
                <w:lang w:val="fr-CA"/>
              </w:rPr>
              <w:t>.</w:t>
            </w:r>
            <w:r w:rsidRPr="00C57739">
              <w:rPr>
                <w:sz w:val="20"/>
                <w:lang w:val="fr-CA"/>
              </w:rPr>
              <w:t>M</w:t>
            </w:r>
            <w:r>
              <w:rPr>
                <w:sz w:val="20"/>
                <w:lang w:val="fr-CA"/>
              </w:rPr>
              <w:t>.</w:t>
            </w:r>
            <w:r w:rsidRPr="00C57739">
              <w:rPr>
                <w:sz w:val="20"/>
                <w:lang w:val="fr-CA"/>
              </w:rPr>
              <w:t>) (Criminelle) (De plein droit)</w:t>
            </w:r>
          </w:p>
        </w:tc>
      </w:tr>
      <w:tr w:rsidR="00C57739" w:rsidRPr="00D00113" w:rsidTr="00CA72D0">
        <w:tc>
          <w:tcPr>
            <w:tcW w:w="5000" w:type="pct"/>
            <w:gridSpan w:val="2"/>
          </w:tcPr>
          <w:p w:rsidR="00C57739" w:rsidRPr="00C57739" w:rsidRDefault="00C57739" w:rsidP="007F2E8C">
            <w:pPr>
              <w:rPr>
                <w:sz w:val="20"/>
                <w:lang w:val="fr-CA"/>
              </w:rPr>
            </w:pPr>
            <w:r w:rsidRPr="00C57739">
              <w:rPr>
                <w:i/>
                <w:sz w:val="20"/>
                <w:lang w:val="fr-CA"/>
              </w:rPr>
              <w:t>Charte canadienne des droits et libertés</w:t>
            </w:r>
            <w:r w:rsidRPr="00C57739">
              <w:rPr>
                <w:sz w:val="20"/>
                <w:lang w:val="fr-CA"/>
              </w:rPr>
              <w:t xml:space="preserve"> - Droit criminel - Infractions - Droit constitutionnel - Infractions militaires - Droit à un jury - L’alinéa 130(1)a) de la </w:t>
            </w:r>
            <w:r w:rsidRPr="00C57739">
              <w:rPr>
                <w:i/>
                <w:sz w:val="20"/>
                <w:lang w:val="fr-CA"/>
              </w:rPr>
              <w:t>Loi sur la défense nationale</w:t>
            </w:r>
            <w:r w:rsidRPr="00C57739">
              <w:rPr>
                <w:sz w:val="20"/>
                <w:lang w:val="fr-CA"/>
              </w:rPr>
              <w:t>, L.R.C. 1985, c. N-5, viole-t-il l’al. 11</w:t>
            </w:r>
            <w:r w:rsidRPr="00C57739">
              <w:rPr>
                <w:i/>
                <w:sz w:val="20"/>
                <w:lang w:val="fr-CA"/>
              </w:rPr>
              <w:t>f</w:t>
            </w:r>
            <w:r w:rsidRPr="00C57739">
              <w:rPr>
                <w:sz w:val="20"/>
                <w:lang w:val="fr-CA"/>
              </w:rPr>
              <w:t xml:space="preserve">) de la </w:t>
            </w:r>
            <w:r w:rsidRPr="00C57739">
              <w:rPr>
                <w:i/>
                <w:sz w:val="20"/>
                <w:lang w:val="fr-CA"/>
              </w:rPr>
              <w:t>Charte canadienne des droits et libertés</w:t>
            </w:r>
            <w:r w:rsidRPr="00C57739">
              <w:rPr>
                <w:sz w:val="20"/>
                <w:lang w:val="fr-CA"/>
              </w:rPr>
              <w:t xml:space="preserve">? </w:t>
            </w:r>
          </w:p>
          <w:p w:rsidR="00C57739" w:rsidRPr="00C57739" w:rsidRDefault="00C57739" w:rsidP="00C01DCD">
            <w:pPr>
              <w:rPr>
                <w:sz w:val="20"/>
                <w:lang w:val="fr-CA"/>
              </w:rPr>
            </w:pPr>
          </w:p>
        </w:tc>
      </w:tr>
      <w:tr w:rsidR="00C57739" w:rsidRPr="00D00113" w:rsidTr="00CA72D0">
        <w:tc>
          <w:tcPr>
            <w:tcW w:w="5000" w:type="pct"/>
            <w:gridSpan w:val="2"/>
          </w:tcPr>
          <w:p w:rsidR="00C57739" w:rsidRPr="00C57739" w:rsidRDefault="00C57739" w:rsidP="007F2E8C">
            <w:pPr>
              <w:rPr>
                <w:sz w:val="20"/>
                <w:lang w:val="fr-CA"/>
              </w:rPr>
            </w:pPr>
            <w:r w:rsidRPr="00C57739">
              <w:rPr>
                <w:sz w:val="20"/>
                <w:lang w:val="fr-CA"/>
              </w:rPr>
              <w:t xml:space="preserve">Le 14 juillet 2016, l’intimé, le caporal Beaudry, des Forces armées canadiennes, a été reconnu coupable d’agression sexuelle causant des lésions corporelles (une infraction à l’art. 272 du </w:t>
            </w:r>
            <w:r w:rsidRPr="00C57739">
              <w:rPr>
                <w:i/>
                <w:sz w:val="20"/>
                <w:lang w:val="fr-CA"/>
              </w:rPr>
              <w:t>Code criminel</w:t>
            </w:r>
            <w:r w:rsidRPr="00C57739">
              <w:rPr>
                <w:sz w:val="20"/>
                <w:lang w:val="fr-CA"/>
              </w:rPr>
              <w:t xml:space="preserve">) par une cour martiale permanente. Selon l’art. 130 de la </w:t>
            </w:r>
            <w:r w:rsidRPr="00C57739">
              <w:rPr>
                <w:i/>
                <w:sz w:val="20"/>
                <w:lang w:val="fr-CA"/>
              </w:rPr>
              <w:t xml:space="preserve">Loi sur la défense nationale </w:t>
            </w:r>
            <w:r w:rsidRPr="00C57739">
              <w:rPr>
                <w:sz w:val="20"/>
                <w:lang w:val="fr-CA"/>
              </w:rPr>
              <w:t xml:space="preserve">(LDN), les infractions au </w:t>
            </w:r>
            <w:r w:rsidRPr="00C57739">
              <w:rPr>
                <w:i/>
                <w:sz w:val="20"/>
                <w:lang w:val="fr-CA"/>
              </w:rPr>
              <w:t xml:space="preserve">Code criminel </w:t>
            </w:r>
            <w:r w:rsidRPr="00C57739">
              <w:rPr>
                <w:sz w:val="20"/>
                <w:lang w:val="fr-CA"/>
              </w:rPr>
              <w:t xml:space="preserve">sont des infractions militaires qui peuvent être jugées au sein du système de justice militaire. Avant son procès, le caporal Beaudry a demandé à subir un procès devant juge et jury, mais cette demande a été refusée.  </w:t>
            </w:r>
          </w:p>
          <w:p w:rsidR="00C57739" w:rsidRPr="00C57739" w:rsidRDefault="00C57739" w:rsidP="007F2E8C">
            <w:pPr>
              <w:rPr>
                <w:sz w:val="20"/>
                <w:lang w:val="fr-CA"/>
              </w:rPr>
            </w:pPr>
          </w:p>
          <w:p w:rsidR="00C57739" w:rsidRPr="00C57739" w:rsidRDefault="00C57739" w:rsidP="00B65D5D">
            <w:pPr>
              <w:rPr>
                <w:sz w:val="20"/>
                <w:lang w:val="fr-CA"/>
              </w:rPr>
            </w:pPr>
            <w:r w:rsidRPr="00C57739">
              <w:rPr>
                <w:sz w:val="20"/>
                <w:lang w:val="fr-CA"/>
              </w:rPr>
              <w:t xml:space="preserve">En appel, le caporal </w:t>
            </w:r>
            <w:proofErr w:type="gramStart"/>
            <w:r w:rsidRPr="00C57739">
              <w:rPr>
                <w:sz w:val="20"/>
                <w:lang w:val="fr-CA"/>
              </w:rPr>
              <w:t>Beaudry a</w:t>
            </w:r>
            <w:proofErr w:type="gramEnd"/>
            <w:r w:rsidRPr="00C57739">
              <w:rPr>
                <w:sz w:val="20"/>
                <w:lang w:val="fr-CA"/>
              </w:rPr>
              <w:t xml:space="preserve"> soutenu que l’art. 130 </w:t>
            </w:r>
            <w:proofErr w:type="gramStart"/>
            <w:r w:rsidRPr="00C57739">
              <w:rPr>
                <w:sz w:val="20"/>
                <w:lang w:val="fr-CA"/>
              </w:rPr>
              <w:t>viole</w:t>
            </w:r>
            <w:proofErr w:type="gramEnd"/>
            <w:r w:rsidRPr="00C57739">
              <w:rPr>
                <w:sz w:val="20"/>
                <w:lang w:val="fr-CA"/>
              </w:rPr>
              <w:t xml:space="preserve"> le droit à un procès devant jury que lui reconnaît l’al. 11</w:t>
            </w:r>
            <w:r w:rsidRPr="00C57739">
              <w:rPr>
                <w:i/>
                <w:sz w:val="20"/>
                <w:lang w:val="fr-CA"/>
              </w:rPr>
              <w:t>f</w:t>
            </w:r>
            <w:r w:rsidRPr="00C57739">
              <w:rPr>
                <w:sz w:val="20"/>
                <w:lang w:val="fr-CA"/>
              </w:rPr>
              <w:t xml:space="preserve">) de la </w:t>
            </w:r>
            <w:r w:rsidRPr="00C57739">
              <w:rPr>
                <w:i/>
                <w:sz w:val="20"/>
                <w:lang w:val="fr-CA"/>
              </w:rPr>
              <w:t>Charte</w:t>
            </w:r>
            <w:r w:rsidRPr="00C57739">
              <w:rPr>
                <w:sz w:val="20"/>
                <w:lang w:val="fr-CA"/>
              </w:rPr>
              <w:t xml:space="preserve">. Son appel a été accueilli. La Cour a déclaré l’al. 130(1)a) de la </w:t>
            </w:r>
            <w:r w:rsidRPr="00C57739">
              <w:rPr>
                <w:i/>
                <w:sz w:val="20"/>
                <w:lang w:val="fr-CA"/>
              </w:rPr>
              <w:t>Loi sur la défense nationale</w:t>
            </w:r>
            <w:r w:rsidRPr="00C57739">
              <w:rPr>
                <w:sz w:val="20"/>
                <w:lang w:val="fr-CA"/>
              </w:rPr>
              <w:t xml:space="preserve">, L.R.C. 1985, c. N-5, inopérant dans son application à toute infraction civile dont la peine maximale est de cinq ans ou plus. Le juge en chef Bell, dissident, aurait confirmé la constitutionnalité de la disposition. </w:t>
            </w:r>
          </w:p>
        </w:tc>
      </w:tr>
    </w:tbl>
    <w:p w:rsidR="00C57739" w:rsidRPr="00C57739" w:rsidRDefault="00C57739" w:rsidP="00340C6D">
      <w:pPr>
        <w:jc w:val="both"/>
        <w:rPr>
          <w:lang w:val="fr-CA"/>
        </w:rPr>
      </w:pPr>
    </w:p>
    <w:p w:rsidR="00C57739" w:rsidRPr="00C57739" w:rsidRDefault="00D00113" w:rsidP="00340C6D">
      <w:pPr>
        <w:jc w:val="both"/>
        <w:rPr>
          <w:lang w:val="fr-CA"/>
        </w:rPr>
      </w:pPr>
      <w:r>
        <w:rPr>
          <w:sz w:val="20"/>
        </w:rPr>
        <w:pict>
          <v:rect id="_x0000_i1029" style="width:2in;height:1pt" o:hrpct="0" o:hralign="center" o:hrstd="t" o:hrnoshade="t" o:hr="t" fillcolor="black [3213]" stroked="f"/>
        </w:pict>
      </w:r>
    </w:p>
    <w:p w:rsidR="00C57739" w:rsidRPr="00C57739" w:rsidRDefault="00C57739" w:rsidP="00340C6D">
      <w:pPr>
        <w:jc w:val="both"/>
        <w:rPr>
          <w:lang w:val="fr-CA"/>
        </w:rPr>
      </w:pPr>
    </w:p>
    <w:p w:rsidR="00072A63" w:rsidRPr="00C57739" w:rsidRDefault="00072A63" w:rsidP="00340C6D">
      <w:pPr>
        <w:jc w:val="both"/>
        <w:rPr>
          <w:szCs w:val="24"/>
          <w:lang w:val="fr-CA"/>
        </w:rPr>
      </w:pPr>
    </w:p>
    <w:p w:rsidR="00072A63" w:rsidRPr="00C57739"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D00113" w:rsidP="001C4415">
      <w:pPr>
        <w:widowControl w:val="0"/>
        <w:outlineLvl w:val="0"/>
      </w:pPr>
      <w:hyperlink r:id="rId9"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1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57357"/>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036"/>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163C1"/>
    <w:rsid w:val="0042151F"/>
    <w:rsid w:val="00421CC7"/>
    <w:rsid w:val="0042330C"/>
    <w:rsid w:val="00423876"/>
    <w:rsid w:val="0042442F"/>
    <w:rsid w:val="00424E50"/>
    <w:rsid w:val="00425FF3"/>
    <w:rsid w:val="00426675"/>
    <w:rsid w:val="00426798"/>
    <w:rsid w:val="00426F87"/>
    <w:rsid w:val="00427239"/>
    <w:rsid w:val="00430BBD"/>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4A0B"/>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4513"/>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3FF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C4280"/>
    <w:rsid w:val="00AD271C"/>
    <w:rsid w:val="00AD28E3"/>
    <w:rsid w:val="00AD4D8B"/>
    <w:rsid w:val="00AE57A4"/>
    <w:rsid w:val="00AE77AE"/>
    <w:rsid w:val="00AE7E7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57739"/>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113"/>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6BB"/>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LsocSubfileSeparator">
    <w:name w:val="SCC.Lsoc.SubfileSeparator"/>
    <w:basedOn w:val="Normal"/>
    <w:next w:val="Normal"/>
    <w:link w:val="SCCLsocSubfileSeparatorChar"/>
    <w:rsid w:val="00C5773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C57739"/>
    <w:rPr>
      <w:rFonts w:eastAsiaTheme="minorHAnsi"/>
      <w:b/>
      <w:sz w:val="24"/>
      <w:szCs w:val="24"/>
      <w:lang w:val="en-CA"/>
    </w:rPr>
  </w:style>
  <w:style w:type="paragraph" w:customStyle="1" w:styleId="SCCFileNumber">
    <w:name w:val="SCC.FileNumber"/>
    <w:basedOn w:val="Normal"/>
    <w:next w:val="Normal"/>
    <w:link w:val="SCCFileNumberChar"/>
    <w:rsid w:val="00C5773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C5773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0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77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2019-07-03T17:23:00Z</dcterms:created>
  <dcterms:modified xsi:type="dcterms:W3CDTF">2019-07-08T13:55:00Z</dcterms:modified>
</cp:coreProperties>
</file>