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D0EDD" w:rsidRDefault="00F61846" w:rsidP="00122CE1">
      <w:pPr>
        <w:pStyle w:val="Header"/>
        <w:tabs>
          <w:tab w:val="left" w:pos="1620"/>
          <w:tab w:val="left" w:pos="1710"/>
        </w:tabs>
        <w:jc w:val="center"/>
        <w:rPr>
          <w:b/>
          <w:sz w:val="32"/>
        </w:rPr>
      </w:pPr>
      <w:r w:rsidRPr="006D0EDD">
        <w:rPr>
          <w:b/>
          <w:sz w:val="32"/>
        </w:rPr>
        <w:t>S</w:t>
      </w:r>
      <w:r w:rsidR="003F43E6" w:rsidRPr="006D0EDD">
        <w:rPr>
          <w:b/>
          <w:sz w:val="32"/>
        </w:rPr>
        <w:t>upreme Court of Canada / Cour suprême du Canada</w:t>
      </w:r>
    </w:p>
    <w:p w:rsidR="003F43E6" w:rsidRPr="006D0EDD" w:rsidRDefault="003F43E6" w:rsidP="006F2579">
      <w:pPr>
        <w:widowControl w:val="0"/>
        <w:rPr>
          <w:i/>
        </w:rPr>
      </w:pPr>
    </w:p>
    <w:p w:rsidR="006F2579" w:rsidRPr="006D0EDD" w:rsidRDefault="006F2579" w:rsidP="006F2579">
      <w:pPr>
        <w:widowControl w:val="0"/>
        <w:rPr>
          <w:i/>
        </w:rPr>
      </w:pPr>
      <w:r w:rsidRPr="006D0EDD">
        <w:rPr>
          <w:i/>
        </w:rPr>
        <w:t>(le français suit)</w:t>
      </w:r>
    </w:p>
    <w:p w:rsidR="006F2579" w:rsidRPr="006D0EDD" w:rsidRDefault="006F2579" w:rsidP="006F2579">
      <w:pPr>
        <w:widowControl w:val="0"/>
      </w:pPr>
    </w:p>
    <w:p w:rsidR="006F2579" w:rsidRPr="006D0EDD" w:rsidRDefault="00B07908" w:rsidP="006F2579">
      <w:pPr>
        <w:widowControl w:val="0"/>
        <w:jc w:val="center"/>
        <w:rPr>
          <w:b/>
        </w:rPr>
      </w:pPr>
      <w:r w:rsidRPr="006D0EDD">
        <w:fldChar w:fldCharType="begin"/>
      </w:r>
      <w:r w:rsidR="006F2579" w:rsidRPr="006D0EDD">
        <w:instrText xml:space="preserve"> SEQ CHAPTER \h \r 1</w:instrText>
      </w:r>
      <w:r w:rsidRPr="006D0EDD">
        <w:fldChar w:fldCharType="end"/>
      </w:r>
      <w:r w:rsidR="006F2579" w:rsidRPr="006D0EDD">
        <w:rPr>
          <w:b/>
        </w:rPr>
        <w:t>JUDGMENT</w:t>
      </w:r>
      <w:r w:rsidR="00B17AAC" w:rsidRPr="006D0EDD">
        <w:rPr>
          <w:b/>
        </w:rPr>
        <w:t>S</w:t>
      </w:r>
      <w:r w:rsidR="006F2579" w:rsidRPr="006D0EDD">
        <w:rPr>
          <w:b/>
        </w:rPr>
        <w:t xml:space="preserve"> TO B</w:t>
      </w:r>
      <w:r w:rsidR="00001846" w:rsidRPr="006D0EDD">
        <w:rPr>
          <w:b/>
        </w:rPr>
        <w:t>E RENDERED IN LE</w:t>
      </w:r>
      <w:r w:rsidR="00A0288A" w:rsidRPr="006D0EDD">
        <w:rPr>
          <w:b/>
        </w:rPr>
        <w:t>A</w:t>
      </w:r>
      <w:r w:rsidR="00001846" w:rsidRPr="006D0EDD">
        <w:rPr>
          <w:b/>
        </w:rPr>
        <w:t>VE APPLICATION</w:t>
      </w:r>
      <w:r w:rsidR="00E94FDF" w:rsidRPr="006D0EDD">
        <w:rPr>
          <w:b/>
        </w:rPr>
        <w:t>S</w:t>
      </w:r>
    </w:p>
    <w:p w:rsidR="006F2579" w:rsidRPr="006D0EDD" w:rsidRDefault="006F2579" w:rsidP="006F2579">
      <w:pPr>
        <w:widowControl w:val="0"/>
      </w:pPr>
    </w:p>
    <w:p w:rsidR="006F2579" w:rsidRPr="006D0EDD" w:rsidRDefault="0040533B" w:rsidP="006F2579">
      <w:pPr>
        <w:widowControl w:val="0"/>
        <w:rPr>
          <w:b/>
        </w:rPr>
      </w:pPr>
      <w:r w:rsidRPr="006D0EDD">
        <w:rPr>
          <w:b/>
        </w:rPr>
        <w:t>August</w:t>
      </w:r>
      <w:r w:rsidR="00A15B66" w:rsidRPr="006D0EDD">
        <w:rPr>
          <w:b/>
        </w:rPr>
        <w:t xml:space="preserve"> </w:t>
      </w:r>
      <w:r w:rsidR="000D1456" w:rsidRPr="006D0EDD">
        <w:rPr>
          <w:b/>
        </w:rPr>
        <w:t>26</w:t>
      </w:r>
      <w:r w:rsidR="004441C7" w:rsidRPr="006D0EDD">
        <w:rPr>
          <w:b/>
        </w:rPr>
        <w:t>,</w:t>
      </w:r>
      <w:r w:rsidR="006F2579" w:rsidRPr="006D0EDD">
        <w:rPr>
          <w:b/>
        </w:rPr>
        <w:t xml:space="preserve"> </w:t>
      </w:r>
      <w:r w:rsidR="0054689F" w:rsidRPr="006D0EDD">
        <w:rPr>
          <w:b/>
        </w:rPr>
        <w:t>201</w:t>
      </w:r>
      <w:r w:rsidR="00313D36" w:rsidRPr="006D0EDD">
        <w:rPr>
          <w:b/>
        </w:rPr>
        <w:t>9</w:t>
      </w:r>
    </w:p>
    <w:p w:rsidR="006F2579" w:rsidRPr="006D0EDD" w:rsidRDefault="00674F39" w:rsidP="006F2579">
      <w:pPr>
        <w:widowControl w:val="0"/>
        <w:rPr>
          <w:b/>
        </w:rPr>
      </w:pPr>
      <w:r w:rsidRPr="006D0EDD">
        <w:rPr>
          <w:b/>
        </w:rPr>
        <w:t>For immediate release</w:t>
      </w:r>
    </w:p>
    <w:p w:rsidR="006F2579" w:rsidRPr="006D0EDD" w:rsidRDefault="006F2579" w:rsidP="006F2579">
      <w:pPr>
        <w:widowControl w:val="0"/>
      </w:pPr>
    </w:p>
    <w:p w:rsidR="006F2579" w:rsidRPr="006D0EDD" w:rsidRDefault="006F2579" w:rsidP="006F2579">
      <w:pPr>
        <w:widowControl w:val="0"/>
      </w:pPr>
      <w:r w:rsidRPr="006D0EDD">
        <w:rPr>
          <w:b/>
        </w:rPr>
        <w:t>OTTAWA</w:t>
      </w:r>
      <w:r w:rsidRPr="006D0EDD">
        <w:t xml:space="preserve"> – The Supreme Court of Canad</w:t>
      </w:r>
      <w:r w:rsidR="006246E4" w:rsidRPr="006D0EDD">
        <w:t>a</w:t>
      </w:r>
      <w:r w:rsidRPr="006D0EDD">
        <w:t xml:space="preserve"> announced today that judgment in the following application</w:t>
      </w:r>
      <w:r w:rsidR="008600ED" w:rsidRPr="006D0EDD">
        <w:t>s</w:t>
      </w:r>
      <w:r w:rsidRPr="006D0EDD">
        <w:t xml:space="preserve"> for leave to appeal will be delivered at 9:45 a.m. </w:t>
      </w:r>
      <w:r w:rsidR="00E05816" w:rsidRPr="006D0EDD">
        <w:t>E</w:t>
      </w:r>
      <w:r w:rsidR="005B48B5" w:rsidRPr="006D0EDD">
        <w:t>D</w:t>
      </w:r>
      <w:r w:rsidR="00E05816" w:rsidRPr="006D0EDD">
        <w:t>T</w:t>
      </w:r>
      <w:r w:rsidRPr="006D0EDD">
        <w:t xml:space="preserve"> on Thursday, </w:t>
      </w:r>
      <w:r w:rsidR="0040533B" w:rsidRPr="006D0EDD">
        <w:t>August</w:t>
      </w:r>
      <w:r w:rsidR="00455912" w:rsidRPr="006D0EDD">
        <w:t xml:space="preserve"> </w:t>
      </w:r>
      <w:r w:rsidR="00921E5A" w:rsidRPr="006D0EDD">
        <w:t>2</w:t>
      </w:r>
      <w:r w:rsidR="000D1456" w:rsidRPr="006D0EDD">
        <w:t>9</w:t>
      </w:r>
      <w:r w:rsidR="00921E5A" w:rsidRPr="006D0EDD">
        <w:t>,</w:t>
      </w:r>
      <w:r w:rsidR="002F38D7" w:rsidRPr="006D0EDD">
        <w:t xml:space="preserve"> </w:t>
      </w:r>
      <w:r w:rsidR="006648D1" w:rsidRPr="006D0EDD">
        <w:t>201</w:t>
      </w:r>
      <w:r w:rsidR="00313D36" w:rsidRPr="006D0EDD">
        <w:t>9</w:t>
      </w:r>
      <w:r w:rsidRPr="006D0EDD">
        <w:t>. This list is subject to chang</w:t>
      </w:r>
      <w:r w:rsidR="00192F7F" w:rsidRPr="006D0EDD">
        <w:t>e</w:t>
      </w:r>
      <w:r w:rsidRPr="006D0EDD">
        <w:t>.</w:t>
      </w:r>
    </w:p>
    <w:p w:rsidR="00EF2A9D" w:rsidRPr="006D0EDD" w:rsidRDefault="00EF2A9D" w:rsidP="006F2579">
      <w:pPr>
        <w:widowControl w:val="0"/>
        <w:rPr>
          <w:sz w:val="20"/>
        </w:rPr>
      </w:pPr>
    </w:p>
    <w:p w:rsidR="00B43418" w:rsidRPr="006D0EDD" w:rsidRDefault="00B43418" w:rsidP="006F2579">
      <w:pPr>
        <w:widowControl w:val="0"/>
        <w:rPr>
          <w:sz w:val="20"/>
        </w:rPr>
      </w:pPr>
    </w:p>
    <w:p w:rsidR="006F2579" w:rsidRPr="006D0EDD" w:rsidRDefault="006F2579" w:rsidP="006F2579">
      <w:pPr>
        <w:widowControl w:val="0"/>
        <w:jc w:val="center"/>
        <w:rPr>
          <w:lang w:val="fr-CA"/>
        </w:rPr>
      </w:pPr>
      <w:r w:rsidRPr="006D0EDD">
        <w:rPr>
          <w:b/>
          <w:lang w:val="fr-CA"/>
        </w:rPr>
        <w:t>PROCHAIN</w:t>
      </w:r>
      <w:r w:rsidR="00B17AAC" w:rsidRPr="006D0EDD">
        <w:rPr>
          <w:b/>
          <w:lang w:val="fr-CA"/>
        </w:rPr>
        <w:t>S</w:t>
      </w:r>
      <w:r w:rsidRPr="006D0EDD">
        <w:rPr>
          <w:b/>
          <w:lang w:val="fr-CA"/>
        </w:rPr>
        <w:t xml:space="preserve"> JUGEMENT</w:t>
      </w:r>
      <w:r w:rsidR="00B17AAC" w:rsidRPr="006D0EDD">
        <w:rPr>
          <w:b/>
          <w:lang w:val="fr-CA"/>
        </w:rPr>
        <w:t>S</w:t>
      </w:r>
      <w:r w:rsidR="00001846" w:rsidRPr="006D0EDD">
        <w:rPr>
          <w:b/>
          <w:lang w:val="fr-CA"/>
        </w:rPr>
        <w:t xml:space="preserve"> SUR DEMANDE</w:t>
      </w:r>
      <w:r w:rsidR="00B17AAC" w:rsidRPr="006D0EDD">
        <w:rPr>
          <w:b/>
          <w:lang w:val="fr-CA"/>
        </w:rPr>
        <w:t>S</w:t>
      </w:r>
      <w:r w:rsidRPr="006D0EDD">
        <w:rPr>
          <w:b/>
          <w:lang w:val="fr-CA"/>
        </w:rPr>
        <w:t xml:space="preserve"> D’AUTORISATION</w:t>
      </w:r>
    </w:p>
    <w:p w:rsidR="006F2579" w:rsidRPr="006D0EDD" w:rsidRDefault="006F2579" w:rsidP="006F2579">
      <w:pPr>
        <w:widowControl w:val="0"/>
        <w:rPr>
          <w:lang w:val="fr-CA"/>
        </w:rPr>
      </w:pPr>
    </w:p>
    <w:p w:rsidR="006F2579" w:rsidRPr="006D0EDD" w:rsidRDefault="006F2579" w:rsidP="006F2579">
      <w:pPr>
        <w:widowControl w:val="0"/>
        <w:rPr>
          <w:b/>
          <w:lang w:val="fr-CA"/>
        </w:rPr>
      </w:pPr>
      <w:r w:rsidRPr="006D0EDD">
        <w:rPr>
          <w:b/>
          <w:lang w:val="fr-CA"/>
        </w:rPr>
        <w:t>Le</w:t>
      </w:r>
      <w:r w:rsidR="00957A76" w:rsidRPr="006D0EDD">
        <w:rPr>
          <w:b/>
          <w:lang w:val="fr-CA"/>
        </w:rPr>
        <w:t xml:space="preserve"> </w:t>
      </w:r>
      <w:r w:rsidR="000D1456" w:rsidRPr="006D0EDD">
        <w:rPr>
          <w:b/>
          <w:lang w:val="fr-CA"/>
        </w:rPr>
        <w:t>26</w:t>
      </w:r>
      <w:r w:rsidR="00136C09" w:rsidRPr="006D0EDD">
        <w:rPr>
          <w:b/>
          <w:lang w:val="fr-CA"/>
        </w:rPr>
        <w:t xml:space="preserve"> </w:t>
      </w:r>
      <w:r w:rsidR="0040533B" w:rsidRPr="006D0EDD">
        <w:rPr>
          <w:b/>
          <w:lang w:val="fr-CA"/>
        </w:rPr>
        <w:t>août</w:t>
      </w:r>
      <w:r w:rsidR="00A151D1" w:rsidRPr="006D0EDD">
        <w:rPr>
          <w:b/>
          <w:lang w:val="fr-CA"/>
        </w:rPr>
        <w:t xml:space="preserve"> 201</w:t>
      </w:r>
      <w:r w:rsidR="00313D36" w:rsidRPr="006D0EDD">
        <w:rPr>
          <w:b/>
          <w:lang w:val="fr-CA"/>
        </w:rPr>
        <w:t>9</w:t>
      </w:r>
    </w:p>
    <w:p w:rsidR="006F2579" w:rsidRPr="006D0EDD" w:rsidRDefault="006F2579" w:rsidP="006F2579">
      <w:pPr>
        <w:widowControl w:val="0"/>
        <w:rPr>
          <w:b/>
          <w:lang w:val="fr-CA"/>
        </w:rPr>
      </w:pPr>
      <w:r w:rsidRPr="006D0EDD">
        <w:rPr>
          <w:b/>
          <w:lang w:val="fr-CA"/>
        </w:rPr>
        <w:t>Pour diffusion immédiate</w:t>
      </w:r>
    </w:p>
    <w:p w:rsidR="006F2579" w:rsidRPr="006D0EDD" w:rsidRDefault="006F2579" w:rsidP="006F2579">
      <w:pPr>
        <w:widowControl w:val="0"/>
        <w:rPr>
          <w:lang w:val="fr-CA"/>
        </w:rPr>
      </w:pPr>
    </w:p>
    <w:p w:rsidR="006F2579" w:rsidRPr="006D0EDD" w:rsidRDefault="006F2579" w:rsidP="006F2579">
      <w:pPr>
        <w:widowControl w:val="0"/>
        <w:rPr>
          <w:lang w:val="fr-CA"/>
        </w:rPr>
      </w:pPr>
      <w:r w:rsidRPr="006D0EDD">
        <w:rPr>
          <w:b/>
          <w:lang w:val="fr-CA"/>
        </w:rPr>
        <w:t>OTTAWA</w:t>
      </w:r>
      <w:r w:rsidRPr="006D0EDD">
        <w:rPr>
          <w:lang w:val="fr-CA"/>
        </w:rPr>
        <w:t xml:space="preserve"> – La Cour suprême du Canada annonce que jugement ser</w:t>
      </w:r>
      <w:r w:rsidR="004259F9" w:rsidRPr="006D0EDD">
        <w:rPr>
          <w:lang w:val="fr-CA"/>
        </w:rPr>
        <w:t>a</w:t>
      </w:r>
      <w:r w:rsidRPr="006D0EDD">
        <w:rPr>
          <w:lang w:val="fr-CA"/>
        </w:rPr>
        <w:t xml:space="preserve"> rendu dans l</w:t>
      </w:r>
      <w:r w:rsidR="008600ED" w:rsidRPr="006D0EDD">
        <w:rPr>
          <w:lang w:val="fr-CA"/>
        </w:rPr>
        <w:t>es</w:t>
      </w:r>
      <w:r w:rsidRPr="006D0EDD">
        <w:rPr>
          <w:lang w:val="fr-CA"/>
        </w:rPr>
        <w:t xml:space="preserve"> demande</w:t>
      </w:r>
      <w:r w:rsidR="008600ED" w:rsidRPr="006D0EDD">
        <w:rPr>
          <w:lang w:val="fr-CA"/>
        </w:rPr>
        <w:t>s</w:t>
      </w:r>
      <w:r w:rsidRPr="006D0EDD">
        <w:rPr>
          <w:lang w:val="fr-CA"/>
        </w:rPr>
        <w:t xml:space="preserve"> d</w:t>
      </w:r>
      <w:r w:rsidR="00001846" w:rsidRPr="006D0EDD">
        <w:rPr>
          <w:lang w:val="fr-CA"/>
        </w:rPr>
        <w:t>’autorisation d’appel suivant</w:t>
      </w:r>
      <w:r w:rsidR="00B27839" w:rsidRPr="006D0EDD">
        <w:rPr>
          <w:lang w:val="fr-CA"/>
        </w:rPr>
        <w:t>e</w:t>
      </w:r>
      <w:r w:rsidR="008600ED" w:rsidRPr="006D0EDD">
        <w:rPr>
          <w:lang w:val="fr-CA"/>
        </w:rPr>
        <w:t>s</w:t>
      </w:r>
      <w:r w:rsidRPr="006D0EDD">
        <w:rPr>
          <w:lang w:val="fr-CA"/>
        </w:rPr>
        <w:t xml:space="preserve"> le jeudi </w:t>
      </w:r>
      <w:r w:rsidR="00921E5A" w:rsidRPr="006D0EDD">
        <w:rPr>
          <w:lang w:val="fr-CA"/>
        </w:rPr>
        <w:t>2</w:t>
      </w:r>
      <w:r w:rsidR="000D1456" w:rsidRPr="006D0EDD">
        <w:rPr>
          <w:lang w:val="fr-CA"/>
        </w:rPr>
        <w:t>9</w:t>
      </w:r>
      <w:r w:rsidR="00780317" w:rsidRPr="006D0EDD">
        <w:rPr>
          <w:lang w:val="fr-CA"/>
        </w:rPr>
        <w:t xml:space="preserve"> </w:t>
      </w:r>
      <w:r w:rsidR="0040533B" w:rsidRPr="006D0EDD">
        <w:rPr>
          <w:lang w:val="fr-CA"/>
        </w:rPr>
        <w:t>août</w:t>
      </w:r>
      <w:r w:rsidR="00694391" w:rsidRPr="006D0EDD">
        <w:rPr>
          <w:lang w:val="fr-CA"/>
        </w:rPr>
        <w:t xml:space="preserve"> 2</w:t>
      </w:r>
      <w:r w:rsidR="006648D1" w:rsidRPr="006D0EDD">
        <w:rPr>
          <w:lang w:val="fr-CA"/>
        </w:rPr>
        <w:t>01</w:t>
      </w:r>
      <w:r w:rsidR="00313D36" w:rsidRPr="006D0EDD">
        <w:rPr>
          <w:lang w:val="fr-CA"/>
        </w:rPr>
        <w:t>9</w:t>
      </w:r>
      <w:r w:rsidRPr="006D0EDD">
        <w:rPr>
          <w:lang w:val="fr-CA"/>
        </w:rPr>
        <w:t xml:space="preserve">, à 9 h 45 </w:t>
      </w:r>
      <w:r w:rsidR="000627A2" w:rsidRPr="006D0EDD">
        <w:rPr>
          <w:lang w:val="fr-CA"/>
        </w:rPr>
        <w:t>H</w:t>
      </w:r>
      <w:r w:rsidR="005B48B5" w:rsidRPr="006D0EDD">
        <w:rPr>
          <w:lang w:val="fr-CA"/>
        </w:rPr>
        <w:t>A</w:t>
      </w:r>
      <w:r w:rsidRPr="006D0EDD">
        <w:rPr>
          <w:lang w:val="fr-CA"/>
        </w:rPr>
        <w:t>E. Cette liste est sujette à modifications.</w:t>
      </w:r>
    </w:p>
    <w:p w:rsidR="00EF2A9D" w:rsidRPr="006D0EDD" w:rsidRDefault="00EF2A9D" w:rsidP="009B14F4">
      <w:pPr>
        <w:widowControl w:val="0"/>
        <w:jc w:val="both"/>
        <w:rPr>
          <w:sz w:val="20"/>
          <w:lang w:val="fr-CA"/>
        </w:rPr>
      </w:pPr>
    </w:p>
    <w:p w:rsidR="001838E0" w:rsidRPr="006D0EDD" w:rsidRDefault="009B6E02" w:rsidP="009B14F4">
      <w:pPr>
        <w:widowControl w:val="0"/>
        <w:jc w:val="both"/>
        <w:rPr>
          <w:sz w:val="20"/>
          <w:lang w:val="fr-CA"/>
        </w:rPr>
      </w:pPr>
      <w:r w:rsidRPr="006D0EDD">
        <w:rPr>
          <w:sz w:val="20"/>
        </w:rPr>
        <w:pict>
          <v:rect id="_x0000_i1025" style="width:2in;height:1pt" o:hrpct="0" o:hralign="center" o:hrstd="t" o:hrnoshade="t" o:hr="t" fillcolor="black [3213]" stroked="f"/>
        </w:pict>
      </w:r>
    </w:p>
    <w:p w:rsidR="009F5EC1" w:rsidRPr="006D0EDD" w:rsidRDefault="009F5EC1" w:rsidP="009F5EC1">
      <w:pPr>
        <w:jc w:val="both"/>
        <w:rPr>
          <w:sz w:val="20"/>
        </w:rPr>
      </w:pPr>
    </w:p>
    <w:p w:rsidR="001A2D78" w:rsidRPr="006D0EDD" w:rsidRDefault="001A2D78" w:rsidP="001A2D78">
      <w:pPr>
        <w:pStyle w:val="ListParagraph"/>
        <w:numPr>
          <w:ilvl w:val="0"/>
          <w:numId w:val="17"/>
        </w:numPr>
        <w:ind w:left="357" w:hanging="357"/>
        <w:rPr>
          <w:sz w:val="20"/>
        </w:rPr>
      </w:pPr>
      <w:r w:rsidRPr="006D0EDD">
        <w:rPr>
          <w:i/>
          <w:sz w:val="20"/>
        </w:rPr>
        <w:t>Chuang Ma v. City of Ottawa</w:t>
      </w:r>
      <w:r w:rsidR="000F77EC" w:rsidRPr="006D0EDD">
        <w:rPr>
          <w:sz w:val="20"/>
        </w:rPr>
        <w:t xml:space="preserve"> (Ont.) (Civil) (By Leave)</w:t>
      </w:r>
      <w:r w:rsidR="00B565EE" w:rsidRPr="006D0EDD">
        <w:rPr>
          <w:sz w:val="20"/>
        </w:rPr>
        <w:t xml:space="preserve"> (</w:t>
      </w:r>
      <w:hyperlink r:id="rId8" w:history="1">
        <w:r w:rsidR="00B565EE" w:rsidRPr="006D0EDD">
          <w:rPr>
            <w:rStyle w:val="Hyperlink"/>
            <w:sz w:val="20"/>
            <w:szCs w:val="20"/>
          </w:rPr>
          <w:t>386</w:t>
        </w:r>
        <w:r w:rsidR="000F77EC" w:rsidRPr="006D0EDD">
          <w:rPr>
            <w:rStyle w:val="Hyperlink"/>
            <w:sz w:val="20"/>
            <w:szCs w:val="20"/>
          </w:rPr>
          <w:t>35</w:t>
        </w:r>
      </w:hyperlink>
      <w:r w:rsidR="00B565EE" w:rsidRPr="006D0EDD">
        <w:rPr>
          <w:sz w:val="20"/>
        </w:rPr>
        <w:t>)</w:t>
      </w:r>
    </w:p>
    <w:p w:rsidR="001A2D78" w:rsidRPr="006D0EDD" w:rsidRDefault="001A2D78" w:rsidP="001A2D78">
      <w:pPr>
        <w:ind w:left="357" w:hanging="357"/>
        <w:rPr>
          <w:sz w:val="20"/>
        </w:rPr>
      </w:pPr>
    </w:p>
    <w:p w:rsidR="001A2D78" w:rsidRPr="006D0EDD" w:rsidRDefault="001A2D78" w:rsidP="001A2D78">
      <w:pPr>
        <w:pStyle w:val="ListParagraph"/>
        <w:numPr>
          <w:ilvl w:val="0"/>
          <w:numId w:val="17"/>
        </w:numPr>
        <w:ind w:left="357" w:hanging="357"/>
        <w:rPr>
          <w:sz w:val="20"/>
          <w:lang w:val="fr-CA"/>
        </w:rPr>
      </w:pPr>
      <w:r w:rsidRPr="006D0EDD">
        <w:rPr>
          <w:i/>
          <w:sz w:val="20"/>
          <w:lang w:val="fr-CA"/>
        </w:rPr>
        <w:t xml:space="preserve">Englobe Corp. c. 9299-2472 Québec </w:t>
      </w:r>
      <w:r w:rsidR="002F796C" w:rsidRPr="006D0EDD">
        <w:rPr>
          <w:i/>
          <w:sz w:val="20"/>
          <w:lang w:val="fr-CA"/>
        </w:rPr>
        <w:t>i</w:t>
      </w:r>
      <w:r w:rsidRPr="006D0EDD">
        <w:rPr>
          <w:i/>
          <w:sz w:val="20"/>
          <w:lang w:val="fr-CA"/>
        </w:rPr>
        <w:t>nc., faisant affaires sous le nom de Gestion OFA Environnement</w:t>
      </w:r>
      <w:r w:rsidR="002F796C" w:rsidRPr="006D0EDD">
        <w:rPr>
          <w:i/>
          <w:sz w:val="20"/>
          <w:lang w:val="fr-CA"/>
        </w:rPr>
        <w:t>, et al.</w:t>
      </w:r>
      <w:r w:rsidRPr="006D0EDD">
        <w:rPr>
          <w:sz w:val="20"/>
          <w:lang w:val="fr-CA"/>
        </w:rPr>
        <w:t xml:space="preserve"> (Qc) (Civile) (Autorisation)</w:t>
      </w:r>
      <w:r w:rsidR="00B565EE" w:rsidRPr="006D0EDD">
        <w:rPr>
          <w:sz w:val="20"/>
          <w:lang w:val="fr-CA"/>
        </w:rPr>
        <w:t xml:space="preserve"> (</w:t>
      </w:r>
      <w:hyperlink r:id="rId9" w:history="1">
        <w:r w:rsidR="00B565EE" w:rsidRPr="006D0EDD">
          <w:rPr>
            <w:rStyle w:val="Hyperlink"/>
            <w:sz w:val="20"/>
            <w:szCs w:val="20"/>
            <w:lang w:val="fr-CA"/>
          </w:rPr>
          <w:t>386</w:t>
        </w:r>
        <w:r w:rsidR="009F72B5" w:rsidRPr="006D0EDD">
          <w:rPr>
            <w:rStyle w:val="Hyperlink"/>
            <w:sz w:val="20"/>
            <w:szCs w:val="20"/>
            <w:lang w:val="fr-CA"/>
          </w:rPr>
          <w:t>12</w:t>
        </w:r>
      </w:hyperlink>
      <w:r w:rsidR="00B565EE" w:rsidRPr="006D0EDD">
        <w:rPr>
          <w:sz w:val="20"/>
          <w:lang w:val="fr-CA"/>
        </w:rPr>
        <w:t>)</w:t>
      </w:r>
    </w:p>
    <w:p w:rsidR="001A2D78" w:rsidRPr="006D0EDD" w:rsidRDefault="001A2D78" w:rsidP="001A2D78">
      <w:pPr>
        <w:ind w:left="357" w:hanging="357"/>
        <w:rPr>
          <w:sz w:val="20"/>
          <w:lang w:val="fr-CA"/>
        </w:rPr>
      </w:pPr>
    </w:p>
    <w:p w:rsidR="001A2D78" w:rsidRPr="006D0EDD" w:rsidRDefault="001A2D78" w:rsidP="001A2D78">
      <w:pPr>
        <w:pStyle w:val="ListParagraph"/>
        <w:numPr>
          <w:ilvl w:val="0"/>
          <w:numId w:val="17"/>
        </w:numPr>
        <w:ind w:left="357" w:hanging="357"/>
        <w:rPr>
          <w:sz w:val="20"/>
        </w:rPr>
      </w:pPr>
      <w:r w:rsidRPr="006D0EDD">
        <w:rPr>
          <w:i/>
          <w:sz w:val="20"/>
        </w:rPr>
        <w:t xml:space="preserve">Lloyd Eugene Bailey v. Her Majesty the Queen </w:t>
      </w:r>
      <w:r w:rsidRPr="006D0EDD">
        <w:rPr>
          <w:sz w:val="20"/>
        </w:rPr>
        <w:t xml:space="preserve">(N.S.) </w:t>
      </w:r>
      <w:r w:rsidRPr="006D0EDD">
        <w:rPr>
          <w:sz w:val="20"/>
          <w:lang w:val="fr-CA"/>
        </w:rPr>
        <w:t>(Criminal) (By Leave)</w:t>
      </w:r>
      <w:r w:rsidR="00B565EE" w:rsidRPr="006D0EDD">
        <w:rPr>
          <w:sz w:val="20"/>
          <w:lang w:val="fr-CA"/>
        </w:rPr>
        <w:t xml:space="preserve"> (</w:t>
      </w:r>
      <w:hyperlink r:id="rId10" w:history="1">
        <w:r w:rsidR="00B565EE" w:rsidRPr="006D0EDD">
          <w:rPr>
            <w:rStyle w:val="Hyperlink"/>
            <w:sz w:val="20"/>
            <w:szCs w:val="20"/>
          </w:rPr>
          <w:t>386</w:t>
        </w:r>
        <w:r w:rsidR="00F62107" w:rsidRPr="006D0EDD">
          <w:rPr>
            <w:rStyle w:val="Hyperlink"/>
            <w:sz w:val="20"/>
            <w:szCs w:val="20"/>
          </w:rPr>
          <w:t>17</w:t>
        </w:r>
      </w:hyperlink>
      <w:r w:rsidR="00B565EE" w:rsidRPr="006D0EDD">
        <w:rPr>
          <w:sz w:val="20"/>
        </w:rPr>
        <w:t>)</w:t>
      </w:r>
    </w:p>
    <w:p w:rsidR="001A2D78" w:rsidRPr="006D0EDD" w:rsidRDefault="001A2D78" w:rsidP="001A2D78">
      <w:pPr>
        <w:ind w:left="357" w:hanging="357"/>
        <w:rPr>
          <w:sz w:val="20"/>
        </w:rPr>
      </w:pPr>
    </w:p>
    <w:p w:rsidR="001A2D78" w:rsidRPr="006D0EDD" w:rsidRDefault="001A2D78" w:rsidP="001A2D78">
      <w:pPr>
        <w:pStyle w:val="ListParagraph"/>
        <w:numPr>
          <w:ilvl w:val="0"/>
          <w:numId w:val="17"/>
        </w:numPr>
        <w:ind w:left="357" w:hanging="357"/>
        <w:rPr>
          <w:sz w:val="20"/>
          <w:lang w:val="fr-FR"/>
        </w:rPr>
      </w:pPr>
      <w:r w:rsidRPr="006D0EDD">
        <w:rPr>
          <w:i/>
          <w:sz w:val="20"/>
          <w:lang w:val="fr-CA"/>
        </w:rPr>
        <w:t xml:space="preserve">Éric Parent, </w:t>
      </w:r>
      <w:r w:rsidR="009F5F05" w:rsidRPr="006D0EDD">
        <w:rPr>
          <w:i/>
          <w:sz w:val="20"/>
          <w:lang w:val="fr-CA"/>
        </w:rPr>
        <w:t>et al.</w:t>
      </w:r>
      <w:r w:rsidRPr="006D0EDD">
        <w:rPr>
          <w:i/>
          <w:sz w:val="20"/>
          <w:lang w:val="fr-CA"/>
        </w:rPr>
        <w:t xml:space="preserve"> c. Sa Majesté la Reine du chef du Canada et ses représentants, et al.</w:t>
      </w:r>
      <w:r w:rsidRPr="006D0EDD">
        <w:rPr>
          <w:sz w:val="20"/>
          <w:lang w:val="fr-CA"/>
        </w:rPr>
        <w:t xml:space="preserve"> (Qc) (Civile) (Autorisation)</w:t>
      </w:r>
      <w:r w:rsidR="00B565EE" w:rsidRPr="006D0EDD">
        <w:rPr>
          <w:sz w:val="20"/>
          <w:lang w:val="fr-CA"/>
        </w:rPr>
        <w:t xml:space="preserve"> (</w:t>
      </w:r>
      <w:hyperlink r:id="rId11" w:history="1">
        <w:r w:rsidR="00B565EE" w:rsidRPr="006D0EDD">
          <w:rPr>
            <w:rStyle w:val="Hyperlink"/>
            <w:sz w:val="20"/>
            <w:szCs w:val="20"/>
            <w:lang w:val="fr-CA"/>
          </w:rPr>
          <w:t>386</w:t>
        </w:r>
        <w:r w:rsidR="00663B62" w:rsidRPr="006D0EDD">
          <w:rPr>
            <w:rStyle w:val="Hyperlink"/>
            <w:sz w:val="20"/>
            <w:szCs w:val="20"/>
            <w:lang w:val="fr-CA"/>
          </w:rPr>
          <w:t>23</w:t>
        </w:r>
      </w:hyperlink>
      <w:r w:rsidR="00B565EE" w:rsidRPr="006D0EDD">
        <w:rPr>
          <w:sz w:val="20"/>
          <w:lang w:val="fr-CA"/>
        </w:rPr>
        <w:t>)</w:t>
      </w:r>
    </w:p>
    <w:p w:rsidR="001A2D78" w:rsidRPr="006D0EDD" w:rsidRDefault="001A2D78" w:rsidP="001A2D78">
      <w:pPr>
        <w:ind w:left="357" w:hanging="357"/>
        <w:contextualSpacing/>
        <w:rPr>
          <w:sz w:val="20"/>
          <w:lang w:val="fr-FR"/>
        </w:rPr>
      </w:pPr>
    </w:p>
    <w:p w:rsidR="001A2D78" w:rsidRPr="006D0EDD" w:rsidRDefault="001A2D78" w:rsidP="001A2D78">
      <w:pPr>
        <w:pStyle w:val="ListParagraph"/>
        <w:numPr>
          <w:ilvl w:val="0"/>
          <w:numId w:val="17"/>
        </w:numPr>
        <w:ind w:left="357" w:hanging="357"/>
        <w:rPr>
          <w:sz w:val="20"/>
          <w:lang w:val="fr-CA"/>
        </w:rPr>
      </w:pPr>
      <w:r w:rsidRPr="006D0EDD">
        <w:rPr>
          <w:i/>
          <w:sz w:val="20"/>
          <w:lang w:val="fr-CA"/>
        </w:rPr>
        <w:t xml:space="preserve">Nicole Doré Castonguay c. Jacques Castonguay </w:t>
      </w:r>
      <w:r w:rsidRPr="006D0EDD">
        <w:rPr>
          <w:sz w:val="20"/>
          <w:lang w:val="fr-CA"/>
        </w:rPr>
        <w:t>(Qc) (Civile) (Autorisation)</w:t>
      </w:r>
      <w:r w:rsidR="00B565EE" w:rsidRPr="006D0EDD">
        <w:rPr>
          <w:sz w:val="20"/>
          <w:lang w:val="fr-CA"/>
        </w:rPr>
        <w:t xml:space="preserve"> (</w:t>
      </w:r>
      <w:hyperlink r:id="rId12" w:history="1">
        <w:r w:rsidR="00B565EE" w:rsidRPr="006D0EDD">
          <w:rPr>
            <w:rStyle w:val="Hyperlink"/>
            <w:sz w:val="20"/>
            <w:szCs w:val="20"/>
            <w:lang w:val="fr-CA"/>
          </w:rPr>
          <w:t>386</w:t>
        </w:r>
        <w:r w:rsidR="00BD0BB1" w:rsidRPr="006D0EDD">
          <w:rPr>
            <w:rStyle w:val="Hyperlink"/>
            <w:sz w:val="20"/>
            <w:szCs w:val="20"/>
            <w:lang w:val="fr-CA"/>
          </w:rPr>
          <w:t>37</w:t>
        </w:r>
      </w:hyperlink>
      <w:r w:rsidR="00B565EE" w:rsidRPr="006D0EDD">
        <w:rPr>
          <w:sz w:val="20"/>
          <w:lang w:val="fr-CA"/>
        </w:rPr>
        <w:t>)</w:t>
      </w:r>
    </w:p>
    <w:p w:rsidR="001A2D78" w:rsidRPr="006D0EDD" w:rsidRDefault="001A2D78" w:rsidP="001A2D78">
      <w:pPr>
        <w:ind w:left="357" w:hanging="357"/>
        <w:rPr>
          <w:sz w:val="20"/>
          <w:lang w:val="fr-CA"/>
        </w:rPr>
      </w:pPr>
    </w:p>
    <w:p w:rsidR="001A2D78" w:rsidRPr="006D0EDD" w:rsidRDefault="001A2D78" w:rsidP="001A2D78">
      <w:pPr>
        <w:pStyle w:val="ListParagraph"/>
        <w:numPr>
          <w:ilvl w:val="0"/>
          <w:numId w:val="17"/>
        </w:numPr>
        <w:ind w:left="357" w:hanging="357"/>
        <w:rPr>
          <w:sz w:val="20"/>
        </w:rPr>
      </w:pPr>
      <w:r w:rsidRPr="006D0EDD">
        <w:rPr>
          <w:i/>
          <w:sz w:val="20"/>
        </w:rPr>
        <w:t xml:space="preserve">Northern Sunrise County, et al. v. Bank of Nova Scotia, et al. </w:t>
      </w:r>
      <w:r w:rsidRPr="006D0EDD">
        <w:rPr>
          <w:sz w:val="20"/>
        </w:rPr>
        <w:t xml:space="preserve">(Alta.) (Civil) (By Leave) </w:t>
      </w:r>
      <w:r w:rsidR="00B565EE" w:rsidRPr="006D0EDD">
        <w:rPr>
          <w:sz w:val="20"/>
        </w:rPr>
        <w:t>(</w:t>
      </w:r>
      <w:hyperlink r:id="rId13" w:history="1">
        <w:r w:rsidR="00B565EE" w:rsidRPr="006D0EDD">
          <w:rPr>
            <w:rStyle w:val="Hyperlink"/>
            <w:sz w:val="20"/>
            <w:szCs w:val="20"/>
          </w:rPr>
          <w:t>38</w:t>
        </w:r>
        <w:r w:rsidR="00FA3CB3" w:rsidRPr="006D0EDD">
          <w:rPr>
            <w:rStyle w:val="Hyperlink"/>
            <w:sz w:val="20"/>
            <w:szCs w:val="20"/>
          </w:rPr>
          <w:t>587</w:t>
        </w:r>
      </w:hyperlink>
      <w:r w:rsidR="00B565EE" w:rsidRPr="006D0EDD">
        <w:rPr>
          <w:sz w:val="20"/>
        </w:rPr>
        <w:t>)</w:t>
      </w:r>
    </w:p>
    <w:p w:rsidR="001A2D78" w:rsidRPr="006D0EDD" w:rsidRDefault="001A2D78" w:rsidP="009F5EC1">
      <w:pPr>
        <w:jc w:val="both"/>
        <w:rPr>
          <w:sz w:val="20"/>
        </w:rPr>
      </w:pPr>
    </w:p>
    <w:p w:rsidR="00D97696" w:rsidRPr="006D0EDD" w:rsidRDefault="009B6E02" w:rsidP="009F5EC1">
      <w:pPr>
        <w:jc w:val="both"/>
        <w:rPr>
          <w:sz w:val="20"/>
        </w:rPr>
      </w:pPr>
      <w:r w:rsidRPr="006D0EDD">
        <w:rPr>
          <w:sz w:val="20"/>
        </w:rPr>
        <w:pict>
          <v:rect id="_x0000_i1026" style="width:2in;height:1pt" o:hrpct="0" o:hralign="center" o:hrstd="t" o:hrnoshade="t" o:hr="t" fillcolor="black [3213]" stroked="f"/>
        </w:pict>
      </w:r>
    </w:p>
    <w:p w:rsidR="00602309" w:rsidRPr="006D0EDD"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38635</w:t>
            </w:r>
          </w:p>
        </w:tc>
        <w:tc>
          <w:tcPr>
            <w:tcW w:w="4457" w:type="pct"/>
            <w:gridSpan w:val="3"/>
          </w:tcPr>
          <w:p w:rsidR="009B6E02" w:rsidRPr="006D0EDD" w:rsidRDefault="009B6E02" w:rsidP="009B6E02">
            <w:pPr>
              <w:pStyle w:val="SCCLsocParty"/>
              <w:jc w:val="both"/>
              <w:rPr>
                <w:b/>
                <w:sz w:val="20"/>
                <w:szCs w:val="20"/>
                <w:lang w:val="en-US"/>
              </w:rPr>
            </w:pPr>
            <w:r w:rsidRPr="006D0EDD">
              <w:rPr>
                <w:b/>
                <w:sz w:val="20"/>
                <w:szCs w:val="20"/>
                <w:lang w:val="en-US"/>
              </w:rPr>
              <w:t>Chuang Ma v. City of Ottawa</w:t>
            </w:r>
          </w:p>
          <w:p w:rsidR="009B6E02" w:rsidRPr="006D0EDD" w:rsidRDefault="009B6E02" w:rsidP="009B6E02">
            <w:pPr>
              <w:jc w:val="both"/>
              <w:rPr>
                <w:sz w:val="20"/>
              </w:rPr>
            </w:pPr>
            <w:r w:rsidRPr="006D0EDD">
              <w:rPr>
                <w:sz w:val="20"/>
              </w:rPr>
              <w:t>(Ont.) (Civil) (By Leave)</w:t>
            </w:r>
          </w:p>
        </w:tc>
      </w:tr>
      <w:tr w:rsidR="009B6E02" w:rsidRPr="006D0EDD" w:rsidTr="009B6E02">
        <w:tc>
          <w:tcPr>
            <w:tcW w:w="5000" w:type="pct"/>
            <w:gridSpan w:val="4"/>
          </w:tcPr>
          <w:p w:rsidR="009B6E02" w:rsidRPr="006D0EDD" w:rsidRDefault="009B6E02" w:rsidP="009B6E02">
            <w:pPr>
              <w:jc w:val="both"/>
              <w:rPr>
                <w:sz w:val="20"/>
              </w:rPr>
            </w:pPr>
            <w:r w:rsidRPr="006D0EDD">
              <w:rPr>
                <w:sz w:val="20"/>
              </w:rPr>
              <w:t xml:space="preserve">Judgments and orders — Summary judgment — Respondent’s motion to strike applicant’s statement of claim granted — Does </w:t>
            </w:r>
            <w:r w:rsidRPr="006D0EDD">
              <w:rPr>
                <w:i/>
                <w:sz w:val="20"/>
              </w:rPr>
              <w:t>Canadian constitution</w:t>
            </w:r>
            <w:r w:rsidRPr="006D0EDD">
              <w:rPr>
                <w:sz w:val="20"/>
              </w:rPr>
              <w:t xml:space="preserve"> protect those Canadian citizens who changed from immigrants? — Whether Ottawa by</w:t>
            </w:r>
            <w:r w:rsidRPr="006D0EDD">
              <w:rPr>
                <w:sz w:val="20"/>
              </w:rPr>
              <w:noBreakHyphen/>
              <w:t xml:space="preserve">law protects Canadian citizens who are not residents of Ottawa — Which law should be applied in this case while Canadian tort law conflicts with </w:t>
            </w:r>
            <w:r w:rsidRPr="006D0EDD">
              <w:rPr>
                <w:i/>
                <w:sz w:val="20"/>
              </w:rPr>
              <w:t>Ontario Police Services Act</w:t>
            </w:r>
            <w:r w:rsidRPr="006D0EDD">
              <w:rPr>
                <w:sz w:val="20"/>
              </w:rPr>
              <w:t>?</w:t>
            </w:r>
          </w:p>
        </w:tc>
      </w:tr>
      <w:tr w:rsidR="009B6E02" w:rsidRPr="006D0EDD" w:rsidTr="009B6E02">
        <w:tc>
          <w:tcPr>
            <w:tcW w:w="5000" w:type="pct"/>
            <w:gridSpan w:val="4"/>
          </w:tcPr>
          <w:p w:rsidR="009B6E02" w:rsidRPr="006D0EDD" w:rsidRDefault="009B6E02" w:rsidP="009B6E02">
            <w:pPr>
              <w:jc w:val="both"/>
              <w:rPr>
                <w:sz w:val="20"/>
              </w:rPr>
            </w:pPr>
          </w:p>
        </w:tc>
      </w:tr>
      <w:tr w:rsidR="009B6E02" w:rsidRPr="006D0EDD" w:rsidTr="009B6E02">
        <w:tc>
          <w:tcPr>
            <w:tcW w:w="5000" w:type="pct"/>
            <w:gridSpan w:val="4"/>
          </w:tcPr>
          <w:p w:rsidR="009B6E02" w:rsidRPr="006D0EDD" w:rsidRDefault="009B6E02" w:rsidP="009B6E02">
            <w:pPr>
              <w:jc w:val="both"/>
              <w:rPr>
                <w:sz w:val="20"/>
              </w:rPr>
            </w:pPr>
            <w:r w:rsidRPr="006D0EDD">
              <w:rPr>
                <w:sz w:val="20"/>
              </w:rPr>
              <w:t xml:space="preserve">Mr. Ma filed a statement of claim against the City of Ottawa, seeking damages for failing to prevent an unnamed person from placing his photograph on telephone poles in the city, accompanied by accusations that he was a spy and a terrorist. The City of Ottawa invoked the written hearing procedure under Rule 2.1.01(6) of the </w:t>
            </w:r>
            <w:r w:rsidRPr="006D0EDD">
              <w:rPr>
                <w:i/>
                <w:sz w:val="20"/>
              </w:rPr>
              <w:t>Rules of Civil Procedure</w:t>
            </w:r>
            <w:r w:rsidRPr="006D0EDD">
              <w:rPr>
                <w:sz w:val="20"/>
              </w:rPr>
              <w:t>, R.R.O. 1990, Reg. 194 and filed a requisition requesting that the action be dismissed as frivolous, vexatious and an abuse of process. The motion judge granted the motion, dismissing the action. This decision was upheld on appeal.</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August 7, 2018</w:t>
            </w:r>
          </w:p>
          <w:p w:rsidR="009B6E02" w:rsidRPr="006D0EDD" w:rsidRDefault="009B6E02" w:rsidP="009B6E02">
            <w:pPr>
              <w:jc w:val="both"/>
              <w:rPr>
                <w:sz w:val="20"/>
              </w:rPr>
            </w:pPr>
            <w:r w:rsidRPr="006D0EDD">
              <w:rPr>
                <w:sz w:val="20"/>
              </w:rPr>
              <w:t>Ontario Superior Court of Justice</w:t>
            </w:r>
          </w:p>
          <w:p w:rsidR="009B6E02" w:rsidRPr="006D0EDD" w:rsidRDefault="009B6E02" w:rsidP="009B6E02">
            <w:pPr>
              <w:jc w:val="both"/>
              <w:rPr>
                <w:sz w:val="20"/>
              </w:rPr>
            </w:pPr>
            <w:r w:rsidRPr="006D0EDD">
              <w:rPr>
                <w:sz w:val="20"/>
              </w:rPr>
              <w:t>(Beaudoin J.)</w:t>
            </w:r>
          </w:p>
          <w:p w:rsidR="009B6E02" w:rsidRPr="006D0EDD" w:rsidRDefault="009B6E02" w:rsidP="009B6E02">
            <w:pPr>
              <w:jc w:val="both"/>
              <w:rPr>
                <w:sz w:val="20"/>
              </w:rPr>
            </w:pPr>
            <w:r w:rsidRPr="006D0EDD">
              <w:rPr>
                <w:sz w:val="20"/>
              </w:rPr>
              <w:t>2018 ONSC 4699</w:t>
            </w:r>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Order permitting applicant to make written submissions in response to respondent’s requisition to strike statement of claim</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September 6, 2018</w:t>
            </w:r>
          </w:p>
          <w:p w:rsidR="009B6E02" w:rsidRPr="006D0EDD" w:rsidRDefault="009B6E02" w:rsidP="009B6E02">
            <w:pPr>
              <w:jc w:val="both"/>
              <w:rPr>
                <w:sz w:val="20"/>
              </w:rPr>
            </w:pPr>
            <w:r w:rsidRPr="006D0EDD">
              <w:rPr>
                <w:sz w:val="20"/>
              </w:rPr>
              <w:t>Ontario Superior Court of Justice</w:t>
            </w:r>
          </w:p>
          <w:p w:rsidR="009B6E02" w:rsidRPr="006D0EDD" w:rsidRDefault="009B6E02" w:rsidP="009B6E02">
            <w:pPr>
              <w:jc w:val="both"/>
              <w:rPr>
                <w:sz w:val="20"/>
              </w:rPr>
            </w:pPr>
            <w:r w:rsidRPr="006D0EDD">
              <w:rPr>
                <w:sz w:val="20"/>
              </w:rPr>
              <w:t>(Beaudoin J.)</w:t>
            </w:r>
          </w:p>
          <w:p w:rsidR="009B6E02" w:rsidRPr="006D0EDD" w:rsidRDefault="009B6E02" w:rsidP="009B6E02">
            <w:pPr>
              <w:jc w:val="both"/>
              <w:rPr>
                <w:sz w:val="20"/>
              </w:rPr>
            </w:pPr>
            <w:hyperlink r:id="rId14" w:history="1">
              <w:r w:rsidRPr="006D0EDD">
                <w:rPr>
                  <w:rStyle w:val="Hyperlink"/>
                  <w:sz w:val="20"/>
                </w:rPr>
                <w:t>2018 ONSC 5189</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Applicant’s action dismissed</w:t>
            </w:r>
          </w:p>
          <w:p w:rsidR="009B6E02" w:rsidRPr="006D0EDD" w:rsidRDefault="009B6E02" w:rsidP="009B6E02">
            <w:pPr>
              <w:jc w:val="both"/>
              <w:rPr>
                <w:sz w:val="20"/>
              </w:rPr>
            </w:pP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February 21, 2019</w:t>
            </w:r>
          </w:p>
          <w:p w:rsidR="009B6E02" w:rsidRPr="006D0EDD" w:rsidRDefault="009B6E02" w:rsidP="009B6E02">
            <w:pPr>
              <w:jc w:val="both"/>
              <w:rPr>
                <w:sz w:val="20"/>
              </w:rPr>
            </w:pPr>
            <w:r w:rsidRPr="006D0EDD">
              <w:rPr>
                <w:sz w:val="20"/>
              </w:rPr>
              <w:t>Court of Appeal for Ontario</w:t>
            </w:r>
          </w:p>
          <w:p w:rsidR="009B6E02" w:rsidRPr="006D0EDD" w:rsidRDefault="009B6E02" w:rsidP="009B6E02">
            <w:pPr>
              <w:jc w:val="both"/>
              <w:rPr>
                <w:sz w:val="20"/>
              </w:rPr>
            </w:pPr>
            <w:r w:rsidRPr="006D0EDD">
              <w:rPr>
                <w:sz w:val="20"/>
              </w:rPr>
              <w:t>(Hourigan, Benotto and Huscroft JJ.A.)</w:t>
            </w:r>
          </w:p>
          <w:p w:rsidR="009B6E02" w:rsidRPr="006D0EDD" w:rsidRDefault="009B6E02" w:rsidP="009B6E02">
            <w:pPr>
              <w:jc w:val="both"/>
              <w:rPr>
                <w:sz w:val="20"/>
              </w:rPr>
            </w:pPr>
            <w:hyperlink r:id="rId15" w:history="1">
              <w:r w:rsidRPr="006D0EDD">
                <w:rPr>
                  <w:rStyle w:val="Hyperlink"/>
                  <w:sz w:val="20"/>
                </w:rPr>
                <w:t>2019 ONCA 142</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Applicant’s appeal dismissed</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April 16, 2019</w:t>
            </w:r>
          </w:p>
          <w:p w:rsidR="009B6E02" w:rsidRPr="006D0EDD" w:rsidRDefault="009B6E02" w:rsidP="009B6E02">
            <w:pPr>
              <w:jc w:val="both"/>
              <w:rPr>
                <w:sz w:val="20"/>
              </w:rPr>
            </w:pPr>
            <w:r w:rsidRPr="006D0EDD">
              <w:rPr>
                <w:sz w:val="20"/>
              </w:rPr>
              <w:t>Supreme Court of Canada</w:t>
            </w: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Application for leave to appeal filed</w:t>
            </w:r>
          </w:p>
          <w:p w:rsidR="009B6E02" w:rsidRPr="006D0EDD" w:rsidRDefault="009B6E02" w:rsidP="009B6E02">
            <w:pPr>
              <w:jc w:val="both"/>
              <w:rPr>
                <w:sz w:val="20"/>
              </w:rPr>
            </w:pPr>
          </w:p>
        </w:tc>
      </w:tr>
    </w:tbl>
    <w:p w:rsidR="009B6E02" w:rsidRPr="006D0EDD" w:rsidRDefault="009B6E02" w:rsidP="009B6E02">
      <w:pPr>
        <w:jc w:val="both"/>
        <w:rPr>
          <w:sz w:val="20"/>
        </w:rPr>
      </w:pPr>
    </w:p>
    <w:p w:rsidR="009B6E02" w:rsidRPr="006D0EDD" w:rsidRDefault="009B6E02" w:rsidP="009B6E02">
      <w:pPr>
        <w:jc w:val="both"/>
        <w:rPr>
          <w:sz w:val="20"/>
        </w:rPr>
      </w:pPr>
      <w:r w:rsidRPr="006D0EDD">
        <w:rPr>
          <w:sz w:val="20"/>
        </w:rPr>
        <w:pict>
          <v:rect id="_x0000_i1027" style="width:2in;height:1pt" o:hrpct="0" o:hralign="center" o:hrstd="t" o:hrnoshade="t" o:hr="t" fillcolor="black [3213]" stroked="f"/>
        </w:pict>
      </w:r>
    </w:p>
    <w:p w:rsidR="009B6E02" w:rsidRPr="006D0EDD" w:rsidRDefault="009B6E02" w:rsidP="009B6E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fr-CA"/>
              </w:rPr>
            </w:pPr>
            <w:r w:rsidRPr="006D0EDD">
              <w:rPr>
                <w:rStyle w:val="SCCFileNumberChar"/>
                <w:sz w:val="20"/>
                <w:szCs w:val="20"/>
                <w:lang w:val="fr-CA"/>
              </w:rPr>
              <w:t>38635</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Chuang Ma c. Ville d’Ottawa</w:t>
            </w:r>
          </w:p>
          <w:p w:rsidR="009B6E02" w:rsidRPr="006D0EDD" w:rsidRDefault="009B6E02" w:rsidP="009B6E02">
            <w:pPr>
              <w:jc w:val="both"/>
              <w:rPr>
                <w:sz w:val="20"/>
                <w:lang w:val="fr-CA"/>
              </w:rPr>
            </w:pPr>
            <w:r w:rsidRPr="006D0EDD">
              <w:rPr>
                <w:sz w:val="20"/>
                <w:lang w:val="fr-CA"/>
              </w:rPr>
              <w:t>(Ont.) (Civile) (Autorisation)</w:t>
            </w: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Jugements et ordonnances — Jugement sommaire — Requête de l’intimée visant à faire radier la déclaration de l’appelant accueillie — La Constitution canadienne protège</w:t>
            </w:r>
            <w:r w:rsidRPr="006D0EDD">
              <w:rPr>
                <w:sz w:val="20"/>
                <w:lang w:val="fr-CA"/>
              </w:rPr>
              <w:noBreakHyphen/>
              <w:t>t</w:t>
            </w:r>
            <w:r w:rsidRPr="006D0EDD">
              <w:rPr>
                <w:sz w:val="20"/>
                <w:lang w:val="fr-CA"/>
              </w:rPr>
              <w:noBreakHyphen/>
              <w:t>elle les citoyens canadiens qui sont arrivés au pays en tant qu’immigrants? — Les règlements municipaux de la Ville d’Ottawa protègent</w:t>
            </w:r>
            <w:r w:rsidRPr="006D0EDD">
              <w:rPr>
                <w:sz w:val="20"/>
                <w:lang w:val="fr-CA"/>
              </w:rPr>
              <w:noBreakHyphen/>
              <w:t xml:space="preserve">ils les citoyens canadiens qui ne sont pas des résidents d’Ottawa? — Quelles règles de droit devraient être applicables dans cette situation où le droit canadien établi en matière de responsabilité délictuelle contredit la </w:t>
            </w:r>
            <w:r w:rsidRPr="006D0EDD">
              <w:rPr>
                <w:i/>
                <w:sz w:val="20"/>
                <w:lang w:val="fr-CA"/>
              </w:rPr>
              <w:t>Loi sur les services policiers</w:t>
            </w:r>
            <w:r w:rsidRPr="006D0EDD">
              <w:rPr>
                <w:sz w:val="20"/>
                <w:lang w:val="fr-CA"/>
              </w:rPr>
              <w:t xml:space="preserve"> de l’Ontario?</w:t>
            </w:r>
          </w:p>
        </w:tc>
      </w:tr>
      <w:tr w:rsidR="009B6E02" w:rsidRPr="006D0EDD" w:rsidTr="009B6E02">
        <w:tc>
          <w:tcPr>
            <w:tcW w:w="5000" w:type="pct"/>
            <w:gridSpan w:val="4"/>
          </w:tcPr>
          <w:p w:rsidR="009B6E02" w:rsidRPr="006D0EDD" w:rsidRDefault="009B6E02" w:rsidP="009B6E02">
            <w:pPr>
              <w:jc w:val="both"/>
              <w:rPr>
                <w:sz w:val="20"/>
                <w:lang w:val="fr-CA"/>
              </w:rPr>
            </w:pP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 xml:space="preserve">Monsieur Ma a produit une déclaration à l’encontre de la Ville d’Ottawa réclamant une indemnité au motif que cette dernière n’avait pas empêché une personne non désignée de mettre sur des poteaux téléphoniques de la ville une photo de lui </w:t>
            </w:r>
            <w:proofErr w:type="spellStart"/>
            <w:r w:rsidRPr="006D0EDD">
              <w:rPr>
                <w:sz w:val="20"/>
                <w:lang w:val="fr-CA"/>
              </w:rPr>
              <w:t>accompagnée</w:t>
            </w:r>
            <w:proofErr w:type="spellEnd"/>
            <w:r w:rsidRPr="006D0EDD">
              <w:rPr>
                <w:sz w:val="20"/>
                <w:lang w:val="fr-CA"/>
              </w:rPr>
              <w:t xml:space="preserve"> d’accusations selon lesquelles il était un espion et un terroriste. La Ville d’Ottawa a invoqué la procédure d’audience par voie d’observations écrites prévue à la règle 2.1.01(6) des </w:t>
            </w:r>
            <w:r w:rsidRPr="006D0EDD">
              <w:rPr>
                <w:i/>
                <w:sz w:val="20"/>
                <w:lang w:val="fr-CA"/>
              </w:rPr>
              <w:t>Règles de procédure civile</w:t>
            </w:r>
            <w:r w:rsidRPr="006D0EDD">
              <w:rPr>
                <w:sz w:val="20"/>
                <w:lang w:val="fr-CA"/>
              </w:rPr>
              <w:t xml:space="preserve">, R.R.O. 1990, </w:t>
            </w:r>
            <w:proofErr w:type="spellStart"/>
            <w:r w:rsidRPr="006D0EDD">
              <w:rPr>
                <w:sz w:val="20"/>
                <w:lang w:val="fr-CA"/>
              </w:rPr>
              <w:t>Règl</w:t>
            </w:r>
            <w:proofErr w:type="spellEnd"/>
            <w:r w:rsidRPr="006D0EDD">
              <w:rPr>
                <w:sz w:val="20"/>
                <w:lang w:val="fr-CA"/>
              </w:rPr>
              <w:t>. 194, et a déposé une réquisition réclamant le rejet de l’action au motif que celle</w:t>
            </w:r>
            <w:r w:rsidRPr="006D0EDD">
              <w:rPr>
                <w:sz w:val="20"/>
                <w:lang w:val="fr-CA"/>
              </w:rPr>
              <w:noBreakHyphen/>
              <w:t>ci était frivole et vexatoire et constituait un abus de procédure. Le juge des motions a accueilli la motion et ainsi rejeté l’action. Cette décision a été confirmée en appel.</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7 août 2018</w:t>
            </w:r>
          </w:p>
          <w:p w:rsidR="009B6E02" w:rsidRPr="006D0EDD" w:rsidRDefault="009B6E02" w:rsidP="009B6E02">
            <w:pPr>
              <w:jc w:val="both"/>
              <w:rPr>
                <w:sz w:val="20"/>
                <w:lang w:val="fr-CA"/>
              </w:rPr>
            </w:pPr>
            <w:r w:rsidRPr="006D0EDD">
              <w:rPr>
                <w:sz w:val="20"/>
                <w:lang w:val="fr-CA"/>
              </w:rPr>
              <w:t>Cour supérieure de justice de l’Ontario</w:t>
            </w:r>
          </w:p>
          <w:p w:rsidR="009B6E02" w:rsidRPr="006D0EDD" w:rsidRDefault="009B6E02" w:rsidP="009B6E02">
            <w:pPr>
              <w:jc w:val="both"/>
              <w:rPr>
                <w:sz w:val="20"/>
                <w:lang w:val="fr-CA"/>
              </w:rPr>
            </w:pPr>
            <w:r w:rsidRPr="006D0EDD">
              <w:rPr>
                <w:sz w:val="20"/>
                <w:lang w:val="fr-CA"/>
              </w:rPr>
              <w:t>(Juge Beaudoin)</w:t>
            </w:r>
          </w:p>
          <w:p w:rsidR="009B6E02" w:rsidRPr="006D0EDD" w:rsidRDefault="009B6E02" w:rsidP="009B6E02">
            <w:pPr>
              <w:jc w:val="both"/>
              <w:rPr>
                <w:sz w:val="20"/>
                <w:lang w:val="fr-CA"/>
              </w:rPr>
            </w:pPr>
            <w:r w:rsidRPr="006D0EDD">
              <w:rPr>
                <w:sz w:val="20"/>
                <w:lang w:val="fr-CA"/>
              </w:rPr>
              <w:t>2018 ONSC 4699</w:t>
            </w:r>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 xml:space="preserve">Ordonnance autorisant l’appelant à produire des prétentions écrites en réponse à la réquisition de l’intimée en radiation de déclaration </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6 septembre 2018</w:t>
            </w:r>
          </w:p>
          <w:p w:rsidR="009B6E02" w:rsidRPr="006D0EDD" w:rsidRDefault="009B6E02" w:rsidP="009B6E02">
            <w:pPr>
              <w:jc w:val="both"/>
              <w:rPr>
                <w:sz w:val="20"/>
                <w:lang w:val="fr-CA"/>
              </w:rPr>
            </w:pPr>
            <w:r w:rsidRPr="006D0EDD">
              <w:rPr>
                <w:sz w:val="20"/>
                <w:lang w:val="fr-CA"/>
              </w:rPr>
              <w:t>Cour supérieure de justice de l’Ontario</w:t>
            </w:r>
          </w:p>
          <w:p w:rsidR="009B6E02" w:rsidRPr="006D0EDD" w:rsidRDefault="009B6E02" w:rsidP="009B6E02">
            <w:pPr>
              <w:jc w:val="both"/>
              <w:rPr>
                <w:sz w:val="20"/>
                <w:lang w:val="fr-CA"/>
              </w:rPr>
            </w:pPr>
            <w:r w:rsidRPr="006D0EDD">
              <w:rPr>
                <w:sz w:val="20"/>
                <w:lang w:val="fr-CA"/>
              </w:rPr>
              <w:t>(Juge Beaudoin)</w:t>
            </w:r>
          </w:p>
          <w:p w:rsidR="009B6E02" w:rsidRPr="006D0EDD" w:rsidRDefault="009B6E02" w:rsidP="009B6E02">
            <w:pPr>
              <w:jc w:val="both"/>
              <w:rPr>
                <w:sz w:val="20"/>
                <w:lang w:val="fr-CA"/>
              </w:rPr>
            </w:pPr>
            <w:hyperlink r:id="rId16" w:history="1">
              <w:r w:rsidRPr="006D0EDD">
                <w:rPr>
                  <w:rStyle w:val="Hyperlink"/>
                  <w:sz w:val="20"/>
                  <w:lang w:val="fr-CA"/>
                </w:rPr>
                <w:t>2018 ONSC 5189</w:t>
              </w:r>
            </w:hyperlink>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Rejet de l’action de l’appelant</w:t>
            </w:r>
          </w:p>
          <w:p w:rsidR="009B6E02" w:rsidRPr="006D0EDD" w:rsidRDefault="009B6E02" w:rsidP="009B6E02">
            <w:pPr>
              <w:jc w:val="both"/>
              <w:rPr>
                <w:sz w:val="20"/>
                <w:lang w:val="fr-CA"/>
              </w:rPr>
            </w:pP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21 février 2019</w:t>
            </w:r>
          </w:p>
          <w:p w:rsidR="009B6E02" w:rsidRPr="006D0EDD" w:rsidRDefault="009B6E02" w:rsidP="009B6E02">
            <w:pPr>
              <w:jc w:val="both"/>
              <w:rPr>
                <w:sz w:val="20"/>
                <w:lang w:val="fr-CA"/>
              </w:rPr>
            </w:pPr>
            <w:r w:rsidRPr="006D0EDD">
              <w:rPr>
                <w:sz w:val="20"/>
                <w:lang w:val="fr-CA"/>
              </w:rPr>
              <w:t>Cour d’appel de l’Ontario</w:t>
            </w:r>
          </w:p>
          <w:p w:rsidR="009B6E02" w:rsidRPr="006D0EDD" w:rsidRDefault="009B6E02" w:rsidP="009B6E02">
            <w:pPr>
              <w:jc w:val="both"/>
              <w:rPr>
                <w:sz w:val="20"/>
                <w:lang w:val="fr-CA"/>
              </w:rPr>
            </w:pPr>
            <w:r w:rsidRPr="006D0EDD">
              <w:rPr>
                <w:sz w:val="20"/>
                <w:lang w:val="fr-CA"/>
              </w:rPr>
              <w:t xml:space="preserve">(Juges </w:t>
            </w:r>
            <w:proofErr w:type="spellStart"/>
            <w:r w:rsidRPr="006D0EDD">
              <w:rPr>
                <w:sz w:val="20"/>
                <w:lang w:val="fr-CA"/>
              </w:rPr>
              <w:t>Hourigan</w:t>
            </w:r>
            <w:proofErr w:type="spellEnd"/>
            <w:r w:rsidRPr="006D0EDD">
              <w:rPr>
                <w:sz w:val="20"/>
                <w:lang w:val="fr-CA"/>
              </w:rPr>
              <w:t xml:space="preserve">, </w:t>
            </w:r>
            <w:proofErr w:type="spellStart"/>
            <w:r w:rsidRPr="006D0EDD">
              <w:rPr>
                <w:sz w:val="20"/>
                <w:lang w:val="fr-CA"/>
              </w:rPr>
              <w:t>Benotto</w:t>
            </w:r>
            <w:proofErr w:type="spellEnd"/>
            <w:r w:rsidRPr="006D0EDD">
              <w:rPr>
                <w:sz w:val="20"/>
                <w:lang w:val="fr-CA"/>
              </w:rPr>
              <w:t xml:space="preserve"> et </w:t>
            </w:r>
            <w:proofErr w:type="spellStart"/>
            <w:r w:rsidRPr="006D0EDD">
              <w:rPr>
                <w:sz w:val="20"/>
                <w:lang w:val="fr-CA"/>
              </w:rPr>
              <w:t>Huscroft</w:t>
            </w:r>
            <w:proofErr w:type="spellEnd"/>
            <w:r w:rsidRPr="006D0EDD">
              <w:rPr>
                <w:sz w:val="20"/>
                <w:lang w:val="fr-CA"/>
              </w:rPr>
              <w:t>)</w:t>
            </w:r>
          </w:p>
          <w:p w:rsidR="009B6E02" w:rsidRPr="006D0EDD" w:rsidRDefault="009B6E02" w:rsidP="009B6E02">
            <w:pPr>
              <w:jc w:val="both"/>
              <w:rPr>
                <w:sz w:val="20"/>
                <w:lang w:val="fr-CA"/>
              </w:rPr>
            </w:pPr>
            <w:hyperlink r:id="rId17" w:history="1">
              <w:r w:rsidRPr="006D0EDD">
                <w:rPr>
                  <w:rStyle w:val="Hyperlink"/>
                  <w:sz w:val="20"/>
                  <w:lang w:val="fr-CA"/>
                </w:rPr>
                <w:t>2019 ONCA 142</w:t>
              </w:r>
            </w:hyperlink>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Rejet de l’appel de l’appelant</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16 avril 2019</w:t>
            </w:r>
          </w:p>
          <w:p w:rsidR="009B6E02" w:rsidRPr="006D0EDD" w:rsidRDefault="009B6E02" w:rsidP="009B6E02">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Dépôt de la demande d’autorisation d’appel</w:t>
            </w:r>
          </w:p>
          <w:p w:rsidR="009B6E02" w:rsidRPr="006D0EDD" w:rsidRDefault="009B6E02" w:rsidP="009B6E02">
            <w:pPr>
              <w:jc w:val="both"/>
              <w:rPr>
                <w:sz w:val="20"/>
                <w:lang w:val="fr-CA"/>
              </w:rPr>
            </w:pPr>
          </w:p>
        </w:tc>
      </w:tr>
    </w:tbl>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rPr>
        <w:pict>
          <v:rect id="_x0000_i1028" style="width:2in;height:1pt" o:hrpct="0" o:hralign="center" o:hrstd="t" o:hrnoshade="t" o:hr="t" fillcolor="black [3213]" stroked="f"/>
        </w:pict>
      </w:r>
    </w:p>
    <w:p w:rsidR="009B6E02" w:rsidRPr="006D0EDD" w:rsidRDefault="009B6E02" w:rsidP="009B6E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en-CA"/>
              </w:rPr>
            </w:pPr>
            <w:r w:rsidRPr="006D0EDD">
              <w:rPr>
                <w:rStyle w:val="SCCFileNumberChar"/>
                <w:sz w:val="20"/>
                <w:szCs w:val="20"/>
              </w:rPr>
              <w:t>38612</w:t>
            </w:r>
          </w:p>
        </w:tc>
        <w:tc>
          <w:tcPr>
            <w:tcW w:w="4457" w:type="pct"/>
            <w:gridSpan w:val="3"/>
          </w:tcPr>
          <w:p w:rsidR="009B6E02" w:rsidRPr="006D0EDD" w:rsidRDefault="009B6E02" w:rsidP="009B6E02">
            <w:pPr>
              <w:pStyle w:val="SCCLsocParty"/>
              <w:jc w:val="both"/>
              <w:rPr>
                <w:b/>
                <w:sz w:val="20"/>
                <w:szCs w:val="20"/>
                <w:lang w:val="en-CA"/>
              </w:rPr>
            </w:pPr>
            <w:r w:rsidRPr="006D0EDD">
              <w:rPr>
                <w:b/>
                <w:sz w:val="20"/>
                <w:szCs w:val="20"/>
                <w:lang w:val="en-CA"/>
              </w:rPr>
              <w:t>Englobe Corp. v. 9299-2472 Québec inc., carrying on business as OFA Environment Management</w:t>
            </w:r>
          </w:p>
          <w:p w:rsidR="009B6E02" w:rsidRPr="006D0EDD" w:rsidRDefault="009B6E02" w:rsidP="009B6E02">
            <w:pPr>
              <w:pStyle w:val="SCCLsocOtherPartySeparator"/>
              <w:rPr>
                <w:sz w:val="20"/>
                <w:szCs w:val="20"/>
                <w:lang w:val="en-CA"/>
              </w:rPr>
            </w:pPr>
            <w:r w:rsidRPr="006D0EDD">
              <w:rPr>
                <w:sz w:val="20"/>
                <w:szCs w:val="20"/>
                <w:lang w:val="en-CA"/>
              </w:rPr>
              <w:t>- and -</w:t>
            </w:r>
          </w:p>
          <w:p w:rsidR="009B6E02" w:rsidRPr="006D0EDD" w:rsidRDefault="009B6E02" w:rsidP="009B6E02">
            <w:pPr>
              <w:pStyle w:val="SCCLsocParty"/>
              <w:jc w:val="both"/>
              <w:rPr>
                <w:b/>
                <w:sz w:val="20"/>
                <w:szCs w:val="20"/>
                <w:lang w:val="en-CA"/>
              </w:rPr>
            </w:pPr>
            <w:r w:rsidRPr="006D0EDD">
              <w:rPr>
                <w:b/>
                <w:sz w:val="20"/>
                <w:szCs w:val="20"/>
                <w:lang w:val="en-CA"/>
              </w:rPr>
              <w:t>Benoît Charette, in his capacity as Minister of Sustainable Development, the Environment and the Fight Against Climate Change, here represented by the Attorney General of Quebec</w:t>
            </w:r>
          </w:p>
          <w:p w:rsidR="009B6E02" w:rsidRPr="006D0EDD" w:rsidRDefault="009B6E02" w:rsidP="009B6E02">
            <w:pPr>
              <w:jc w:val="both"/>
              <w:rPr>
                <w:sz w:val="20"/>
                <w:lang w:val="en-CA"/>
              </w:rPr>
            </w:pPr>
            <w:r w:rsidRPr="006D0EDD">
              <w:rPr>
                <w:sz w:val="20"/>
                <w:lang w:val="en-CA"/>
              </w:rPr>
              <w:t>(Que.) (Civil) (By Leave)</w:t>
            </w:r>
          </w:p>
        </w:tc>
      </w:tr>
      <w:tr w:rsidR="009B6E02" w:rsidRPr="006D0EDD" w:rsidTr="009B6E02">
        <w:tc>
          <w:tcPr>
            <w:tcW w:w="5000" w:type="pct"/>
            <w:gridSpan w:val="4"/>
          </w:tcPr>
          <w:p w:rsidR="009B6E02" w:rsidRPr="006D0EDD" w:rsidRDefault="009B6E02" w:rsidP="009B6E02">
            <w:pPr>
              <w:jc w:val="both"/>
              <w:rPr>
                <w:sz w:val="20"/>
                <w:lang w:val="en-CA"/>
              </w:rPr>
            </w:pPr>
            <w:proofErr w:type="gramStart"/>
            <w:r w:rsidRPr="006D0EDD">
              <w:rPr>
                <w:sz w:val="20"/>
                <w:lang w:val="en-CA"/>
              </w:rPr>
              <w:t xml:space="preserve">Civil procedure — Exception to dismiss — Absence of sufficient interest — Declaratory judgment — Contracts — Construction — Environment — Obligation to dispose of contaminated soil at authorized site — Whether third party can have legal interest required to apply to court for interpretation of contract where third party’s own obligations under related contract depend on it — Whether fact that provincial standards expressly governing performance of contract have no extraterritorial effect implies that other contracting party must perform its obligations within territory in which province’s standards apply — </w:t>
            </w:r>
            <w:r w:rsidRPr="006D0EDD">
              <w:rPr>
                <w:i/>
                <w:sz w:val="20"/>
                <w:lang w:val="en-CA"/>
              </w:rPr>
              <w:t>Code of Civil Procedure</w:t>
            </w:r>
            <w:r w:rsidRPr="006D0EDD">
              <w:rPr>
                <w:sz w:val="20"/>
                <w:lang w:val="en-CA"/>
              </w:rPr>
              <w:t>, CQLR, c. C</w:t>
            </w:r>
            <w:r w:rsidRPr="006D0EDD">
              <w:rPr>
                <w:sz w:val="20"/>
                <w:lang w:val="en-CA"/>
              </w:rPr>
              <w:noBreakHyphen/>
              <w:t>25.01, art. </w:t>
            </w:r>
            <w:proofErr w:type="gramEnd"/>
            <w:r w:rsidRPr="006D0EDD">
              <w:rPr>
                <w:sz w:val="20"/>
                <w:lang w:val="en-CA"/>
              </w:rPr>
              <w:t xml:space="preserve">85 — </w:t>
            </w:r>
            <w:r w:rsidRPr="006D0EDD">
              <w:rPr>
                <w:i/>
                <w:sz w:val="20"/>
                <w:lang w:val="en-CA"/>
              </w:rPr>
              <w:t>Environment Quality Act</w:t>
            </w:r>
            <w:r w:rsidRPr="006D0EDD">
              <w:rPr>
                <w:sz w:val="20"/>
                <w:lang w:val="en-CA"/>
              </w:rPr>
              <w:t>, CQLR, c. Q</w:t>
            </w:r>
            <w:r w:rsidRPr="006D0EDD">
              <w:rPr>
                <w:sz w:val="20"/>
                <w:lang w:val="en-CA"/>
              </w:rPr>
              <w:noBreakHyphen/>
              <w:t>2.</w:t>
            </w:r>
          </w:p>
        </w:tc>
      </w:tr>
      <w:tr w:rsidR="009B6E02" w:rsidRPr="006D0EDD" w:rsidTr="009B6E02">
        <w:tc>
          <w:tcPr>
            <w:tcW w:w="5000" w:type="pct"/>
            <w:gridSpan w:val="4"/>
          </w:tcPr>
          <w:p w:rsidR="009B6E02" w:rsidRPr="006D0EDD" w:rsidRDefault="009B6E02" w:rsidP="009B6E02">
            <w:pPr>
              <w:jc w:val="both"/>
              <w:rPr>
                <w:sz w:val="20"/>
                <w:lang w:val="en-CA"/>
              </w:rPr>
            </w:pPr>
          </w:p>
        </w:tc>
      </w:tr>
      <w:tr w:rsidR="009B6E02" w:rsidRPr="006D0EDD" w:rsidTr="009B6E02">
        <w:tc>
          <w:tcPr>
            <w:tcW w:w="5000" w:type="pct"/>
            <w:gridSpan w:val="4"/>
          </w:tcPr>
          <w:p w:rsidR="009B6E02" w:rsidRPr="006D0EDD" w:rsidRDefault="009B6E02" w:rsidP="009B6E02">
            <w:pPr>
              <w:jc w:val="both"/>
              <w:rPr>
                <w:sz w:val="20"/>
                <w:lang w:val="en-CA"/>
              </w:rPr>
            </w:pPr>
            <w:r w:rsidRPr="006D0EDD">
              <w:rPr>
                <w:sz w:val="20"/>
                <w:lang w:val="en-CA"/>
              </w:rPr>
              <w:t>As part of a project to rebuild a school in the Commission scolaire de Montréal (“school board”), the applicant Englobe Corp. obtained the environmental supervision contract for the soil rehabilitation work. The respondent 9299</w:t>
            </w:r>
            <w:r w:rsidRPr="006D0EDD">
              <w:rPr>
                <w:sz w:val="20"/>
                <w:lang w:val="en-CA"/>
              </w:rPr>
              <w:noBreakHyphen/>
              <w:t xml:space="preserve">2472 Québec inc. (OFA Environment Management) </w:t>
            </w:r>
            <w:proofErr w:type="gramStart"/>
            <w:r w:rsidRPr="006D0EDD">
              <w:rPr>
                <w:sz w:val="20"/>
                <w:lang w:val="en-CA"/>
              </w:rPr>
              <w:t>was retained</w:t>
            </w:r>
            <w:proofErr w:type="gramEnd"/>
            <w:r w:rsidRPr="006D0EDD">
              <w:rPr>
                <w:sz w:val="20"/>
                <w:lang w:val="en-CA"/>
              </w:rPr>
              <w:t xml:space="preserve"> as a subcontractor for the environmental rehabilitation work on the soil and residual materials. The applicant learned that the contaminated soil excavated from the project site </w:t>
            </w:r>
            <w:proofErr w:type="gramStart"/>
            <w:r w:rsidRPr="006D0EDD">
              <w:rPr>
                <w:sz w:val="20"/>
                <w:lang w:val="en-CA"/>
              </w:rPr>
              <w:t>had not been sent</w:t>
            </w:r>
            <w:proofErr w:type="gramEnd"/>
            <w:r w:rsidRPr="006D0EDD">
              <w:rPr>
                <w:sz w:val="20"/>
                <w:lang w:val="en-CA"/>
              </w:rPr>
              <w:t xml:space="preserve"> to an authorized site in Quebec. The respondent informed the applicant that the soil </w:t>
            </w:r>
            <w:proofErr w:type="gramStart"/>
            <w:r w:rsidRPr="006D0EDD">
              <w:rPr>
                <w:sz w:val="20"/>
                <w:lang w:val="en-CA"/>
              </w:rPr>
              <w:t>had been sent</w:t>
            </w:r>
            <w:proofErr w:type="gramEnd"/>
            <w:r w:rsidRPr="006D0EDD">
              <w:rPr>
                <w:sz w:val="20"/>
                <w:lang w:val="en-CA"/>
              </w:rPr>
              <w:t xml:space="preserve"> to Ontario to be treated in accordance with the regulations applicable there. Alleging that the respondent was breaching its contractual obligations and was therefore preventing it from providing the school board with a certificate of compliance for the work, the applicant brought an action in the Superior Court in September 2015 seeking a declaration that the respondent was obliged to dispose of the contaminated soil at an authorized site in Quebec. The Superior Court dismissed the applicant’s originating application for a declaratory judgment, finding that the respondent had no contractual or statutory obligation to send the contaminated soil only to an authorized site in Quebec. The Superior Court also expressed doubt that the applicant had a sufficient interest to bring its action. The Court of Appeal dismissed the appeal from that decision. It was of the view that the applicant did not have a sufficient interest to apply for a declaratory judgment. It added that, even if the applicant had had the necessary legal interest, the applicant would have been unable to satisfy it that the judge had made a palpable and overriding error in interpreting the contract.</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February 21, 2017</w:t>
            </w:r>
          </w:p>
          <w:p w:rsidR="009B6E02" w:rsidRPr="006D0EDD" w:rsidRDefault="009B6E02" w:rsidP="009B6E02">
            <w:pPr>
              <w:jc w:val="both"/>
              <w:rPr>
                <w:sz w:val="20"/>
                <w:lang w:val="en-CA"/>
              </w:rPr>
            </w:pPr>
            <w:r w:rsidRPr="006D0EDD">
              <w:rPr>
                <w:sz w:val="20"/>
                <w:lang w:val="en-CA"/>
              </w:rPr>
              <w:t>Quebec Superior Court (Montréal)</w:t>
            </w:r>
          </w:p>
          <w:p w:rsidR="009B6E02" w:rsidRPr="006D0EDD" w:rsidRDefault="009B6E02" w:rsidP="009B6E02">
            <w:pPr>
              <w:jc w:val="both"/>
              <w:rPr>
                <w:sz w:val="20"/>
                <w:lang w:val="en-CA"/>
              </w:rPr>
            </w:pPr>
            <w:r w:rsidRPr="006D0EDD">
              <w:rPr>
                <w:sz w:val="20"/>
                <w:lang w:val="en-CA"/>
              </w:rPr>
              <w:t>(Chabot J.)</w:t>
            </w:r>
          </w:p>
          <w:p w:rsidR="009B6E02" w:rsidRPr="006D0EDD" w:rsidRDefault="009B6E02" w:rsidP="009B6E02">
            <w:pPr>
              <w:jc w:val="both"/>
              <w:rPr>
                <w:sz w:val="20"/>
                <w:lang w:val="en-CA"/>
              </w:rPr>
            </w:pPr>
            <w:r w:rsidRPr="006D0EDD">
              <w:rPr>
                <w:sz w:val="20"/>
                <w:lang w:val="en-CA"/>
              </w:rPr>
              <w:t>500-17-090355-150</w:t>
            </w:r>
          </w:p>
          <w:p w:rsidR="009B6E02" w:rsidRPr="006D0EDD" w:rsidRDefault="009B6E02" w:rsidP="009B6E02">
            <w:pPr>
              <w:jc w:val="both"/>
              <w:rPr>
                <w:sz w:val="20"/>
                <w:lang w:val="en-CA"/>
              </w:rPr>
            </w:pPr>
            <w:hyperlink r:id="rId18" w:history="1">
              <w:r w:rsidRPr="006D0EDD">
                <w:rPr>
                  <w:rStyle w:val="Hyperlink"/>
                  <w:sz w:val="20"/>
                  <w:lang w:val="en-CA"/>
                </w:rPr>
                <w:t>2017 QCCS 598</w:t>
              </w:r>
            </w:hyperlink>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 xml:space="preserve">Originating application for declaratory judgment dismissed with legal costs </w:t>
            </w: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March 1, 2019</w:t>
            </w:r>
          </w:p>
          <w:p w:rsidR="009B6E02" w:rsidRPr="006D0EDD" w:rsidRDefault="009B6E02" w:rsidP="009B6E02">
            <w:pPr>
              <w:jc w:val="both"/>
              <w:rPr>
                <w:sz w:val="20"/>
                <w:lang w:val="en-CA"/>
              </w:rPr>
            </w:pPr>
            <w:r w:rsidRPr="006D0EDD">
              <w:rPr>
                <w:sz w:val="20"/>
                <w:lang w:val="en-CA"/>
              </w:rPr>
              <w:t>Quebec Court of Appeal (Montréal)</w:t>
            </w:r>
          </w:p>
          <w:p w:rsidR="009B6E02" w:rsidRPr="006D0EDD" w:rsidRDefault="009B6E02" w:rsidP="009B6E02">
            <w:pPr>
              <w:jc w:val="both"/>
              <w:rPr>
                <w:sz w:val="20"/>
                <w:lang w:val="en-CA"/>
              </w:rPr>
            </w:pPr>
            <w:r w:rsidRPr="006D0EDD">
              <w:rPr>
                <w:sz w:val="20"/>
                <w:lang w:val="en-CA"/>
              </w:rPr>
              <w:t>(Kasirer, Mainville and Rancourt JJ.A.)</w:t>
            </w:r>
          </w:p>
          <w:p w:rsidR="009B6E02" w:rsidRPr="006D0EDD" w:rsidRDefault="009B6E02" w:rsidP="009B6E02">
            <w:pPr>
              <w:jc w:val="both"/>
              <w:rPr>
                <w:sz w:val="20"/>
                <w:lang w:val="en-CA"/>
              </w:rPr>
            </w:pPr>
            <w:r w:rsidRPr="006D0EDD">
              <w:rPr>
                <w:sz w:val="20"/>
                <w:lang w:val="en-CA"/>
              </w:rPr>
              <w:t>500-09-026715-177</w:t>
            </w:r>
          </w:p>
          <w:p w:rsidR="009B6E02" w:rsidRPr="006D0EDD" w:rsidRDefault="009B6E02" w:rsidP="009B6E02">
            <w:pPr>
              <w:jc w:val="both"/>
              <w:rPr>
                <w:sz w:val="20"/>
                <w:lang w:val="en-CA"/>
              </w:rPr>
            </w:pPr>
            <w:hyperlink r:id="rId19" w:history="1">
              <w:r w:rsidRPr="006D0EDD">
                <w:rPr>
                  <w:rStyle w:val="Hyperlink"/>
                  <w:sz w:val="20"/>
                  <w:lang w:val="en-CA"/>
                </w:rPr>
                <w:t>2019 QCCA 533</w:t>
              </w:r>
            </w:hyperlink>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 xml:space="preserve">Appeal dismissed with legal costs </w:t>
            </w: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April 30, 2019</w:t>
            </w:r>
          </w:p>
          <w:p w:rsidR="009B6E02" w:rsidRPr="006D0EDD" w:rsidRDefault="009B6E02" w:rsidP="009B6E02">
            <w:pPr>
              <w:jc w:val="both"/>
              <w:rPr>
                <w:sz w:val="20"/>
                <w:lang w:val="en-CA"/>
              </w:rPr>
            </w:pPr>
            <w:r w:rsidRPr="006D0EDD">
              <w:rPr>
                <w:sz w:val="20"/>
                <w:lang w:val="en-CA"/>
              </w:rPr>
              <w:t>Supreme Court of Canada</w:t>
            </w: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Application for leave to appeal filed</w:t>
            </w:r>
          </w:p>
          <w:p w:rsidR="009B6E02" w:rsidRPr="006D0EDD" w:rsidRDefault="009B6E02" w:rsidP="009B6E02">
            <w:pPr>
              <w:jc w:val="both"/>
              <w:rPr>
                <w:sz w:val="20"/>
                <w:lang w:val="en-CA"/>
              </w:rPr>
            </w:pPr>
          </w:p>
        </w:tc>
      </w:tr>
    </w:tbl>
    <w:p w:rsidR="009B6E02" w:rsidRPr="006D0EDD" w:rsidRDefault="009B6E02" w:rsidP="009B6E02">
      <w:pPr>
        <w:jc w:val="both"/>
        <w:rPr>
          <w:sz w:val="20"/>
          <w:lang w:val="en-CA"/>
        </w:rPr>
      </w:pPr>
    </w:p>
    <w:p w:rsidR="009B6E02" w:rsidRPr="006D0EDD" w:rsidRDefault="009B6E02" w:rsidP="009B6E02">
      <w:pPr>
        <w:jc w:val="both"/>
        <w:rPr>
          <w:sz w:val="20"/>
          <w:lang w:val="en-CA"/>
        </w:rPr>
      </w:pPr>
      <w:r w:rsidRPr="006D0EDD">
        <w:rPr>
          <w:sz w:val="20"/>
        </w:rPr>
        <w:pict>
          <v:rect id="_x0000_i1029" style="width:2in;height:1pt" o:hrpct="0" o:hralign="center" o:hrstd="t" o:hrnoshade="t" o:hr="t" fillcolor="black [3213]" stroked="f"/>
        </w:pict>
      </w:r>
    </w:p>
    <w:p w:rsidR="009B6E02" w:rsidRPr="006D0EDD" w:rsidRDefault="009B6E02" w:rsidP="009B6E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38612</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Englobe Corp. c. 9299-2472 Québec Inc., faisant affaires sous le nom de Gestion OFA Environnement</w:t>
            </w:r>
          </w:p>
          <w:p w:rsidR="009B6E02" w:rsidRPr="006D0EDD" w:rsidRDefault="009B6E02" w:rsidP="009B6E02">
            <w:pPr>
              <w:pStyle w:val="SCCLsocOtherPartySeparator"/>
              <w:rPr>
                <w:sz w:val="20"/>
                <w:szCs w:val="20"/>
              </w:rPr>
            </w:pPr>
            <w:r w:rsidRPr="006D0EDD">
              <w:rPr>
                <w:sz w:val="20"/>
                <w:szCs w:val="20"/>
              </w:rPr>
              <w:t>- et -</w:t>
            </w:r>
          </w:p>
          <w:p w:rsidR="009B6E02" w:rsidRPr="006D0EDD" w:rsidRDefault="009B6E02" w:rsidP="009B6E02">
            <w:pPr>
              <w:pStyle w:val="SCCLsocParty"/>
              <w:jc w:val="both"/>
              <w:rPr>
                <w:b/>
                <w:sz w:val="20"/>
                <w:szCs w:val="20"/>
              </w:rPr>
            </w:pPr>
            <w:r w:rsidRPr="006D0EDD">
              <w:rPr>
                <w:b/>
                <w:sz w:val="20"/>
                <w:szCs w:val="20"/>
              </w:rPr>
              <w:t xml:space="preserve">Benoît Charette, </w:t>
            </w:r>
            <w:r w:rsidRPr="006D0EDD">
              <w:rPr>
                <w:b/>
                <w:i/>
                <w:sz w:val="20"/>
                <w:szCs w:val="20"/>
              </w:rPr>
              <w:t>ès qualités</w:t>
            </w:r>
            <w:r w:rsidRPr="006D0EDD">
              <w:rPr>
                <w:b/>
                <w:sz w:val="20"/>
                <w:szCs w:val="20"/>
              </w:rPr>
              <w:t xml:space="preserve"> de ministre du Développement durable, de l'Environnement et de la Lutte contre les changements climatiques, ici représenté par la Procureure générale de Québec</w:t>
            </w:r>
          </w:p>
          <w:p w:rsidR="009B6E02" w:rsidRPr="006D0EDD" w:rsidRDefault="009B6E02" w:rsidP="009B6E02">
            <w:pPr>
              <w:jc w:val="both"/>
              <w:rPr>
                <w:sz w:val="20"/>
              </w:rPr>
            </w:pPr>
            <w:r w:rsidRPr="006D0EDD">
              <w:rPr>
                <w:sz w:val="20"/>
              </w:rPr>
              <w:t>(Qc) (Civile) (Autorisation)</w:t>
            </w: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Procédure civile — Moyen d’irrecevabilité — Absence d’intérêt suffisant pour agir — Jugement déclaratoire — Contrats — Construction — Environnement — Obligation de disposer des sols contaminés dans un emplacement autorisé — Est-ce qu’un tiers peut avoir l’intérêt juridique pour demander à un tribunal d’interpréter un contrat lorsqu’en dépendent ses propres obligations découlant d’un contrat lié ? — Est</w:t>
            </w:r>
            <w:r w:rsidRPr="006D0EDD">
              <w:rPr>
                <w:sz w:val="20"/>
                <w:lang w:val="fr-CA"/>
              </w:rPr>
              <w:noBreakHyphen/>
              <w:t xml:space="preserve">ce que l’absence d’effet extraterritorial des normes provinciales régissant expressément l’exécution d’un contrat implique que le cocontractant se doive d’exécuter ses obligations dans le territoire visé par les normes de cette province ? — </w:t>
            </w:r>
            <w:r w:rsidRPr="006D0EDD">
              <w:rPr>
                <w:i/>
                <w:sz w:val="20"/>
                <w:lang w:val="fr-CA"/>
              </w:rPr>
              <w:t>Code de procédure civile</w:t>
            </w:r>
            <w:r w:rsidRPr="006D0EDD">
              <w:rPr>
                <w:sz w:val="20"/>
                <w:lang w:val="fr-CA"/>
              </w:rPr>
              <w:t>, RLRQ c C</w:t>
            </w:r>
            <w:r w:rsidRPr="006D0EDD">
              <w:rPr>
                <w:sz w:val="20"/>
                <w:lang w:val="fr-CA"/>
              </w:rPr>
              <w:noBreakHyphen/>
              <w:t xml:space="preserve">25.01, art. 85 — </w:t>
            </w:r>
            <w:r w:rsidRPr="006D0EDD">
              <w:rPr>
                <w:i/>
                <w:sz w:val="20"/>
                <w:lang w:val="fr-CA"/>
              </w:rPr>
              <w:t>Loi sur la qualité de l’environnement</w:t>
            </w:r>
            <w:r w:rsidRPr="006D0EDD">
              <w:rPr>
                <w:sz w:val="20"/>
                <w:lang w:val="fr-CA"/>
              </w:rPr>
              <w:t>, RLRQ c Q</w:t>
            </w:r>
            <w:r w:rsidRPr="006D0EDD">
              <w:rPr>
                <w:sz w:val="20"/>
                <w:lang w:val="fr-CA"/>
              </w:rPr>
              <w:noBreakHyphen/>
              <w:t>2.</w:t>
            </w:r>
          </w:p>
        </w:tc>
      </w:tr>
      <w:tr w:rsidR="009B6E02" w:rsidRPr="006D0EDD" w:rsidTr="009B6E02">
        <w:tc>
          <w:tcPr>
            <w:tcW w:w="5000" w:type="pct"/>
            <w:gridSpan w:val="4"/>
          </w:tcPr>
          <w:p w:rsidR="009B6E02" w:rsidRPr="006D0EDD" w:rsidRDefault="009B6E02" w:rsidP="009B6E02">
            <w:pPr>
              <w:jc w:val="both"/>
              <w:rPr>
                <w:sz w:val="20"/>
                <w:lang w:val="fr-CA"/>
              </w:rPr>
            </w:pP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Dans le cadre du projet de reconstruction d’une école de la Commission scolaire de Montréal, la demanderesse Englobe Corp. obtient le contrat de surveillance environnementale des travaux de réhabilitation des sols. Les services de l’intimée 9299</w:t>
            </w:r>
            <w:r w:rsidRPr="006D0EDD">
              <w:rPr>
                <w:sz w:val="20"/>
                <w:lang w:val="fr-CA"/>
              </w:rPr>
              <w:noBreakHyphen/>
              <w:t>2472 Québec Inc. (Gestion OFA Environnement) sont retenus à titre de sous</w:t>
            </w:r>
            <w:r w:rsidRPr="006D0EDD">
              <w:rPr>
                <w:sz w:val="20"/>
                <w:lang w:val="fr-CA"/>
              </w:rPr>
              <w:noBreakHyphen/>
              <w:t>traitant pour les travaux de réhabilitation environnementale des sols et des matières résiduelles. La demanderesse apprend que les sols contaminés excavés sur le site du projet n’ont pas été acheminés à un site autorisé au Québec et l’intimée l’informe que les sols ont été acheminés en Ontario, pour être traités conformément à la réglementation y applicable. Alléguant que l’intimée contrevient à ses obligations contractuelles et qu’elle l’empêche ainsi d’attester à la Commission scolaire de la conformité des travaux, la demanderesse entreprend en septembre 2015 un recours demandant à la Cour supérieure de déclarer que l’intimée a l’obligation de disposer des sols contaminés dans un site autorisé aménagé au Québec. La Cour supérieure rejette la demande introductive d’instance en jugement déclaratoire de la demanderesse : elle conclut que l’intimée n’avait aucune obligation contractuelle ou légale d’acheminer les sols contaminés seulement dans un site autorisé au Québec et elle mentionne douter que la demanderesse ait eu l’intérêt suffisant pour intenter son recours. La Cour d’appel rejette l’appel de cette décision : elle est d’avis que la demanderesse n’a pas l’intérêt suffisant pour demander un jugement déclaratoire et elle ajoute que même si elle avait eu l’intérêt juridique requis, elle n’aurait pas réussi à convaincre de l’existence d’une erreur manifeste et déterminante du juge dans l’interprétation du contrat.</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21 février 2017</w:t>
            </w:r>
          </w:p>
          <w:p w:rsidR="009B6E02" w:rsidRPr="006D0EDD" w:rsidRDefault="009B6E02" w:rsidP="009B6E02">
            <w:pPr>
              <w:jc w:val="both"/>
              <w:rPr>
                <w:sz w:val="20"/>
                <w:lang w:val="fr-CA"/>
              </w:rPr>
            </w:pPr>
            <w:r w:rsidRPr="006D0EDD">
              <w:rPr>
                <w:sz w:val="20"/>
                <w:lang w:val="fr-CA"/>
              </w:rPr>
              <w:t>Cour supérieure du Québec (Montréal)</w:t>
            </w:r>
          </w:p>
          <w:p w:rsidR="009B6E02" w:rsidRPr="006D0EDD" w:rsidRDefault="009B6E02" w:rsidP="009B6E02">
            <w:pPr>
              <w:jc w:val="both"/>
              <w:rPr>
                <w:sz w:val="20"/>
              </w:rPr>
            </w:pPr>
            <w:r w:rsidRPr="006D0EDD">
              <w:rPr>
                <w:sz w:val="20"/>
              </w:rPr>
              <w:t>(Le juge Chabot)</w:t>
            </w:r>
          </w:p>
          <w:p w:rsidR="009B6E02" w:rsidRPr="006D0EDD" w:rsidRDefault="009B6E02" w:rsidP="009B6E02">
            <w:pPr>
              <w:jc w:val="both"/>
              <w:rPr>
                <w:sz w:val="20"/>
              </w:rPr>
            </w:pPr>
            <w:r w:rsidRPr="006D0EDD">
              <w:rPr>
                <w:sz w:val="20"/>
              </w:rPr>
              <w:t>500-17-090355-150</w:t>
            </w:r>
          </w:p>
          <w:p w:rsidR="009B6E02" w:rsidRPr="006D0EDD" w:rsidRDefault="009B6E02" w:rsidP="009B6E02">
            <w:pPr>
              <w:jc w:val="both"/>
              <w:rPr>
                <w:sz w:val="20"/>
              </w:rPr>
            </w:pPr>
            <w:hyperlink r:id="rId20" w:history="1">
              <w:r w:rsidRPr="006D0EDD">
                <w:rPr>
                  <w:rStyle w:val="Hyperlink"/>
                  <w:sz w:val="20"/>
                </w:rPr>
                <w:t>2017 QCCS 598</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Demande introductive d’instance en jugement déclaratoire rejetée avec frais de justice.</w:t>
            </w: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1</w:t>
            </w:r>
            <w:r w:rsidRPr="006D0EDD">
              <w:rPr>
                <w:sz w:val="20"/>
                <w:vertAlign w:val="superscript"/>
                <w:lang w:val="fr-CA"/>
              </w:rPr>
              <w:t>er</w:t>
            </w:r>
            <w:r w:rsidRPr="006D0EDD">
              <w:rPr>
                <w:sz w:val="20"/>
                <w:lang w:val="fr-CA"/>
              </w:rPr>
              <w:t> mars 2019</w:t>
            </w:r>
          </w:p>
          <w:p w:rsidR="009B6E02" w:rsidRPr="006D0EDD" w:rsidRDefault="009B6E02" w:rsidP="009B6E02">
            <w:pPr>
              <w:jc w:val="both"/>
              <w:rPr>
                <w:sz w:val="20"/>
                <w:lang w:val="fr-CA"/>
              </w:rPr>
            </w:pPr>
            <w:r w:rsidRPr="006D0EDD">
              <w:rPr>
                <w:sz w:val="20"/>
                <w:lang w:val="fr-CA"/>
              </w:rPr>
              <w:t>Cour d’appel du Québec (Montréal)</w:t>
            </w:r>
          </w:p>
          <w:p w:rsidR="009B6E02" w:rsidRPr="006D0EDD" w:rsidRDefault="009B6E02" w:rsidP="009B6E02">
            <w:pPr>
              <w:jc w:val="both"/>
              <w:rPr>
                <w:sz w:val="20"/>
                <w:lang w:val="fr-CA"/>
              </w:rPr>
            </w:pPr>
            <w:r w:rsidRPr="006D0EDD">
              <w:rPr>
                <w:sz w:val="20"/>
                <w:lang w:val="fr-CA"/>
              </w:rPr>
              <w:t>(Les juges Kasirer, Mainville, Rancourt)</w:t>
            </w:r>
          </w:p>
          <w:p w:rsidR="009B6E02" w:rsidRPr="006D0EDD" w:rsidRDefault="009B6E02" w:rsidP="009B6E02">
            <w:pPr>
              <w:jc w:val="both"/>
              <w:rPr>
                <w:sz w:val="20"/>
              </w:rPr>
            </w:pPr>
            <w:r w:rsidRPr="006D0EDD">
              <w:rPr>
                <w:sz w:val="20"/>
              </w:rPr>
              <w:t>500-09-026715-177</w:t>
            </w:r>
          </w:p>
          <w:p w:rsidR="009B6E02" w:rsidRPr="006D0EDD" w:rsidRDefault="009B6E02" w:rsidP="009B6E02">
            <w:pPr>
              <w:jc w:val="both"/>
              <w:rPr>
                <w:sz w:val="20"/>
              </w:rPr>
            </w:pPr>
            <w:hyperlink r:id="rId21" w:history="1">
              <w:r w:rsidRPr="006D0EDD">
                <w:rPr>
                  <w:rStyle w:val="Hyperlink"/>
                  <w:sz w:val="20"/>
                </w:rPr>
                <w:t>2019 QCCA 533</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Appel rejeté avec frais de justice.</w:t>
            </w: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30 avril 2019</w:t>
            </w:r>
          </w:p>
          <w:p w:rsidR="009B6E02" w:rsidRPr="006D0EDD" w:rsidRDefault="009B6E02" w:rsidP="009B6E02">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rPr>
            </w:pPr>
            <w:r w:rsidRPr="006D0EDD">
              <w:rPr>
                <w:sz w:val="20"/>
              </w:rPr>
              <w:t xml:space="preserve">Demande d’autorisation d’appel </w:t>
            </w:r>
            <w:proofErr w:type="spellStart"/>
            <w:r w:rsidRPr="006D0EDD">
              <w:rPr>
                <w:sz w:val="20"/>
              </w:rPr>
              <w:t>déposée</w:t>
            </w:r>
            <w:proofErr w:type="spellEnd"/>
          </w:p>
          <w:p w:rsidR="009B6E02" w:rsidRPr="006D0EDD" w:rsidRDefault="009B6E02" w:rsidP="009B6E02">
            <w:pPr>
              <w:jc w:val="both"/>
              <w:rPr>
                <w:sz w:val="20"/>
              </w:rPr>
            </w:pPr>
          </w:p>
        </w:tc>
      </w:tr>
    </w:tbl>
    <w:p w:rsidR="009B6E02" w:rsidRPr="006D0EDD" w:rsidRDefault="009B6E02" w:rsidP="009B6E02">
      <w:pPr>
        <w:jc w:val="both"/>
        <w:rPr>
          <w:sz w:val="20"/>
        </w:rPr>
      </w:pPr>
    </w:p>
    <w:p w:rsidR="009B6E02" w:rsidRPr="006D0EDD" w:rsidRDefault="009B6E02" w:rsidP="009B6E02">
      <w:pPr>
        <w:ind w:left="142" w:hanging="142"/>
        <w:jc w:val="both"/>
        <w:rPr>
          <w:sz w:val="20"/>
          <w:lang w:val="fr-CA"/>
        </w:rPr>
      </w:pPr>
      <w:r w:rsidRPr="006D0EDD">
        <w:rPr>
          <w:sz w:val="20"/>
        </w:rPr>
        <w:pict>
          <v:rect id="_x0000_i1030" style="width:2in;height:1pt" o:hrpct="0" o:hralign="center" o:hrstd="t" o:hrnoshade="t" o:hr="t" fillcolor="black [3213]" stroked="f"/>
        </w:pict>
      </w:r>
    </w:p>
    <w:p w:rsidR="009B6E02" w:rsidRPr="006D0EDD" w:rsidRDefault="009B6E02" w:rsidP="009B6E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38617</w:t>
            </w:r>
          </w:p>
        </w:tc>
        <w:tc>
          <w:tcPr>
            <w:tcW w:w="4457" w:type="pct"/>
            <w:gridSpan w:val="3"/>
          </w:tcPr>
          <w:p w:rsidR="009B6E02" w:rsidRPr="006D0EDD" w:rsidRDefault="009B6E02" w:rsidP="009B6E02">
            <w:pPr>
              <w:pStyle w:val="SCCLsocParty"/>
              <w:jc w:val="both"/>
              <w:rPr>
                <w:b/>
                <w:sz w:val="20"/>
                <w:szCs w:val="20"/>
                <w:lang w:val="en-US"/>
              </w:rPr>
            </w:pPr>
            <w:r w:rsidRPr="006D0EDD">
              <w:rPr>
                <w:b/>
                <w:sz w:val="20"/>
                <w:szCs w:val="20"/>
                <w:lang w:val="en-US"/>
              </w:rPr>
              <w:t>Lloyd Eugene Bailey v. Her Majesty the Queen</w:t>
            </w:r>
          </w:p>
          <w:p w:rsidR="009B6E02" w:rsidRPr="006D0EDD" w:rsidRDefault="009B6E02" w:rsidP="009B6E02">
            <w:pPr>
              <w:jc w:val="both"/>
              <w:rPr>
                <w:sz w:val="20"/>
              </w:rPr>
            </w:pPr>
            <w:r w:rsidRPr="006D0EDD">
              <w:rPr>
                <w:sz w:val="20"/>
              </w:rPr>
              <w:t>(N.S.) (Criminal) (By Leave)</w:t>
            </w:r>
          </w:p>
        </w:tc>
      </w:tr>
      <w:tr w:rsidR="009B6E02" w:rsidRPr="006D0EDD" w:rsidTr="009B6E02">
        <w:tc>
          <w:tcPr>
            <w:tcW w:w="5000" w:type="pct"/>
            <w:gridSpan w:val="4"/>
          </w:tcPr>
          <w:p w:rsidR="009B6E02" w:rsidRPr="006D0EDD" w:rsidRDefault="009B6E02" w:rsidP="009B6E02">
            <w:pPr>
              <w:pStyle w:val="SCCBanSummary"/>
              <w:rPr>
                <w:smallCaps w:val="0"/>
                <w:sz w:val="20"/>
                <w:szCs w:val="20"/>
              </w:rPr>
            </w:pPr>
            <w:proofErr w:type="gramStart"/>
            <w:r w:rsidRPr="006D0EDD">
              <w:rPr>
                <w:smallCaps w:val="0"/>
                <w:sz w:val="20"/>
                <w:szCs w:val="20"/>
              </w:rPr>
              <w:t xml:space="preserve">Criminal law — Charge to jury — Evidence — Admissibility — Whether justice erred by law not given proper charge to jury on evidence relied on concerning breach of young offender cautions and right to have counsel and parents present during strip search — Whether justice erred in law by not dismissing illegal evidence gained by both breach of trust and breach of human and civil rights of Canada </w:t>
            </w:r>
            <w:r w:rsidRPr="006D0EDD">
              <w:rPr>
                <w:i/>
                <w:smallCaps w:val="0"/>
                <w:sz w:val="20"/>
                <w:szCs w:val="20"/>
              </w:rPr>
              <w:t xml:space="preserve">Criminal Code </w:t>
            </w:r>
            <w:r w:rsidRPr="006D0EDD">
              <w:rPr>
                <w:smallCaps w:val="0"/>
                <w:sz w:val="20"/>
                <w:szCs w:val="20"/>
              </w:rPr>
              <w:t xml:space="preserve">under the </w:t>
            </w:r>
            <w:r w:rsidRPr="006D0EDD">
              <w:rPr>
                <w:i/>
                <w:smallCaps w:val="0"/>
                <w:sz w:val="20"/>
                <w:szCs w:val="20"/>
              </w:rPr>
              <w:t xml:space="preserve">Young Offenders Act </w:t>
            </w:r>
            <w:r w:rsidRPr="006D0EDD">
              <w:rPr>
                <w:smallCaps w:val="0"/>
                <w:sz w:val="20"/>
                <w:szCs w:val="20"/>
              </w:rPr>
              <w:t xml:space="preserve">revised in 1985 — Whether justice erred in law by allowing of adult record that was based on illegal and unjust practicing of both </w:t>
            </w:r>
            <w:r w:rsidRPr="006D0EDD">
              <w:rPr>
                <w:i/>
                <w:smallCaps w:val="0"/>
                <w:sz w:val="20"/>
                <w:szCs w:val="20"/>
              </w:rPr>
              <w:t>Young Offenders Act</w:t>
            </w:r>
            <w:r w:rsidRPr="006D0EDD">
              <w:rPr>
                <w:smallCaps w:val="0"/>
                <w:sz w:val="20"/>
                <w:szCs w:val="20"/>
              </w:rPr>
              <w:t xml:space="preserve"> and </w:t>
            </w:r>
            <w:r w:rsidRPr="006D0EDD">
              <w:rPr>
                <w:i/>
                <w:smallCaps w:val="0"/>
                <w:sz w:val="20"/>
                <w:szCs w:val="20"/>
              </w:rPr>
              <w:t xml:space="preserve">Criminal Code </w:t>
            </w:r>
            <w:r w:rsidRPr="006D0EDD">
              <w:rPr>
                <w:smallCaps w:val="0"/>
                <w:sz w:val="20"/>
                <w:szCs w:val="20"/>
              </w:rPr>
              <w:t>standards — Whether justice erred in law by accepting tainted evidence that was destroyed by rotten cucumber.</w:t>
            </w:r>
            <w:proofErr w:type="gramEnd"/>
          </w:p>
        </w:tc>
      </w:tr>
      <w:tr w:rsidR="009B6E02" w:rsidRPr="006D0EDD" w:rsidTr="009B6E02">
        <w:tc>
          <w:tcPr>
            <w:tcW w:w="5000" w:type="pct"/>
            <w:gridSpan w:val="4"/>
          </w:tcPr>
          <w:p w:rsidR="009B6E02" w:rsidRPr="006D0EDD" w:rsidRDefault="009B6E02" w:rsidP="009B6E02">
            <w:pPr>
              <w:jc w:val="both"/>
              <w:rPr>
                <w:sz w:val="20"/>
              </w:rPr>
            </w:pPr>
          </w:p>
        </w:tc>
      </w:tr>
      <w:tr w:rsidR="009B6E02" w:rsidRPr="006D0EDD" w:rsidTr="009B6E02">
        <w:tc>
          <w:tcPr>
            <w:tcW w:w="5000" w:type="pct"/>
            <w:gridSpan w:val="4"/>
          </w:tcPr>
          <w:p w:rsidR="009B6E02" w:rsidRPr="006D0EDD" w:rsidRDefault="009B6E02" w:rsidP="009B6E02">
            <w:pPr>
              <w:jc w:val="both"/>
              <w:rPr>
                <w:sz w:val="20"/>
              </w:rPr>
            </w:pPr>
            <w:r w:rsidRPr="006D0EDD">
              <w:rPr>
                <w:sz w:val="20"/>
              </w:rPr>
              <w:t>In 2010, a jury found the applicant Mr. Bailey guilty on eight counts of sex-related offences. Mr. Bailey plead guilty to a ninth count. The respondent Crown sought to have Mr. Bailey declared a dangerous offender.</w:t>
            </w:r>
          </w:p>
          <w:p w:rsidR="009B6E02" w:rsidRPr="006D0EDD" w:rsidRDefault="009B6E02" w:rsidP="009B6E02">
            <w:pPr>
              <w:jc w:val="both"/>
              <w:rPr>
                <w:sz w:val="20"/>
              </w:rPr>
            </w:pPr>
          </w:p>
          <w:p w:rsidR="009B6E02" w:rsidRPr="006D0EDD" w:rsidRDefault="009B6E02" w:rsidP="009B6E02">
            <w:pPr>
              <w:jc w:val="both"/>
              <w:rPr>
                <w:sz w:val="20"/>
              </w:rPr>
            </w:pPr>
            <w:r w:rsidRPr="006D0EDD">
              <w:rPr>
                <w:sz w:val="20"/>
              </w:rPr>
              <w:t>The Superior Court found that Mr. Bailey met the requirements to be designated a dangerous offender. Given this determination, the court sentenced Mr. Bailey to indeterminate sentences in connection with seven of the nine counts. Having found that the trial judge made no reversible error, the Court of Appeal unanimously dismissed Mr. Bailey’s appeal against his convictions and sentences.</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June 20, 2014</w:t>
            </w:r>
          </w:p>
          <w:p w:rsidR="009B6E02" w:rsidRPr="006D0EDD" w:rsidRDefault="009B6E02" w:rsidP="009B6E02">
            <w:pPr>
              <w:jc w:val="both"/>
              <w:rPr>
                <w:sz w:val="20"/>
              </w:rPr>
            </w:pPr>
            <w:r w:rsidRPr="006D0EDD">
              <w:rPr>
                <w:sz w:val="20"/>
              </w:rPr>
              <w:t>Supreme Court of Nova Scotia, Trial Division</w:t>
            </w:r>
          </w:p>
          <w:p w:rsidR="009B6E02" w:rsidRPr="006D0EDD" w:rsidRDefault="009B6E02" w:rsidP="009B6E02">
            <w:pPr>
              <w:jc w:val="both"/>
              <w:rPr>
                <w:sz w:val="20"/>
              </w:rPr>
            </w:pPr>
            <w:r w:rsidRPr="006D0EDD">
              <w:rPr>
                <w:sz w:val="20"/>
              </w:rPr>
              <w:t>(McDougall J.)</w:t>
            </w:r>
          </w:p>
          <w:p w:rsidR="009B6E02" w:rsidRPr="006D0EDD" w:rsidRDefault="009B6E02" w:rsidP="009B6E02">
            <w:pPr>
              <w:jc w:val="both"/>
              <w:rPr>
                <w:sz w:val="20"/>
              </w:rPr>
            </w:pPr>
            <w:hyperlink r:id="rId22" w:history="1">
              <w:r w:rsidRPr="006D0EDD">
                <w:rPr>
                  <w:rStyle w:val="Hyperlink"/>
                  <w:sz w:val="20"/>
                </w:rPr>
                <w:t>2014 NSSC 244</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 xml:space="preserve">Applicant declared a dangerous offender and sentenced on nine counts </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June 6, 2017</w:t>
            </w:r>
          </w:p>
          <w:p w:rsidR="009B6E02" w:rsidRPr="006D0EDD" w:rsidRDefault="009B6E02" w:rsidP="009B6E02">
            <w:pPr>
              <w:jc w:val="both"/>
              <w:rPr>
                <w:sz w:val="20"/>
              </w:rPr>
            </w:pPr>
            <w:r w:rsidRPr="006D0EDD">
              <w:rPr>
                <w:sz w:val="20"/>
              </w:rPr>
              <w:t>Nova Scotia Court of Appeal</w:t>
            </w:r>
          </w:p>
          <w:p w:rsidR="009B6E02" w:rsidRPr="006D0EDD" w:rsidRDefault="009B6E02" w:rsidP="009B6E02">
            <w:pPr>
              <w:jc w:val="both"/>
              <w:rPr>
                <w:sz w:val="20"/>
              </w:rPr>
            </w:pPr>
            <w:r w:rsidRPr="006D0EDD">
              <w:rPr>
                <w:sz w:val="20"/>
              </w:rPr>
              <w:t xml:space="preserve">(Saunders, Hamilton and </w:t>
            </w:r>
            <w:proofErr w:type="spellStart"/>
            <w:r w:rsidRPr="006D0EDD">
              <w:rPr>
                <w:sz w:val="20"/>
              </w:rPr>
              <w:t>Scanlan</w:t>
            </w:r>
            <w:proofErr w:type="spellEnd"/>
            <w:r w:rsidRPr="006D0EDD">
              <w:rPr>
                <w:sz w:val="20"/>
              </w:rPr>
              <w:t xml:space="preserve"> JJ.A.)</w:t>
            </w:r>
          </w:p>
          <w:p w:rsidR="009B6E02" w:rsidRPr="006D0EDD" w:rsidRDefault="009B6E02" w:rsidP="009B6E02">
            <w:pPr>
              <w:jc w:val="both"/>
              <w:rPr>
                <w:sz w:val="20"/>
              </w:rPr>
            </w:pPr>
            <w:hyperlink r:id="rId23" w:history="1">
              <w:r w:rsidRPr="006D0EDD">
                <w:rPr>
                  <w:rStyle w:val="Hyperlink"/>
                  <w:sz w:val="20"/>
                </w:rPr>
                <w:t>2017 NSCA 48</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Application to introduce fresh evidence denied; appeals against conviction, designation as dangerous offender, and indeterminate sentences dismissed</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February 28, 2018</w:t>
            </w:r>
          </w:p>
          <w:p w:rsidR="009B6E02" w:rsidRPr="006D0EDD" w:rsidRDefault="009B6E02" w:rsidP="009B6E02">
            <w:pPr>
              <w:jc w:val="both"/>
              <w:rPr>
                <w:sz w:val="20"/>
              </w:rPr>
            </w:pPr>
            <w:r w:rsidRPr="006D0EDD">
              <w:rPr>
                <w:sz w:val="20"/>
              </w:rPr>
              <w:t>Supreme Court of Canada</w:t>
            </w: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Motion for an extension of time to serve and file the application for leave to appeal and</w:t>
            </w:r>
          </w:p>
          <w:p w:rsidR="009B6E02" w:rsidRPr="006D0EDD" w:rsidRDefault="009B6E02" w:rsidP="009B6E02">
            <w:pPr>
              <w:jc w:val="both"/>
              <w:rPr>
                <w:sz w:val="20"/>
              </w:rPr>
            </w:pPr>
            <w:r w:rsidRPr="006D0EDD">
              <w:rPr>
                <w:sz w:val="20"/>
              </w:rPr>
              <w:t>application for leave to appeal filed</w:t>
            </w:r>
          </w:p>
        </w:tc>
      </w:tr>
    </w:tbl>
    <w:p w:rsidR="009B6E02" w:rsidRPr="006D0EDD" w:rsidRDefault="009B6E02" w:rsidP="009B6E02">
      <w:pPr>
        <w:jc w:val="both"/>
        <w:rPr>
          <w:sz w:val="20"/>
        </w:rPr>
      </w:pPr>
    </w:p>
    <w:p w:rsidR="009B6E02" w:rsidRPr="006D0EDD" w:rsidRDefault="009B6E02" w:rsidP="009B6E02">
      <w:pPr>
        <w:jc w:val="both"/>
        <w:rPr>
          <w:sz w:val="20"/>
        </w:rPr>
      </w:pPr>
      <w:r w:rsidRPr="006D0EDD">
        <w:rPr>
          <w:sz w:val="20"/>
        </w:rPr>
        <w:pict>
          <v:rect id="_x0000_i1031" style="width:2in;height:1pt" o:hrpct="0" o:hralign="center" o:hrstd="t" o:hrnoshade="t" o:hr="t" fillcolor="black [3213]" stroked="f"/>
        </w:pict>
      </w:r>
    </w:p>
    <w:p w:rsidR="009B6E02" w:rsidRPr="006D0EDD" w:rsidRDefault="009B6E02" w:rsidP="009B6E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fr-CA"/>
              </w:rPr>
            </w:pPr>
            <w:r w:rsidRPr="006D0EDD">
              <w:rPr>
                <w:rStyle w:val="SCCFileNumberChar"/>
                <w:sz w:val="20"/>
                <w:szCs w:val="20"/>
                <w:lang w:val="fr-CA"/>
              </w:rPr>
              <w:t>38617</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Lloyd Eugene Bailey c. Sa Majesté la Reine</w:t>
            </w:r>
          </w:p>
          <w:p w:rsidR="009B6E02" w:rsidRPr="006D0EDD" w:rsidRDefault="009B6E02" w:rsidP="009B6E02">
            <w:pPr>
              <w:jc w:val="both"/>
              <w:rPr>
                <w:sz w:val="20"/>
              </w:rPr>
            </w:pPr>
            <w:r w:rsidRPr="006D0EDD">
              <w:rPr>
                <w:sz w:val="20"/>
              </w:rPr>
              <w:t>(N.S.) (Criminal) (By Leave)</w:t>
            </w:r>
          </w:p>
        </w:tc>
      </w:tr>
      <w:tr w:rsidR="009B6E02" w:rsidRPr="006D0EDD" w:rsidTr="009B6E02">
        <w:tc>
          <w:tcPr>
            <w:tcW w:w="5000" w:type="pct"/>
            <w:gridSpan w:val="4"/>
          </w:tcPr>
          <w:p w:rsidR="009B6E02" w:rsidRPr="006D0EDD" w:rsidRDefault="009B6E02" w:rsidP="009B6E02">
            <w:pPr>
              <w:pStyle w:val="SCCBanSummary"/>
              <w:rPr>
                <w:smallCaps w:val="0"/>
                <w:sz w:val="20"/>
                <w:szCs w:val="20"/>
                <w:lang w:val="fr-CA"/>
              </w:rPr>
            </w:pPr>
            <w:r w:rsidRPr="006D0EDD">
              <w:rPr>
                <w:smallCaps w:val="0"/>
                <w:sz w:val="20"/>
                <w:szCs w:val="20"/>
                <w:lang w:val="fr-CA"/>
              </w:rPr>
              <w:t>Droit criminel — Exposé au jury — Preuve — Admissibilité — Le juge a</w:t>
            </w:r>
            <w:r w:rsidRPr="006D0EDD">
              <w:rPr>
                <w:smallCaps w:val="0"/>
                <w:sz w:val="20"/>
                <w:szCs w:val="20"/>
                <w:lang w:val="fr-CA"/>
              </w:rPr>
              <w:noBreakHyphen/>
              <w:t>t</w:t>
            </w:r>
            <w:r w:rsidRPr="006D0EDD">
              <w:rPr>
                <w:smallCaps w:val="0"/>
                <w:sz w:val="20"/>
                <w:szCs w:val="20"/>
                <w:lang w:val="fr-CA"/>
              </w:rPr>
              <w:noBreakHyphen/>
              <w:t>il commis une erreur de droit en ne donnant pas au jury un exposé adéquat concernant la preuve invoquée relativement aux mises en garde destinées aux jeunes contrevenants et au droit d’avoir un avocat et les parents présents lors de la fouille à nu? — Le juge a</w:t>
            </w:r>
            <w:r w:rsidRPr="006D0EDD">
              <w:rPr>
                <w:smallCaps w:val="0"/>
                <w:sz w:val="20"/>
                <w:szCs w:val="20"/>
                <w:lang w:val="fr-CA"/>
              </w:rPr>
              <w:noBreakHyphen/>
              <w:t>t</w:t>
            </w:r>
            <w:r w:rsidRPr="006D0EDD">
              <w:rPr>
                <w:smallCaps w:val="0"/>
                <w:sz w:val="20"/>
                <w:szCs w:val="20"/>
                <w:lang w:val="fr-CA"/>
              </w:rPr>
              <w:noBreakHyphen/>
              <w:t xml:space="preserve">il commis une erreur de droit en ne rejetant pas la preuve illégale obtenue à la fois à la suite d’un abus de confiance et d’une violation des droits de la personne et des droits civils prévus dans le </w:t>
            </w:r>
            <w:r w:rsidRPr="006D0EDD">
              <w:rPr>
                <w:i/>
                <w:smallCaps w:val="0"/>
                <w:sz w:val="20"/>
                <w:szCs w:val="20"/>
                <w:lang w:val="fr-CA"/>
              </w:rPr>
              <w:t>Code criminel</w:t>
            </w:r>
            <w:r w:rsidRPr="006D0EDD">
              <w:rPr>
                <w:smallCaps w:val="0"/>
                <w:sz w:val="20"/>
                <w:szCs w:val="20"/>
                <w:lang w:val="fr-CA"/>
              </w:rPr>
              <w:t xml:space="preserve"> du Canada aux termes de la </w:t>
            </w:r>
            <w:r w:rsidRPr="006D0EDD">
              <w:rPr>
                <w:i/>
                <w:smallCaps w:val="0"/>
                <w:sz w:val="20"/>
                <w:szCs w:val="20"/>
                <w:lang w:val="fr-CA"/>
              </w:rPr>
              <w:t>Loi sur les jeunes contrevenants</w:t>
            </w:r>
            <w:r w:rsidRPr="006D0EDD">
              <w:rPr>
                <w:smallCaps w:val="0"/>
                <w:sz w:val="20"/>
                <w:szCs w:val="20"/>
                <w:lang w:val="fr-CA"/>
              </w:rPr>
              <w:t xml:space="preserve"> modifiée en 1985? — Le juge a</w:t>
            </w:r>
            <w:r w:rsidRPr="006D0EDD">
              <w:rPr>
                <w:smallCaps w:val="0"/>
                <w:sz w:val="20"/>
                <w:szCs w:val="20"/>
                <w:lang w:val="fr-CA"/>
              </w:rPr>
              <w:noBreakHyphen/>
              <w:t>t</w:t>
            </w:r>
            <w:r w:rsidRPr="006D0EDD">
              <w:rPr>
                <w:smallCaps w:val="0"/>
                <w:sz w:val="20"/>
                <w:szCs w:val="20"/>
                <w:lang w:val="fr-CA"/>
              </w:rPr>
              <w:noBreakHyphen/>
              <w:t xml:space="preserve">il commis une erreur de droit en admettant un casier judiciaire d’adulte fondé sur une application illégale et injuste des normes découlant de la </w:t>
            </w:r>
            <w:r w:rsidRPr="006D0EDD">
              <w:rPr>
                <w:i/>
                <w:smallCaps w:val="0"/>
                <w:sz w:val="20"/>
                <w:szCs w:val="20"/>
                <w:lang w:val="fr-CA"/>
              </w:rPr>
              <w:t>Loi sur les jeunes contrevenants</w:t>
            </w:r>
            <w:r w:rsidRPr="006D0EDD">
              <w:rPr>
                <w:smallCaps w:val="0"/>
                <w:sz w:val="20"/>
                <w:szCs w:val="20"/>
                <w:lang w:val="fr-CA"/>
              </w:rPr>
              <w:t xml:space="preserve"> et du </w:t>
            </w:r>
            <w:r w:rsidRPr="006D0EDD">
              <w:rPr>
                <w:i/>
                <w:smallCaps w:val="0"/>
                <w:sz w:val="20"/>
                <w:szCs w:val="20"/>
                <w:lang w:val="fr-CA"/>
              </w:rPr>
              <w:t>Code criminel</w:t>
            </w:r>
            <w:r w:rsidRPr="006D0EDD">
              <w:rPr>
                <w:smallCaps w:val="0"/>
                <w:sz w:val="20"/>
                <w:szCs w:val="20"/>
                <w:lang w:val="fr-CA"/>
              </w:rPr>
              <w:t>? — Le juge a</w:t>
            </w:r>
            <w:r w:rsidRPr="006D0EDD">
              <w:rPr>
                <w:smallCaps w:val="0"/>
                <w:sz w:val="20"/>
                <w:szCs w:val="20"/>
                <w:lang w:val="fr-CA"/>
              </w:rPr>
              <w:noBreakHyphen/>
              <w:t>t</w:t>
            </w:r>
            <w:r w:rsidRPr="006D0EDD">
              <w:rPr>
                <w:smallCaps w:val="0"/>
                <w:sz w:val="20"/>
                <w:szCs w:val="20"/>
                <w:lang w:val="fr-CA"/>
              </w:rPr>
              <w:noBreakHyphen/>
              <w:t>il commis une erreur de droit en acceptant un élément de preuve vicié qui a été détruit par le fait que le concombre sur lequel se trouvait la preuve a pourri?</w:t>
            </w:r>
          </w:p>
          <w:p w:rsidR="009B6E02" w:rsidRPr="006D0EDD" w:rsidRDefault="009B6E02" w:rsidP="009B6E02">
            <w:pPr>
              <w:pStyle w:val="SCCBanSummary"/>
              <w:rPr>
                <w:smallCaps w:val="0"/>
                <w:sz w:val="20"/>
                <w:szCs w:val="20"/>
                <w:lang w:val="fr-CA"/>
              </w:rPr>
            </w:pP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En 2010, un jury a déclaré le demandeur M. Bailey coupable de huit chefs d’accusation pour des infractions d’ordre sexuel. M. Bailey a plaidé coupable à un neuvième chef. La Couronne, qui avait qualité d’intimée, a cherché à faire déclarer M. Bailey délinquant dangereux.</w:t>
            </w:r>
          </w:p>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lang w:val="fr-CA"/>
              </w:rPr>
              <w:t>La Cour supérieure a conclu que M. Bailey respectait les critères pour être déclaré délinquant dangereux. Compte tenu de cette conclusion, la cour a condamné M. Bailey à des peines indéterminées relativement à sept des neuf chefs. Après avoir conclu que le juge du procès n’avait commis aucune erreur donnant lieu à révision, les juges de la Cour d’appel ont rejeté à l’unanimité l’appel de M. Bailey à l’égard de ses déclarations de culpabilité et peines.</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20 juin 2014</w:t>
            </w:r>
          </w:p>
          <w:p w:rsidR="009B6E02" w:rsidRPr="006D0EDD" w:rsidRDefault="009B6E02" w:rsidP="009B6E02">
            <w:pPr>
              <w:jc w:val="both"/>
              <w:rPr>
                <w:sz w:val="20"/>
                <w:lang w:val="fr-CA"/>
              </w:rPr>
            </w:pPr>
            <w:r w:rsidRPr="006D0EDD">
              <w:rPr>
                <w:sz w:val="20"/>
                <w:lang w:val="fr-CA"/>
              </w:rPr>
              <w:t>Cour suprême de la Nouvelle</w:t>
            </w:r>
            <w:r w:rsidRPr="006D0EDD">
              <w:rPr>
                <w:sz w:val="20"/>
                <w:lang w:val="fr-CA"/>
              </w:rPr>
              <w:noBreakHyphen/>
              <w:t>Écosse, division de première instance</w:t>
            </w:r>
          </w:p>
          <w:p w:rsidR="009B6E02" w:rsidRPr="006D0EDD" w:rsidRDefault="009B6E02" w:rsidP="009B6E02">
            <w:pPr>
              <w:jc w:val="both"/>
              <w:rPr>
                <w:sz w:val="20"/>
                <w:lang w:val="fr-CA"/>
              </w:rPr>
            </w:pPr>
            <w:r w:rsidRPr="006D0EDD">
              <w:rPr>
                <w:sz w:val="20"/>
                <w:lang w:val="fr-CA"/>
              </w:rPr>
              <w:t>(Juge McDougall)</w:t>
            </w:r>
          </w:p>
          <w:p w:rsidR="009B6E02" w:rsidRPr="006D0EDD" w:rsidRDefault="009B6E02" w:rsidP="009B6E02">
            <w:pPr>
              <w:jc w:val="both"/>
              <w:rPr>
                <w:sz w:val="20"/>
                <w:lang w:val="fr-CA"/>
              </w:rPr>
            </w:pPr>
            <w:hyperlink r:id="rId24" w:history="1">
              <w:r w:rsidRPr="006D0EDD">
                <w:rPr>
                  <w:rStyle w:val="Hyperlink"/>
                  <w:sz w:val="20"/>
                  <w:lang w:val="fr-CA"/>
                </w:rPr>
                <w:t>2014 NSSC 244</w:t>
              </w:r>
            </w:hyperlink>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Déclaration de délinquant dangereux du demandeur et condamnation à l’égard de neuf chefs</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6 juin 2017</w:t>
            </w:r>
          </w:p>
          <w:p w:rsidR="009B6E02" w:rsidRPr="006D0EDD" w:rsidRDefault="009B6E02" w:rsidP="009B6E02">
            <w:pPr>
              <w:jc w:val="both"/>
              <w:rPr>
                <w:sz w:val="20"/>
                <w:lang w:val="fr-CA"/>
              </w:rPr>
            </w:pPr>
            <w:r w:rsidRPr="006D0EDD">
              <w:rPr>
                <w:sz w:val="20"/>
                <w:lang w:val="fr-CA"/>
              </w:rPr>
              <w:t xml:space="preserve">Cour d’appel de la Nouvelle-Écosse </w:t>
            </w:r>
          </w:p>
          <w:p w:rsidR="009B6E02" w:rsidRPr="006D0EDD" w:rsidRDefault="009B6E02" w:rsidP="009B6E02">
            <w:pPr>
              <w:jc w:val="both"/>
              <w:rPr>
                <w:sz w:val="20"/>
                <w:lang w:val="fr-CA"/>
              </w:rPr>
            </w:pPr>
            <w:r w:rsidRPr="006D0EDD">
              <w:rPr>
                <w:sz w:val="20"/>
                <w:lang w:val="fr-CA"/>
              </w:rPr>
              <w:t xml:space="preserve">(Juges Saunders, Hamilton et </w:t>
            </w:r>
            <w:proofErr w:type="spellStart"/>
            <w:r w:rsidRPr="006D0EDD">
              <w:rPr>
                <w:sz w:val="20"/>
                <w:lang w:val="fr-CA"/>
              </w:rPr>
              <w:t>Scanlan</w:t>
            </w:r>
            <w:proofErr w:type="spellEnd"/>
            <w:r w:rsidRPr="006D0EDD">
              <w:rPr>
                <w:sz w:val="20"/>
                <w:lang w:val="fr-CA"/>
              </w:rPr>
              <w:t>)</w:t>
            </w:r>
          </w:p>
          <w:p w:rsidR="009B6E02" w:rsidRPr="006D0EDD" w:rsidRDefault="009B6E02" w:rsidP="009B6E02">
            <w:pPr>
              <w:jc w:val="both"/>
              <w:rPr>
                <w:sz w:val="20"/>
                <w:lang w:val="fr-CA"/>
              </w:rPr>
            </w:pPr>
            <w:hyperlink r:id="rId25" w:history="1">
              <w:r w:rsidRPr="006D0EDD">
                <w:rPr>
                  <w:rStyle w:val="Hyperlink"/>
                  <w:sz w:val="20"/>
                  <w:lang w:val="fr-CA"/>
                </w:rPr>
                <w:t>2017 NSCA 48</w:t>
              </w:r>
            </w:hyperlink>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 xml:space="preserve">Rejet de la requête en vue de présenter un nouvel élément de preuve; rejet des appels à l’égard de la déclaration de culpabilité, de la déclaration de délinquant dangereux et des peines indéterminées </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28 février 2018</w:t>
            </w:r>
          </w:p>
          <w:p w:rsidR="009B6E02" w:rsidRPr="006D0EDD" w:rsidRDefault="009B6E02" w:rsidP="009B6E02">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Requête en prorogation de délai pour la signification et le dépôt de la demande d’autorisation d’appel et dépôt de la demande d’autorisation d’appel</w:t>
            </w:r>
          </w:p>
        </w:tc>
      </w:tr>
    </w:tbl>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rPr>
        <w:pict>
          <v:rect id="_x0000_i1032" style="width:2in;height:1pt" o:hrpct="0" o:hralign="center" o:hrstd="t" o:hrnoshade="t" o:hr="t" fillcolor="black [3213]" stroked="f"/>
        </w:pict>
      </w:r>
    </w:p>
    <w:p w:rsidR="009B6E02" w:rsidRPr="006D0EDD" w:rsidRDefault="009B6E02" w:rsidP="009B6E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en-CA"/>
              </w:rPr>
            </w:pPr>
            <w:r w:rsidRPr="006D0EDD">
              <w:rPr>
                <w:rStyle w:val="SCCFileNumberChar"/>
                <w:sz w:val="20"/>
                <w:szCs w:val="20"/>
              </w:rPr>
              <w:t>38623</w:t>
            </w:r>
          </w:p>
        </w:tc>
        <w:tc>
          <w:tcPr>
            <w:tcW w:w="4457" w:type="pct"/>
            <w:gridSpan w:val="3"/>
          </w:tcPr>
          <w:p w:rsidR="009B6E02" w:rsidRPr="006D0EDD" w:rsidRDefault="009B6E02" w:rsidP="009B6E02">
            <w:pPr>
              <w:pStyle w:val="SCCLsocParty"/>
              <w:jc w:val="both"/>
              <w:rPr>
                <w:b/>
                <w:sz w:val="20"/>
                <w:szCs w:val="20"/>
                <w:lang w:val="en-CA"/>
              </w:rPr>
            </w:pPr>
            <w:r w:rsidRPr="006D0EDD">
              <w:rPr>
                <w:b/>
                <w:sz w:val="20"/>
                <w:szCs w:val="20"/>
                <w:lang w:val="en-CA"/>
              </w:rPr>
              <w:t>Éric Parent, Communauté métisse autochtone de la Gaspésie et du Bas St-Laurent v. Her Majesty the Queen in Right of Canada and her representatives, Crown of Canada, Director of Public Prosecutions of Canada, representing the Government of Canada, Attorney General of Quebec</w:t>
            </w:r>
          </w:p>
          <w:p w:rsidR="009B6E02" w:rsidRPr="006D0EDD" w:rsidRDefault="009B6E02" w:rsidP="009B6E02">
            <w:pPr>
              <w:jc w:val="both"/>
              <w:rPr>
                <w:sz w:val="20"/>
                <w:lang w:val="en-CA"/>
              </w:rPr>
            </w:pPr>
            <w:r w:rsidRPr="006D0EDD">
              <w:rPr>
                <w:sz w:val="20"/>
                <w:lang w:val="en-CA"/>
              </w:rPr>
              <w:t>(Que.) (Civil) (By Leave)</w:t>
            </w:r>
          </w:p>
        </w:tc>
      </w:tr>
      <w:tr w:rsidR="009B6E02" w:rsidRPr="006D0EDD" w:rsidTr="009B6E02">
        <w:tc>
          <w:tcPr>
            <w:tcW w:w="5000" w:type="pct"/>
            <w:gridSpan w:val="4"/>
          </w:tcPr>
          <w:p w:rsidR="009B6E02" w:rsidRPr="006D0EDD" w:rsidRDefault="009B6E02" w:rsidP="009B6E02">
            <w:pPr>
              <w:pStyle w:val="ListParagraph"/>
              <w:ind w:left="0"/>
              <w:jc w:val="both"/>
              <w:rPr>
                <w:sz w:val="20"/>
                <w:szCs w:val="20"/>
                <w:lang w:val="en-CA"/>
              </w:rPr>
            </w:pPr>
            <w:proofErr w:type="gramStart"/>
            <w:r w:rsidRPr="006D0EDD">
              <w:rPr>
                <w:sz w:val="20"/>
                <w:szCs w:val="20"/>
                <w:lang w:val="en-CA"/>
              </w:rPr>
              <w:t xml:space="preserve">Civil procedure — Costs — Interim costs — Notice of constitutional challenge based on alleged existence of aboriginal right to fish as defence to penal offence </w:t>
            </w:r>
            <w:r w:rsidRPr="006D0EDD">
              <w:rPr>
                <w:rFonts w:eastAsiaTheme="minorHAnsi" w:cstheme="minorBidi"/>
                <w:sz w:val="20"/>
                <w:szCs w:val="20"/>
                <w:lang w:val="en-CA"/>
              </w:rPr>
              <w:t xml:space="preserve">— Whether applicants are in position of completely or partially lacking sufficient financial means </w:t>
            </w:r>
            <w:r w:rsidRPr="006D0EDD">
              <w:rPr>
                <w:sz w:val="20"/>
                <w:szCs w:val="20"/>
                <w:lang w:val="en-CA"/>
              </w:rPr>
              <w:t xml:space="preserve">and realistic options to fund litigation, such that they are unable to proceed fully and adequately with </w:t>
            </w:r>
            <w:r w:rsidRPr="006D0EDD">
              <w:rPr>
                <w:sz w:val="20"/>
                <w:szCs w:val="20"/>
                <w:lang w:val="x-none"/>
              </w:rPr>
              <w:t xml:space="preserve">litigation if order </w:t>
            </w:r>
            <w:r w:rsidRPr="006D0EDD">
              <w:rPr>
                <w:sz w:val="20"/>
                <w:szCs w:val="20"/>
                <w:lang w:val="en-CA"/>
              </w:rPr>
              <w:t>awarding them interim costs is</w:t>
            </w:r>
            <w:r w:rsidRPr="006D0EDD">
              <w:rPr>
                <w:sz w:val="20"/>
                <w:szCs w:val="20"/>
                <w:lang w:val="x-none"/>
              </w:rPr>
              <w:t xml:space="preserve"> not</w:t>
            </w:r>
            <w:r w:rsidRPr="006D0EDD">
              <w:rPr>
                <w:sz w:val="20"/>
                <w:szCs w:val="20"/>
                <w:lang w:val="en-CA"/>
              </w:rPr>
              <w:t xml:space="preserve"> </w:t>
            </w:r>
            <w:r w:rsidRPr="006D0EDD">
              <w:rPr>
                <w:sz w:val="20"/>
                <w:szCs w:val="20"/>
                <w:lang w:val="x-none"/>
              </w:rPr>
              <w:t>made</w:t>
            </w:r>
            <w:r w:rsidRPr="006D0EDD">
              <w:rPr>
                <w:sz w:val="20"/>
                <w:szCs w:val="20"/>
                <w:lang w:val="en-CA"/>
              </w:rPr>
              <w:t xml:space="preserve">, and whether decisions of Court of Appeal and Superior Court on this question and this criterion must be set aside — Whether claim to be adjudicated is </w:t>
            </w:r>
            <w:r w:rsidRPr="006D0EDD">
              <w:rPr>
                <w:i/>
                <w:sz w:val="20"/>
                <w:szCs w:val="20"/>
                <w:lang w:val="en-CA"/>
              </w:rPr>
              <w:t>prima facie</w:t>
            </w:r>
            <w:r w:rsidRPr="006D0EDD">
              <w:rPr>
                <w:sz w:val="20"/>
                <w:szCs w:val="20"/>
                <w:lang w:val="en-CA"/>
              </w:rPr>
              <w:t xml:space="preserve"> meritorious, whether claim is of sufficient merit that </w:t>
            </w:r>
            <w:r w:rsidRPr="006D0EDD">
              <w:rPr>
                <w:sz w:val="20"/>
                <w:szCs w:val="20"/>
                <w:lang w:val="x-none"/>
              </w:rPr>
              <w:t>it is contrary to interests of</w:t>
            </w:r>
            <w:r w:rsidRPr="006D0EDD">
              <w:rPr>
                <w:sz w:val="20"/>
                <w:szCs w:val="20"/>
                <w:lang w:val="en-CA"/>
              </w:rPr>
              <w:t xml:space="preserve"> </w:t>
            </w:r>
            <w:r w:rsidRPr="006D0EDD">
              <w:rPr>
                <w:sz w:val="20"/>
                <w:szCs w:val="20"/>
                <w:lang w:val="x-none"/>
              </w:rPr>
              <w:t>justice for opportunity to pursue case to</w:t>
            </w:r>
            <w:r w:rsidRPr="006D0EDD">
              <w:rPr>
                <w:sz w:val="20"/>
                <w:szCs w:val="20"/>
                <w:lang w:val="en-CA"/>
              </w:rPr>
              <w:t xml:space="preserve"> </w:t>
            </w:r>
            <w:r w:rsidRPr="006D0EDD">
              <w:rPr>
                <w:sz w:val="20"/>
                <w:szCs w:val="20"/>
                <w:lang w:val="x-none"/>
              </w:rPr>
              <w:t xml:space="preserve">be forfeited just because </w:t>
            </w:r>
            <w:r w:rsidRPr="006D0EDD">
              <w:rPr>
                <w:sz w:val="20"/>
                <w:szCs w:val="20"/>
                <w:lang w:val="en-CA"/>
              </w:rPr>
              <w:t xml:space="preserve">applicants </w:t>
            </w:r>
            <w:r w:rsidRPr="006D0EDD">
              <w:rPr>
                <w:sz w:val="20"/>
                <w:szCs w:val="20"/>
                <w:lang w:val="x-none"/>
              </w:rPr>
              <w:t>lack financial</w:t>
            </w:r>
            <w:r w:rsidRPr="006D0EDD">
              <w:rPr>
                <w:sz w:val="20"/>
                <w:szCs w:val="20"/>
                <w:lang w:val="en-CA"/>
              </w:rPr>
              <w:t xml:space="preserve"> </w:t>
            </w:r>
            <w:r w:rsidRPr="006D0EDD">
              <w:rPr>
                <w:sz w:val="20"/>
                <w:szCs w:val="20"/>
                <w:lang w:val="x-none"/>
              </w:rPr>
              <w:t>means</w:t>
            </w:r>
            <w:r w:rsidRPr="006D0EDD">
              <w:rPr>
                <w:sz w:val="20"/>
                <w:szCs w:val="20"/>
                <w:lang w:val="en-CA"/>
              </w:rPr>
              <w:t xml:space="preserve">, and whether decision of Court of Québec, Penal Division, on this aspect and this criterion is </w:t>
            </w:r>
            <w:r w:rsidRPr="006D0EDD">
              <w:rPr>
                <w:i/>
                <w:sz w:val="20"/>
                <w:szCs w:val="20"/>
                <w:lang w:val="en-CA"/>
              </w:rPr>
              <w:t>res judicata</w:t>
            </w:r>
            <w:r w:rsidRPr="006D0EDD">
              <w:rPr>
                <w:sz w:val="20"/>
                <w:szCs w:val="20"/>
                <w:lang w:val="en-CA"/>
              </w:rPr>
              <w:t xml:space="preserve"> in favour of applicants — On third criterion for eligibility for interim costs, whether question has already been resolved, whether it is of public importance, whether it transcends individual interests of particular litigants, whether issues will be addressed in other cases and whether Penal Division is appropriate or most appropriate forum; in short, whether applicants meet this third criterion — Whether applicants have rights and recourses of kind provided for in arts. </w:t>
            </w:r>
            <w:proofErr w:type="gramEnd"/>
            <w:r w:rsidRPr="006D0EDD">
              <w:rPr>
                <w:sz w:val="20"/>
                <w:szCs w:val="20"/>
                <w:lang w:val="en-CA"/>
              </w:rPr>
              <w:t xml:space="preserve">1284, 1290 to 1292, 324 and 2138 of </w:t>
            </w:r>
            <w:r w:rsidRPr="006D0EDD">
              <w:rPr>
                <w:i/>
                <w:sz w:val="20"/>
                <w:szCs w:val="20"/>
                <w:lang w:val="en-CA"/>
              </w:rPr>
              <w:t>Civil Code of Québec</w:t>
            </w:r>
            <w:r w:rsidRPr="006D0EDD">
              <w:rPr>
                <w:sz w:val="20"/>
                <w:szCs w:val="20"/>
                <w:lang w:val="en-CA"/>
              </w:rPr>
              <w:t xml:space="preserve"> against Crown of Canada, which is trustee, and whether their right as potential trust beneficiary constitutes sufficient and incontrovertible legal basis that on its own justifies their entitlement to interim costs in these particular circumstances.</w:t>
            </w:r>
          </w:p>
        </w:tc>
      </w:tr>
      <w:tr w:rsidR="009B6E02" w:rsidRPr="006D0EDD" w:rsidTr="009B6E02">
        <w:tc>
          <w:tcPr>
            <w:tcW w:w="5000" w:type="pct"/>
            <w:gridSpan w:val="4"/>
          </w:tcPr>
          <w:p w:rsidR="009B6E02" w:rsidRPr="006D0EDD" w:rsidRDefault="009B6E02" w:rsidP="009B6E02">
            <w:pPr>
              <w:jc w:val="both"/>
              <w:rPr>
                <w:sz w:val="20"/>
                <w:lang w:val="en-CA"/>
              </w:rPr>
            </w:pPr>
          </w:p>
        </w:tc>
      </w:tr>
      <w:tr w:rsidR="009B6E02" w:rsidRPr="006D0EDD" w:rsidTr="009B6E02">
        <w:tc>
          <w:tcPr>
            <w:tcW w:w="5000" w:type="pct"/>
            <w:gridSpan w:val="4"/>
          </w:tcPr>
          <w:p w:rsidR="009B6E02" w:rsidRPr="006D0EDD" w:rsidRDefault="009B6E02" w:rsidP="009B6E02">
            <w:pPr>
              <w:jc w:val="both"/>
              <w:rPr>
                <w:sz w:val="20"/>
                <w:lang w:val="en-CA"/>
              </w:rPr>
            </w:pPr>
            <w:r w:rsidRPr="006D0EDD">
              <w:rPr>
                <w:sz w:val="20"/>
                <w:lang w:val="en-CA"/>
              </w:rPr>
              <w:t xml:space="preserve">Penal proceedings </w:t>
            </w:r>
            <w:proofErr w:type="gramStart"/>
            <w:r w:rsidRPr="006D0EDD">
              <w:rPr>
                <w:sz w:val="20"/>
                <w:lang w:val="en-CA"/>
              </w:rPr>
              <w:t>were brought</w:t>
            </w:r>
            <w:proofErr w:type="gramEnd"/>
            <w:r w:rsidRPr="006D0EDD">
              <w:rPr>
                <w:sz w:val="20"/>
                <w:lang w:val="en-CA"/>
              </w:rPr>
              <w:t xml:space="preserve"> against the applicant Éric Parent for unlawfully catching or retaining, in any one day of fishing, a quantity of groundfish greater than the allowable limit. In those proceedings, Mr. Parent filed a notice stating his intention to argue that the provisions in question were inapplicable. He relied on his Métis status and the Métis aboriginal right to fish for food protected by s. 35 of the </w:t>
            </w:r>
            <w:r w:rsidRPr="006D0EDD">
              <w:rPr>
                <w:i/>
                <w:sz w:val="20"/>
                <w:lang w:val="en-CA"/>
              </w:rPr>
              <w:t>Constitution Act, 1982</w:t>
            </w:r>
            <w:r w:rsidRPr="006D0EDD">
              <w:rPr>
                <w:sz w:val="20"/>
                <w:lang w:val="en-CA"/>
              </w:rPr>
              <w:t>. Mr. Parent and the Communauté métisse autochtone de la Gaspésie et du Bas St</w:t>
            </w:r>
            <w:r w:rsidRPr="006D0EDD">
              <w:rPr>
                <w:sz w:val="20"/>
                <w:lang w:val="en-CA"/>
              </w:rPr>
              <w:noBreakHyphen/>
              <w:t>Laurent made a joint motion in the Superior Court seeking interim costs in order to assert the collective Métis aboriginal rights held by Mr. Parent.</w:t>
            </w:r>
          </w:p>
          <w:p w:rsidR="009B6E02" w:rsidRPr="006D0EDD" w:rsidRDefault="009B6E02" w:rsidP="009B6E02">
            <w:pPr>
              <w:jc w:val="both"/>
              <w:rPr>
                <w:sz w:val="20"/>
                <w:lang w:val="en-CA"/>
              </w:rPr>
            </w:pPr>
          </w:p>
          <w:p w:rsidR="009B6E02" w:rsidRPr="006D0EDD" w:rsidRDefault="009B6E02" w:rsidP="009B6E02">
            <w:pPr>
              <w:jc w:val="both"/>
              <w:rPr>
                <w:sz w:val="20"/>
                <w:lang w:val="en-CA"/>
              </w:rPr>
            </w:pPr>
            <w:r w:rsidRPr="006D0EDD">
              <w:rPr>
                <w:sz w:val="20"/>
                <w:lang w:val="en-CA"/>
              </w:rPr>
              <w:t xml:space="preserve">The Superior Court dismissed the motion, finding that the three criteria for awarding interim costs laid down in </w:t>
            </w:r>
            <w:r w:rsidRPr="006D0EDD">
              <w:rPr>
                <w:i/>
                <w:sz w:val="20"/>
                <w:lang w:val="en-CA"/>
              </w:rPr>
              <w:t>British Columbia (Minister of Forests) v. Okanagan Indian Band</w:t>
            </w:r>
            <w:r w:rsidRPr="006D0EDD">
              <w:rPr>
                <w:sz w:val="20"/>
                <w:lang w:val="en-CA"/>
              </w:rPr>
              <w:t>, 2003 SCC 71, [2003] 3 S.C.R. 371, were not met. The Court of Appeal dismissed the appeal on the ground that the applicants had not shown any error warranting its intervention.</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November 20, 2017</w:t>
            </w:r>
          </w:p>
          <w:p w:rsidR="009B6E02" w:rsidRPr="006D0EDD" w:rsidRDefault="009B6E02" w:rsidP="009B6E02">
            <w:pPr>
              <w:jc w:val="both"/>
              <w:rPr>
                <w:sz w:val="20"/>
                <w:lang w:val="en-CA"/>
              </w:rPr>
            </w:pPr>
            <w:r w:rsidRPr="006D0EDD">
              <w:rPr>
                <w:sz w:val="20"/>
                <w:lang w:val="en-CA"/>
              </w:rPr>
              <w:t>Quebec Superior Court</w:t>
            </w:r>
          </w:p>
          <w:p w:rsidR="009B6E02" w:rsidRPr="006D0EDD" w:rsidRDefault="009B6E02" w:rsidP="009B6E02">
            <w:pPr>
              <w:jc w:val="both"/>
              <w:rPr>
                <w:sz w:val="20"/>
                <w:lang w:val="en-CA"/>
              </w:rPr>
            </w:pPr>
            <w:r w:rsidRPr="006D0EDD">
              <w:rPr>
                <w:sz w:val="20"/>
                <w:lang w:val="en-CA"/>
              </w:rPr>
              <w:t>(Huot J.)</w:t>
            </w:r>
          </w:p>
          <w:p w:rsidR="009B6E02" w:rsidRPr="006D0EDD" w:rsidRDefault="009B6E02" w:rsidP="009B6E02">
            <w:pPr>
              <w:jc w:val="both"/>
              <w:rPr>
                <w:sz w:val="20"/>
                <w:lang w:val="en-CA"/>
              </w:rPr>
            </w:pPr>
            <w:hyperlink r:id="rId26" w:history="1">
              <w:r w:rsidRPr="006D0EDD">
                <w:rPr>
                  <w:rStyle w:val="Hyperlink"/>
                  <w:sz w:val="20"/>
                  <w:lang w:val="en-CA"/>
                </w:rPr>
                <w:t>2017 QCCS 6292</w:t>
              </w:r>
            </w:hyperlink>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Motion for interim costs and safeguard order dismissed</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March 15, 2019</w:t>
            </w:r>
          </w:p>
          <w:p w:rsidR="009B6E02" w:rsidRPr="006D0EDD" w:rsidRDefault="009B6E02" w:rsidP="009B6E02">
            <w:pPr>
              <w:jc w:val="both"/>
              <w:rPr>
                <w:sz w:val="20"/>
                <w:lang w:val="en-CA"/>
              </w:rPr>
            </w:pPr>
            <w:r w:rsidRPr="006D0EDD">
              <w:rPr>
                <w:sz w:val="20"/>
                <w:lang w:val="en-CA"/>
              </w:rPr>
              <w:t>Quebec Court of Appeal (Québec)</w:t>
            </w:r>
          </w:p>
          <w:p w:rsidR="009B6E02" w:rsidRPr="006D0EDD" w:rsidRDefault="009B6E02" w:rsidP="009B6E02">
            <w:pPr>
              <w:jc w:val="both"/>
              <w:rPr>
                <w:sz w:val="20"/>
                <w:lang w:val="fr-CA"/>
              </w:rPr>
            </w:pPr>
            <w:r w:rsidRPr="006D0EDD">
              <w:rPr>
                <w:sz w:val="20"/>
                <w:lang w:val="fr-CA"/>
              </w:rPr>
              <w:t xml:space="preserve">(Roy, Gagné and </w:t>
            </w:r>
            <w:proofErr w:type="spellStart"/>
            <w:r w:rsidRPr="006D0EDD">
              <w:rPr>
                <w:sz w:val="20"/>
                <w:lang w:val="fr-CA"/>
              </w:rPr>
              <w:t>Sansfaçon</w:t>
            </w:r>
            <w:proofErr w:type="spellEnd"/>
            <w:r w:rsidRPr="006D0EDD">
              <w:rPr>
                <w:sz w:val="20"/>
                <w:lang w:val="fr-CA"/>
              </w:rPr>
              <w:t xml:space="preserve"> JJ.A.)</w:t>
            </w:r>
          </w:p>
          <w:p w:rsidR="009B6E02" w:rsidRPr="006D0EDD" w:rsidRDefault="009B6E02" w:rsidP="009B6E02">
            <w:pPr>
              <w:jc w:val="both"/>
              <w:rPr>
                <w:sz w:val="20"/>
                <w:lang w:val="en-CA"/>
              </w:rPr>
            </w:pPr>
            <w:hyperlink r:id="rId27" w:history="1">
              <w:r w:rsidRPr="006D0EDD">
                <w:rPr>
                  <w:rStyle w:val="Hyperlink"/>
                  <w:sz w:val="20"/>
                  <w:lang w:val="en-CA"/>
                </w:rPr>
                <w:t>2019 QCCA 442</w:t>
              </w:r>
            </w:hyperlink>
            <w:r w:rsidRPr="006D0EDD">
              <w:rPr>
                <w:sz w:val="20"/>
                <w:lang w:val="en-CA"/>
              </w:rPr>
              <w:t xml:space="preserve"> (200</w:t>
            </w:r>
            <w:r w:rsidRPr="006D0EDD">
              <w:rPr>
                <w:sz w:val="20"/>
                <w:lang w:val="en-CA"/>
              </w:rPr>
              <w:noBreakHyphen/>
              <w:t>09</w:t>
            </w:r>
            <w:r w:rsidRPr="006D0EDD">
              <w:rPr>
                <w:sz w:val="20"/>
                <w:lang w:val="en-CA"/>
              </w:rPr>
              <w:noBreakHyphen/>
              <w:t>009666</w:t>
            </w:r>
            <w:r w:rsidRPr="006D0EDD">
              <w:rPr>
                <w:sz w:val="20"/>
                <w:lang w:val="en-CA"/>
              </w:rPr>
              <w:noBreakHyphen/>
              <w:t>170)</w:t>
            </w:r>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Motion for authorization to present new evidence dismissed; appeal dismissed</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May 10, 2019</w:t>
            </w:r>
          </w:p>
          <w:p w:rsidR="009B6E02" w:rsidRPr="006D0EDD" w:rsidRDefault="009B6E02" w:rsidP="009B6E02">
            <w:pPr>
              <w:jc w:val="both"/>
              <w:rPr>
                <w:sz w:val="20"/>
                <w:lang w:val="en-CA"/>
              </w:rPr>
            </w:pPr>
            <w:r w:rsidRPr="006D0EDD">
              <w:rPr>
                <w:sz w:val="20"/>
                <w:lang w:val="en-CA"/>
              </w:rPr>
              <w:t>Supreme Court of Canada</w:t>
            </w: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Application for leave to appeal filed</w:t>
            </w:r>
          </w:p>
          <w:p w:rsidR="009B6E02" w:rsidRPr="006D0EDD" w:rsidRDefault="009B6E02" w:rsidP="009B6E02">
            <w:pPr>
              <w:jc w:val="both"/>
              <w:rPr>
                <w:sz w:val="20"/>
                <w:lang w:val="en-CA"/>
              </w:rPr>
            </w:pPr>
          </w:p>
        </w:tc>
      </w:tr>
    </w:tbl>
    <w:p w:rsidR="009B6E02" w:rsidRPr="006D0EDD" w:rsidRDefault="009B6E02" w:rsidP="009B6E02">
      <w:pPr>
        <w:jc w:val="both"/>
        <w:rPr>
          <w:sz w:val="20"/>
          <w:lang w:val="en-CA"/>
        </w:rPr>
      </w:pPr>
    </w:p>
    <w:p w:rsidR="004D4879" w:rsidRPr="006D0EDD" w:rsidRDefault="004D4879" w:rsidP="009B6E02">
      <w:pPr>
        <w:jc w:val="both"/>
        <w:rPr>
          <w:sz w:val="20"/>
          <w:lang w:val="en-CA"/>
        </w:rPr>
      </w:pPr>
      <w:r w:rsidRPr="006D0EDD">
        <w:rPr>
          <w:sz w:val="20"/>
        </w:rPr>
        <w:pict>
          <v:rect id="_x0000_i1033" style="width:2in;height:1pt" o:hrpct="0" o:hralign="center" o:hrstd="t" o:hrnoshade="t" o:hr="t" fillcolor="black [3213]" stroked="f"/>
        </w:pict>
      </w:r>
    </w:p>
    <w:p w:rsidR="004D4879" w:rsidRPr="006D0EDD" w:rsidRDefault="004D4879" w:rsidP="009B6E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38623</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Éric Parent, Communauté Métisse autochtone de la Gaspésie et du Bas St-Laurent c. Sa Majesté la Reine du chef du Canada et ses représentants, Couronne Canadienne, Directeur des poursuites pénales du Canada, représentant le gouvernement du Canada, Procureure générale du Québec</w:t>
            </w:r>
          </w:p>
          <w:p w:rsidR="009B6E02" w:rsidRPr="006D0EDD" w:rsidRDefault="009B6E02" w:rsidP="009B6E02">
            <w:pPr>
              <w:jc w:val="both"/>
              <w:rPr>
                <w:sz w:val="20"/>
              </w:rPr>
            </w:pPr>
            <w:r w:rsidRPr="006D0EDD">
              <w:rPr>
                <w:sz w:val="20"/>
              </w:rPr>
              <w:t>(Qc) (Civile) (Autorisation)</w:t>
            </w:r>
          </w:p>
        </w:tc>
      </w:tr>
      <w:tr w:rsidR="009B6E02" w:rsidRPr="006D0EDD" w:rsidTr="009B6E02">
        <w:tc>
          <w:tcPr>
            <w:tcW w:w="5000" w:type="pct"/>
            <w:gridSpan w:val="4"/>
          </w:tcPr>
          <w:p w:rsidR="009B6E02" w:rsidRPr="006D0EDD" w:rsidRDefault="009B6E02" w:rsidP="009B6E02">
            <w:pPr>
              <w:pStyle w:val="ListParagraph"/>
              <w:ind w:left="0"/>
              <w:jc w:val="both"/>
              <w:rPr>
                <w:sz w:val="20"/>
                <w:szCs w:val="20"/>
                <w:lang w:val="fr-CA"/>
              </w:rPr>
            </w:pPr>
            <w:r w:rsidRPr="006D0EDD">
              <w:rPr>
                <w:sz w:val="20"/>
                <w:szCs w:val="20"/>
                <w:lang w:val="fr-CA"/>
              </w:rPr>
              <w:t xml:space="preserve">Procédure civile — Dépens — Provision pour frais — Avis de contestation constitutionnelle fondée sur l’existence alléguée d’un droit ancestral de pêche en défense à une infraction pénale  </w:t>
            </w:r>
            <w:r w:rsidRPr="006D0EDD">
              <w:rPr>
                <w:rFonts w:eastAsiaTheme="minorHAnsi" w:cstheme="minorBidi"/>
                <w:sz w:val="20"/>
                <w:szCs w:val="20"/>
                <w:lang w:val="fr-CA"/>
              </w:rPr>
              <w:t xml:space="preserve">— </w:t>
            </w:r>
            <w:r w:rsidRPr="006D0EDD">
              <w:rPr>
                <w:sz w:val="20"/>
                <w:szCs w:val="20"/>
                <w:lang w:val="fr-CA"/>
              </w:rPr>
              <w:t xml:space="preserve">Les demandeurs sont-ils dans une situation d’absence totale ou partielle de moyens financiers suffisants et de sources réalistes de financement, situations qui engendrent et impliquent qu’ils sont dans l’incapacité d’agir complètement et adéquatement en justice sans ordonnance leur attribuant une provision pour frais, et les décisions de la Cour d’appel et de la Cour supérieure qui concernent cette question et condition doivent-elles être infirmées? — La demande vaut-elle </w:t>
            </w:r>
            <w:r w:rsidRPr="006D0EDD">
              <w:rPr>
                <w:i/>
                <w:sz w:val="20"/>
                <w:szCs w:val="20"/>
                <w:lang w:val="fr-CA"/>
              </w:rPr>
              <w:t xml:space="preserve">prima </w:t>
            </w:r>
            <w:proofErr w:type="spellStart"/>
            <w:r w:rsidRPr="006D0EDD">
              <w:rPr>
                <w:i/>
                <w:sz w:val="20"/>
                <w:szCs w:val="20"/>
                <w:lang w:val="fr-CA"/>
              </w:rPr>
              <w:t>facie</w:t>
            </w:r>
            <w:proofErr w:type="spellEnd"/>
            <w:r w:rsidRPr="006D0EDD">
              <w:rPr>
                <w:sz w:val="20"/>
                <w:szCs w:val="20"/>
                <w:lang w:val="fr-CA"/>
              </w:rPr>
              <w:t xml:space="preserve"> d’être instruite, est-elle suffisamment valable et vu ce fait, serait-il contraire aux intérêts de la justice que les demandeurs renoncent à agir en justice parce qu’ils n’en ont pas les moyens financiers et sur cet aspect et cette condition, la décision rendue par la Cour du Québec, chambre pénale, a-t-elle l’autorité de la chose jugée en faveur des demandeurs? — Concernant la troisième condition à remplir pour être éligible à une provision pour frais, la question a-t-elle déjà été tranchée, est-elle </w:t>
            </w:r>
            <w:proofErr w:type="spellStart"/>
            <w:r w:rsidRPr="006D0EDD">
              <w:rPr>
                <w:sz w:val="20"/>
                <w:szCs w:val="20"/>
                <w:lang w:val="fr-CA"/>
              </w:rPr>
              <w:t>important e</w:t>
            </w:r>
            <w:proofErr w:type="spellEnd"/>
            <w:r w:rsidRPr="006D0EDD">
              <w:rPr>
                <w:sz w:val="20"/>
                <w:szCs w:val="20"/>
                <w:lang w:val="fr-CA"/>
              </w:rPr>
              <w:t xml:space="preserve"> pour le public, dépasse-t-elle le cadre des intérêts des plaideurs, les enjeux seront-ils traités dans d’autres dossiers, la chambre pénale est-elle le forum approprié ou le plus approprié, bref les demandeurs remplissent-ils cette troisième condition? — Les demandeurs possèdent-ils contre la Couronne du Canada, fiduciaire, les droits et recours du type de ceux prévus </w:t>
            </w:r>
            <w:proofErr w:type="gramStart"/>
            <w:r w:rsidRPr="006D0EDD">
              <w:rPr>
                <w:sz w:val="20"/>
                <w:szCs w:val="20"/>
                <w:lang w:val="fr-CA"/>
              </w:rPr>
              <w:t>aux art</w:t>
            </w:r>
            <w:proofErr w:type="gramEnd"/>
            <w:r w:rsidRPr="006D0EDD">
              <w:rPr>
                <w:sz w:val="20"/>
                <w:szCs w:val="20"/>
                <w:lang w:val="fr-CA"/>
              </w:rPr>
              <w:t xml:space="preserve">. 1284, 1290 à 1292, 324 et 2138 du </w:t>
            </w:r>
            <w:r w:rsidRPr="006D0EDD">
              <w:rPr>
                <w:i/>
                <w:sz w:val="20"/>
                <w:szCs w:val="20"/>
                <w:lang w:val="fr-CA"/>
              </w:rPr>
              <w:t>Code civil du Québec</w:t>
            </w:r>
            <w:r w:rsidRPr="006D0EDD">
              <w:rPr>
                <w:sz w:val="20"/>
                <w:szCs w:val="20"/>
                <w:lang w:val="fr-CA"/>
              </w:rPr>
              <w:t xml:space="preserve"> et leur droit d’éventuel bénéficiaire fiduciaire constitue-t-il la base juridique incontournable et suffisante qui justifie à lui seul le droit des demandeurs à une provision pour frais dans ces circonstances particulières?</w:t>
            </w:r>
          </w:p>
        </w:tc>
      </w:tr>
      <w:tr w:rsidR="009B6E02" w:rsidRPr="006D0EDD" w:rsidTr="009B6E02">
        <w:tc>
          <w:tcPr>
            <w:tcW w:w="5000" w:type="pct"/>
            <w:gridSpan w:val="4"/>
          </w:tcPr>
          <w:p w:rsidR="009B6E02" w:rsidRPr="006D0EDD" w:rsidRDefault="009B6E02" w:rsidP="009B6E02">
            <w:pPr>
              <w:jc w:val="both"/>
              <w:rPr>
                <w:sz w:val="20"/>
                <w:lang w:val="fr-CA"/>
              </w:rPr>
            </w:pP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 xml:space="preserve">Une poursuite pénale est intentée contre le demandeur Éric Parent, à qui il est reproché d’avoir illégalement pris ou gardé au cours d’une même journée de pêche une quantité de poissons de fond supérieure à la limite permise. Dans le cadre des procédures pénales, M. Parent dépose un avis d’intention de soulever l’inapplicabilité des dispositions en cause. Il invoque son statut de Métis et le droit ancestral métis de pêcher pour s’alimenter protégé par l’art. 35 de la </w:t>
            </w:r>
            <w:r w:rsidRPr="006D0EDD">
              <w:rPr>
                <w:i/>
                <w:sz w:val="20"/>
                <w:lang w:val="fr-CA"/>
              </w:rPr>
              <w:t>Loi constitutionnelle de 1982</w:t>
            </w:r>
            <w:r w:rsidRPr="006D0EDD">
              <w:rPr>
                <w:sz w:val="20"/>
                <w:lang w:val="fr-CA"/>
              </w:rPr>
              <w:t>. M. Parent et la Communauté métisse autochtone de la Gaspésie et du Bas St-Laurent introduisent en Cour supérieure une requête conjointe pour l’obtention d’une provision pour frais afin de faire valoir les droits collectifs ancestraux métis dont M. Parent est bénéficiaire.</w:t>
            </w:r>
          </w:p>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lang w:val="fr-FR"/>
              </w:rPr>
              <w:t xml:space="preserve">La Cour supérieure rejette la requête, concluant que les trois conditions qui justifient l’octroi d’une provision pour frais énoncées dans l’arrêt </w:t>
            </w:r>
            <w:r w:rsidRPr="006D0EDD">
              <w:rPr>
                <w:i/>
                <w:sz w:val="20"/>
                <w:lang w:val="fr-CA"/>
              </w:rPr>
              <w:t xml:space="preserve">Colombie-Britannique (Ministre des Forêts) c. Bande indienne </w:t>
            </w:r>
            <w:proofErr w:type="spellStart"/>
            <w:r w:rsidRPr="006D0EDD">
              <w:rPr>
                <w:i/>
                <w:sz w:val="20"/>
                <w:lang w:val="fr-CA"/>
              </w:rPr>
              <w:t>Okanagan</w:t>
            </w:r>
            <w:proofErr w:type="spellEnd"/>
            <w:r w:rsidRPr="006D0EDD">
              <w:rPr>
                <w:sz w:val="20"/>
                <w:lang w:val="fr-CA"/>
              </w:rPr>
              <w:t xml:space="preserve">, 2003 CSC 71, [2003] 3 R.C.S. 371, ne sont pas remplies. La Cour d’appel rejette l’appel, jugeant que les demandeurs ne font voir aucune erreur justifiant son intervention. </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20 novembre 2017</w:t>
            </w:r>
          </w:p>
          <w:p w:rsidR="009B6E02" w:rsidRPr="006D0EDD" w:rsidRDefault="009B6E02" w:rsidP="009B6E02">
            <w:pPr>
              <w:jc w:val="both"/>
              <w:rPr>
                <w:sz w:val="20"/>
                <w:lang w:val="fr-CA"/>
              </w:rPr>
            </w:pPr>
            <w:r w:rsidRPr="006D0EDD">
              <w:rPr>
                <w:sz w:val="20"/>
                <w:lang w:val="fr-CA"/>
              </w:rPr>
              <w:t>Cour supérieure du Québec</w:t>
            </w:r>
          </w:p>
          <w:p w:rsidR="009B6E02" w:rsidRPr="006D0EDD" w:rsidRDefault="009B6E02" w:rsidP="009B6E02">
            <w:pPr>
              <w:jc w:val="both"/>
              <w:rPr>
                <w:sz w:val="20"/>
              </w:rPr>
            </w:pPr>
            <w:r w:rsidRPr="006D0EDD">
              <w:rPr>
                <w:sz w:val="20"/>
              </w:rPr>
              <w:t xml:space="preserve">(Le juge </w:t>
            </w:r>
            <w:proofErr w:type="spellStart"/>
            <w:r w:rsidRPr="006D0EDD">
              <w:rPr>
                <w:sz w:val="20"/>
              </w:rPr>
              <w:t>Huot</w:t>
            </w:r>
            <w:proofErr w:type="spellEnd"/>
            <w:r w:rsidRPr="006D0EDD">
              <w:rPr>
                <w:sz w:val="20"/>
              </w:rPr>
              <w:t>)</w:t>
            </w:r>
          </w:p>
          <w:p w:rsidR="009B6E02" w:rsidRPr="006D0EDD" w:rsidRDefault="009B6E02" w:rsidP="009B6E02">
            <w:pPr>
              <w:jc w:val="both"/>
              <w:rPr>
                <w:sz w:val="20"/>
              </w:rPr>
            </w:pPr>
            <w:hyperlink r:id="rId28" w:history="1">
              <w:r w:rsidRPr="006D0EDD">
                <w:rPr>
                  <w:rStyle w:val="Hyperlink"/>
                  <w:sz w:val="20"/>
                </w:rPr>
                <w:t>2017 QCCS 6292</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Requête pour obtention d’une provision pour frais et ordonnance de sauvegarde rejetée</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15 mars 2019</w:t>
            </w:r>
          </w:p>
          <w:p w:rsidR="009B6E02" w:rsidRPr="006D0EDD" w:rsidRDefault="009B6E02" w:rsidP="009B6E02">
            <w:pPr>
              <w:jc w:val="both"/>
              <w:rPr>
                <w:sz w:val="20"/>
                <w:lang w:val="fr-CA"/>
              </w:rPr>
            </w:pPr>
            <w:r w:rsidRPr="006D0EDD">
              <w:rPr>
                <w:sz w:val="20"/>
                <w:lang w:val="fr-CA"/>
              </w:rPr>
              <w:t>Cour d’appel du Québec (Québec)</w:t>
            </w:r>
          </w:p>
          <w:p w:rsidR="009B6E02" w:rsidRPr="006D0EDD" w:rsidRDefault="009B6E02" w:rsidP="009B6E02">
            <w:pPr>
              <w:jc w:val="both"/>
              <w:rPr>
                <w:sz w:val="20"/>
                <w:lang w:val="fr-CA"/>
              </w:rPr>
            </w:pPr>
            <w:r w:rsidRPr="006D0EDD">
              <w:rPr>
                <w:sz w:val="20"/>
                <w:lang w:val="fr-CA"/>
              </w:rPr>
              <w:t xml:space="preserve">(Les juges Roy, Gagné et </w:t>
            </w:r>
            <w:proofErr w:type="spellStart"/>
            <w:r w:rsidRPr="006D0EDD">
              <w:rPr>
                <w:sz w:val="20"/>
                <w:lang w:val="fr-CA"/>
              </w:rPr>
              <w:t>Sansfaçon</w:t>
            </w:r>
            <w:proofErr w:type="spellEnd"/>
            <w:r w:rsidRPr="006D0EDD">
              <w:rPr>
                <w:sz w:val="20"/>
                <w:lang w:val="fr-CA"/>
              </w:rPr>
              <w:t>)</w:t>
            </w:r>
          </w:p>
          <w:p w:rsidR="009B6E02" w:rsidRPr="006D0EDD" w:rsidRDefault="009B6E02" w:rsidP="009B6E02">
            <w:pPr>
              <w:jc w:val="both"/>
              <w:rPr>
                <w:sz w:val="20"/>
              </w:rPr>
            </w:pPr>
            <w:hyperlink r:id="rId29" w:history="1">
              <w:r w:rsidRPr="006D0EDD">
                <w:rPr>
                  <w:rStyle w:val="Hyperlink"/>
                  <w:sz w:val="20"/>
                </w:rPr>
                <w:t>2019 QCCA 442</w:t>
              </w:r>
            </w:hyperlink>
            <w:r w:rsidRPr="006D0EDD">
              <w:rPr>
                <w:sz w:val="20"/>
              </w:rPr>
              <w:t xml:space="preserve"> (200-09-009666-170)</w:t>
            </w:r>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Requête pour permission de présenter une preuve nouvelle rejetée; appel rejeté</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10 mai 2019</w:t>
            </w:r>
          </w:p>
          <w:p w:rsidR="009B6E02" w:rsidRPr="006D0EDD" w:rsidRDefault="009B6E02" w:rsidP="009B6E02">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rPr>
            </w:pPr>
            <w:r w:rsidRPr="006D0EDD">
              <w:rPr>
                <w:sz w:val="20"/>
              </w:rPr>
              <w:t xml:space="preserve">Demande d’autorisation d’appel </w:t>
            </w:r>
            <w:proofErr w:type="spellStart"/>
            <w:r w:rsidRPr="006D0EDD">
              <w:rPr>
                <w:sz w:val="20"/>
              </w:rPr>
              <w:t>déposée</w:t>
            </w:r>
            <w:proofErr w:type="spellEnd"/>
          </w:p>
          <w:p w:rsidR="009B6E02" w:rsidRPr="006D0EDD" w:rsidRDefault="009B6E02" w:rsidP="009B6E02">
            <w:pPr>
              <w:jc w:val="both"/>
              <w:rPr>
                <w:sz w:val="20"/>
              </w:rPr>
            </w:pPr>
          </w:p>
        </w:tc>
      </w:tr>
    </w:tbl>
    <w:p w:rsidR="009B6E02" w:rsidRPr="006D0EDD" w:rsidRDefault="009B6E02" w:rsidP="009B6E02">
      <w:pPr>
        <w:jc w:val="both"/>
        <w:rPr>
          <w:sz w:val="20"/>
        </w:rPr>
      </w:pPr>
      <w:bookmarkStart w:id="0" w:name="_GoBack"/>
      <w:bookmarkEnd w:id="0"/>
    </w:p>
    <w:p w:rsidR="009B6E02" w:rsidRPr="006D0EDD" w:rsidRDefault="004D4879" w:rsidP="009B6E02">
      <w:pPr>
        <w:ind w:left="142" w:hanging="142"/>
        <w:jc w:val="both"/>
        <w:rPr>
          <w:sz w:val="20"/>
          <w:lang w:val="fr-CA"/>
        </w:rPr>
      </w:pPr>
      <w:r w:rsidRPr="006D0EDD">
        <w:rPr>
          <w:sz w:val="20"/>
        </w:rPr>
        <w:pict>
          <v:rect id="_x0000_i1034" style="width:2in;height:1pt" o:hrpct="0" o:hralign="center" o:hrstd="t" o:hrnoshade="t" o:hr="t" fillcolor="black [3213]" stroked="f"/>
        </w:pict>
      </w:r>
    </w:p>
    <w:p w:rsidR="009B6E02" w:rsidRPr="006D0EDD" w:rsidRDefault="009B6E02" w:rsidP="009B6E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en-CA"/>
              </w:rPr>
            </w:pPr>
            <w:r w:rsidRPr="006D0EDD">
              <w:rPr>
                <w:rStyle w:val="SCCFileNumberChar"/>
                <w:sz w:val="20"/>
                <w:szCs w:val="20"/>
              </w:rPr>
              <w:t>38637</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Nicole Doré Castonguay v. Jacques Castonguay</w:t>
            </w:r>
          </w:p>
          <w:p w:rsidR="009B6E02" w:rsidRPr="006D0EDD" w:rsidRDefault="009B6E02" w:rsidP="009B6E02">
            <w:pPr>
              <w:jc w:val="both"/>
              <w:rPr>
                <w:sz w:val="20"/>
                <w:lang w:val="en-CA"/>
              </w:rPr>
            </w:pPr>
            <w:r w:rsidRPr="006D0EDD">
              <w:rPr>
                <w:sz w:val="20"/>
                <w:lang w:val="en-CA"/>
              </w:rPr>
              <w:t>(Que.) (Civil) (By Leave)</w:t>
            </w:r>
          </w:p>
        </w:tc>
      </w:tr>
      <w:tr w:rsidR="009B6E02" w:rsidRPr="006D0EDD" w:rsidTr="009B6E02">
        <w:tc>
          <w:tcPr>
            <w:tcW w:w="5000" w:type="pct"/>
            <w:gridSpan w:val="4"/>
          </w:tcPr>
          <w:p w:rsidR="009B6E02" w:rsidRPr="006D0EDD" w:rsidRDefault="009B6E02" w:rsidP="009B6E02">
            <w:pPr>
              <w:jc w:val="both"/>
              <w:rPr>
                <w:sz w:val="20"/>
                <w:lang w:val="en-CA"/>
              </w:rPr>
            </w:pPr>
            <w:proofErr w:type="gramStart"/>
            <w:r w:rsidRPr="006D0EDD">
              <w:rPr>
                <w:sz w:val="20"/>
                <w:lang w:val="en-CA"/>
              </w:rPr>
              <w:t xml:space="preserve">Successions — Wills — Homologation — Civil procedure — Appeals — </w:t>
            </w:r>
            <w:r w:rsidRPr="006D0EDD">
              <w:rPr>
                <w:i/>
                <w:sz w:val="20"/>
                <w:lang w:val="en-CA"/>
              </w:rPr>
              <w:t>Res judicata</w:t>
            </w:r>
            <w:r w:rsidRPr="006D0EDD">
              <w:rPr>
                <w:sz w:val="20"/>
                <w:lang w:val="en-CA"/>
              </w:rPr>
              <w:t xml:space="preserve"> — First application for probate of will dismissed and characterized as being abusive — Second application for probate of will dismissed on basis of </w:t>
            </w:r>
            <w:r w:rsidRPr="006D0EDD">
              <w:rPr>
                <w:i/>
                <w:sz w:val="20"/>
                <w:lang w:val="en-CA"/>
              </w:rPr>
              <w:t>res judicata</w:t>
            </w:r>
            <w:r w:rsidRPr="006D0EDD">
              <w:rPr>
                <w:sz w:val="20"/>
                <w:lang w:val="en-CA"/>
              </w:rPr>
              <w:t xml:space="preserve"> — Whether serious error by lawyer is ground for higher courts to intervene to reverse decision of lower court in order to protect client from harmful effects of that error — Whether </w:t>
            </w:r>
            <w:r w:rsidRPr="006D0EDD">
              <w:rPr>
                <w:i/>
                <w:sz w:val="20"/>
                <w:lang w:val="en-CA"/>
              </w:rPr>
              <w:t>res judicata</w:t>
            </w:r>
            <w:r w:rsidRPr="006D0EDD">
              <w:rPr>
                <w:sz w:val="20"/>
                <w:lang w:val="en-CA"/>
              </w:rPr>
              <w:t xml:space="preserve"> applies where court finds that judgment vitiated by lawyer’s error.</w:t>
            </w:r>
            <w:proofErr w:type="gramEnd"/>
          </w:p>
        </w:tc>
      </w:tr>
      <w:tr w:rsidR="009B6E02" w:rsidRPr="006D0EDD" w:rsidTr="009B6E02">
        <w:tc>
          <w:tcPr>
            <w:tcW w:w="5000" w:type="pct"/>
            <w:gridSpan w:val="4"/>
          </w:tcPr>
          <w:p w:rsidR="009B6E02" w:rsidRPr="006D0EDD" w:rsidRDefault="009B6E02" w:rsidP="009B6E02">
            <w:pPr>
              <w:jc w:val="both"/>
              <w:rPr>
                <w:sz w:val="20"/>
                <w:lang w:val="en-CA"/>
              </w:rPr>
            </w:pPr>
          </w:p>
        </w:tc>
      </w:tr>
      <w:tr w:rsidR="009B6E02" w:rsidRPr="006D0EDD" w:rsidTr="009B6E02">
        <w:tc>
          <w:tcPr>
            <w:tcW w:w="5000" w:type="pct"/>
            <w:gridSpan w:val="4"/>
          </w:tcPr>
          <w:p w:rsidR="009B6E02" w:rsidRPr="006D0EDD" w:rsidRDefault="009B6E02" w:rsidP="009B6E02">
            <w:pPr>
              <w:jc w:val="both"/>
              <w:rPr>
                <w:sz w:val="20"/>
                <w:lang w:val="en-CA"/>
              </w:rPr>
            </w:pPr>
            <w:r w:rsidRPr="006D0EDD">
              <w:rPr>
                <w:sz w:val="20"/>
                <w:lang w:val="en-CA"/>
              </w:rPr>
              <w:t xml:space="preserve">In 2015, the Quebec Superior Court declared Jacques </w:t>
            </w:r>
            <w:proofErr w:type="spellStart"/>
            <w:r w:rsidRPr="006D0EDD">
              <w:rPr>
                <w:sz w:val="20"/>
                <w:lang w:val="en-CA"/>
              </w:rPr>
              <w:t>Castonguay</w:t>
            </w:r>
            <w:proofErr w:type="spellEnd"/>
            <w:r w:rsidRPr="006D0EDD">
              <w:rPr>
                <w:sz w:val="20"/>
                <w:lang w:val="en-CA"/>
              </w:rPr>
              <w:t xml:space="preserve"> </w:t>
            </w:r>
            <w:proofErr w:type="gramStart"/>
            <w:r w:rsidRPr="006D0EDD">
              <w:rPr>
                <w:sz w:val="20"/>
                <w:lang w:val="en-CA"/>
              </w:rPr>
              <w:t>to be incapable</w:t>
            </w:r>
            <w:proofErr w:type="gramEnd"/>
            <w:r w:rsidRPr="006D0EDD">
              <w:rPr>
                <w:sz w:val="20"/>
                <w:lang w:val="en-CA"/>
              </w:rPr>
              <w:t>. Mr. </w:t>
            </w:r>
            <w:proofErr w:type="spellStart"/>
            <w:r w:rsidRPr="006D0EDD">
              <w:rPr>
                <w:sz w:val="20"/>
                <w:lang w:val="en-CA"/>
              </w:rPr>
              <w:t>Castonguay</w:t>
            </w:r>
            <w:proofErr w:type="spellEnd"/>
            <w:r w:rsidRPr="006D0EDD">
              <w:rPr>
                <w:sz w:val="20"/>
                <w:lang w:val="en-CA"/>
              </w:rPr>
              <w:t xml:space="preserve"> died in November 2016. His brother’s wife, the applicant Nicole </w:t>
            </w:r>
            <w:proofErr w:type="spellStart"/>
            <w:r w:rsidRPr="006D0EDD">
              <w:rPr>
                <w:sz w:val="20"/>
                <w:lang w:val="en-CA"/>
              </w:rPr>
              <w:t>Castonguay</w:t>
            </w:r>
            <w:proofErr w:type="spellEnd"/>
            <w:r w:rsidRPr="006D0EDD">
              <w:rPr>
                <w:sz w:val="20"/>
                <w:lang w:val="en-CA"/>
              </w:rPr>
              <w:t xml:space="preserve">, applied for probate of a will that had allegedly been signed in the presence of witnesses but not dated. Only the witnesses had dated their signatures (May 31, 2016), and one of the witnesses claimed to have seen the testator’s signature on that date. This will named the applicant as the sole </w:t>
            </w:r>
            <w:proofErr w:type="gramStart"/>
            <w:r w:rsidRPr="006D0EDD">
              <w:rPr>
                <w:sz w:val="20"/>
                <w:lang w:val="en-CA"/>
              </w:rPr>
              <w:t>heiress</w:t>
            </w:r>
            <w:proofErr w:type="gramEnd"/>
            <w:r w:rsidRPr="006D0EDD">
              <w:rPr>
                <w:sz w:val="20"/>
                <w:lang w:val="en-CA"/>
              </w:rPr>
              <w:t xml:space="preserve"> and legatee. However, a will search uncovered the existence of a prior will, signed and executed before a notary in 2010, in which Jacques </w:t>
            </w:r>
            <w:proofErr w:type="spellStart"/>
            <w:r w:rsidRPr="006D0EDD">
              <w:rPr>
                <w:sz w:val="20"/>
                <w:lang w:val="en-CA"/>
              </w:rPr>
              <w:t>Castonguay</w:t>
            </w:r>
            <w:proofErr w:type="spellEnd"/>
            <w:r w:rsidRPr="006D0EDD">
              <w:rPr>
                <w:sz w:val="20"/>
                <w:lang w:val="en-CA"/>
              </w:rPr>
              <w:t xml:space="preserve"> had named certain members of his family, including his nephew, the respondent Jacques </w:t>
            </w:r>
            <w:proofErr w:type="spellStart"/>
            <w:r w:rsidRPr="006D0EDD">
              <w:rPr>
                <w:sz w:val="20"/>
                <w:lang w:val="en-CA"/>
              </w:rPr>
              <w:t>Castonguay</w:t>
            </w:r>
            <w:proofErr w:type="spellEnd"/>
            <w:r w:rsidRPr="006D0EDD">
              <w:rPr>
                <w:sz w:val="20"/>
                <w:lang w:val="en-CA"/>
              </w:rPr>
              <w:t>, as legatees.</w:t>
            </w:r>
          </w:p>
          <w:p w:rsidR="009B6E02" w:rsidRPr="006D0EDD" w:rsidRDefault="009B6E02" w:rsidP="009B6E02">
            <w:pPr>
              <w:jc w:val="both"/>
              <w:rPr>
                <w:sz w:val="20"/>
                <w:lang w:val="en-CA"/>
              </w:rPr>
            </w:pPr>
          </w:p>
          <w:p w:rsidR="009B6E02" w:rsidRPr="006D0EDD" w:rsidRDefault="009B6E02" w:rsidP="009B6E02">
            <w:pPr>
              <w:jc w:val="both"/>
              <w:rPr>
                <w:sz w:val="20"/>
                <w:lang w:val="en-CA"/>
              </w:rPr>
            </w:pPr>
            <w:r w:rsidRPr="006D0EDD">
              <w:rPr>
                <w:sz w:val="20"/>
                <w:lang w:val="en-CA"/>
              </w:rPr>
              <w:t xml:space="preserve">The application for probate of the 2016 will </w:t>
            </w:r>
            <w:proofErr w:type="gramStart"/>
            <w:r w:rsidRPr="006D0EDD">
              <w:rPr>
                <w:sz w:val="20"/>
                <w:lang w:val="en-CA"/>
              </w:rPr>
              <w:t>was dismissed and characterized as being abusive</w:t>
            </w:r>
            <w:proofErr w:type="gramEnd"/>
            <w:r w:rsidRPr="006D0EDD">
              <w:rPr>
                <w:sz w:val="20"/>
                <w:lang w:val="en-CA"/>
              </w:rPr>
              <w:t xml:space="preserve">. The Quebec Court of Appeal dismissed an application for leave to appeal that judgment. A second application for probate of the 2016 will was dismissed </w:t>
            </w:r>
            <w:proofErr w:type="gramStart"/>
            <w:r w:rsidRPr="006D0EDD">
              <w:rPr>
                <w:sz w:val="20"/>
                <w:lang w:val="en-CA"/>
              </w:rPr>
              <w:t>on the basis of</w:t>
            </w:r>
            <w:proofErr w:type="gramEnd"/>
            <w:r w:rsidRPr="006D0EDD">
              <w:rPr>
                <w:sz w:val="20"/>
                <w:lang w:val="en-CA"/>
              </w:rPr>
              <w:t xml:space="preserve"> </w:t>
            </w:r>
            <w:r w:rsidRPr="006D0EDD">
              <w:rPr>
                <w:i/>
                <w:sz w:val="20"/>
                <w:lang w:val="en-CA"/>
              </w:rPr>
              <w:t>res judicata</w:t>
            </w:r>
            <w:r w:rsidRPr="006D0EDD">
              <w:rPr>
                <w:sz w:val="20"/>
                <w:lang w:val="en-CA"/>
              </w:rPr>
              <w:t>, and the Court of Appeal again dismissed an application for leave to appeal the second judgment.</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February 2, 2018</w:t>
            </w:r>
          </w:p>
          <w:p w:rsidR="009B6E02" w:rsidRPr="006D0EDD" w:rsidRDefault="009B6E02" w:rsidP="009B6E02">
            <w:pPr>
              <w:jc w:val="both"/>
              <w:rPr>
                <w:sz w:val="20"/>
                <w:lang w:val="en-CA"/>
              </w:rPr>
            </w:pPr>
            <w:r w:rsidRPr="006D0EDD">
              <w:rPr>
                <w:sz w:val="20"/>
                <w:lang w:val="en-CA"/>
              </w:rPr>
              <w:t>Quebec Superior Court</w:t>
            </w:r>
          </w:p>
          <w:p w:rsidR="009B6E02" w:rsidRPr="006D0EDD" w:rsidRDefault="009B6E02" w:rsidP="009B6E02">
            <w:pPr>
              <w:jc w:val="both"/>
              <w:rPr>
                <w:sz w:val="20"/>
                <w:lang w:val="en-CA"/>
              </w:rPr>
            </w:pPr>
            <w:r w:rsidRPr="006D0EDD">
              <w:rPr>
                <w:sz w:val="20"/>
                <w:lang w:val="en-CA"/>
              </w:rPr>
              <w:t>(Emery J.)</w:t>
            </w:r>
          </w:p>
          <w:p w:rsidR="009B6E02" w:rsidRPr="006D0EDD" w:rsidRDefault="009B6E02" w:rsidP="009B6E02">
            <w:pPr>
              <w:jc w:val="both"/>
              <w:rPr>
                <w:sz w:val="20"/>
                <w:lang w:val="en-CA"/>
              </w:rPr>
            </w:pPr>
            <w:r w:rsidRPr="006D0EDD">
              <w:rPr>
                <w:sz w:val="20"/>
                <w:lang w:val="en-CA"/>
              </w:rPr>
              <w:t>File No.: 500</w:t>
            </w:r>
            <w:r w:rsidRPr="006D0EDD">
              <w:rPr>
                <w:sz w:val="20"/>
                <w:lang w:val="en-CA"/>
              </w:rPr>
              <w:noBreakHyphen/>
              <w:t>14</w:t>
            </w:r>
            <w:r w:rsidRPr="006D0EDD">
              <w:rPr>
                <w:sz w:val="20"/>
                <w:lang w:val="en-CA"/>
              </w:rPr>
              <w:noBreakHyphen/>
              <w:t>051003</w:t>
            </w:r>
            <w:r w:rsidRPr="006D0EDD">
              <w:rPr>
                <w:sz w:val="20"/>
                <w:lang w:val="en-CA"/>
              </w:rPr>
              <w:noBreakHyphen/>
              <w:t>176</w:t>
            </w:r>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 xml:space="preserve">First application by Nicole </w:t>
            </w:r>
            <w:proofErr w:type="spellStart"/>
            <w:r w:rsidRPr="006D0EDD">
              <w:rPr>
                <w:sz w:val="20"/>
                <w:lang w:val="en-CA"/>
              </w:rPr>
              <w:t>Castonguay</w:t>
            </w:r>
            <w:proofErr w:type="spellEnd"/>
            <w:r w:rsidRPr="006D0EDD">
              <w:rPr>
                <w:sz w:val="20"/>
                <w:lang w:val="en-CA"/>
              </w:rPr>
              <w:t xml:space="preserve"> for probate of will — dismissed</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May 7, 2018</w:t>
            </w:r>
          </w:p>
          <w:p w:rsidR="009B6E02" w:rsidRPr="006D0EDD" w:rsidRDefault="009B6E02" w:rsidP="009B6E02">
            <w:pPr>
              <w:jc w:val="both"/>
              <w:rPr>
                <w:sz w:val="20"/>
                <w:lang w:val="en-CA"/>
              </w:rPr>
            </w:pPr>
            <w:r w:rsidRPr="006D0EDD">
              <w:rPr>
                <w:sz w:val="20"/>
                <w:lang w:val="en-CA"/>
              </w:rPr>
              <w:t>Quebec Court of Appeal</w:t>
            </w:r>
          </w:p>
          <w:p w:rsidR="009B6E02" w:rsidRPr="006D0EDD" w:rsidRDefault="009B6E02" w:rsidP="009B6E02">
            <w:pPr>
              <w:jc w:val="both"/>
              <w:rPr>
                <w:sz w:val="20"/>
                <w:lang w:val="en-CA"/>
              </w:rPr>
            </w:pPr>
            <w:r w:rsidRPr="006D0EDD">
              <w:rPr>
                <w:sz w:val="20"/>
                <w:lang w:val="en-CA"/>
              </w:rPr>
              <w:t>(Doyon J.A.)</w:t>
            </w:r>
          </w:p>
          <w:p w:rsidR="009B6E02" w:rsidRPr="006D0EDD" w:rsidRDefault="009B6E02" w:rsidP="009B6E02">
            <w:pPr>
              <w:jc w:val="both"/>
              <w:rPr>
                <w:sz w:val="20"/>
                <w:lang w:val="en-CA"/>
              </w:rPr>
            </w:pPr>
            <w:r w:rsidRPr="006D0EDD">
              <w:rPr>
                <w:sz w:val="20"/>
                <w:lang w:val="en-CA"/>
              </w:rPr>
              <w:t>File No.: 500</w:t>
            </w:r>
            <w:r w:rsidRPr="006D0EDD">
              <w:rPr>
                <w:sz w:val="20"/>
                <w:lang w:val="en-CA"/>
              </w:rPr>
              <w:noBreakHyphen/>
              <w:t>09</w:t>
            </w:r>
            <w:r w:rsidRPr="006D0EDD">
              <w:rPr>
                <w:sz w:val="20"/>
                <w:lang w:val="en-CA"/>
              </w:rPr>
              <w:noBreakHyphen/>
              <w:t>027343</w:t>
            </w:r>
            <w:r w:rsidRPr="006D0EDD">
              <w:rPr>
                <w:sz w:val="20"/>
                <w:lang w:val="en-CA"/>
              </w:rPr>
              <w:noBreakHyphen/>
              <w:t>185</w:t>
            </w:r>
          </w:p>
          <w:p w:rsidR="009B6E02" w:rsidRPr="006D0EDD" w:rsidRDefault="009B6E02" w:rsidP="009B6E02">
            <w:pPr>
              <w:jc w:val="both"/>
              <w:rPr>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First motion for leave to appeal — dismissed</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color w:val="000000" w:themeColor="text1"/>
                <w:sz w:val="20"/>
                <w:lang w:val="en-CA"/>
              </w:rPr>
            </w:pPr>
            <w:r w:rsidRPr="006D0EDD">
              <w:rPr>
                <w:color w:val="000000" w:themeColor="text1"/>
                <w:sz w:val="20"/>
                <w:lang w:val="en-CA"/>
              </w:rPr>
              <w:t>October 9, 2018</w:t>
            </w:r>
          </w:p>
          <w:p w:rsidR="009B6E02" w:rsidRPr="006D0EDD" w:rsidRDefault="009B6E02" w:rsidP="009B6E02">
            <w:pPr>
              <w:jc w:val="both"/>
              <w:rPr>
                <w:color w:val="000000" w:themeColor="text1"/>
                <w:sz w:val="20"/>
                <w:lang w:val="en-CA"/>
              </w:rPr>
            </w:pPr>
            <w:r w:rsidRPr="006D0EDD">
              <w:rPr>
                <w:color w:val="000000" w:themeColor="text1"/>
                <w:sz w:val="20"/>
                <w:lang w:val="en-CA"/>
              </w:rPr>
              <w:t>Quebec Superior Court</w:t>
            </w:r>
          </w:p>
          <w:p w:rsidR="009B6E02" w:rsidRPr="006D0EDD" w:rsidRDefault="009B6E02" w:rsidP="009B6E02">
            <w:pPr>
              <w:jc w:val="both"/>
              <w:rPr>
                <w:color w:val="000000" w:themeColor="text1"/>
                <w:sz w:val="20"/>
                <w:lang w:val="en-CA"/>
              </w:rPr>
            </w:pPr>
            <w:r w:rsidRPr="006D0EDD">
              <w:rPr>
                <w:color w:val="000000" w:themeColor="text1"/>
                <w:sz w:val="20"/>
                <w:lang w:val="en-CA"/>
              </w:rPr>
              <w:t>(</w:t>
            </w:r>
            <w:proofErr w:type="spellStart"/>
            <w:r w:rsidRPr="006D0EDD">
              <w:rPr>
                <w:color w:val="000000" w:themeColor="text1"/>
                <w:sz w:val="20"/>
                <w:lang w:val="en-CA"/>
              </w:rPr>
              <w:t>Déziel</w:t>
            </w:r>
            <w:proofErr w:type="spellEnd"/>
            <w:r w:rsidRPr="006D0EDD">
              <w:rPr>
                <w:color w:val="000000" w:themeColor="text1"/>
                <w:sz w:val="20"/>
                <w:lang w:val="en-CA"/>
              </w:rPr>
              <w:t xml:space="preserve"> J.)</w:t>
            </w:r>
          </w:p>
          <w:p w:rsidR="009B6E02" w:rsidRPr="006D0EDD" w:rsidRDefault="009B6E02" w:rsidP="009B6E02">
            <w:pPr>
              <w:jc w:val="both"/>
              <w:rPr>
                <w:color w:val="000000" w:themeColor="text1"/>
                <w:sz w:val="20"/>
                <w:lang w:val="en-CA"/>
              </w:rPr>
            </w:pPr>
            <w:hyperlink r:id="rId30" w:history="1">
              <w:r w:rsidRPr="006D0EDD">
                <w:rPr>
                  <w:rStyle w:val="Hyperlink"/>
                  <w:color w:val="000000" w:themeColor="text1"/>
                  <w:sz w:val="20"/>
                  <w:lang w:val="en-CA"/>
                </w:rPr>
                <w:t>2018 QCCS 4602</w:t>
              </w:r>
            </w:hyperlink>
          </w:p>
          <w:p w:rsidR="009B6E02" w:rsidRPr="006D0EDD" w:rsidRDefault="009B6E02" w:rsidP="009B6E02">
            <w:pPr>
              <w:jc w:val="both"/>
              <w:rPr>
                <w:color w:val="000000" w:themeColor="text1"/>
                <w:sz w:val="20"/>
                <w:lang w:val="en-CA"/>
              </w:rPr>
            </w:pPr>
          </w:p>
        </w:tc>
        <w:tc>
          <w:tcPr>
            <w:tcW w:w="243" w:type="pct"/>
          </w:tcPr>
          <w:p w:rsidR="009B6E02" w:rsidRPr="006D0EDD" w:rsidRDefault="009B6E02" w:rsidP="009B6E02">
            <w:pPr>
              <w:jc w:val="both"/>
              <w:rPr>
                <w:sz w:val="20"/>
                <w:lang w:val="en-CA"/>
              </w:rPr>
            </w:pPr>
          </w:p>
          <w:p w:rsidR="009B6E02" w:rsidRPr="006D0EDD" w:rsidRDefault="009B6E02" w:rsidP="009B6E02">
            <w:pPr>
              <w:jc w:val="both"/>
              <w:rPr>
                <w:sz w:val="20"/>
                <w:lang w:val="en-CA"/>
              </w:rPr>
            </w:pPr>
          </w:p>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 xml:space="preserve">Second application by Nicole </w:t>
            </w:r>
            <w:proofErr w:type="spellStart"/>
            <w:r w:rsidRPr="006D0EDD">
              <w:rPr>
                <w:sz w:val="20"/>
                <w:lang w:val="en-CA"/>
              </w:rPr>
              <w:t>Castonguay</w:t>
            </w:r>
            <w:proofErr w:type="spellEnd"/>
            <w:r w:rsidRPr="006D0EDD">
              <w:rPr>
                <w:sz w:val="20"/>
                <w:lang w:val="en-CA"/>
              </w:rPr>
              <w:t xml:space="preserve"> for probate of will — dismissed</w:t>
            </w:r>
          </w:p>
          <w:p w:rsidR="009B6E02" w:rsidRPr="006D0EDD" w:rsidRDefault="009B6E02" w:rsidP="009B6E02">
            <w:pPr>
              <w:jc w:val="both"/>
              <w:rPr>
                <w:sz w:val="20"/>
                <w:lang w:val="en-CA"/>
              </w:rPr>
            </w:pPr>
          </w:p>
          <w:p w:rsidR="009B6E02" w:rsidRPr="006D0EDD" w:rsidRDefault="009B6E02" w:rsidP="009B6E02">
            <w:pPr>
              <w:jc w:val="both"/>
              <w:rPr>
                <w:sz w:val="20"/>
                <w:lang w:val="en-CA"/>
              </w:rPr>
            </w:pPr>
            <w:r w:rsidRPr="006D0EDD">
              <w:rPr>
                <w:sz w:val="20"/>
                <w:lang w:val="en-CA"/>
              </w:rPr>
              <w:t xml:space="preserve">Application by Jacques </w:t>
            </w:r>
            <w:proofErr w:type="spellStart"/>
            <w:r w:rsidRPr="006D0EDD">
              <w:rPr>
                <w:sz w:val="20"/>
                <w:lang w:val="en-CA"/>
              </w:rPr>
              <w:t>Castonguay</w:t>
            </w:r>
            <w:proofErr w:type="spellEnd"/>
            <w:r w:rsidRPr="006D0EDD">
              <w:rPr>
                <w:sz w:val="20"/>
                <w:lang w:val="en-CA"/>
              </w:rPr>
              <w:t xml:space="preserve"> for declaration that second application for probate of will was abusive — dismissed</w:t>
            </w:r>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color w:val="000000" w:themeColor="text1"/>
                <w:sz w:val="20"/>
                <w:lang w:val="en-CA"/>
              </w:rPr>
            </w:pPr>
            <w:r w:rsidRPr="006D0EDD">
              <w:rPr>
                <w:color w:val="000000" w:themeColor="text1"/>
                <w:sz w:val="20"/>
                <w:lang w:val="en-CA"/>
              </w:rPr>
              <w:t>December 28, 2018</w:t>
            </w:r>
          </w:p>
          <w:p w:rsidR="009B6E02" w:rsidRPr="006D0EDD" w:rsidRDefault="009B6E02" w:rsidP="009B6E02">
            <w:pPr>
              <w:jc w:val="both"/>
              <w:rPr>
                <w:color w:val="000000" w:themeColor="text1"/>
                <w:sz w:val="20"/>
                <w:lang w:val="en-CA"/>
              </w:rPr>
            </w:pPr>
            <w:r w:rsidRPr="006D0EDD">
              <w:rPr>
                <w:color w:val="000000" w:themeColor="text1"/>
                <w:sz w:val="20"/>
                <w:lang w:val="en-CA"/>
              </w:rPr>
              <w:t>Quebec Court of Appeal (Montréal)</w:t>
            </w:r>
          </w:p>
          <w:p w:rsidR="009B6E02" w:rsidRPr="006D0EDD" w:rsidRDefault="009B6E02" w:rsidP="009B6E02">
            <w:pPr>
              <w:jc w:val="both"/>
              <w:rPr>
                <w:color w:val="000000" w:themeColor="text1"/>
                <w:sz w:val="20"/>
                <w:lang w:val="en-CA"/>
              </w:rPr>
            </w:pPr>
            <w:r w:rsidRPr="006D0EDD">
              <w:rPr>
                <w:color w:val="000000" w:themeColor="text1"/>
                <w:sz w:val="20"/>
                <w:lang w:val="en-CA"/>
              </w:rPr>
              <w:t>(Healy J.A.)</w:t>
            </w:r>
          </w:p>
          <w:p w:rsidR="009B6E02" w:rsidRPr="006D0EDD" w:rsidRDefault="009B6E02" w:rsidP="009B6E02">
            <w:pPr>
              <w:jc w:val="both"/>
              <w:rPr>
                <w:rStyle w:val="Hyperlink"/>
                <w:color w:val="000000" w:themeColor="text1"/>
                <w:sz w:val="20"/>
                <w:lang w:val="en-CA"/>
              </w:rPr>
            </w:pPr>
            <w:hyperlink r:id="rId31" w:history="1">
              <w:r w:rsidRPr="006D0EDD">
                <w:rPr>
                  <w:rStyle w:val="Hyperlink"/>
                  <w:color w:val="000000" w:themeColor="text1"/>
                  <w:sz w:val="20"/>
                  <w:lang w:val="en-CA"/>
                </w:rPr>
                <w:t>2018 QCCA 2197</w:t>
              </w:r>
            </w:hyperlink>
          </w:p>
          <w:p w:rsidR="004D4879" w:rsidRPr="006D0EDD" w:rsidRDefault="004D4879" w:rsidP="009B6E02">
            <w:pPr>
              <w:jc w:val="both"/>
              <w:rPr>
                <w:color w:val="000000" w:themeColor="text1"/>
                <w:sz w:val="20"/>
                <w:lang w:val="en-CA"/>
              </w:rPr>
            </w:pP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4D4879">
            <w:pPr>
              <w:jc w:val="both"/>
              <w:rPr>
                <w:sz w:val="20"/>
                <w:lang w:val="en-CA"/>
              </w:rPr>
            </w:pPr>
            <w:r w:rsidRPr="006D0EDD">
              <w:rPr>
                <w:sz w:val="20"/>
                <w:lang w:val="en-CA"/>
              </w:rPr>
              <w:t xml:space="preserve">Second motion for leave to appeal by Nicole </w:t>
            </w:r>
            <w:proofErr w:type="spellStart"/>
            <w:r w:rsidRPr="006D0EDD">
              <w:rPr>
                <w:sz w:val="20"/>
                <w:lang w:val="en-CA"/>
              </w:rPr>
              <w:t>Castonguay</w:t>
            </w:r>
            <w:proofErr w:type="spellEnd"/>
            <w:r w:rsidRPr="006D0EDD">
              <w:rPr>
                <w:sz w:val="20"/>
                <w:lang w:val="en-CA"/>
              </w:rPr>
              <w:t xml:space="preserve"> — dismissed</w:t>
            </w: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May 1, 2019</w:t>
            </w:r>
          </w:p>
          <w:p w:rsidR="009B6E02" w:rsidRPr="006D0EDD" w:rsidRDefault="009B6E02" w:rsidP="004D4879">
            <w:pPr>
              <w:jc w:val="both"/>
              <w:rPr>
                <w:sz w:val="20"/>
                <w:lang w:val="en-CA"/>
              </w:rPr>
            </w:pPr>
            <w:r w:rsidRPr="006D0EDD">
              <w:rPr>
                <w:sz w:val="20"/>
                <w:lang w:val="en-CA"/>
              </w:rPr>
              <w:t>Supreme Court of Canada</w:t>
            </w: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 xml:space="preserve">Application for leave to appeal and motion to extend time within which to serve and file application filed by Nicole </w:t>
            </w:r>
            <w:proofErr w:type="spellStart"/>
            <w:r w:rsidRPr="006D0EDD">
              <w:rPr>
                <w:sz w:val="20"/>
                <w:lang w:val="en-CA"/>
              </w:rPr>
              <w:t>Castonguay</w:t>
            </w:r>
            <w:proofErr w:type="spellEnd"/>
          </w:p>
          <w:p w:rsidR="009B6E02" w:rsidRPr="006D0EDD" w:rsidRDefault="009B6E02" w:rsidP="009B6E02">
            <w:pPr>
              <w:jc w:val="both"/>
              <w:rPr>
                <w:sz w:val="20"/>
                <w:lang w:val="en-CA"/>
              </w:rPr>
            </w:pPr>
          </w:p>
        </w:tc>
      </w:tr>
      <w:tr w:rsidR="009B6E02" w:rsidRPr="006D0EDD" w:rsidTr="009B6E02">
        <w:tc>
          <w:tcPr>
            <w:tcW w:w="2427" w:type="pct"/>
            <w:gridSpan w:val="2"/>
          </w:tcPr>
          <w:p w:rsidR="009B6E02" w:rsidRPr="006D0EDD" w:rsidRDefault="009B6E02" w:rsidP="009B6E02">
            <w:pPr>
              <w:jc w:val="both"/>
              <w:rPr>
                <w:sz w:val="20"/>
                <w:lang w:val="en-CA"/>
              </w:rPr>
            </w:pPr>
            <w:r w:rsidRPr="006D0EDD">
              <w:rPr>
                <w:sz w:val="20"/>
                <w:lang w:val="en-CA"/>
              </w:rPr>
              <w:t>May 28, 2019</w:t>
            </w:r>
          </w:p>
          <w:p w:rsidR="009B6E02" w:rsidRPr="006D0EDD" w:rsidRDefault="009B6E02" w:rsidP="004D4879">
            <w:pPr>
              <w:jc w:val="both"/>
              <w:rPr>
                <w:sz w:val="20"/>
                <w:lang w:val="en-CA"/>
              </w:rPr>
            </w:pPr>
            <w:r w:rsidRPr="006D0EDD">
              <w:rPr>
                <w:sz w:val="20"/>
                <w:lang w:val="en-CA"/>
              </w:rPr>
              <w:t>Supreme Court of Canada</w:t>
            </w:r>
          </w:p>
        </w:tc>
        <w:tc>
          <w:tcPr>
            <w:tcW w:w="243" w:type="pct"/>
          </w:tcPr>
          <w:p w:rsidR="009B6E02" w:rsidRPr="006D0EDD" w:rsidRDefault="009B6E02" w:rsidP="009B6E02">
            <w:pPr>
              <w:jc w:val="both"/>
              <w:rPr>
                <w:sz w:val="20"/>
                <w:lang w:val="en-CA"/>
              </w:rPr>
            </w:pPr>
          </w:p>
        </w:tc>
        <w:tc>
          <w:tcPr>
            <w:tcW w:w="2330" w:type="pct"/>
          </w:tcPr>
          <w:p w:rsidR="009B6E02" w:rsidRPr="006D0EDD" w:rsidRDefault="009B6E02" w:rsidP="009B6E02">
            <w:pPr>
              <w:jc w:val="both"/>
              <w:rPr>
                <w:sz w:val="20"/>
                <w:lang w:val="en-CA"/>
              </w:rPr>
            </w:pPr>
            <w:r w:rsidRPr="006D0EDD">
              <w:rPr>
                <w:sz w:val="20"/>
                <w:lang w:val="en-CA"/>
              </w:rPr>
              <w:t>Motion to extend time — granted</w:t>
            </w:r>
          </w:p>
        </w:tc>
      </w:tr>
    </w:tbl>
    <w:p w:rsidR="009B6E02" w:rsidRPr="006D0EDD" w:rsidRDefault="009B6E02" w:rsidP="009B6E02">
      <w:pPr>
        <w:jc w:val="both"/>
        <w:rPr>
          <w:sz w:val="20"/>
          <w:lang w:val="en-CA"/>
        </w:rPr>
      </w:pPr>
    </w:p>
    <w:p w:rsidR="004D4879" w:rsidRPr="006D0EDD" w:rsidRDefault="004D4879" w:rsidP="009B6E02">
      <w:pPr>
        <w:jc w:val="both"/>
        <w:rPr>
          <w:sz w:val="20"/>
          <w:lang w:val="en-CA"/>
        </w:rPr>
      </w:pPr>
      <w:r w:rsidRPr="006D0EDD">
        <w:rPr>
          <w:sz w:val="20"/>
        </w:rPr>
        <w:pict>
          <v:rect id="_x0000_i1035" style="width:2in;height:1pt" o:hrpct="0" o:hralign="center" o:hrstd="t" o:hrnoshade="t" o:hr="t" fillcolor="black [3213]" stroked="f"/>
        </w:pict>
      </w:r>
    </w:p>
    <w:p w:rsidR="004D4879" w:rsidRPr="006D0EDD" w:rsidRDefault="004D4879" w:rsidP="009B6E0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38637</w:t>
            </w:r>
          </w:p>
        </w:tc>
        <w:tc>
          <w:tcPr>
            <w:tcW w:w="4457" w:type="pct"/>
            <w:gridSpan w:val="3"/>
          </w:tcPr>
          <w:p w:rsidR="009B6E02" w:rsidRPr="006D0EDD" w:rsidRDefault="009B6E02" w:rsidP="009B6E02">
            <w:pPr>
              <w:pStyle w:val="SCCLsocParty"/>
              <w:jc w:val="both"/>
              <w:rPr>
                <w:b/>
                <w:sz w:val="20"/>
                <w:szCs w:val="20"/>
              </w:rPr>
            </w:pPr>
            <w:r w:rsidRPr="006D0EDD">
              <w:rPr>
                <w:b/>
                <w:sz w:val="20"/>
                <w:szCs w:val="20"/>
              </w:rPr>
              <w:t>Nicole Doré Castonguay c. Jacques Castonguay</w:t>
            </w:r>
          </w:p>
          <w:p w:rsidR="009B6E02" w:rsidRPr="006D0EDD" w:rsidRDefault="009B6E02" w:rsidP="009B6E02">
            <w:pPr>
              <w:jc w:val="both"/>
              <w:rPr>
                <w:sz w:val="20"/>
              </w:rPr>
            </w:pPr>
            <w:r w:rsidRPr="006D0EDD">
              <w:rPr>
                <w:sz w:val="20"/>
              </w:rPr>
              <w:t>(Qc) (Civile) (Autorisation)</w:t>
            </w: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 xml:space="preserve">Successions — Testaments — Homologation — Procédure civile — Appels — </w:t>
            </w:r>
            <w:proofErr w:type="spellStart"/>
            <w:r w:rsidRPr="006D0EDD">
              <w:rPr>
                <w:i/>
                <w:sz w:val="20"/>
                <w:lang w:val="fr-CA"/>
              </w:rPr>
              <w:t>Res</w:t>
            </w:r>
            <w:proofErr w:type="spellEnd"/>
            <w:r w:rsidRPr="006D0EDD">
              <w:rPr>
                <w:i/>
                <w:sz w:val="20"/>
                <w:lang w:val="fr-CA"/>
              </w:rPr>
              <w:t xml:space="preserve"> </w:t>
            </w:r>
            <w:proofErr w:type="spellStart"/>
            <w:r w:rsidRPr="006D0EDD">
              <w:rPr>
                <w:i/>
                <w:sz w:val="20"/>
                <w:lang w:val="fr-CA"/>
              </w:rPr>
              <w:t>judicata</w:t>
            </w:r>
            <w:proofErr w:type="spellEnd"/>
            <w:r w:rsidRPr="006D0EDD">
              <w:rPr>
                <w:sz w:val="20"/>
                <w:lang w:val="fr-CA"/>
              </w:rPr>
              <w:t xml:space="preserve"> — Première demande en vérification de testament rejetée et caractérisée comme étant abusive — Deuxième demande en vérification de testament rejetée au motif de la « chose jugée » — Est</w:t>
            </w:r>
            <w:r w:rsidRPr="006D0EDD">
              <w:rPr>
                <w:sz w:val="20"/>
                <w:lang w:val="fr-CA"/>
              </w:rPr>
              <w:noBreakHyphen/>
              <w:t>ce que l’erreur grave d’un avocat est un motif permettant l’intervention des tribunaux supérieurs pour infirmer une décision d’un tribunal inférieur afin d’abriter la cliente des effets néfastes de cette erreur? — Est</w:t>
            </w:r>
            <w:r w:rsidRPr="006D0EDD">
              <w:rPr>
                <w:sz w:val="20"/>
                <w:lang w:val="fr-CA"/>
              </w:rPr>
              <w:noBreakHyphen/>
              <w:t>ce que le principe de chose jugée s’applique à un jugement dont la cour constate qu’il est vicié par l’erreur d’un avocat?</w:t>
            </w:r>
          </w:p>
        </w:tc>
      </w:tr>
      <w:tr w:rsidR="009B6E02" w:rsidRPr="006D0EDD" w:rsidTr="009B6E02">
        <w:tc>
          <w:tcPr>
            <w:tcW w:w="5000" w:type="pct"/>
            <w:gridSpan w:val="4"/>
          </w:tcPr>
          <w:p w:rsidR="009B6E02" w:rsidRPr="006D0EDD" w:rsidRDefault="009B6E02" w:rsidP="009B6E02">
            <w:pPr>
              <w:jc w:val="both"/>
              <w:rPr>
                <w:sz w:val="20"/>
                <w:lang w:val="fr-CA"/>
              </w:rPr>
            </w:pPr>
          </w:p>
        </w:tc>
      </w:tr>
      <w:tr w:rsidR="009B6E02" w:rsidRPr="006D0EDD" w:rsidTr="009B6E02">
        <w:tc>
          <w:tcPr>
            <w:tcW w:w="5000" w:type="pct"/>
            <w:gridSpan w:val="4"/>
          </w:tcPr>
          <w:p w:rsidR="009B6E02" w:rsidRPr="006D0EDD" w:rsidRDefault="009B6E02" w:rsidP="009B6E02">
            <w:pPr>
              <w:jc w:val="both"/>
              <w:rPr>
                <w:sz w:val="20"/>
                <w:lang w:val="fr-CA"/>
              </w:rPr>
            </w:pPr>
            <w:r w:rsidRPr="006D0EDD">
              <w:rPr>
                <w:sz w:val="20"/>
                <w:lang w:val="fr-CA"/>
              </w:rPr>
              <w:t>En 2015, la Cour supérieure du Québec déclare Jacques Castonguay inapte. M. Castonguay est décédé en novembre 2016. L’épouse de son frère, la demanderesse Nicole Castonguay, dépose une demande en vérification d’un testament qui aurait été exécuté en présence de témoins mais non daté. Seuls les témoins ont daté leurs signatures (le 31 mai 2016), et un des témoins affirme avoir vu la signature du testateur à la même date. La demanderesse est nommée la seule héritière et légataire selon ce testament. Cependant, une recherche testamentaire démontre l’existence d’un autre testament préalable, signé et notarié en 2010, dans lequel Jacques Castonguay nomme des membres de sa famille, y compris son neveu, l’intimé Jacques Castonguay, comme légataires.</w:t>
            </w:r>
          </w:p>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lang w:val="fr-CA"/>
              </w:rPr>
              <w:t>La demande de vérification du testament de 2016 est rejetée et caractérisée d’abusive. La Cour d’appel du Québec rejette une demande en permission d’appeler ce jugement. Une deuxième demande de vérification du testament de 2016 est rejetée au motif de la « chose jugée », et la Cour d’appel rejette encore une demande en permission d’appeler ce deuxième jugement.</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2 février 2019</w:t>
            </w:r>
          </w:p>
          <w:p w:rsidR="009B6E02" w:rsidRPr="006D0EDD" w:rsidRDefault="009B6E02" w:rsidP="009B6E02">
            <w:pPr>
              <w:jc w:val="both"/>
              <w:rPr>
                <w:sz w:val="20"/>
                <w:lang w:val="fr-CA"/>
              </w:rPr>
            </w:pPr>
            <w:r w:rsidRPr="006D0EDD">
              <w:rPr>
                <w:sz w:val="20"/>
                <w:lang w:val="fr-CA"/>
              </w:rPr>
              <w:t>Cour supérieure du Québec</w:t>
            </w:r>
          </w:p>
          <w:p w:rsidR="009B6E02" w:rsidRPr="006D0EDD" w:rsidRDefault="009B6E02" w:rsidP="009B6E02">
            <w:pPr>
              <w:jc w:val="both"/>
              <w:rPr>
                <w:sz w:val="20"/>
                <w:lang w:val="fr-CA"/>
              </w:rPr>
            </w:pPr>
            <w:r w:rsidRPr="006D0EDD">
              <w:rPr>
                <w:sz w:val="20"/>
                <w:lang w:val="fr-CA"/>
              </w:rPr>
              <w:t>(le juge Emery)</w:t>
            </w:r>
          </w:p>
          <w:p w:rsidR="009B6E02" w:rsidRPr="006D0EDD" w:rsidRDefault="009B6E02" w:rsidP="009B6E02">
            <w:pPr>
              <w:jc w:val="both"/>
              <w:rPr>
                <w:sz w:val="20"/>
                <w:lang w:val="fr-CA"/>
              </w:rPr>
            </w:pPr>
            <w:r w:rsidRPr="006D0EDD">
              <w:rPr>
                <w:sz w:val="20"/>
                <w:lang w:val="fr-CA"/>
              </w:rPr>
              <w:t>N</w:t>
            </w:r>
            <w:r w:rsidRPr="006D0EDD">
              <w:rPr>
                <w:sz w:val="20"/>
                <w:vertAlign w:val="superscript"/>
                <w:lang w:val="fr-CA"/>
              </w:rPr>
              <w:t>o</w:t>
            </w:r>
            <w:r w:rsidRPr="006D0EDD">
              <w:rPr>
                <w:sz w:val="20"/>
                <w:lang w:val="fr-CA"/>
              </w:rPr>
              <w:t xml:space="preserve"> du dossier : 500-14-051003-176</w:t>
            </w:r>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Première demande de Nicole Castonguay en vérification de testament — rejetée</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7 mai 2018</w:t>
            </w:r>
          </w:p>
          <w:p w:rsidR="009B6E02" w:rsidRPr="006D0EDD" w:rsidRDefault="009B6E02" w:rsidP="009B6E02">
            <w:pPr>
              <w:jc w:val="both"/>
              <w:rPr>
                <w:sz w:val="20"/>
                <w:lang w:val="fr-CA"/>
              </w:rPr>
            </w:pPr>
            <w:r w:rsidRPr="006D0EDD">
              <w:rPr>
                <w:sz w:val="20"/>
                <w:lang w:val="fr-CA"/>
              </w:rPr>
              <w:t>Cour d’appel du Québec</w:t>
            </w:r>
          </w:p>
          <w:p w:rsidR="009B6E02" w:rsidRPr="006D0EDD" w:rsidRDefault="009B6E02" w:rsidP="009B6E02">
            <w:pPr>
              <w:jc w:val="both"/>
              <w:rPr>
                <w:sz w:val="20"/>
              </w:rPr>
            </w:pPr>
            <w:r w:rsidRPr="006D0EDD">
              <w:rPr>
                <w:sz w:val="20"/>
              </w:rPr>
              <w:t>(le juge Doyon)</w:t>
            </w:r>
          </w:p>
          <w:p w:rsidR="009B6E02" w:rsidRPr="006D0EDD" w:rsidRDefault="009B6E02" w:rsidP="009B6E02">
            <w:pPr>
              <w:jc w:val="both"/>
              <w:rPr>
                <w:sz w:val="20"/>
              </w:rPr>
            </w:pPr>
            <w:r w:rsidRPr="006D0EDD">
              <w:rPr>
                <w:sz w:val="20"/>
              </w:rPr>
              <w:t>N</w:t>
            </w:r>
            <w:r w:rsidRPr="006D0EDD">
              <w:rPr>
                <w:sz w:val="20"/>
                <w:vertAlign w:val="superscript"/>
              </w:rPr>
              <w:t>o</w:t>
            </w:r>
            <w:r w:rsidRPr="006D0EDD">
              <w:rPr>
                <w:sz w:val="20"/>
              </w:rPr>
              <w:t xml:space="preserve"> du dossier :500-09-027343-185</w:t>
            </w:r>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Première requête en permission d’appeler — rejetée</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color w:val="000000" w:themeColor="text1"/>
                <w:sz w:val="20"/>
                <w:lang w:val="fr-CA"/>
              </w:rPr>
            </w:pPr>
            <w:r w:rsidRPr="006D0EDD">
              <w:rPr>
                <w:color w:val="000000" w:themeColor="text1"/>
                <w:sz w:val="20"/>
                <w:lang w:val="fr-CA"/>
              </w:rPr>
              <w:t>Le 9 octobre 2018</w:t>
            </w:r>
          </w:p>
          <w:p w:rsidR="009B6E02" w:rsidRPr="006D0EDD" w:rsidRDefault="009B6E02" w:rsidP="009B6E02">
            <w:pPr>
              <w:jc w:val="both"/>
              <w:rPr>
                <w:color w:val="000000" w:themeColor="text1"/>
                <w:sz w:val="20"/>
                <w:lang w:val="fr-CA"/>
              </w:rPr>
            </w:pPr>
            <w:r w:rsidRPr="006D0EDD">
              <w:rPr>
                <w:color w:val="000000" w:themeColor="text1"/>
                <w:sz w:val="20"/>
                <w:lang w:val="fr-CA"/>
              </w:rPr>
              <w:t>Cour supérieure du Québec</w:t>
            </w:r>
          </w:p>
          <w:p w:rsidR="009B6E02" w:rsidRPr="006D0EDD" w:rsidRDefault="009B6E02" w:rsidP="009B6E02">
            <w:pPr>
              <w:jc w:val="both"/>
              <w:rPr>
                <w:color w:val="000000" w:themeColor="text1"/>
                <w:sz w:val="20"/>
              </w:rPr>
            </w:pPr>
            <w:r w:rsidRPr="006D0EDD">
              <w:rPr>
                <w:color w:val="000000" w:themeColor="text1"/>
                <w:sz w:val="20"/>
              </w:rPr>
              <w:t xml:space="preserve">(le juge </w:t>
            </w:r>
            <w:proofErr w:type="spellStart"/>
            <w:r w:rsidRPr="006D0EDD">
              <w:rPr>
                <w:color w:val="000000" w:themeColor="text1"/>
                <w:sz w:val="20"/>
              </w:rPr>
              <w:t>Déziel</w:t>
            </w:r>
            <w:proofErr w:type="spellEnd"/>
            <w:r w:rsidRPr="006D0EDD">
              <w:rPr>
                <w:color w:val="000000" w:themeColor="text1"/>
                <w:sz w:val="20"/>
              </w:rPr>
              <w:t>)</w:t>
            </w:r>
          </w:p>
          <w:p w:rsidR="009B6E02" w:rsidRPr="006D0EDD" w:rsidRDefault="009B6E02" w:rsidP="009B6E02">
            <w:pPr>
              <w:jc w:val="both"/>
              <w:rPr>
                <w:color w:val="000000" w:themeColor="text1"/>
                <w:sz w:val="20"/>
              </w:rPr>
            </w:pPr>
            <w:hyperlink r:id="rId32" w:history="1">
              <w:r w:rsidRPr="006D0EDD">
                <w:rPr>
                  <w:rStyle w:val="Hyperlink"/>
                  <w:color w:val="000000" w:themeColor="text1"/>
                  <w:sz w:val="20"/>
                </w:rPr>
                <w:t>2018 QCCS 4602</w:t>
              </w:r>
            </w:hyperlink>
          </w:p>
          <w:p w:rsidR="009B6E02" w:rsidRPr="006D0EDD" w:rsidRDefault="009B6E02" w:rsidP="009B6E02">
            <w:pPr>
              <w:jc w:val="both"/>
              <w:rPr>
                <w:color w:val="000000" w:themeColor="text1"/>
                <w:sz w:val="20"/>
              </w:rPr>
            </w:pPr>
          </w:p>
        </w:tc>
        <w:tc>
          <w:tcPr>
            <w:tcW w:w="243" w:type="pct"/>
          </w:tcPr>
          <w:p w:rsidR="009B6E02" w:rsidRPr="006D0EDD" w:rsidRDefault="009B6E02" w:rsidP="009B6E02">
            <w:pPr>
              <w:jc w:val="both"/>
              <w:rPr>
                <w:sz w:val="20"/>
              </w:rPr>
            </w:pPr>
          </w:p>
          <w:p w:rsidR="009B6E02" w:rsidRPr="006D0EDD" w:rsidRDefault="009B6E02" w:rsidP="009B6E02">
            <w:pPr>
              <w:jc w:val="both"/>
              <w:rPr>
                <w:sz w:val="20"/>
              </w:rPr>
            </w:pPr>
          </w:p>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Deuxième demande de Nicole Castonguay en vérification de testament — rejetée</w:t>
            </w:r>
          </w:p>
          <w:p w:rsidR="009B6E02" w:rsidRPr="006D0EDD" w:rsidRDefault="009B6E02" w:rsidP="009B6E02">
            <w:pPr>
              <w:jc w:val="both"/>
              <w:rPr>
                <w:sz w:val="20"/>
                <w:lang w:val="fr-CA"/>
              </w:rPr>
            </w:pPr>
          </w:p>
          <w:p w:rsidR="009B6E02" w:rsidRPr="006D0EDD" w:rsidRDefault="009B6E02" w:rsidP="009B6E02">
            <w:pPr>
              <w:jc w:val="both"/>
              <w:rPr>
                <w:sz w:val="20"/>
                <w:lang w:val="fr-CA"/>
              </w:rPr>
            </w:pPr>
            <w:r w:rsidRPr="006D0EDD">
              <w:rPr>
                <w:sz w:val="20"/>
                <w:lang w:val="fr-CA"/>
              </w:rPr>
              <w:t>Demande de Jacques Castonguay visant à déclarer abusive la deuxième demande en vérification de testament — rejetée</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color w:val="000000" w:themeColor="text1"/>
                <w:sz w:val="20"/>
                <w:lang w:val="fr-CA"/>
              </w:rPr>
            </w:pPr>
            <w:r w:rsidRPr="006D0EDD">
              <w:rPr>
                <w:color w:val="000000" w:themeColor="text1"/>
                <w:sz w:val="20"/>
                <w:lang w:val="fr-CA"/>
              </w:rPr>
              <w:t>Le 28 décembre 2018</w:t>
            </w:r>
          </w:p>
          <w:p w:rsidR="009B6E02" w:rsidRPr="006D0EDD" w:rsidRDefault="009B6E02" w:rsidP="009B6E02">
            <w:pPr>
              <w:jc w:val="both"/>
              <w:rPr>
                <w:color w:val="000000" w:themeColor="text1"/>
                <w:sz w:val="20"/>
                <w:lang w:val="fr-CA"/>
              </w:rPr>
            </w:pPr>
            <w:r w:rsidRPr="006D0EDD">
              <w:rPr>
                <w:color w:val="000000" w:themeColor="text1"/>
                <w:sz w:val="20"/>
                <w:lang w:val="fr-CA"/>
              </w:rPr>
              <w:t>Cour d’appel du Québec (Montréal)</w:t>
            </w:r>
          </w:p>
          <w:p w:rsidR="009B6E02" w:rsidRPr="006D0EDD" w:rsidRDefault="009B6E02" w:rsidP="009B6E02">
            <w:pPr>
              <w:jc w:val="both"/>
              <w:rPr>
                <w:color w:val="000000" w:themeColor="text1"/>
                <w:sz w:val="20"/>
              </w:rPr>
            </w:pPr>
            <w:r w:rsidRPr="006D0EDD">
              <w:rPr>
                <w:color w:val="000000" w:themeColor="text1"/>
                <w:sz w:val="20"/>
              </w:rPr>
              <w:t>(le juge Healy)</w:t>
            </w:r>
          </w:p>
          <w:p w:rsidR="009B6E02" w:rsidRPr="006D0EDD" w:rsidRDefault="009B6E02" w:rsidP="009B6E02">
            <w:pPr>
              <w:jc w:val="both"/>
              <w:rPr>
                <w:rStyle w:val="Hyperlink"/>
                <w:color w:val="000000" w:themeColor="text1"/>
                <w:sz w:val="20"/>
                <w:u w:val="none"/>
              </w:rPr>
            </w:pPr>
            <w:hyperlink r:id="rId33" w:history="1">
              <w:r w:rsidRPr="006D0EDD">
                <w:rPr>
                  <w:rStyle w:val="Hyperlink"/>
                  <w:color w:val="000000" w:themeColor="text1"/>
                  <w:sz w:val="20"/>
                </w:rPr>
                <w:t>2018 QCCA 2197</w:t>
              </w:r>
            </w:hyperlink>
          </w:p>
          <w:p w:rsidR="004D4879" w:rsidRPr="006D0EDD" w:rsidRDefault="004D4879" w:rsidP="009B6E02">
            <w:pPr>
              <w:jc w:val="both"/>
              <w:rPr>
                <w:color w:val="000000" w:themeColor="text1"/>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lang w:val="fr-CA"/>
              </w:rPr>
            </w:pPr>
            <w:r w:rsidRPr="006D0EDD">
              <w:rPr>
                <w:sz w:val="20"/>
                <w:lang w:val="fr-CA"/>
              </w:rPr>
              <w:t>Deuxième requête en permission d’appeler déposée par Nicole Castonguay — rejetée</w:t>
            </w:r>
          </w:p>
          <w:p w:rsidR="009B6E02" w:rsidRPr="006D0EDD" w:rsidRDefault="009B6E02" w:rsidP="009B6E02">
            <w:pPr>
              <w:jc w:val="both"/>
              <w:rPr>
                <w:sz w:val="20"/>
                <w:lang w:val="fr-CA"/>
              </w:rPr>
            </w:pP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1 mai 2019</w:t>
            </w:r>
          </w:p>
          <w:p w:rsidR="009B6E02" w:rsidRPr="006D0EDD" w:rsidRDefault="009B6E02" w:rsidP="009B6E02">
            <w:pPr>
              <w:jc w:val="both"/>
              <w:rPr>
                <w:sz w:val="20"/>
                <w:lang w:val="fr-CA"/>
              </w:rPr>
            </w:pPr>
            <w:r w:rsidRPr="006D0EDD">
              <w:rPr>
                <w:sz w:val="20"/>
                <w:lang w:val="fr-CA"/>
              </w:rPr>
              <w:t>Cour suprême du Canada</w:t>
            </w:r>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 xml:space="preserve">Demande d’autorisation d’appel et requête en prorogation de délai pour signifier et déposer </w:t>
            </w:r>
            <w:proofErr w:type="gramStart"/>
            <w:r w:rsidRPr="006D0EDD">
              <w:rPr>
                <w:sz w:val="20"/>
                <w:lang w:val="fr-CA"/>
              </w:rPr>
              <w:t>la demande, déposées</w:t>
            </w:r>
            <w:proofErr w:type="gramEnd"/>
            <w:r w:rsidRPr="006D0EDD">
              <w:rPr>
                <w:sz w:val="20"/>
                <w:lang w:val="fr-CA"/>
              </w:rPr>
              <w:t xml:space="preserve"> par Nicole Castonguay</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Le 28 mai 2019</w:t>
            </w:r>
          </w:p>
          <w:p w:rsidR="009B6E02" w:rsidRPr="006D0EDD" w:rsidRDefault="009B6E02" w:rsidP="00475CA0">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Requête en prorogation de délai — accueillie</w:t>
            </w:r>
          </w:p>
        </w:tc>
      </w:tr>
    </w:tbl>
    <w:p w:rsidR="009B6E02" w:rsidRPr="006D0EDD" w:rsidRDefault="009B6E02" w:rsidP="009B6E02">
      <w:pPr>
        <w:jc w:val="both"/>
        <w:rPr>
          <w:sz w:val="20"/>
          <w:lang w:val="fr-CA"/>
        </w:rPr>
      </w:pPr>
    </w:p>
    <w:p w:rsidR="00475CA0" w:rsidRPr="006D0EDD" w:rsidRDefault="00475CA0" w:rsidP="009B6E02">
      <w:pPr>
        <w:jc w:val="both"/>
        <w:rPr>
          <w:sz w:val="20"/>
          <w:lang w:val="fr-CA"/>
        </w:rPr>
      </w:pPr>
      <w:r w:rsidRPr="006D0EDD">
        <w:rPr>
          <w:sz w:val="20"/>
        </w:rPr>
        <w:pict>
          <v:rect id="_x0000_i1036" style="width:2in;height:1pt" o:hrpct="0" o:hralign="center" o:hrstd="t" o:hrnoshade="t" o:hr="t" fillcolor="black [3213]" stroked="f"/>
        </w:pict>
      </w:r>
    </w:p>
    <w:p w:rsidR="009B6E02" w:rsidRPr="006D0EDD" w:rsidRDefault="009B6E02" w:rsidP="009B6E0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rPr>
            </w:pPr>
            <w:r w:rsidRPr="006D0EDD">
              <w:rPr>
                <w:rStyle w:val="SCCFileNumberChar"/>
                <w:sz w:val="20"/>
                <w:szCs w:val="20"/>
              </w:rPr>
              <w:t>38587</w:t>
            </w:r>
          </w:p>
        </w:tc>
        <w:tc>
          <w:tcPr>
            <w:tcW w:w="4457" w:type="pct"/>
            <w:gridSpan w:val="3"/>
          </w:tcPr>
          <w:p w:rsidR="009B6E02" w:rsidRPr="006D0EDD" w:rsidRDefault="009B6E02" w:rsidP="009B6E02">
            <w:pPr>
              <w:pStyle w:val="SCCLsocParty"/>
              <w:jc w:val="both"/>
              <w:rPr>
                <w:b/>
                <w:sz w:val="20"/>
                <w:szCs w:val="20"/>
                <w:lang w:val="en-US"/>
              </w:rPr>
            </w:pPr>
            <w:r w:rsidRPr="006D0EDD">
              <w:rPr>
                <w:b/>
                <w:sz w:val="20"/>
                <w:szCs w:val="20"/>
                <w:lang w:val="en-US"/>
              </w:rPr>
              <w:t xml:space="preserve">Northern Sunrise County v. Bank of Nova Scotia, Alvarez &amp; </w:t>
            </w:r>
            <w:proofErr w:type="spellStart"/>
            <w:r w:rsidRPr="006D0EDD">
              <w:rPr>
                <w:b/>
                <w:sz w:val="20"/>
                <w:szCs w:val="20"/>
                <w:lang w:val="en-US"/>
              </w:rPr>
              <w:t>Marsal</w:t>
            </w:r>
            <w:proofErr w:type="spellEnd"/>
            <w:r w:rsidRPr="006D0EDD">
              <w:rPr>
                <w:b/>
                <w:sz w:val="20"/>
                <w:szCs w:val="20"/>
                <w:lang w:val="en-US"/>
              </w:rPr>
              <w:t xml:space="preserve"> Canada Inc. in its capacity as Court-appointed Receiver and Manager of the assets, undertakings and property of Virginia Hills Oil Corp. and Dolomite Energy Inc.</w:t>
            </w:r>
          </w:p>
          <w:p w:rsidR="009B6E02" w:rsidRPr="006D0EDD" w:rsidRDefault="009B6E02" w:rsidP="009B6E02">
            <w:pPr>
              <w:pStyle w:val="SCCLsocSubfileSeparator"/>
              <w:rPr>
                <w:sz w:val="20"/>
                <w:szCs w:val="20"/>
              </w:rPr>
            </w:pPr>
            <w:r w:rsidRPr="006D0EDD">
              <w:rPr>
                <w:sz w:val="20"/>
                <w:szCs w:val="20"/>
              </w:rPr>
              <w:t>- and between -</w:t>
            </w:r>
          </w:p>
          <w:p w:rsidR="009B6E02" w:rsidRPr="006D0EDD" w:rsidRDefault="009B6E02" w:rsidP="009B6E02">
            <w:pPr>
              <w:pStyle w:val="SCCLsocParty"/>
              <w:jc w:val="both"/>
              <w:rPr>
                <w:b/>
                <w:sz w:val="20"/>
                <w:szCs w:val="20"/>
                <w:lang w:val="en-US"/>
              </w:rPr>
            </w:pPr>
            <w:r w:rsidRPr="006D0EDD">
              <w:rPr>
                <w:b/>
                <w:sz w:val="20"/>
                <w:szCs w:val="20"/>
                <w:lang w:val="en-US"/>
              </w:rPr>
              <w:t xml:space="preserve">Municipal District of Opportunity No. 17 and Lamont County v. Bank of Nova Scotia, Alberta Treasury Branches, Alvarez &amp; </w:t>
            </w:r>
            <w:proofErr w:type="spellStart"/>
            <w:r w:rsidRPr="006D0EDD">
              <w:rPr>
                <w:b/>
                <w:sz w:val="20"/>
                <w:szCs w:val="20"/>
                <w:lang w:val="en-US"/>
              </w:rPr>
              <w:t>Marsal</w:t>
            </w:r>
            <w:proofErr w:type="spellEnd"/>
            <w:r w:rsidRPr="006D0EDD">
              <w:rPr>
                <w:b/>
                <w:sz w:val="20"/>
                <w:szCs w:val="20"/>
                <w:lang w:val="en-US"/>
              </w:rPr>
              <w:t xml:space="preserve"> Canada Inc. in its capacity as Court-appointed Receiver and Manager of the assets, undertakings and property of Virginia Hills Oil Corp. and Dolomite Energy Inc.</w:t>
            </w:r>
          </w:p>
          <w:p w:rsidR="009B6E02" w:rsidRPr="006D0EDD" w:rsidRDefault="009B6E02" w:rsidP="009B6E02">
            <w:pPr>
              <w:jc w:val="both"/>
              <w:rPr>
                <w:sz w:val="20"/>
              </w:rPr>
            </w:pPr>
            <w:r w:rsidRPr="006D0EDD">
              <w:rPr>
                <w:sz w:val="20"/>
              </w:rPr>
              <w:t>(Alta.) (Civil) (By Leave)</w:t>
            </w:r>
          </w:p>
        </w:tc>
      </w:tr>
      <w:tr w:rsidR="009B6E02" w:rsidRPr="006D0EDD" w:rsidTr="009B6E02">
        <w:tc>
          <w:tcPr>
            <w:tcW w:w="5000" w:type="pct"/>
            <w:gridSpan w:val="4"/>
          </w:tcPr>
          <w:p w:rsidR="009B6E02" w:rsidRPr="006D0EDD" w:rsidRDefault="009B6E02" w:rsidP="009B6E02">
            <w:pPr>
              <w:ind w:right="90"/>
              <w:jc w:val="both"/>
              <w:rPr>
                <w:sz w:val="20"/>
              </w:rPr>
            </w:pPr>
            <w:r w:rsidRPr="006D0EDD">
              <w:rPr>
                <w:sz w:val="20"/>
              </w:rPr>
              <w:t>Bankruptcy and insolvency – Receiver – Priorities in bankruptcy – Legislation – Interpretation – Taxation legislation – Municipal law – Taxation – Linear taxes – Oil and gas companies owing municipal tax arrears for its pipelines in bankruptcy proceedings – Whether municipal tax arrears were unsecured.</w:t>
            </w:r>
          </w:p>
          <w:p w:rsidR="009B6E02" w:rsidRPr="006D0EDD" w:rsidRDefault="009B6E02" w:rsidP="009B6E02">
            <w:pPr>
              <w:jc w:val="both"/>
              <w:rPr>
                <w:sz w:val="20"/>
              </w:rPr>
            </w:pPr>
          </w:p>
        </w:tc>
      </w:tr>
      <w:tr w:rsidR="009B6E02" w:rsidRPr="006D0EDD" w:rsidTr="009B6E02">
        <w:tc>
          <w:tcPr>
            <w:tcW w:w="5000" w:type="pct"/>
            <w:gridSpan w:val="4"/>
          </w:tcPr>
          <w:tbl>
            <w:tblPr>
              <w:tblW w:w="9919" w:type="dxa"/>
              <w:tblBorders>
                <w:insideH w:val="nil"/>
                <w:insideV w:val="nil"/>
              </w:tblBorders>
              <w:tblLayout w:type="fixed"/>
              <w:tblCellMar>
                <w:left w:w="0" w:type="dxa"/>
                <w:right w:w="0" w:type="dxa"/>
              </w:tblCellMar>
              <w:tblLook w:val="04A0" w:firstRow="1" w:lastRow="0" w:firstColumn="1" w:lastColumn="0" w:noHBand="0" w:noVBand="1"/>
            </w:tblPr>
            <w:tblGrid>
              <w:gridCol w:w="9919"/>
            </w:tblGrid>
            <w:tr w:rsidR="009B6E02" w:rsidRPr="006D0EDD" w:rsidTr="009B6E02">
              <w:trPr>
                <w:trHeight w:val="288"/>
              </w:trPr>
              <w:tc>
                <w:tcPr>
                  <w:tcW w:w="5000" w:type="pct"/>
                  <w:tcBorders>
                    <w:top w:val="nil"/>
                    <w:left w:val="nil"/>
                    <w:bottom w:val="nil"/>
                    <w:right w:val="nil"/>
                  </w:tcBorders>
                  <w:tcMar>
                    <w:top w:w="120" w:type="dxa"/>
                    <w:left w:w="120" w:type="dxa"/>
                    <w:bottom w:w="58" w:type="dxa"/>
                    <w:right w:w="120" w:type="dxa"/>
                  </w:tcMar>
                  <w:hideMark/>
                </w:tcPr>
                <w:p w:rsidR="009B6E02" w:rsidRPr="006D0EDD" w:rsidRDefault="009B6E02" w:rsidP="009B6E02">
                  <w:pPr>
                    <w:ind w:left="-120" w:right="619"/>
                    <w:jc w:val="both"/>
                    <w:rPr>
                      <w:sz w:val="20"/>
                    </w:rPr>
                  </w:pPr>
                  <w:r w:rsidRPr="006D0EDD">
                    <w:rPr>
                      <w:sz w:val="20"/>
                      <w:lang w:val="en"/>
                    </w:rPr>
                    <w:t xml:space="preserve">Virginia Hills Oil Corp. and Dolomite Energy Inc. (the “Debtors”) are insolvent energy companies that were declared bankrupt on May 3, 2017.  The Debtors owed linear property tax arrears to the applicants, Northern Sunrise County, Municipal District of Opportunity No 17, and Lamont County (collectively the “Municipalities”).   The respondents are </w:t>
                  </w:r>
                  <w:r w:rsidRPr="006D0EDD">
                    <w:rPr>
                      <w:sz w:val="20"/>
                    </w:rPr>
                    <w:t xml:space="preserve">Alvarez &amp; Marsal Canada Inc. (the Receiver”) and the Bank of Nova Scotia. </w:t>
                  </w:r>
                  <w:r w:rsidRPr="006D0EDD">
                    <w:rPr>
                      <w:sz w:val="20"/>
                      <w:lang w:val="en"/>
                    </w:rPr>
                    <w:t xml:space="preserve"> The Debtors’ property was sold by the Receiver and a first distribution of the proceeds of sale was made to secured creditors.  The Municipalities did not advance claims as secured creditors in the bankruptcy at any time prior to the granting of an Order for Advice and Directions and Distribution of Funds. Although the Municipalities were given notice of the proceeding that led to the Order, they did not appear at the hearing, and made no submissions.  That order declared the linear property tax claims of the Municipalities to be unsecured claims against the Debtors only, and not against their property.  The Receiver made a final distribution of all recovered funds to the secured creditors and no funds remained to pay the Municipalities’ claims. After the distribution, Northern Sunrise appealed the Order. The remaining Municipalities were added as appellants. The Municipalities argued for the first time on appeal that their claims for linear property tax arrears were secured claims pursuant to </w:t>
                  </w:r>
                  <w:hyperlink r:id="rId34" w:anchor="sec348_smooth" w:history="1">
                    <w:r w:rsidRPr="006D0EDD">
                      <w:rPr>
                        <w:rStyle w:val="Hyperlink"/>
                        <w:sz w:val="20"/>
                        <w:lang w:val="en"/>
                      </w:rPr>
                      <w:t>s. 348</w:t>
                    </w:r>
                  </w:hyperlink>
                  <w:r w:rsidRPr="006D0EDD">
                    <w:rPr>
                      <w:sz w:val="20"/>
                      <w:lang w:val="en"/>
                    </w:rPr>
                    <w:t xml:space="preserve"> of the </w:t>
                  </w:r>
                  <w:r w:rsidRPr="006D0EDD">
                    <w:rPr>
                      <w:i/>
                      <w:iCs/>
                      <w:sz w:val="20"/>
                      <w:lang w:val="en"/>
                    </w:rPr>
                    <w:t>Municipal Government Act</w:t>
                  </w:r>
                  <w:r w:rsidRPr="006D0EDD">
                    <w:rPr>
                      <w:iCs/>
                      <w:sz w:val="20"/>
                      <w:lang w:val="en"/>
                    </w:rPr>
                    <w:t xml:space="preserve">, R.S.A. 2000, c. M-26 </w:t>
                  </w:r>
                  <w:r w:rsidRPr="006D0EDD">
                    <w:rPr>
                      <w:sz w:val="20"/>
                      <w:lang w:val="en"/>
                    </w:rPr>
                    <w:t xml:space="preserve">and the </w:t>
                  </w:r>
                  <w:hyperlink r:id="rId35" w:history="1">
                    <w:r w:rsidRPr="006D0EDD">
                      <w:rPr>
                        <w:rStyle w:val="Hyperlink"/>
                        <w:i/>
                        <w:iCs/>
                        <w:sz w:val="20"/>
                        <w:lang w:val="en"/>
                      </w:rPr>
                      <w:t>Bankruptcy and Insolvency Act</w:t>
                    </w:r>
                    <w:r w:rsidRPr="006D0EDD">
                      <w:rPr>
                        <w:rStyle w:val="Hyperlink"/>
                        <w:sz w:val="20"/>
                        <w:lang w:val="en"/>
                      </w:rPr>
                      <w:t>, R.S.C.1985, c. B-3</w:t>
                    </w:r>
                  </w:hyperlink>
                  <w:r w:rsidRPr="006D0EDD">
                    <w:rPr>
                      <w:sz w:val="20"/>
                      <w:lang w:val="en"/>
                    </w:rPr>
                    <w:t xml:space="preserve">. </w:t>
                  </w:r>
                  <w:r w:rsidRPr="006D0EDD">
                    <w:rPr>
                      <w:sz w:val="20"/>
                    </w:rPr>
                    <w:t>The application judge determined that the Municipalities were unsecured creditors.  That decision was upheld on appeal.</w:t>
                  </w:r>
                </w:p>
                <w:p w:rsidR="009B6E02" w:rsidRPr="006D0EDD" w:rsidRDefault="009B6E02" w:rsidP="009B6E02">
                  <w:pPr>
                    <w:ind w:right="619"/>
                    <w:jc w:val="both"/>
                    <w:rPr>
                      <w:sz w:val="20"/>
                      <w:lang w:val="en"/>
                    </w:rPr>
                  </w:pPr>
                </w:p>
              </w:tc>
            </w:tr>
          </w:tbl>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June 20, 2017</w:t>
            </w:r>
          </w:p>
          <w:p w:rsidR="009B6E02" w:rsidRPr="006D0EDD" w:rsidRDefault="009B6E02" w:rsidP="009B6E02">
            <w:pPr>
              <w:jc w:val="both"/>
              <w:rPr>
                <w:sz w:val="20"/>
              </w:rPr>
            </w:pPr>
            <w:r w:rsidRPr="006D0EDD">
              <w:rPr>
                <w:sz w:val="20"/>
              </w:rPr>
              <w:t>Court of Queen’s Bench of Alberta</w:t>
            </w:r>
          </w:p>
          <w:p w:rsidR="009B6E02" w:rsidRPr="006D0EDD" w:rsidRDefault="009B6E02" w:rsidP="009B6E02">
            <w:pPr>
              <w:jc w:val="both"/>
              <w:rPr>
                <w:sz w:val="20"/>
              </w:rPr>
            </w:pPr>
            <w:r w:rsidRPr="006D0EDD">
              <w:rPr>
                <w:sz w:val="20"/>
              </w:rPr>
              <w:t>(Yamauchi J.)</w:t>
            </w:r>
          </w:p>
          <w:p w:rsidR="009B6E02" w:rsidRPr="006D0EDD" w:rsidRDefault="009B6E02" w:rsidP="009B6E02">
            <w:pPr>
              <w:jc w:val="both"/>
              <w:rPr>
                <w:sz w:val="20"/>
              </w:rPr>
            </w:pPr>
            <w:r w:rsidRPr="006D0EDD">
              <w:rPr>
                <w:sz w:val="20"/>
              </w:rPr>
              <w:t>Unreported</w:t>
            </w:r>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Linear tax claims of applicant municipalities held to form unsecured claims only against debtors and not against debtors’ property</w:t>
            </w:r>
          </w:p>
        </w:tc>
      </w:tr>
      <w:tr w:rsidR="009B6E02" w:rsidRPr="006D0EDD" w:rsidTr="009B6E02">
        <w:tc>
          <w:tcPr>
            <w:tcW w:w="2427" w:type="pct"/>
            <w:gridSpan w:val="2"/>
          </w:tcPr>
          <w:p w:rsidR="009B6E02" w:rsidRPr="006D0EDD" w:rsidRDefault="009B6E02" w:rsidP="009B6E02">
            <w:pPr>
              <w:jc w:val="both"/>
              <w:rPr>
                <w:sz w:val="20"/>
              </w:rPr>
            </w:pPr>
            <w:r w:rsidRPr="006D0EDD">
              <w:rPr>
                <w:sz w:val="20"/>
              </w:rPr>
              <w:t>February 12, 2019</w:t>
            </w:r>
          </w:p>
          <w:p w:rsidR="009B6E02" w:rsidRPr="006D0EDD" w:rsidRDefault="009B6E02" w:rsidP="009B6E02">
            <w:pPr>
              <w:jc w:val="both"/>
              <w:rPr>
                <w:sz w:val="20"/>
              </w:rPr>
            </w:pPr>
            <w:r w:rsidRPr="006D0EDD">
              <w:rPr>
                <w:sz w:val="20"/>
              </w:rPr>
              <w:t>Court of Appeal of Alberta (Calgary)</w:t>
            </w:r>
          </w:p>
          <w:p w:rsidR="009B6E02" w:rsidRPr="006D0EDD" w:rsidRDefault="009B6E02" w:rsidP="009B6E02">
            <w:pPr>
              <w:jc w:val="both"/>
              <w:rPr>
                <w:color w:val="000000" w:themeColor="text1"/>
                <w:sz w:val="20"/>
              </w:rPr>
            </w:pPr>
            <w:r w:rsidRPr="006D0EDD">
              <w:rPr>
                <w:sz w:val="20"/>
              </w:rPr>
              <w:t>(</w:t>
            </w:r>
            <w:r w:rsidRPr="006D0EDD">
              <w:rPr>
                <w:color w:val="000000" w:themeColor="text1"/>
                <w:sz w:val="20"/>
              </w:rPr>
              <w:t>Bielby, Veldhuis and Strekaf JJ.A.)</w:t>
            </w:r>
          </w:p>
          <w:p w:rsidR="009B6E02" w:rsidRPr="006D0EDD" w:rsidRDefault="009B6E02" w:rsidP="009B6E02">
            <w:pPr>
              <w:jc w:val="both"/>
              <w:rPr>
                <w:sz w:val="20"/>
              </w:rPr>
            </w:pPr>
            <w:hyperlink r:id="rId36" w:history="1">
              <w:r w:rsidRPr="006D0EDD">
                <w:rPr>
                  <w:rStyle w:val="Hyperlink"/>
                  <w:color w:val="000000" w:themeColor="text1"/>
                  <w:sz w:val="20"/>
                </w:rPr>
                <w:t>2019 ABCA 61</w:t>
              </w:r>
            </w:hyperlink>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Applicants’ appeal dismissed</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April 10, 2019</w:t>
            </w:r>
          </w:p>
          <w:p w:rsidR="009B6E02" w:rsidRPr="006D0EDD" w:rsidRDefault="009B6E02" w:rsidP="009B6E02">
            <w:pPr>
              <w:jc w:val="both"/>
              <w:rPr>
                <w:sz w:val="20"/>
              </w:rPr>
            </w:pPr>
            <w:r w:rsidRPr="006D0EDD">
              <w:rPr>
                <w:sz w:val="20"/>
              </w:rPr>
              <w:t>Supreme Court of Canada</w:t>
            </w:r>
          </w:p>
          <w:p w:rsidR="009B6E02" w:rsidRPr="006D0EDD" w:rsidRDefault="009B6E02" w:rsidP="009B6E02">
            <w:pPr>
              <w:jc w:val="both"/>
              <w:rPr>
                <w:sz w:val="20"/>
              </w:rPr>
            </w:pP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Application for leave to appeal filed</w:t>
            </w:r>
          </w:p>
          <w:p w:rsidR="009B6E02" w:rsidRPr="006D0EDD" w:rsidRDefault="009B6E02" w:rsidP="009B6E02">
            <w:pPr>
              <w:jc w:val="both"/>
              <w:rPr>
                <w:sz w:val="20"/>
              </w:rPr>
            </w:pPr>
          </w:p>
        </w:tc>
      </w:tr>
      <w:tr w:rsidR="009B6E02" w:rsidRPr="006D0EDD" w:rsidTr="009B6E02">
        <w:tc>
          <w:tcPr>
            <w:tcW w:w="2427" w:type="pct"/>
            <w:gridSpan w:val="2"/>
          </w:tcPr>
          <w:p w:rsidR="009B6E02" w:rsidRPr="006D0EDD" w:rsidRDefault="009B6E02" w:rsidP="009B6E02">
            <w:pPr>
              <w:jc w:val="both"/>
              <w:rPr>
                <w:sz w:val="20"/>
              </w:rPr>
            </w:pPr>
            <w:r w:rsidRPr="006D0EDD">
              <w:rPr>
                <w:sz w:val="20"/>
              </w:rPr>
              <w:t>April 11, 2019</w:t>
            </w:r>
          </w:p>
          <w:p w:rsidR="009B6E02" w:rsidRPr="006D0EDD" w:rsidRDefault="009B6E02" w:rsidP="009B6E02">
            <w:pPr>
              <w:jc w:val="both"/>
              <w:rPr>
                <w:sz w:val="20"/>
              </w:rPr>
            </w:pPr>
            <w:r w:rsidRPr="006D0EDD">
              <w:rPr>
                <w:sz w:val="20"/>
              </w:rPr>
              <w:t>Supreme Court of Canada</w:t>
            </w:r>
          </w:p>
        </w:tc>
        <w:tc>
          <w:tcPr>
            <w:tcW w:w="243" w:type="pct"/>
          </w:tcPr>
          <w:p w:rsidR="009B6E02" w:rsidRPr="006D0EDD" w:rsidRDefault="009B6E02" w:rsidP="009B6E02">
            <w:pPr>
              <w:jc w:val="both"/>
              <w:rPr>
                <w:sz w:val="20"/>
              </w:rPr>
            </w:pPr>
          </w:p>
        </w:tc>
        <w:tc>
          <w:tcPr>
            <w:tcW w:w="2330" w:type="pct"/>
          </w:tcPr>
          <w:p w:rsidR="009B6E02" w:rsidRPr="006D0EDD" w:rsidRDefault="009B6E02" w:rsidP="009B6E02">
            <w:pPr>
              <w:jc w:val="both"/>
              <w:rPr>
                <w:sz w:val="20"/>
              </w:rPr>
            </w:pPr>
            <w:r w:rsidRPr="006D0EDD">
              <w:rPr>
                <w:sz w:val="20"/>
              </w:rPr>
              <w:t>Application for leave to appeal filed</w:t>
            </w:r>
          </w:p>
          <w:p w:rsidR="009B6E02" w:rsidRPr="006D0EDD" w:rsidRDefault="009B6E02" w:rsidP="009B6E02">
            <w:pPr>
              <w:jc w:val="both"/>
              <w:rPr>
                <w:sz w:val="20"/>
              </w:rPr>
            </w:pPr>
          </w:p>
        </w:tc>
      </w:tr>
    </w:tbl>
    <w:p w:rsidR="009B6E02" w:rsidRPr="006D0EDD" w:rsidRDefault="009B6E02" w:rsidP="009B6E02">
      <w:pPr>
        <w:jc w:val="both"/>
        <w:rPr>
          <w:sz w:val="20"/>
        </w:rPr>
      </w:pPr>
    </w:p>
    <w:p w:rsidR="00475CA0" w:rsidRPr="006D0EDD" w:rsidRDefault="00475CA0" w:rsidP="009B6E02">
      <w:pPr>
        <w:jc w:val="both"/>
        <w:rPr>
          <w:sz w:val="20"/>
        </w:rPr>
      </w:pPr>
      <w:r w:rsidRPr="006D0EDD">
        <w:rPr>
          <w:sz w:val="20"/>
        </w:rPr>
        <w:pict>
          <v:rect id="_x0000_i1037" style="width:2in;height:1pt" o:hrpct="0" o:hralign="center" o:hrstd="t" o:hrnoshade="t" o:hr="t" fillcolor="black [3213]" stroked="f"/>
        </w:pict>
      </w:r>
    </w:p>
    <w:p w:rsidR="00475CA0" w:rsidRPr="006D0EDD" w:rsidRDefault="00475CA0" w:rsidP="009B6E0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B6E02" w:rsidRPr="006D0EDD" w:rsidTr="009B6E02">
        <w:tc>
          <w:tcPr>
            <w:tcW w:w="543" w:type="pct"/>
          </w:tcPr>
          <w:p w:rsidR="009B6E02" w:rsidRPr="006D0EDD" w:rsidRDefault="009B6E02" w:rsidP="009B6E02">
            <w:pPr>
              <w:jc w:val="both"/>
              <w:rPr>
                <w:sz w:val="20"/>
                <w:lang w:val="fr-CA"/>
              </w:rPr>
            </w:pPr>
            <w:r w:rsidRPr="006D0EDD">
              <w:rPr>
                <w:rStyle w:val="SCCFileNumberChar"/>
                <w:sz w:val="20"/>
                <w:szCs w:val="20"/>
                <w:lang w:val="fr-CA"/>
              </w:rPr>
              <w:t>38587</w:t>
            </w:r>
          </w:p>
        </w:tc>
        <w:tc>
          <w:tcPr>
            <w:tcW w:w="4457" w:type="pct"/>
            <w:gridSpan w:val="3"/>
          </w:tcPr>
          <w:p w:rsidR="009B6E02" w:rsidRPr="006D0EDD" w:rsidRDefault="009B6E02" w:rsidP="009B6E02">
            <w:pPr>
              <w:pStyle w:val="SCCLsocParty"/>
              <w:jc w:val="both"/>
              <w:rPr>
                <w:b/>
                <w:sz w:val="20"/>
                <w:szCs w:val="20"/>
              </w:rPr>
            </w:pPr>
            <w:proofErr w:type="spellStart"/>
            <w:r w:rsidRPr="006D0EDD">
              <w:rPr>
                <w:b/>
                <w:sz w:val="20"/>
                <w:szCs w:val="20"/>
              </w:rPr>
              <w:t>Northern</w:t>
            </w:r>
            <w:proofErr w:type="spellEnd"/>
            <w:r w:rsidRPr="006D0EDD">
              <w:rPr>
                <w:b/>
                <w:sz w:val="20"/>
                <w:szCs w:val="20"/>
              </w:rPr>
              <w:t xml:space="preserve"> </w:t>
            </w:r>
            <w:proofErr w:type="spellStart"/>
            <w:r w:rsidRPr="006D0EDD">
              <w:rPr>
                <w:b/>
                <w:sz w:val="20"/>
                <w:szCs w:val="20"/>
              </w:rPr>
              <w:t>Sunrise</w:t>
            </w:r>
            <w:proofErr w:type="spellEnd"/>
            <w:r w:rsidRPr="006D0EDD">
              <w:rPr>
                <w:b/>
                <w:sz w:val="20"/>
                <w:szCs w:val="20"/>
              </w:rPr>
              <w:t xml:space="preserve"> </w:t>
            </w:r>
            <w:proofErr w:type="spellStart"/>
            <w:r w:rsidRPr="006D0EDD">
              <w:rPr>
                <w:b/>
                <w:sz w:val="20"/>
                <w:szCs w:val="20"/>
              </w:rPr>
              <w:t>County</w:t>
            </w:r>
            <w:proofErr w:type="spellEnd"/>
            <w:r w:rsidRPr="006D0EDD">
              <w:rPr>
                <w:b/>
                <w:sz w:val="20"/>
                <w:szCs w:val="20"/>
              </w:rPr>
              <w:t xml:space="preserve"> c. La Banque de Nouvelle-Écosse, Alvarez &amp; </w:t>
            </w:r>
            <w:proofErr w:type="spellStart"/>
            <w:r w:rsidRPr="006D0EDD">
              <w:rPr>
                <w:b/>
                <w:sz w:val="20"/>
                <w:szCs w:val="20"/>
              </w:rPr>
              <w:t>Marsal</w:t>
            </w:r>
            <w:proofErr w:type="spellEnd"/>
            <w:r w:rsidRPr="006D0EDD">
              <w:rPr>
                <w:b/>
                <w:sz w:val="20"/>
                <w:szCs w:val="20"/>
              </w:rPr>
              <w:t xml:space="preserve"> Canada Inc. en sa qualité de séquestre et gérant des biens et des entreprises nommé par le tribunal de Virginia </w:t>
            </w:r>
            <w:proofErr w:type="spellStart"/>
            <w:r w:rsidRPr="006D0EDD">
              <w:rPr>
                <w:b/>
                <w:sz w:val="20"/>
                <w:szCs w:val="20"/>
              </w:rPr>
              <w:t>Hills</w:t>
            </w:r>
            <w:proofErr w:type="spellEnd"/>
            <w:r w:rsidRPr="006D0EDD">
              <w:rPr>
                <w:b/>
                <w:sz w:val="20"/>
                <w:szCs w:val="20"/>
              </w:rPr>
              <w:t xml:space="preserve"> </w:t>
            </w:r>
            <w:proofErr w:type="spellStart"/>
            <w:r w:rsidRPr="006D0EDD">
              <w:rPr>
                <w:b/>
                <w:sz w:val="20"/>
                <w:szCs w:val="20"/>
              </w:rPr>
              <w:t>Oil</w:t>
            </w:r>
            <w:proofErr w:type="spellEnd"/>
            <w:r w:rsidRPr="006D0EDD">
              <w:rPr>
                <w:b/>
                <w:sz w:val="20"/>
                <w:szCs w:val="20"/>
              </w:rPr>
              <w:t xml:space="preserve"> Corp. et Dolomite Energy Inc.</w:t>
            </w:r>
          </w:p>
          <w:p w:rsidR="009B6E02" w:rsidRPr="006D0EDD" w:rsidRDefault="009B6E02" w:rsidP="009B6E02">
            <w:pPr>
              <w:pStyle w:val="SCCLsocSubfileSeparator"/>
              <w:rPr>
                <w:sz w:val="20"/>
                <w:szCs w:val="20"/>
                <w:lang w:val="fr-CA"/>
              </w:rPr>
            </w:pPr>
            <w:r w:rsidRPr="006D0EDD">
              <w:rPr>
                <w:sz w:val="20"/>
                <w:szCs w:val="20"/>
                <w:lang w:val="fr-CA"/>
              </w:rPr>
              <w:t>- et entre -</w:t>
            </w:r>
          </w:p>
          <w:p w:rsidR="009B6E02" w:rsidRPr="006D0EDD" w:rsidRDefault="009B6E02" w:rsidP="009B6E02">
            <w:pPr>
              <w:pStyle w:val="SCCLsocParty"/>
              <w:jc w:val="both"/>
              <w:rPr>
                <w:b/>
                <w:sz w:val="20"/>
                <w:szCs w:val="20"/>
              </w:rPr>
            </w:pPr>
            <w:r w:rsidRPr="006D0EDD">
              <w:rPr>
                <w:b/>
                <w:sz w:val="20"/>
                <w:szCs w:val="20"/>
              </w:rPr>
              <w:t xml:space="preserve">Municipal District of </w:t>
            </w:r>
            <w:proofErr w:type="spellStart"/>
            <w:r w:rsidRPr="006D0EDD">
              <w:rPr>
                <w:b/>
                <w:sz w:val="20"/>
                <w:szCs w:val="20"/>
              </w:rPr>
              <w:t>Opportunity</w:t>
            </w:r>
            <w:proofErr w:type="spellEnd"/>
            <w:r w:rsidRPr="006D0EDD">
              <w:rPr>
                <w:b/>
                <w:sz w:val="20"/>
                <w:szCs w:val="20"/>
              </w:rPr>
              <w:t xml:space="preserve"> No. 17 et </w:t>
            </w:r>
            <w:proofErr w:type="spellStart"/>
            <w:r w:rsidRPr="006D0EDD">
              <w:rPr>
                <w:b/>
                <w:sz w:val="20"/>
                <w:szCs w:val="20"/>
              </w:rPr>
              <w:t>Lamont</w:t>
            </w:r>
            <w:proofErr w:type="spellEnd"/>
            <w:r w:rsidRPr="006D0EDD">
              <w:rPr>
                <w:b/>
                <w:sz w:val="20"/>
                <w:szCs w:val="20"/>
              </w:rPr>
              <w:t xml:space="preserve"> </w:t>
            </w:r>
            <w:proofErr w:type="spellStart"/>
            <w:r w:rsidRPr="006D0EDD">
              <w:rPr>
                <w:b/>
                <w:sz w:val="20"/>
                <w:szCs w:val="20"/>
              </w:rPr>
              <w:t>County</w:t>
            </w:r>
            <w:proofErr w:type="spellEnd"/>
            <w:r w:rsidRPr="006D0EDD">
              <w:rPr>
                <w:b/>
                <w:sz w:val="20"/>
                <w:szCs w:val="20"/>
              </w:rPr>
              <w:t xml:space="preserve"> c. La Banque de Nouvelle-Écosse, Alvarez &amp; </w:t>
            </w:r>
            <w:proofErr w:type="spellStart"/>
            <w:r w:rsidRPr="006D0EDD">
              <w:rPr>
                <w:b/>
                <w:sz w:val="20"/>
                <w:szCs w:val="20"/>
              </w:rPr>
              <w:t>Marsal</w:t>
            </w:r>
            <w:proofErr w:type="spellEnd"/>
            <w:r w:rsidRPr="006D0EDD">
              <w:rPr>
                <w:b/>
                <w:sz w:val="20"/>
                <w:szCs w:val="20"/>
              </w:rPr>
              <w:t xml:space="preserve"> Canada Inc. en sa qualité de séquestre et gérant des biens et des entreprises nommé par le tribunal de Virginia </w:t>
            </w:r>
            <w:proofErr w:type="spellStart"/>
            <w:r w:rsidRPr="006D0EDD">
              <w:rPr>
                <w:b/>
                <w:sz w:val="20"/>
                <w:szCs w:val="20"/>
              </w:rPr>
              <w:t>Hills</w:t>
            </w:r>
            <w:proofErr w:type="spellEnd"/>
            <w:r w:rsidRPr="006D0EDD">
              <w:rPr>
                <w:b/>
                <w:sz w:val="20"/>
                <w:szCs w:val="20"/>
              </w:rPr>
              <w:t xml:space="preserve"> </w:t>
            </w:r>
            <w:proofErr w:type="spellStart"/>
            <w:r w:rsidRPr="006D0EDD">
              <w:rPr>
                <w:b/>
                <w:sz w:val="20"/>
                <w:szCs w:val="20"/>
              </w:rPr>
              <w:t>Oil</w:t>
            </w:r>
            <w:proofErr w:type="spellEnd"/>
            <w:r w:rsidRPr="006D0EDD">
              <w:rPr>
                <w:b/>
                <w:sz w:val="20"/>
                <w:szCs w:val="20"/>
              </w:rPr>
              <w:t xml:space="preserve"> Corp. et Dolomite Energy Inc.</w:t>
            </w:r>
          </w:p>
          <w:p w:rsidR="009B6E02" w:rsidRPr="006D0EDD" w:rsidRDefault="009B6E02" w:rsidP="009B6E02">
            <w:pPr>
              <w:jc w:val="both"/>
              <w:rPr>
                <w:sz w:val="20"/>
                <w:lang w:val="fr-CA"/>
              </w:rPr>
            </w:pPr>
            <w:r w:rsidRPr="006D0EDD">
              <w:rPr>
                <w:sz w:val="20"/>
                <w:lang w:val="fr-CA"/>
              </w:rPr>
              <w:t>(Alb.) (Civile) (Autorisation)</w:t>
            </w:r>
          </w:p>
        </w:tc>
      </w:tr>
      <w:tr w:rsidR="009B6E02" w:rsidRPr="006D0EDD" w:rsidTr="009B6E02">
        <w:tc>
          <w:tcPr>
            <w:tcW w:w="5000" w:type="pct"/>
            <w:gridSpan w:val="4"/>
          </w:tcPr>
          <w:p w:rsidR="009B6E02" w:rsidRPr="006D0EDD" w:rsidRDefault="009B6E02" w:rsidP="009B6E02">
            <w:pPr>
              <w:ind w:right="90"/>
              <w:jc w:val="both"/>
              <w:rPr>
                <w:sz w:val="20"/>
                <w:lang w:val="fr-CA"/>
              </w:rPr>
            </w:pPr>
            <w:r w:rsidRPr="006D0EDD">
              <w:rPr>
                <w:sz w:val="20"/>
                <w:lang w:val="fr-CA"/>
              </w:rPr>
              <w:t>Faillite et insolvabilité — Séquestre — Priorités établies en matière de faillite — Législation — Interprétation — Lois fiscales — Droit municipal — Fiscalité — Taxes « linéaires » — Des sociétés pétrolières et gazières doivent des arriérés de taxes relatives à leurs pipelines dans une procédure de faillite — Les arriérés de taxes municipales étaient</w:t>
            </w:r>
            <w:r w:rsidRPr="006D0EDD">
              <w:rPr>
                <w:sz w:val="20"/>
                <w:lang w:val="fr-CA"/>
              </w:rPr>
              <w:noBreakHyphen/>
              <w:t>elles non garanties?</w:t>
            </w:r>
          </w:p>
          <w:p w:rsidR="009B6E02" w:rsidRPr="006D0EDD" w:rsidRDefault="009B6E02" w:rsidP="009B6E02">
            <w:pPr>
              <w:jc w:val="both"/>
              <w:rPr>
                <w:sz w:val="20"/>
                <w:lang w:val="fr-CA"/>
              </w:rPr>
            </w:pPr>
          </w:p>
        </w:tc>
      </w:tr>
      <w:tr w:rsidR="009B6E02" w:rsidRPr="006D0EDD" w:rsidTr="009B6E02">
        <w:tc>
          <w:tcPr>
            <w:tcW w:w="5000" w:type="pct"/>
            <w:gridSpan w:val="4"/>
          </w:tcPr>
          <w:tbl>
            <w:tblPr>
              <w:tblW w:w="9919" w:type="dxa"/>
              <w:tblBorders>
                <w:insideH w:val="nil"/>
                <w:insideV w:val="nil"/>
              </w:tblBorders>
              <w:tblLayout w:type="fixed"/>
              <w:tblCellMar>
                <w:left w:w="0" w:type="dxa"/>
                <w:right w:w="0" w:type="dxa"/>
              </w:tblCellMar>
              <w:tblLook w:val="04A0" w:firstRow="1" w:lastRow="0" w:firstColumn="1" w:lastColumn="0" w:noHBand="0" w:noVBand="1"/>
            </w:tblPr>
            <w:tblGrid>
              <w:gridCol w:w="9919"/>
            </w:tblGrid>
            <w:tr w:rsidR="009B6E02" w:rsidRPr="006D0EDD" w:rsidTr="009B6E02">
              <w:trPr>
                <w:trHeight w:val="288"/>
              </w:trPr>
              <w:tc>
                <w:tcPr>
                  <w:tcW w:w="5000" w:type="pct"/>
                  <w:tcBorders>
                    <w:top w:val="nil"/>
                    <w:left w:val="nil"/>
                    <w:bottom w:val="nil"/>
                    <w:right w:val="nil"/>
                  </w:tcBorders>
                  <w:tcMar>
                    <w:top w:w="120" w:type="dxa"/>
                    <w:left w:w="120" w:type="dxa"/>
                    <w:bottom w:w="58" w:type="dxa"/>
                    <w:right w:w="120" w:type="dxa"/>
                  </w:tcMar>
                  <w:hideMark/>
                </w:tcPr>
                <w:p w:rsidR="009B6E02" w:rsidRPr="006D0EDD" w:rsidRDefault="009B6E02" w:rsidP="009B6E02">
                  <w:pPr>
                    <w:ind w:left="-120" w:right="619"/>
                    <w:jc w:val="both"/>
                    <w:rPr>
                      <w:sz w:val="20"/>
                      <w:lang w:val="fr-CA"/>
                    </w:rPr>
                  </w:pPr>
                  <w:r w:rsidRPr="006D0EDD">
                    <w:rPr>
                      <w:sz w:val="20"/>
                    </w:rPr>
                    <w:t xml:space="preserve">Virginia Hills Oil Corp. et Dolomite Energy Inc. </w:t>
                  </w:r>
                  <w:r w:rsidRPr="006D0EDD">
                    <w:rPr>
                      <w:sz w:val="20"/>
                      <w:lang w:val="fr-CA"/>
                    </w:rPr>
                    <w:t xml:space="preserve">(les « débitrices ») sont des sociétés d’énergie insolvables qui ont été déclarées en faillite le 3 mai 2017. Les débitrices devaient des arriérés de taxes foncières « linéaires » aux demanderesses, </w:t>
                  </w:r>
                  <w:proofErr w:type="spellStart"/>
                  <w:r w:rsidRPr="006D0EDD">
                    <w:rPr>
                      <w:sz w:val="20"/>
                      <w:lang w:val="fr-CA"/>
                    </w:rPr>
                    <w:t>Northern</w:t>
                  </w:r>
                  <w:proofErr w:type="spellEnd"/>
                  <w:r w:rsidRPr="006D0EDD">
                    <w:rPr>
                      <w:sz w:val="20"/>
                      <w:lang w:val="fr-CA"/>
                    </w:rPr>
                    <w:t xml:space="preserve"> </w:t>
                  </w:r>
                  <w:proofErr w:type="spellStart"/>
                  <w:r w:rsidRPr="006D0EDD">
                    <w:rPr>
                      <w:sz w:val="20"/>
                      <w:lang w:val="fr-CA"/>
                    </w:rPr>
                    <w:t>Sunrise</w:t>
                  </w:r>
                  <w:proofErr w:type="spellEnd"/>
                  <w:r w:rsidRPr="006D0EDD">
                    <w:rPr>
                      <w:sz w:val="20"/>
                      <w:lang w:val="fr-CA"/>
                    </w:rPr>
                    <w:t xml:space="preserve"> </w:t>
                  </w:r>
                  <w:proofErr w:type="spellStart"/>
                  <w:r w:rsidRPr="006D0EDD">
                    <w:rPr>
                      <w:sz w:val="20"/>
                      <w:lang w:val="fr-CA"/>
                    </w:rPr>
                    <w:t>County</w:t>
                  </w:r>
                  <w:proofErr w:type="spellEnd"/>
                  <w:r w:rsidRPr="006D0EDD">
                    <w:rPr>
                      <w:sz w:val="20"/>
                      <w:lang w:val="fr-CA"/>
                    </w:rPr>
                    <w:t xml:space="preserve">, Municipal District of </w:t>
                  </w:r>
                  <w:proofErr w:type="spellStart"/>
                  <w:r w:rsidRPr="006D0EDD">
                    <w:rPr>
                      <w:sz w:val="20"/>
                      <w:lang w:val="fr-CA"/>
                    </w:rPr>
                    <w:t>Opportunity</w:t>
                  </w:r>
                  <w:proofErr w:type="spellEnd"/>
                  <w:r w:rsidRPr="006D0EDD">
                    <w:rPr>
                      <w:sz w:val="20"/>
                      <w:lang w:val="fr-CA"/>
                    </w:rPr>
                    <w:t xml:space="preserve"> No 17, et </w:t>
                  </w:r>
                  <w:proofErr w:type="spellStart"/>
                  <w:r w:rsidRPr="006D0EDD">
                    <w:rPr>
                      <w:sz w:val="20"/>
                      <w:lang w:val="fr-CA"/>
                    </w:rPr>
                    <w:t>Lamont</w:t>
                  </w:r>
                  <w:proofErr w:type="spellEnd"/>
                  <w:r w:rsidRPr="006D0EDD">
                    <w:rPr>
                      <w:sz w:val="20"/>
                      <w:lang w:val="fr-CA"/>
                    </w:rPr>
                    <w:t xml:space="preserve"> </w:t>
                  </w:r>
                  <w:proofErr w:type="spellStart"/>
                  <w:r w:rsidRPr="006D0EDD">
                    <w:rPr>
                      <w:sz w:val="20"/>
                      <w:lang w:val="fr-CA"/>
                    </w:rPr>
                    <w:t>County</w:t>
                  </w:r>
                  <w:proofErr w:type="spellEnd"/>
                  <w:r w:rsidRPr="006D0EDD">
                    <w:rPr>
                      <w:sz w:val="20"/>
                      <w:lang w:val="fr-CA"/>
                    </w:rPr>
                    <w:t xml:space="preserve"> (collectivement, les « municipalités »). Les intimées sont Alvarez &amp; </w:t>
                  </w:r>
                  <w:proofErr w:type="spellStart"/>
                  <w:r w:rsidRPr="006D0EDD">
                    <w:rPr>
                      <w:sz w:val="20"/>
                      <w:lang w:val="fr-CA"/>
                    </w:rPr>
                    <w:t>Marsal</w:t>
                  </w:r>
                  <w:proofErr w:type="spellEnd"/>
                  <w:r w:rsidRPr="006D0EDD">
                    <w:rPr>
                      <w:sz w:val="20"/>
                      <w:lang w:val="fr-CA"/>
                    </w:rPr>
                    <w:t xml:space="preserve"> Canada Inc. (la « séquestre ») et la Banque de Nouvelle</w:t>
                  </w:r>
                  <w:r w:rsidRPr="006D0EDD">
                    <w:rPr>
                      <w:sz w:val="20"/>
                      <w:lang w:val="fr-CA"/>
                    </w:rPr>
                    <w:noBreakHyphen/>
                    <w:t xml:space="preserve">Écosse. </w:t>
                  </w:r>
                  <w:proofErr w:type="gramStart"/>
                  <w:r w:rsidRPr="006D0EDD">
                    <w:rPr>
                      <w:sz w:val="20"/>
                      <w:lang w:val="fr-CA"/>
                    </w:rPr>
                    <w:t>La</w:t>
                  </w:r>
                  <w:proofErr w:type="gramEnd"/>
                  <w:r w:rsidRPr="006D0EDD">
                    <w:rPr>
                      <w:sz w:val="20"/>
                      <w:lang w:val="fr-CA"/>
                    </w:rPr>
                    <w:t xml:space="preserve"> séquestre a vendu les biens des débitrices et une première distribution du produit de la vente a été faite aux créanciers garantis. Les municipalités n’ont en aucun temps fait valoir de revendications à titre de créancières garanties dans la faillite avant le prononcé d’une ordonnance de conseils, de directives et de distribution de fonds. Bien que les municipalités aient été avisées de la procédure qui a mené à l’ordonnance, elles n’ont pas comparu à l’audience et n’ont pas présenté d’observations. Cette ordonnance déclarait que les réclamations de taxes « linéaires » des municipalités étaient des créances non garanties contre les débitrices seulement, et non contre leurs biens. La séquestre a fait une distribution finale de tous les fonds recouvrés aux créanciers garantis et il ne restait plus d’argent pour acquitter les réclamations des municipalités. Après la distribution, </w:t>
                  </w:r>
                  <w:proofErr w:type="spellStart"/>
                  <w:r w:rsidRPr="006D0EDD">
                    <w:rPr>
                      <w:sz w:val="20"/>
                      <w:lang w:val="fr-CA"/>
                    </w:rPr>
                    <w:t>Northern</w:t>
                  </w:r>
                  <w:proofErr w:type="spellEnd"/>
                  <w:r w:rsidRPr="006D0EDD">
                    <w:rPr>
                      <w:sz w:val="20"/>
                      <w:lang w:val="fr-CA"/>
                    </w:rPr>
                    <w:t xml:space="preserve"> </w:t>
                  </w:r>
                  <w:proofErr w:type="spellStart"/>
                  <w:r w:rsidRPr="006D0EDD">
                    <w:rPr>
                      <w:sz w:val="20"/>
                      <w:lang w:val="fr-CA"/>
                    </w:rPr>
                    <w:t>Sunrise</w:t>
                  </w:r>
                  <w:proofErr w:type="spellEnd"/>
                  <w:r w:rsidRPr="006D0EDD">
                    <w:rPr>
                      <w:sz w:val="20"/>
                      <w:lang w:val="fr-CA"/>
                    </w:rPr>
                    <w:t xml:space="preserve"> a interjeté appel de l’ordonnance. Les autres municipalités ont été ajoutées comme appelantes. Les municipalités ont plaidé pour la première fois en appel que leurs réclamations au titre des arriérés de taxes foncières « linéaires » étaient des créances garanties en application de l’art</w:t>
                  </w:r>
                  <w:hyperlink r:id="rId37" w:anchor="sec348_smooth" w:history="1">
                    <w:r w:rsidRPr="006D0EDD">
                      <w:rPr>
                        <w:rStyle w:val="Hyperlink"/>
                        <w:sz w:val="20"/>
                        <w:lang w:val="fr-CA"/>
                      </w:rPr>
                      <w:t>. 348</w:t>
                    </w:r>
                  </w:hyperlink>
                  <w:r w:rsidRPr="006D0EDD">
                    <w:rPr>
                      <w:sz w:val="20"/>
                      <w:lang w:val="fr-CA"/>
                    </w:rPr>
                    <w:t xml:space="preserve"> de la </w:t>
                  </w:r>
                  <w:r w:rsidRPr="006D0EDD">
                    <w:rPr>
                      <w:i/>
                      <w:iCs/>
                      <w:sz w:val="20"/>
                      <w:lang w:val="fr-CA"/>
                    </w:rPr>
                    <w:t>Municipal Government Act</w:t>
                  </w:r>
                  <w:r w:rsidRPr="006D0EDD">
                    <w:rPr>
                      <w:iCs/>
                      <w:sz w:val="20"/>
                      <w:lang w:val="fr-CA"/>
                    </w:rPr>
                    <w:t>, R.S.A. 2000, ch. M</w:t>
                  </w:r>
                  <w:r w:rsidRPr="006D0EDD">
                    <w:rPr>
                      <w:iCs/>
                      <w:sz w:val="20"/>
                      <w:lang w:val="fr-CA"/>
                    </w:rPr>
                    <w:noBreakHyphen/>
                    <w:t xml:space="preserve">26 </w:t>
                  </w:r>
                  <w:r w:rsidRPr="006D0EDD">
                    <w:rPr>
                      <w:sz w:val="20"/>
                      <w:lang w:val="fr-CA"/>
                    </w:rPr>
                    <w:t xml:space="preserve">et de la </w:t>
                  </w:r>
                  <w:hyperlink r:id="rId38" w:history="1">
                    <w:r w:rsidRPr="006D0EDD">
                      <w:rPr>
                        <w:rStyle w:val="Hyperlink"/>
                        <w:i/>
                        <w:sz w:val="20"/>
                        <w:lang w:val="fr-CA"/>
                      </w:rPr>
                      <w:t>Loi sur la faillite et l'insolvabilité</w:t>
                    </w:r>
                    <w:r w:rsidRPr="006D0EDD">
                      <w:rPr>
                        <w:rStyle w:val="Hyperlink"/>
                        <w:sz w:val="20"/>
                        <w:lang w:val="fr-CA"/>
                      </w:rPr>
                      <w:t>, L.R.C. 1985, ch. B</w:t>
                    </w:r>
                    <w:r w:rsidRPr="006D0EDD">
                      <w:rPr>
                        <w:rStyle w:val="Hyperlink"/>
                        <w:sz w:val="20"/>
                        <w:lang w:val="fr-CA"/>
                      </w:rPr>
                      <w:noBreakHyphen/>
                      <w:t>3</w:t>
                    </w:r>
                  </w:hyperlink>
                  <w:r w:rsidRPr="006D0EDD">
                    <w:rPr>
                      <w:sz w:val="20"/>
                      <w:lang w:val="fr-CA"/>
                    </w:rPr>
                    <w:t>. Le juge de première instance a conclu que les municipalités étaient des créancières non garanties. Cette décision a été confirmée en appel.</w:t>
                  </w:r>
                </w:p>
                <w:p w:rsidR="009B6E02" w:rsidRPr="006D0EDD" w:rsidRDefault="009B6E02" w:rsidP="009B6E02">
                  <w:pPr>
                    <w:ind w:right="619"/>
                    <w:jc w:val="both"/>
                    <w:rPr>
                      <w:sz w:val="20"/>
                      <w:lang w:val="fr-CA"/>
                    </w:rPr>
                  </w:pPr>
                </w:p>
              </w:tc>
            </w:tr>
          </w:tbl>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20 juin 2017</w:t>
            </w:r>
          </w:p>
          <w:p w:rsidR="009B6E02" w:rsidRPr="006D0EDD" w:rsidRDefault="009B6E02" w:rsidP="009B6E02">
            <w:pPr>
              <w:jc w:val="both"/>
              <w:rPr>
                <w:sz w:val="20"/>
                <w:lang w:val="fr-CA"/>
              </w:rPr>
            </w:pPr>
            <w:r w:rsidRPr="006D0EDD">
              <w:rPr>
                <w:sz w:val="20"/>
                <w:lang w:val="fr-CA"/>
              </w:rPr>
              <w:t>Cour du Banc de la Reine de l’Alberta</w:t>
            </w:r>
          </w:p>
          <w:p w:rsidR="009B6E02" w:rsidRPr="006D0EDD" w:rsidRDefault="009B6E02" w:rsidP="009B6E02">
            <w:pPr>
              <w:jc w:val="both"/>
              <w:rPr>
                <w:sz w:val="20"/>
                <w:lang w:val="fr-CA"/>
              </w:rPr>
            </w:pPr>
            <w:r w:rsidRPr="006D0EDD">
              <w:rPr>
                <w:sz w:val="20"/>
                <w:lang w:val="fr-CA"/>
              </w:rPr>
              <w:t xml:space="preserve">(Juge </w:t>
            </w:r>
            <w:proofErr w:type="spellStart"/>
            <w:r w:rsidRPr="006D0EDD">
              <w:rPr>
                <w:sz w:val="20"/>
                <w:lang w:val="fr-CA"/>
              </w:rPr>
              <w:t>Yamauchi</w:t>
            </w:r>
            <w:proofErr w:type="spellEnd"/>
            <w:r w:rsidRPr="006D0EDD">
              <w:rPr>
                <w:sz w:val="20"/>
                <w:lang w:val="fr-CA"/>
              </w:rPr>
              <w:t>)</w:t>
            </w:r>
          </w:p>
          <w:p w:rsidR="009B6E02" w:rsidRPr="006D0EDD" w:rsidRDefault="009B6E02" w:rsidP="009B6E02">
            <w:pPr>
              <w:jc w:val="both"/>
              <w:rPr>
                <w:sz w:val="20"/>
                <w:lang w:val="fr-CA"/>
              </w:rPr>
            </w:pPr>
            <w:r w:rsidRPr="006D0EDD">
              <w:rPr>
                <w:sz w:val="20"/>
                <w:lang w:val="fr-CA"/>
              </w:rPr>
              <w:t>Non publié</w:t>
            </w:r>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Jugement statuant que les réclamations au titre des taxes « linéaires » des municipalités demanderesses sont des créances non garanties contre les débitrices seulement et non contre les biens des débitrices</w:t>
            </w: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12 février 2019</w:t>
            </w:r>
          </w:p>
          <w:p w:rsidR="009B6E02" w:rsidRPr="006D0EDD" w:rsidRDefault="009B6E02" w:rsidP="009B6E02">
            <w:pPr>
              <w:jc w:val="both"/>
              <w:rPr>
                <w:sz w:val="20"/>
                <w:lang w:val="fr-CA"/>
              </w:rPr>
            </w:pPr>
            <w:r w:rsidRPr="006D0EDD">
              <w:rPr>
                <w:sz w:val="20"/>
                <w:lang w:val="fr-CA"/>
              </w:rPr>
              <w:t>Cour d’appel de l’Alberta (Calgary)</w:t>
            </w:r>
          </w:p>
          <w:p w:rsidR="009B6E02" w:rsidRPr="006D0EDD" w:rsidRDefault="009B6E02" w:rsidP="009B6E02">
            <w:pPr>
              <w:jc w:val="both"/>
              <w:rPr>
                <w:color w:val="000000" w:themeColor="text1"/>
                <w:sz w:val="20"/>
                <w:lang w:val="fr-CA"/>
              </w:rPr>
            </w:pPr>
            <w:r w:rsidRPr="006D0EDD">
              <w:rPr>
                <w:sz w:val="20"/>
                <w:lang w:val="fr-CA"/>
              </w:rPr>
              <w:t xml:space="preserve">(Juges </w:t>
            </w:r>
            <w:proofErr w:type="spellStart"/>
            <w:r w:rsidRPr="006D0EDD">
              <w:rPr>
                <w:color w:val="000000" w:themeColor="text1"/>
                <w:sz w:val="20"/>
                <w:lang w:val="fr-CA"/>
              </w:rPr>
              <w:t>Bielby</w:t>
            </w:r>
            <w:proofErr w:type="spellEnd"/>
            <w:r w:rsidRPr="006D0EDD">
              <w:rPr>
                <w:color w:val="000000" w:themeColor="text1"/>
                <w:sz w:val="20"/>
                <w:lang w:val="fr-CA"/>
              </w:rPr>
              <w:t xml:space="preserve">, Veldhuis et </w:t>
            </w:r>
            <w:proofErr w:type="spellStart"/>
            <w:r w:rsidRPr="006D0EDD">
              <w:rPr>
                <w:color w:val="000000" w:themeColor="text1"/>
                <w:sz w:val="20"/>
                <w:lang w:val="fr-CA"/>
              </w:rPr>
              <w:t>Strekaf</w:t>
            </w:r>
            <w:proofErr w:type="spellEnd"/>
            <w:r w:rsidRPr="006D0EDD">
              <w:rPr>
                <w:color w:val="000000" w:themeColor="text1"/>
                <w:sz w:val="20"/>
                <w:lang w:val="fr-CA"/>
              </w:rPr>
              <w:t>)</w:t>
            </w:r>
          </w:p>
          <w:p w:rsidR="009B6E02" w:rsidRPr="006D0EDD" w:rsidRDefault="009B6E02" w:rsidP="009B6E02">
            <w:pPr>
              <w:jc w:val="both"/>
              <w:rPr>
                <w:sz w:val="20"/>
                <w:lang w:val="fr-CA"/>
              </w:rPr>
            </w:pPr>
            <w:hyperlink r:id="rId39" w:history="1">
              <w:r w:rsidRPr="006D0EDD">
                <w:rPr>
                  <w:rStyle w:val="Hyperlink"/>
                  <w:color w:val="000000" w:themeColor="text1"/>
                  <w:sz w:val="20"/>
                  <w:lang w:val="fr-CA"/>
                </w:rPr>
                <w:t>2019 ABCA 61</w:t>
              </w:r>
            </w:hyperlink>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Rejet de l’appel des demanderesses</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10 avril 2019</w:t>
            </w:r>
          </w:p>
          <w:p w:rsidR="009B6E02" w:rsidRPr="006D0EDD" w:rsidRDefault="009B6E02" w:rsidP="009B6E02">
            <w:pPr>
              <w:jc w:val="both"/>
              <w:rPr>
                <w:sz w:val="20"/>
                <w:lang w:val="fr-CA"/>
              </w:rPr>
            </w:pPr>
            <w:r w:rsidRPr="006D0EDD">
              <w:rPr>
                <w:sz w:val="20"/>
                <w:lang w:val="fr-CA"/>
              </w:rPr>
              <w:t>Cour suprême du Canada</w:t>
            </w:r>
          </w:p>
          <w:p w:rsidR="009B6E02" w:rsidRPr="006D0EDD" w:rsidRDefault="009B6E02" w:rsidP="009B6E02">
            <w:pPr>
              <w:jc w:val="both"/>
              <w:rPr>
                <w:sz w:val="20"/>
                <w:lang w:val="fr-CA"/>
              </w:rPr>
            </w:pP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Dépôt de la demande d’autorisation d’appel</w:t>
            </w:r>
          </w:p>
          <w:p w:rsidR="009B6E02" w:rsidRPr="006D0EDD" w:rsidRDefault="009B6E02" w:rsidP="009B6E02">
            <w:pPr>
              <w:jc w:val="both"/>
              <w:rPr>
                <w:sz w:val="20"/>
                <w:lang w:val="fr-CA"/>
              </w:rPr>
            </w:pPr>
          </w:p>
        </w:tc>
      </w:tr>
      <w:tr w:rsidR="009B6E02" w:rsidRPr="006D0EDD" w:rsidTr="009B6E02">
        <w:tc>
          <w:tcPr>
            <w:tcW w:w="2427" w:type="pct"/>
            <w:gridSpan w:val="2"/>
          </w:tcPr>
          <w:p w:rsidR="009B6E02" w:rsidRPr="006D0EDD" w:rsidRDefault="009B6E02" w:rsidP="009B6E02">
            <w:pPr>
              <w:jc w:val="both"/>
              <w:rPr>
                <w:sz w:val="20"/>
                <w:lang w:val="fr-CA"/>
              </w:rPr>
            </w:pPr>
            <w:r w:rsidRPr="006D0EDD">
              <w:rPr>
                <w:sz w:val="20"/>
                <w:lang w:val="fr-CA"/>
              </w:rPr>
              <w:t>11 avril 2019</w:t>
            </w:r>
          </w:p>
          <w:p w:rsidR="009B6E02" w:rsidRPr="006D0EDD" w:rsidRDefault="009B6E02" w:rsidP="009B6E02">
            <w:pPr>
              <w:jc w:val="both"/>
              <w:rPr>
                <w:sz w:val="20"/>
                <w:lang w:val="fr-CA"/>
              </w:rPr>
            </w:pPr>
            <w:r w:rsidRPr="006D0EDD">
              <w:rPr>
                <w:sz w:val="20"/>
                <w:lang w:val="fr-CA"/>
              </w:rPr>
              <w:t>Cour suprême du Canada</w:t>
            </w:r>
          </w:p>
        </w:tc>
        <w:tc>
          <w:tcPr>
            <w:tcW w:w="243" w:type="pct"/>
          </w:tcPr>
          <w:p w:rsidR="009B6E02" w:rsidRPr="006D0EDD" w:rsidRDefault="009B6E02" w:rsidP="009B6E02">
            <w:pPr>
              <w:jc w:val="both"/>
              <w:rPr>
                <w:sz w:val="20"/>
                <w:lang w:val="fr-CA"/>
              </w:rPr>
            </w:pPr>
          </w:p>
        </w:tc>
        <w:tc>
          <w:tcPr>
            <w:tcW w:w="2330" w:type="pct"/>
          </w:tcPr>
          <w:p w:rsidR="009B6E02" w:rsidRPr="006D0EDD" w:rsidRDefault="009B6E02" w:rsidP="009B6E02">
            <w:pPr>
              <w:jc w:val="both"/>
              <w:rPr>
                <w:sz w:val="20"/>
                <w:lang w:val="fr-CA"/>
              </w:rPr>
            </w:pPr>
            <w:r w:rsidRPr="006D0EDD">
              <w:rPr>
                <w:sz w:val="20"/>
                <w:lang w:val="fr-CA"/>
              </w:rPr>
              <w:t>Dépôt de la demande d’autorisation d’appel</w:t>
            </w:r>
          </w:p>
          <w:p w:rsidR="009B6E02" w:rsidRPr="006D0EDD" w:rsidRDefault="009B6E02" w:rsidP="009B6E02">
            <w:pPr>
              <w:jc w:val="both"/>
              <w:rPr>
                <w:sz w:val="20"/>
                <w:lang w:val="fr-CA"/>
              </w:rPr>
            </w:pPr>
          </w:p>
        </w:tc>
      </w:tr>
    </w:tbl>
    <w:p w:rsidR="009B6E02" w:rsidRPr="006D0EDD" w:rsidRDefault="009B6E02" w:rsidP="00542899">
      <w:pPr>
        <w:ind w:left="142" w:hanging="142"/>
        <w:rPr>
          <w:sz w:val="20"/>
          <w:lang w:val="fr-CA"/>
        </w:rPr>
      </w:pPr>
    </w:p>
    <w:p w:rsidR="00475CA0" w:rsidRPr="006D0EDD" w:rsidRDefault="00475CA0" w:rsidP="00542899">
      <w:pPr>
        <w:ind w:left="142" w:hanging="142"/>
        <w:rPr>
          <w:sz w:val="20"/>
          <w:lang w:val="fr-CA"/>
        </w:rPr>
      </w:pPr>
      <w:r w:rsidRPr="006D0EDD">
        <w:rPr>
          <w:sz w:val="20"/>
        </w:rPr>
        <w:pict>
          <v:rect id="_x0000_i1038" style="width:2in;height:1pt" o:hrpct="0" o:hralign="center" o:hrstd="t" o:hrnoshade="t" o:hr="t" fillcolor="black [3213]" stroked="f"/>
        </w:pict>
      </w:r>
    </w:p>
    <w:p w:rsidR="009B6E02" w:rsidRPr="006D0EDD" w:rsidRDefault="009B6E02" w:rsidP="00542899">
      <w:pPr>
        <w:ind w:left="142" w:hanging="142"/>
        <w:rPr>
          <w:sz w:val="20"/>
          <w:lang w:val="fr-CA"/>
        </w:rPr>
      </w:pPr>
    </w:p>
    <w:p w:rsidR="009B6E02" w:rsidRPr="006D0EDD" w:rsidRDefault="009B6E02" w:rsidP="00542899">
      <w:pPr>
        <w:ind w:left="142" w:hanging="142"/>
        <w:rPr>
          <w:sz w:val="20"/>
          <w:lang w:val="fr-CA"/>
        </w:rPr>
      </w:pPr>
    </w:p>
    <w:p w:rsidR="00FD3FA0" w:rsidRPr="006D0EDD" w:rsidRDefault="00FD3FA0" w:rsidP="006A22CA">
      <w:pPr>
        <w:ind w:left="142" w:hanging="142"/>
        <w:jc w:val="both"/>
        <w:rPr>
          <w:sz w:val="20"/>
          <w:lang w:val="fr-CA"/>
        </w:rPr>
      </w:pPr>
    </w:p>
    <w:p w:rsidR="00D3344A" w:rsidRPr="006D0EDD" w:rsidRDefault="00D3344A" w:rsidP="00D3344A">
      <w:pPr>
        <w:widowControl w:val="0"/>
        <w:outlineLvl w:val="0"/>
      </w:pPr>
      <w:r w:rsidRPr="006D0EDD">
        <w:t xml:space="preserve">Supreme Court of Canada / Cour suprême du </w:t>
      </w:r>
      <w:proofErr w:type="gramStart"/>
      <w:r w:rsidRPr="006D0EDD">
        <w:t>Canad</w:t>
      </w:r>
      <w:r w:rsidR="00EE289F" w:rsidRPr="006D0EDD">
        <w:t>a</w:t>
      </w:r>
      <w:r w:rsidRPr="006D0EDD">
        <w:t xml:space="preserve"> :</w:t>
      </w:r>
      <w:proofErr w:type="gramEnd"/>
    </w:p>
    <w:p w:rsidR="00D3344A" w:rsidRPr="006D0EDD" w:rsidRDefault="009B6E02" w:rsidP="00D3344A">
      <w:pPr>
        <w:widowControl w:val="0"/>
        <w:outlineLvl w:val="0"/>
        <w:rPr>
          <w:u w:val="single"/>
        </w:rPr>
      </w:pPr>
      <w:hyperlink r:id="rId40" w:history="1">
        <w:r w:rsidR="009B7391" w:rsidRPr="006D0EDD">
          <w:rPr>
            <w:rStyle w:val="Hyperlink"/>
          </w:rPr>
          <w:t>comments-commentaires@scc-csc.ca</w:t>
        </w:r>
      </w:hyperlink>
    </w:p>
    <w:p w:rsidR="00D3344A" w:rsidRPr="006D0EDD" w:rsidRDefault="0065588C" w:rsidP="00D3344A">
      <w:pPr>
        <w:widowControl w:val="0"/>
        <w:outlineLvl w:val="0"/>
      </w:pPr>
      <w:r w:rsidRPr="006D0EDD">
        <w:t>613-</w:t>
      </w:r>
      <w:r w:rsidR="00D3344A" w:rsidRPr="006D0EDD">
        <w:t>995-4330</w:t>
      </w:r>
    </w:p>
    <w:p w:rsidR="00497B5E" w:rsidRPr="006D0EDD" w:rsidRDefault="00497B5E" w:rsidP="00497B5E">
      <w:pPr>
        <w:widowControl w:val="0"/>
        <w:rPr>
          <w:sz w:val="20"/>
        </w:rPr>
      </w:pPr>
    </w:p>
    <w:p w:rsidR="00F6251B" w:rsidRPr="006E558B" w:rsidRDefault="003F43E6" w:rsidP="00F6251B">
      <w:pPr>
        <w:pStyle w:val="Footer"/>
        <w:jc w:val="center"/>
      </w:pPr>
      <w:r w:rsidRPr="006D0EDD">
        <w:t>- 30 -</w:t>
      </w:r>
    </w:p>
    <w:sectPr w:rsidR="00F6251B" w:rsidRPr="006E558B"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02" w:rsidRDefault="009B6E02" w:rsidP="0034178A">
      <w:r>
        <w:separator/>
      </w:r>
    </w:p>
  </w:endnote>
  <w:endnote w:type="continuationSeparator" w:id="0">
    <w:p w:rsidR="009B6E02" w:rsidRDefault="009B6E0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Default="009B6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Pr="009F77F0" w:rsidRDefault="009B6E0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Default="009B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02" w:rsidRDefault="009B6E02" w:rsidP="0034178A">
      <w:r>
        <w:separator/>
      </w:r>
    </w:p>
  </w:footnote>
  <w:footnote w:type="continuationSeparator" w:id="0">
    <w:p w:rsidR="009B6E02" w:rsidRDefault="009B6E0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Default="009B6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Default="009B6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02" w:rsidRDefault="009B6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5"/>
  </w:num>
  <w:num w:numId="5">
    <w:abstractNumId w:val="6"/>
  </w:num>
  <w:num w:numId="6">
    <w:abstractNumId w:val="11"/>
  </w:num>
  <w:num w:numId="7">
    <w:abstractNumId w:val="0"/>
  </w:num>
  <w:num w:numId="8">
    <w:abstractNumId w:val="9"/>
  </w:num>
  <w:num w:numId="9">
    <w:abstractNumId w:val="2"/>
  </w:num>
  <w:num w:numId="10">
    <w:abstractNumId w:val="4"/>
  </w:num>
  <w:num w:numId="11">
    <w:abstractNumId w:val="3"/>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
  </w:num>
  <w:num w:numId="1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17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7179"/>
    <w:rsid w:val="000C7BD5"/>
    <w:rsid w:val="000D002C"/>
    <w:rsid w:val="000D070B"/>
    <w:rsid w:val="000D1456"/>
    <w:rsid w:val="000D1DDF"/>
    <w:rsid w:val="000D2161"/>
    <w:rsid w:val="000D25A2"/>
    <w:rsid w:val="000D262B"/>
    <w:rsid w:val="000D2F5C"/>
    <w:rsid w:val="000D2F8A"/>
    <w:rsid w:val="000D3129"/>
    <w:rsid w:val="000D3C7E"/>
    <w:rsid w:val="000D4BBF"/>
    <w:rsid w:val="000D556A"/>
    <w:rsid w:val="000D6416"/>
    <w:rsid w:val="000D6635"/>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53C"/>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4D3"/>
    <w:rsid w:val="00212962"/>
    <w:rsid w:val="00212E46"/>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366C"/>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87D"/>
    <w:rsid w:val="003A4AB7"/>
    <w:rsid w:val="003A58BA"/>
    <w:rsid w:val="003A7124"/>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33B"/>
    <w:rsid w:val="00405746"/>
    <w:rsid w:val="004062EC"/>
    <w:rsid w:val="00406755"/>
    <w:rsid w:val="004067DB"/>
    <w:rsid w:val="004069C5"/>
    <w:rsid w:val="00406B1E"/>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CA0"/>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79"/>
    <w:rsid w:val="004D489C"/>
    <w:rsid w:val="004D49C8"/>
    <w:rsid w:val="004D53B2"/>
    <w:rsid w:val="004D5428"/>
    <w:rsid w:val="004D5D5C"/>
    <w:rsid w:val="004D5FBA"/>
    <w:rsid w:val="004D6E67"/>
    <w:rsid w:val="004D6FCC"/>
    <w:rsid w:val="004D752E"/>
    <w:rsid w:val="004D7ACC"/>
    <w:rsid w:val="004E00B4"/>
    <w:rsid w:val="004E0745"/>
    <w:rsid w:val="004E0963"/>
    <w:rsid w:val="004E0B2F"/>
    <w:rsid w:val="004E0CCF"/>
    <w:rsid w:val="004E1B3F"/>
    <w:rsid w:val="004E1D94"/>
    <w:rsid w:val="004E21ED"/>
    <w:rsid w:val="004E2A8E"/>
    <w:rsid w:val="004E3DC8"/>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1F8"/>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EDD"/>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3B95"/>
    <w:rsid w:val="008941B2"/>
    <w:rsid w:val="0089486E"/>
    <w:rsid w:val="00894DEA"/>
    <w:rsid w:val="00896875"/>
    <w:rsid w:val="008A091D"/>
    <w:rsid w:val="008A0D44"/>
    <w:rsid w:val="008A1084"/>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72CD"/>
    <w:rsid w:val="00927809"/>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117"/>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7E"/>
    <w:rsid w:val="009B121B"/>
    <w:rsid w:val="009B14F4"/>
    <w:rsid w:val="009B177F"/>
    <w:rsid w:val="009B17DB"/>
    <w:rsid w:val="009B1A80"/>
    <w:rsid w:val="009B3199"/>
    <w:rsid w:val="009B38BC"/>
    <w:rsid w:val="009B4EC5"/>
    <w:rsid w:val="009B50CC"/>
    <w:rsid w:val="009B51A4"/>
    <w:rsid w:val="009B67B3"/>
    <w:rsid w:val="009B6E02"/>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3170"/>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4F06"/>
    <w:rsid w:val="00C651FF"/>
    <w:rsid w:val="00C6575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761A"/>
    <w:rsid w:val="00CE7796"/>
    <w:rsid w:val="00CE7B3F"/>
    <w:rsid w:val="00CE7C81"/>
    <w:rsid w:val="00CF0386"/>
    <w:rsid w:val="00CF05D2"/>
    <w:rsid w:val="00CF0D83"/>
    <w:rsid w:val="00CF0EF2"/>
    <w:rsid w:val="00CF234B"/>
    <w:rsid w:val="00CF26EF"/>
    <w:rsid w:val="00CF33AC"/>
    <w:rsid w:val="00CF3400"/>
    <w:rsid w:val="00CF3793"/>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D7D"/>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696"/>
    <w:rsid w:val="00D9772E"/>
    <w:rsid w:val="00DA07B1"/>
    <w:rsid w:val="00DA0DC8"/>
    <w:rsid w:val="00DA1481"/>
    <w:rsid w:val="00DA17B0"/>
    <w:rsid w:val="00DA27C6"/>
    <w:rsid w:val="00DA2C00"/>
    <w:rsid w:val="00DA33EC"/>
    <w:rsid w:val="00DA3A68"/>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6A0"/>
    <w:rsid w:val="00E70C65"/>
    <w:rsid w:val="00E710C9"/>
    <w:rsid w:val="00E71666"/>
    <w:rsid w:val="00E71676"/>
    <w:rsid w:val="00E724E4"/>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38B"/>
    <w:rsid w:val="00ED2520"/>
    <w:rsid w:val="00ED2E12"/>
    <w:rsid w:val="00ED3EDC"/>
    <w:rsid w:val="00ED47A4"/>
    <w:rsid w:val="00ED4F03"/>
    <w:rsid w:val="00ED52B2"/>
    <w:rsid w:val="00ED54B4"/>
    <w:rsid w:val="00ED552A"/>
    <w:rsid w:val="00ED56DC"/>
    <w:rsid w:val="00ED5F73"/>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82"/>
    <w:rsid w:val="00F9337A"/>
    <w:rsid w:val="00F93967"/>
    <w:rsid w:val="00F9402E"/>
    <w:rsid w:val="00F944B3"/>
    <w:rsid w:val="00F960B1"/>
    <w:rsid w:val="00F962B4"/>
    <w:rsid w:val="00F96C14"/>
    <w:rsid w:val="00F96CF3"/>
    <w:rsid w:val="00F972B0"/>
    <w:rsid w:val="00FA0210"/>
    <w:rsid w:val="00FA08D8"/>
    <w:rsid w:val="00FA0A55"/>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673"/>
    <w:rsid w:val="00FC1A3D"/>
    <w:rsid w:val="00FC1A5C"/>
    <w:rsid w:val="00FC1C53"/>
    <w:rsid w:val="00FC1D2A"/>
    <w:rsid w:val="00FC2B88"/>
    <w:rsid w:val="00FC2D03"/>
    <w:rsid w:val="00FC2D4C"/>
    <w:rsid w:val="00FC30D1"/>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9B6E02"/>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9B6E02"/>
    <w:rPr>
      <w:rFonts w:ascii="Times New Roman" w:eastAsiaTheme="minorHAnsi" w:hAnsi="Times New Roman" w:cstheme="minorBidi"/>
      <w:b/>
      <w:sz w:val="24"/>
      <w:szCs w:val="22"/>
      <w:lang w:val="fr-CA"/>
    </w:rPr>
  </w:style>
  <w:style w:type="paragraph" w:customStyle="1" w:styleId="SCCLsocSubfileSeparator">
    <w:name w:val="SCC.Lsoc.SubfileSeparator"/>
    <w:basedOn w:val="Normal"/>
    <w:next w:val="Normal"/>
    <w:link w:val="SCCLsocSubfileSeparatorChar"/>
    <w:rsid w:val="009B6E02"/>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9B6E02"/>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8635" TargetMode="External"/><Relationship Id="rId13" Type="http://schemas.openxmlformats.org/officeDocument/2006/relationships/hyperlink" Target="https://www.scc-csc.ca/case-dossier/info/sum-som-eng.aspx?cas=38587" TargetMode="External"/><Relationship Id="rId18" Type="http://schemas.openxmlformats.org/officeDocument/2006/relationships/hyperlink" Target="http://canlii.ca/t/gxlz1" TargetMode="External"/><Relationship Id="rId26" Type="http://schemas.openxmlformats.org/officeDocument/2006/relationships/hyperlink" Target="https://www.canlii.org/fr/qc/qccs/doc/2017/2017qccs6292/2017qccs6292.html?autocompleteStr=2017%20qccs%206292&amp;autocompletePos=1" TargetMode="External"/><Relationship Id="rId39" Type="http://schemas.openxmlformats.org/officeDocument/2006/relationships/hyperlink" Target="http://canlii.ca/t/hxgvp" TargetMode="External"/><Relationship Id="rId3" Type="http://schemas.openxmlformats.org/officeDocument/2006/relationships/styles" Target="styles.xml"/><Relationship Id="rId21" Type="http://schemas.openxmlformats.org/officeDocument/2006/relationships/hyperlink" Target="http://canlii.ca/t/hzfv7" TargetMode="External"/><Relationship Id="rId34" Type="http://schemas.openxmlformats.org/officeDocument/2006/relationships/hyperlink" Target="https://www.canlii.org/en/ab/laws/stat/rsa-2000-c-m-26/latest/rsa-2000-c-m-26.html"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38637" TargetMode="External"/><Relationship Id="rId17" Type="http://schemas.openxmlformats.org/officeDocument/2006/relationships/hyperlink" Target="http://canlii.ca/t/hxq74" TargetMode="External"/><Relationship Id="rId25" Type="http://schemas.openxmlformats.org/officeDocument/2006/relationships/hyperlink" Target="https://www.canlii.org/en/ns/nsca/doc/2017/2017nsca48/2017nsca48.html?autocompleteStr=2017%20NSCA%2048&amp;autocompletePos=1" TargetMode="External"/><Relationship Id="rId33" Type="http://schemas.openxmlformats.org/officeDocument/2006/relationships/hyperlink" Target="https://www.canlii.org/fr/qc/qcca/doc/2018/2018qcca2197/2018qcca2197.html" TargetMode="External"/><Relationship Id="rId38" Type="http://schemas.openxmlformats.org/officeDocument/2006/relationships/hyperlink" Target="https://www.canlii.org/fr/ca/legis/lois/lrc-1985-c-b-3/derniere/lrc-1985-c-b-3.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anlii.ca/t/hv4ls" TargetMode="External"/><Relationship Id="rId20" Type="http://schemas.openxmlformats.org/officeDocument/2006/relationships/hyperlink" Target="http://canlii.ca/t/gxlz1" TargetMode="External"/><Relationship Id="rId29" Type="http://schemas.openxmlformats.org/officeDocument/2006/relationships/hyperlink" Target="https://www.canlii.org/fr/qc/qcca/doc/2019/2019qcca442/2019qcca442.html?autocompleteStr=2019%20qcca%20442&amp;autocompletePos=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623" TargetMode="External"/><Relationship Id="rId24" Type="http://schemas.openxmlformats.org/officeDocument/2006/relationships/hyperlink" Target="https://www.canlii.org/en/ns/nssc/doc/2014/2014nssc244/2014nssc244.html?autocompleteStr=2014%20nssc%20244&amp;autocompletePos=1" TargetMode="External"/><Relationship Id="rId32" Type="http://schemas.openxmlformats.org/officeDocument/2006/relationships/hyperlink" Target="https://www.canlii.org/fr/qc/qccs/doc/2018/2018qccs4602/2018qccs4602.html?resultIndex=1" TargetMode="External"/><Relationship Id="rId37" Type="http://schemas.openxmlformats.org/officeDocument/2006/relationships/hyperlink" Target="https://www.canlii.org/en/ab/laws/stat/rsa-2000-c-m-26/latest/rsa-2000-c-m-26.html"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anlii.ca/t/hxq74" TargetMode="External"/><Relationship Id="rId23" Type="http://schemas.openxmlformats.org/officeDocument/2006/relationships/hyperlink" Target="https://www.canlii.org/en/ns/nsca/doc/2017/2017nsca48/2017nsca48.html?autocompleteStr=2017%20NSCA%2048&amp;autocompletePos=1" TargetMode="External"/><Relationship Id="rId28" Type="http://schemas.openxmlformats.org/officeDocument/2006/relationships/hyperlink" Target="https://www.canlii.org/fr/qc/qccs/doc/2017/2017qccs6292/2017qccs6292.html?autocompleteStr=2017%20qccs%206292&amp;autocompletePos=1" TargetMode="External"/><Relationship Id="rId36" Type="http://schemas.openxmlformats.org/officeDocument/2006/relationships/hyperlink" Target="http://canlii.ca/t/hxgvp" TargetMode="External"/><Relationship Id="rId10" Type="http://schemas.openxmlformats.org/officeDocument/2006/relationships/hyperlink" Target="https://www.scc-csc.ca/case-dossier/info/sum-som-eng.aspx?cas=38617" TargetMode="External"/><Relationship Id="rId19" Type="http://schemas.openxmlformats.org/officeDocument/2006/relationships/hyperlink" Target="http://canlii.ca/t/hzfv7" TargetMode="External"/><Relationship Id="rId31" Type="http://schemas.openxmlformats.org/officeDocument/2006/relationships/hyperlink" Target="https://www.canlii.org/fr/qc/qcca/doc/2018/2018qcca2197/2018qcca2197.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fra.aspx?cas=38612" TargetMode="External"/><Relationship Id="rId14" Type="http://schemas.openxmlformats.org/officeDocument/2006/relationships/hyperlink" Target="http://canlii.ca/t/hv4ls" TargetMode="External"/><Relationship Id="rId22" Type="http://schemas.openxmlformats.org/officeDocument/2006/relationships/hyperlink" Target="https://www.canlii.org/en/ns/nssc/doc/2014/2014nssc244/2014nssc244.html?autocompleteStr=2014%20nssc%20244&amp;autocompletePos=1" TargetMode="External"/><Relationship Id="rId27" Type="http://schemas.openxmlformats.org/officeDocument/2006/relationships/hyperlink" Target="https://www.canlii.org/fr/qc/qcca/doc/2019/2019qcca442/2019qcca442.html?autocompleteStr=2019%20qcca%20442&amp;autocompletePos=1" TargetMode="External"/><Relationship Id="rId30" Type="http://schemas.openxmlformats.org/officeDocument/2006/relationships/hyperlink" Target="https://www.canlii.org/fr/qc/qccs/doc/2018/2018qccs4602/2018qccs4602.html?resultIndex=1" TargetMode="External"/><Relationship Id="rId35" Type="http://schemas.openxmlformats.org/officeDocument/2006/relationships/hyperlink" Target="https://www.canlii.org/en/ca/laws/stat/rsc-1985-c-b-3/latest/rsc-1985-c-b-3.htm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91C70-4933-45C2-A282-BF389D8B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37953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2019-08-23T14:14:00Z</dcterms:created>
  <dcterms:modified xsi:type="dcterms:W3CDTF">2019-08-23T15:04:00Z</dcterms:modified>
</cp:coreProperties>
</file>