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EE5531" w:rsidRDefault="001C4415" w:rsidP="001C4415">
      <w:pPr>
        <w:pStyle w:val="Header"/>
        <w:jc w:val="center"/>
        <w:rPr>
          <w:b/>
          <w:sz w:val="32"/>
        </w:rPr>
      </w:pPr>
      <w:r w:rsidRPr="00EE5531">
        <w:rPr>
          <w:b/>
          <w:sz w:val="32"/>
        </w:rPr>
        <w:t>Supreme Court of Canada / Cour suprême du Canada</w:t>
      </w:r>
    </w:p>
    <w:p w:rsidR="001C4415" w:rsidRPr="00EE5531" w:rsidRDefault="001C4415" w:rsidP="001C4415">
      <w:pPr>
        <w:widowControl w:val="0"/>
        <w:rPr>
          <w:i/>
        </w:rPr>
      </w:pPr>
    </w:p>
    <w:p w:rsidR="001C4415" w:rsidRPr="00EE5531" w:rsidRDefault="001C4415" w:rsidP="001C4415">
      <w:pPr>
        <w:widowControl w:val="0"/>
        <w:rPr>
          <w:i/>
        </w:rPr>
      </w:pPr>
    </w:p>
    <w:p w:rsidR="001C4415" w:rsidRPr="00EE5531" w:rsidRDefault="001C4415" w:rsidP="001C4415">
      <w:pPr>
        <w:widowControl w:val="0"/>
        <w:rPr>
          <w:i/>
        </w:rPr>
      </w:pPr>
      <w:r w:rsidRPr="00EE5531">
        <w:rPr>
          <w:i/>
        </w:rPr>
        <w:t>(le français suit)</w:t>
      </w:r>
    </w:p>
    <w:p w:rsidR="001C4415" w:rsidRPr="00EE5531" w:rsidRDefault="001C4415" w:rsidP="001C4415">
      <w:pPr>
        <w:widowControl w:val="0"/>
      </w:pPr>
    </w:p>
    <w:p w:rsidR="001C4415" w:rsidRPr="00115BAB" w:rsidRDefault="000347C1" w:rsidP="00214729">
      <w:pPr>
        <w:widowControl w:val="0"/>
        <w:jc w:val="center"/>
        <w:rPr>
          <w:b/>
        </w:rPr>
      </w:pPr>
      <w:r w:rsidRPr="00115BAB">
        <w:fldChar w:fldCharType="begin"/>
      </w:r>
      <w:r w:rsidR="00FA7412" w:rsidRPr="00115BAB">
        <w:instrText xml:space="preserve"> SEQ CHAPTER \h \r 1</w:instrText>
      </w:r>
      <w:r w:rsidRPr="00115BAB">
        <w:fldChar w:fldCharType="end"/>
      </w:r>
      <w:r w:rsidR="00455BB9" w:rsidRPr="00115BAB">
        <w:rPr>
          <w:b/>
        </w:rPr>
        <w:t>JUDGMENT</w:t>
      </w:r>
      <w:r w:rsidR="00FA7412" w:rsidRPr="00115BAB">
        <w:rPr>
          <w:b/>
        </w:rPr>
        <w:t xml:space="preserve"> TO BE RENDERED IN APPEA</w:t>
      </w:r>
      <w:r w:rsidR="00CC2799" w:rsidRPr="00115BAB">
        <w:rPr>
          <w:b/>
        </w:rPr>
        <w:t>L</w:t>
      </w:r>
    </w:p>
    <w:p w:rsidR="005A7C1B" w:rsidRPr="00115BAB" w:rsidRDefault="005A7C1B" w:rsidP="005A7C1B">
      <w:pPr>
        <w:widowControl w:val="0"/>
      </w:pPr>
    </w:p>
    <w:p w:rsidR="00EC79B0" w:rsidRPr="00115BAB" w:rsidRDefault="00C83B1E" w:rsidP="00EC79B0">
      <w:pPr>
        <w:widowControl w:val="0"/>
        <w:rPr>
          <w:b/>
        </w:rPr>
      </w:pPr>
      <w:r w:rsidRPr="00115BAB">
        <w:rPr>
          <w:b/>
        </w:rPr>
        <w:t>Novem</w:t>
      </w:r>
      <w:r w:rsidR="00184563" w:rsidRPr="00115BAB">
        <w:rPr>
          <w:b/>
        </w:rPr>
        <w:t>ber</w:t>
      </w:r>
      <w:r w:rsidR="003B58C4" w:rsidRPr="00115BAB">
        <w:rPr>
          <w:b/>
        </w:rPr>
        <w:t xml:space="preserve"> </w:t>
      </w:r>
      <w:r w:rsidR="00CF4403" w:rsidRPr="00115BAB">
        <w:rPr>
          <w:b/>
        </w:rPr>
        <w:t>7</w:t>
      </w:r>
      <w:r w:rsidR="001667E3" w:rsidRPr="00115BAB">
        <w:rPr>
          <w:b/>
        </w:rPr>
        <w:t>,</w:t>
      </w:r>
      <w:r w:rsidR="00EC79B0" w:rsidRPr="00115BAB">
        <w:rPr>
          <w:b/>
        </w:rPr>
        <w:t xml:space="preserve"> 2</w:t>
      </w:r>
      <w:r w:rsidR="00E6600C" w:rsidRPr="00115BAB">
        <w:rPr>
          <w:b/>
        </w:rPr>
        <w:t>0</w:t>
      </w:r>
      <w:r w:rsidR="00EC79B0" w:rsidRPr="00115BAB">
        <w:rPr>
          <w:b/>
        </w:rPr>
        <w:t>1</w:t>
      </w:r>
      <w:r w:rsidR="008C5ACC" w:rsidRPr="00115BAB">
        <w:rPr>
          <w:b/>
        </w:rPr>
        <w:t>9</w:t>
      </w:r>
    </w:p>
    <w:p w:rsidR="00EC79B0" w:rsidRPr="00115BAB" w:rsidRDefault="00EC79B0" w:rsidP="00EC79B0">
      <w:pPr>
        <w:widowControl w:val="0"/>
        <w:rPr>
          <w:b/>
        </w:rPr>
      </w:pPr>
      <w:r w:rsidRPr="00115BAB">
        <w:rPr>
          <w:b/>
        </w:rPr>
        <w:t>For immediate release</w:t>
      </w:r>
    </w:p>
    <w:p w:rsidR="00EC79B0" w:rsidRPr="00115BAB" w:rsidRDefault="00EC79B0" w:rsidP="00EC79B0">
      <w:pPr>
        <w:widowControl w:val="0"/>
      </w:pPr>
    </w:p>
    <w:p w:rsidR="00EC79B0" w:rsidRPr="00115BAB" w:rsidRDefault="00EC79B0" w:rsidP="00EC79B0">
      <w:pPr>
        <w:widowControl w:val="0"/>
      </w:pPr>
      <w:r w:rsidRPr="00115BAB">
        <w:rPr>
          <w:b/>
        </w:rPr>
        <w:t>OTTAWA</w:t>
      </w:r>
      <w:r w:rsidRPr="00115BAB">
        <w:t xml:space="preserve"> – The Supreme Court of Canad</w:t>
      </w:r>
      <w:r w:rsidR="00455BB9" w:rsidRPr="00115BAB">
        <w:t>a announced today that judgment</w:t>
      </w:r>
      <w:r w:rsidRPr="00115BAB">
        <w:t xml:space="preserve"> in the following appeal will be delivered at 9:45 a.m. E</w:t>
      </w:r>
      <w:r w:rsidR="00C83B1E" w:rsidRPr="00115BAB">
        <w:t>S</w:t>
      </w:r>
      <w:r w:rsidR="00DC6C1E" w:rsidRPr="00115BAB">
        <w:t>T</w:t>
      </w:r>
      <w:r w:rsidR="00D74667" w:rsidRPr="00115BAB">
        <w:t xml:space="preserve"> on</w:t>
      </w:r>
      <w:r w:rsidR="00DC6C1E" w:rsidRPr="00115BAB">
        <w:t xml:space="preserve"> </w:t>
      </w:r>
      <w:r w:rsidR="00807085" w:rsidRPr="00115BAB">
        <w:t>Thurs</w:t>
      </w:r>
      <w:r w:rsidR="003B58C4" w:rsidRPr="00115BAB">
        <w:t>day</w:t>
      </w:r>
      <w:r w:rsidR="000A7900" w:rsidRPr="00115BAB">
        <w:t xml:space="preserve">, </w:t>
      </w:r>
      <w:r w:rsidR="00C83B1E" w:rsidRPr="00115BAB">
        <w:t>November</w:t>
      </w:r>
      <w:r w:rsidR="004E605A" w:rsidRPr="00115BAB">
        <w:t xml:space="preserve"> </w:t>
      </w:r>
      <w:r w:rsidR="00807085" w:rsidRPr="00115BAB">
        <w:t>14</w:t>
      </w:r>
      <w:r w:rsidR="00E63199" w:rsidRPr="00115BAB">
        <w:t>, 2</w:t>
      </w:r>
      <w:r w:rsidR="0086609D" w:rsidRPr="00115BAB">
        <w:t>01</w:t>
      </w:r>
      <w:r w:rsidR="008C5ACC" w:rsidRPr="00115BAB">
        <w:t>9</w:t>
      </w:r>
      <w:r w:rsidR="00455BB9" w:rsidRPr="00115BAB">
        <w:t>. This</w:t>
      </w:r>
      <w:r w:rsidRPr="00115BAB">
        <w:t xml:space="preserve"> list is subject to change.</w:t>
      </w:r>
    </w:p>
    <w:p w:rsidR="001F76DD" w:rsidRPr="00115BAB" w:rsidRDefault="001F76DD" w:rsidP="001C4415">
      <w:pPr>
        <w:widowControl w:val="0"/>
        <w:rPr>
          <w:szCs w:val="24"/>
        </w:rPr>
      </w:pPr>
    </w:p>
    <w:p w:rsidR="001C4415" w:rsidRPr="00115BAB" w:rsidRDefault="001C4415" w:rsidP="001C4415">
      <w:pPr>
        <w:widowControl w:val="0"/>
      </w:pPr>
    </w:p>
    <w:p w:rsidR="001335A1" w:rsidRPr="00115BAB" w:rsidRDefault="001335A1" w:rsidP="001335A1">
      <w:pPr>
        <w:widowControl w:val="0"/>
        <w:jc w:val="center"/>
        <w:rPr>
          <w:b/>
          <w:lang w:val="fr-CA"/>
        </w:rPr>
      </w:pPr>
      <w:r w:rsidRPr="00115BAB">
        <w:rPr>
          <w:b/>
          <w:lang w:val="fr-CA"/>
        </w:rPr>
        <w:t>PROCHAIN JUGEMENT</w:t>
      </w:r>
      <w:r w:rsidR="00455BB9" w:rsidRPr="00115BAB">
        <w:rPr>
          <w:b/>
          <w:lang w:val="fr-CA"/>
        </w:rPr>
        <w:t xml:space="preserve"> SUR APPEL</w:t>
      </w:r>
    </w:p>
    <w:p w:rsidR="001335A1" w:rsidRPr="00115BAB" w:rsidRDefault="001335A1" w:rsidP="001335A1">
      <w:pPr>
        <w:widowControl w:val="0"/>
        <w:rPr>
          <w:lang w:val="fr-CA"/>
        </w:rPr>
      </w:pPr>
    </w:p>
    <w:p w:rsidR="00EC79B0" w:rsidRPr="00115BAB" w:rsidRDefault="00EC79B0" w:rsidP="00EC79B0">
      <w:pPr>
        <w:widowControl w:val="0"/>
        <w:rPr>
          <w:b/>
          <w:lang w:val="fr-CA"/>
        </w:rPr>
      </w:pPr>
      <w:r w:rsidRPr="00115BAB">
        <w:rPr>
          <w:b/>
          <w:lang w:val="fr-CA"/>
        </w:rPr>
        <w:t xml:space="preserve">Le </w:t>
      </w:r>
      <w:r w:rsidR="00CF4403" w:rsidRPr="00115BAB">
        <w:rPr>
          <w:b/>
          <w:lang w:val="fr-CA"/>
        </w:rPr>
        <w:t>7</w:t>
      </w:r>
      <w:r w:rsidR="007416D5" w:rsidRPr="00115BAB">
        <w:rPr>
          <w:b/>
          <w:lang w:val="fr-CA"/>
        </w:rPr>
        <w:t xml:space="preserve"> </w:t>
      </w:r>
      <w:r w:rsidR="00C83B1E" w:rsidRPr="00115BAB">
        <w:rPr>
          <w:b/>
          <w:lang w:val="fr-CA"/>
        </w:rPr>
        <w:t>n</w:t>
      </w:r>
      <w:r w:rsidR="00184563" w:rsidRPr="00115BAB">
        <w:rPr>
          <w:b/>
          <w:lang w:val="fr-CA"/>
        </w:rPr>
        <w:t>o</w:t>
      </w:r>
      <w:r w:rsidR="00C83B1E" w:rsidRPr="00115BAB">
        <w:rPr>
          <w:b/>
          <w:lang w:val="fr-CA"/>
        </w:rPr>
        <w:t>vem</w:t>
      </w:r>
      <w:r w:rsidR="003B58C4" w:rsidRPr="00115BAB">
        <w:rPr>
          <w:b/>
          <w:lang w:val="fr-CA"/>
        </w:rPr>
        <w:t>bre</w:t>
      </w:r>
      <w:r w:rsidR="00C86395" w:rsidRPr="00115BAB">
        <w:rPr>
          <w:b/>
          <w:lang w:val="fr-CA"/>
        </w:rPr>
        <w:t xml:space="preserve"> </w:t>
      </w:r>
      <w:r w:rsidR="0086609D" w:rsidRPr="00115BAB">
        <w:rPr>
          <w:b/>
          <w:lang w:val="fr-CA"/>
        </w:rPr>
        <w:t>201</w:t>
      </w:r>
      <w:r w:rsidR="008C5ACC" w:rsidRPr="00115BAB">
        <w:rPr>
          <w:b/>
          <w:lang w:val="fr-CA"/>
        </w:rPr>
        <w:t>9</w:t>
      </w:r>
    </w:p>
    <w:p w:rsidR="00EC79B0" w:rsidRPr="00115BAB" w:rsidRDefault="00EC79B0" w:rsidP="00EC79B0">
      <w:pPr>
        <w:widowControl w:val="0"/>
        <w:rPr>
          <w:b/>
          <w:lang w:val="fr-CA"/>
        </w:rPr>
      </w:pPr>
      <w:r w:rsidRPr="00115BAB">
        <w:rPr>
          <w:b/>
          <w:lang w:val="fr-CA"/>
        </w:rPr>
        <w:t>Pour diffusion immédiate</w:t>
      </w:r>
    </w:p>
    <w:p w:rsidR="00EC79B0" w:rsidRPr="00115BAB" w:rsidRDefault="00EC79B0" w:rsidP="00EC79B0">
      <w:pPr>
        <w:widowControl w:val="0"/>
        <w:rPr>
          <w:lang w:val="fr-CA"/>
        </w:rPr>
      </w:pPr>
    </w:p>
    <w:p w:rsidR="00EC79B0" w:rsidRPr="00115BAB" w:rsidRDefault="00EC79B0" w:rsidP="00EC79B0">
      <w:pPr>
        <w:widowControl w:val="0"/>
        <w:rPr>
          <w:lang w:val="fr-CA"/>
        </w:rPr>
      </w:pPr>
      <w:r w:rsidRPr="00115BAB">
        <w:rPr>
          <w:b/>
          <w:lang w:val="fr-CA"/>
        </w:rPr>
        <w:t>OTTAWA</w:t>
      </w:r>
      <w:r w:rsidRPr="00115BAB">
        <w:rPr>
          <w:lang w:val="fr-CA"/>
        </w:rPr>
        <w:t xml:space="preserve"> – La Cour suprême du Canada annonce que jugement ser</w:t>
      </w:r>
      <w:r w:rsidR="00C86395" w:rsidRPr="00115BAB">
        <w:rPr>
          <w:lang w:val="fr-CA"/>
        </w:rPr>
        <w:t>a</w:t>
      </w:r>
      <w:r w:rsidRPr="00115BAB">
        <w:rPr>
          <w:lang w:val="fr-CA"/>
        </w:rPr>
        <w:t xml:space="preserve"> rendu dans </w:t>
      </w:r>
      <w:r w:rsidR="001F1643" w:rsidRPr="00115BAB">
        <w:rPr>
          <w:lang w:val="fr-CA"/>
        </w:rPr>
        <w:t>l</w:t>
      </w:r>
      <w:r w:rsidR="00C86395" w:rsidRPr="00115BAB">
        <w:rPr>
          <w:lang w:val="fr-CA"/>
        </w:rPr>
        <w:t>’</w:t>
      </w:r>
      <w:r w:rsidR="001F1643" w:rsidRPr="00115BAB">
        <w:rPr>
          <w:lang w:val="fr-CA"/>
        </w:rPr>
        <w:t xml:space="preserve">appel </w:t>
      </w:r>
      <w:r w:rsidRPr="00115BAB">
        <w:rPr>
          <w:lang w:val="fr-CA"/>
        </w:rPr>
        <w:t xml:space="preserve">suivant le </w:t>
      </w:r>
      <w:r w:rsidR="00807085" w:rsidRPr="00115BAB">
        <w:rPr>
          <w:lang w:val="fr-CA"/>
        </w:rPr>
        <w:t>jeu</w:t>
      </w:r>
      <w:r w:rsidR="002A3088" w:rsidRPr="00115BAB">
        <w:rPr>
          <w:lang w:val="fr-CA"/>
        </w:rPr>
        <w:t>d</w:t>
      </w:r>
      <w:r w:rsidR="003B58C4" w:rsidRPr="00115BAB">
        <w:rPr>
          <w:lang w:val="fr-CA"/>
        </w:rPr>
        <w:t>i</w:t>
      </w:r>
      <w:r w:rsidR="007C1648" w:rsidRPr="00115BAB">
        <w:rPr>
          <w:lang w:val="fr-CA"/>
        </w:rPr>
        <w:t xml:space="preserve"> </w:t>
      </w:r>
      <w:r w:rsidR="00807085" w:rsidRPr="00115BAB">
        <w:rPr>
          <w:lang w:val="fr-CA"/>
        </w:rPr>
        <w:t>14</w:t>
      </w:r>
      <w:r w:rsidR="00DC369A" w:rsidRPr="00115BAB">
        <w:rPr>
          <w:lang w:val="fr-CA"/>
        </w:rPr>
        <w:t xml:space="preserve"> </w:t>
      </w:r>
      <w:r w:rsidR="00C83B1E" w:rsidRPr="00115BAB">
        <w:rPr>
          <w:lang w:val="fr-CA"/>
        </w:rPr>
        <w:t>n</w:t>
      </w:r>
      <w:r w:rsidR="00B007DA" w:rsidRPr="00115BAB">
        <w:rPr>
          <w:lang w:val="fr-CA"/>
        </w:rPr>
        <w:t>o</w:t>
      </w:r>
      <w:r w:rsidR="00C83B1E" w:rsidRPr="00115BAB">
        <w:rPr>
          <w:lang w:val="fr-CA"/>
        </w:rPr>
        <w:t>vem</w:t>
      </w:r>
      <w:r w:rsidR="003B58C4" w:rsidRPr="00115BAB">
        <w:rPr>
          <w:lang w:val="fr-CA"/>
        </w:rPr>
        <w:t>bre</w:t>
      </w:r>
      <w:r w:rsidR="00282563" w:rsidRPr="00115BAB">
        <w:rPr>
          <w:lang w:val="fr-CA"/>
        </w:rPr>
        <w:t xml:space="preserve"> </w:t>
      </w:r>
      <w:r w:rsidRPr="00115BAB">
        <w:rPr>
          <w:lang w:val="fr-CA"/>
        </w:rPr>
        <w:t>201</w:t>
      </w:r>
      <w:r w:rsidR="008C5ACC" w:rsidRPr="00115BAB">
        <w:rPr>
          <w:lang w:val="fr-CA"/>
        </w:rPr>
        <w:t>9</w:t>
      </w:r>
      <w:r w:rsidRPr="00115BAB">
        <w:rPr>
          <w:lang w:val="fr-CA"/>
        </w:rPr>
        <w:t>, à 9 h 45 H</w:t>
      </w:r>
      <w:r w:rsidR="00C83B1E" w:rsidRPr="00115BAB">
        <w:rPr>
          <w:lang w:val="fr-CA"/>
        </w:rPr>
        <w:t>N</w:t>
      </w:r>
      <w:r w:rsidRPr="00115BAB">
        <w:rPr>
          <w:lang w:val="fr-CA"/>
        </w:rPr>
        <w:t>E. Cette liste est sujette à modifications.</w:t>
      </w:r>
    </w:p>
    <w:p w:rsidR="00340C6D" w:rsidRPr="00115BAB" w:rsidRDefault="00340C6D" w:rsidP="00340C6D">
      <w:pPr>
        <w:jc w:val="both"/>
        <w:rPr>
          <w:bCs/>
          <w:szCs w:val="24"/>
          <w:lang w:val="fr-CA"/>
        </w:rPr>
      </w:pPr>
    </w:p>
    <w:p w:rsidR="008F607D" w:rsidRPr="00115BAB" w:rsidRDefault="0002598E" w:rsidP="00340C6D">
      <w:pPr>
        <w:jc w:val="both"/>
        <w:rPr>
          <w:bCs/>
          <w:szCs w:val="24"/>
          <w:lang w:val="fr-CA"/>
        </w:rPr>
      </w:pPr>
      <w:r w:rsidRPr="00115BAB">
        <w:rPr>
          <w:sz w:val="20"/>
        </w:rPr>
        <w:pict>
          <v:rect id="_x0000_i1025" style="width:2in;height:1pt" o:hrpct="0" o:hralign="center" o:hrstd="t" o:hrnoshade="t" o:hr="t" fillcolor="black [3213]" stroked="f"/>
        </w:pict>
      </w:r>
    </w:p>
    <w:p w:rsidR="008F607D" w:rsidRPr="00115BAB" w:rsidRDefault="008F607D" w:rsidP="00340C6D">
      <w:pPr>
        <w:jc w:val="both"/>
        <w:rPr>
          <w:bCs/>
          <w:szCs w:val="24"/>
          <w:lang w:val="fr-CA"/>
        </w:rPr>
      </w:pPr>
    </w:p>
    <w:p w:rsidR="00772636" w:rsidRPr="00CF4403" w:rsidRDefault="00B16C11" w:rsidP="00772636">
      <w:pPr>
        <w:jc w:val="both"/>
        <w:rPr>
          <w:szCs w:val="24"/>
          <w:lang w:val="fr-CA"/>
        </w:rPr>
      </w:pPr>
      <w:r w:rsidRPr="00115BAB">
        <w:rPr>
          <w:i/>
          <w:szCs w:val="24"/>
          <w:lang w:val="fr-CA"/>
        </w:rPr>
        <w:t xml:space="preserve">Mitra Javanmardi v. Her Majesty the Queen, et al. </w:t>
      </w:r>
      <w:r w:rsidR="00772636" w:rsidRPr="00115BAB">
        <w:rPr>
          <w:szCs w:val="24"/>
          <w:lang w:val="fr-CA"/>
        </w:rPr>
        <w:t>(</w:t>
      </w:r>
      <w:r w:rsidRPr="00115BAB">
        <w:rPr>
          <w:szCs w:val="24"/>
          <w:lang w:val="fr-CA"/>
        </w:rPr>
        <w:t>Que</w:t>
      </w:r>
      <w:r w:rsidR="002A3088" w:rsidRPr="00115BAB">
        <w:rPr>
          <w:szCs w:val="24"/>
          <w:lang w:val="fr-CA"/>
        </w:rPr>
        <w:t>.</w:t>
      </w:r>
      <w:r w:rsidR="00772636" w:rsidRPr="00115BAB">
        <w:rPr>
          <w:szCs w:val="24"/>
          <w:lang w:val="fr-CA"/>
        </w:rPr>
        <w:t xml:space="preserve">) </w:t>
      </w:r>
      <w:r w:rsidR="00772636" w:rsidRPr="00115BAB">
        <w:rPr>
          <w:lang w:val="fr-CA"/>
        </w:rPr>
        <w:t>(</w:t>
      </w:r>
      <w:hyperlink r:id="rId7" w:history="1">
        <w:r w:rsidR="00772636" w:rsidRPr="00115BAB">
          <w:rPr>
            <w:rStyle w:val="Hyperlink"/>
            <w:lang w:val="fr-CA"/>
          </w:rPr>
          <w:t>3</w:t>
        </w:r>
        <w:r w:rsidRPr="00115BAB">
          <w:rPr>
            <w:rStyle w:val="Hyperlink"/>
            <w:lang w:val="fr-CA"/>
          </w:rPr>
          <w:t>8188</w:t>
        </w:r>
      </w:hyperlink>
      <w:r w:rsidR="00772636" w:rsidRPr="00115BAB">
        <w:rPr>
          <w:lang w:val="fr-CA"/>
        </w:rPr>
        <w:t>)</w:t>
      </w:r>
    </w:p>
    <w:p w:rsidR="009F18D7" w:rsidRPr="00CF4403" w:rsidRDefault="009F18D7" w:rsidP="00340C6D">
      <w:pPr>
        <w:jc w:val="both"/>
        <w:rPr>
          <w:lang w:val="fr-CA"/>
        </w:rPr>
      </w:pPr>
    </w:p>
    <w:bookmarkStart w:id="0" w:name="1"/>
    <w:bookmarkStart w:id="1" w:name="QuickMark_1"/>
    <w:bookmarkEnd w:id="0"/>
    <w:bookmarkEnd w:id="1"/>
    <w:p w:rsidR="0002598E" w:rsidRPr="0002598E" w:rsidRDefault="0002598E" w:rsidP="00B0287B">
      <w:pPr>
        <w:widowControl w:val="0"/>
        <w:ind w:left="720" w:hanging="720"/>
        <w:jc w:val="both"/>
        <w:rPr>
          <w:b/>
          <w:i/>
          <w:sz w:val="20"/>
        </w:rPr>
      </w:pPr>
      <w:r w:rsidRPr="0002598E">
        <w:rPr>
          <w:b/>
          <w:sz w:val="20"/>
          <w:lang w:val="fr-CA"/>
        </w:rPr>
        <w:fldChar w:fldCharType="begin"/>
      </w:r>
      <w:r w:rsidRPr="0002598E">
        <w:rPr>
          <w:b/>
          <w:sz w:val="20"/>
        </w:rPr>
        <w:instrText xml:space="preserve"> SEQ CHAPTER \h \r 1</w:instrText>
      </w:r>
      <w:r w:rsidRPr="0002598E">
        <w:rPr>
          <w:b/>
          <w:sz w:val="20"/>
        </w:rPr>
        <w:fldChar w:fldCharType="end"/>
      </w:r>
      <w:r w:rsidRPr="0002598E">
        <w:rPr>
          <w:b/>
          <w:sz w:val="20"/>
        </w:rPr>
        <w:t>38188</w:t>
      </w:r>
      <w:bookmarkStart w:id="2" w:name="3"/>
      <w:bookmarkEnd w:id="2"/>
      <w:r w:rsidRPr="0002598E">
        <w:rPr>
          <w:sz w:val="20"/>
        </w:rPr>
        <w:tab/>
      </w:r>
      <w:r w:rsidRPr="0002598E">
        <w:rPr>
          <w:b/>
          <w:i/>
          <w:sz w:val="20"/>
        </w:rPr>
        <w:t>Mitra Javanmardi v. Her Majesty the Queen and Attorney General of Quebec</w:t>
      </w:r>
    </w:p>
    <w:p w:rsidR="0002598E" w:rsidRPr="0002598E" w:rsidRDefault="0002598E" w:rsidP="006F7211">
      <w:pPr>
        <w:pStyle w:val="SCCCaseDescriptor"/>
        <w:ind w:firstLine="720"/>
        <w:rPr>
          <w:b w:val="0"/>
          <w:sz w:val="20"/>
          <w:lang w:val="en-US"/>
        </w:rPr>
      </w:pPr>
      <w:r w:rsidRPr="0002598E">
        <w:rPr>
          <w:b w:val="0"/>
          <w:sz w:val="20"/>
          <w:lang w:val="en-US"/>
        </w:rPr>
        <w:t>(Que.) (Criminal) (As of right / By Leave)</w:t>
      </w:r>
      <w:bookmarkStart w:id="3" w:name="4"/>
      <w:bookmarkEnd w:id="3"/>
    </w:p>
    <w:p w:rsidR="0002598E" w:rsidRPr="0002598E" w:rsidRDefault="0002598E" w:rsidP="0077559A">
      <w:pPr>
        <w:widowControl w:val="0"/>
        <w:ind w:left="2160" w:hanging="2160"/>
        <w:jc w:val="both"/>
        <w:rPr>
          <w:sz w:val="20"/>
        </w:rPr>
      </w:pPr>
    </w:p>
    <w:p w:rsidR="0002598E" w:rsidRPr="0002598E" w:rsidRDefault="0002598E" w:rsidP="00D973CD">
      <w:pPr>
        <w:widowControl w:val="0"/>
        <w:jc w:val="both"/>
        <w:rPr>
          <w:sz w:val="20"/>
          <w:lang w:val="en-CA"/>
        </w:rPr>
      </w:pPr>
      <w:r w:rsidRPr="0002598E">
        <w:rPr>
          <w:sz w:val="20"/>
          <w:lang w:val="en-CA"/>
        </w:rPr>
        <w:t>(Publication ban in case) (Sealing orders) (Restriction on public access)</w:t>
      </w:r>
    </w:p>
    <w:p w:rsidR="0002598E" w:rsidRPr="0002598E" w:rsidRDefault="0002598E" w:rsidP="00D973CD">
      <w:pPr>
        <w:widowControl w:val="0"/>
        <w:jc w:val="both"/>
        <w:rPr>
          <w:b/>
          <w:sz w:val="20"/>
          <w:lang w:val="en-CA"/>
        </w:rPr>
      </w:pPr>
    </w:p>
    <w:p w:rsidR="0002598E" w:rsidRPr="0002598E" w:rsidRDefault="0002598E" w:rsidP="00E953CE">
      <w:pPr>
        <w:jc w:val="both"/>
        <w:rPr>
          <w:sz w:val="20"/>
        </w:rPr>
      </w:pPr>
      <w:r w:rsidRPr="0002598E">
        <w:rPr>
          <w:sz w:val="20"/>
        </w:rPr>
        <w:t xml:space="preserve">Criminal Law - Manslaughter - Criminal negligence causing death - Naturopath charged with manslaughter in death of patient and with having by criminal negligence caused death to patient - Whether the unlawful act of providing an intravenous injection without being a physician, contrary to ss. 31, 43, and 45 of the </w:t>
      </w:r>
      <w:r w:rsidRPr="0002598E">
        <w:rPr>
          <w:i/>
          <w:sz w:val="20"/>
        </w:rPr>
        <w:t>Medical Act</w:t>
      </w:r>
      <w:r w:rsidRPr="0002598E">
        <w:rPr>
          <w:sz w:val="20"/>
        </w:rPr>
        <w:t xml:space="preserve">, is objectively dangerous - Whether the Court of Appeal erred in law in concluding that the trial judge personalized the modified objective standard for penal negligence and criminal negligence - Whether the Court of Appeal erred in law in interfering with the trial judge’s finding that the appellant’s conduct did not amount to a marked departure from the standard of care of a reasonable person in the circumstances - Whether the Court of Appeal erred in law in setting aside the acquittals and entering a verdict of guilty under s. 686(4)(b)(ii) of the </w:t>
      </w:r>
      <w:r w:rsidRPr="0002598E">
        <w:rPr>
          <w:i/>
          <w:sz w:val="20"/>
        </w:rPr>
        <w:t>Criminal Code</w:t>
      </w:r>
      <w:r w:rsidRPr="0002598E">
        <w:rPr>
          <w:sz w:val="20"/>
        </w:rPr>
        <w:t xml:space="preserve"> - Whether the Court of Appeal erred in law in its analysis of causation by failing to consider whether the unlawful act, namely providing an intravenous injection without being a physician, was a significant contributing cause of the death, and not merely whether the intravenous injection caused the death - Whether ss. 234 and 236 of the </w:t>
      </w:r>
      <w:r w:rsidRPr="0002598E">
        <w:rPr>
          <w:i/>
          <w:sz w:val="20"/>
        </w:rPr>
        <w:t>Criminal Code</w:t>
      </w:r>
      <w:r w:rsidRPr="0002598E">
        <w:rPr>
          <w:sz w:val="20"/>
        </w:rPr>
        <w:t xml:space="preserve"> infringe ss. 6 or 15 of the </w:t>
      </w:r>
      <w:r w:rsidRPr="0002598E">
        <w:rPr>
          <w:i/>
          <w:sz w:val="20"/>
        </w:rPr>
        <w:t>Charter</w:t>
      </w:r>
      <w:r w:rsidRPr="0002598E">
        <w:rPr>
          <w:sz w:val="20"/>
        </w:rPr>
        <w:t>, and, if so, is the infringement justified under s. 1.</w:t>
      </w:r>
    </w:p>
    <w:p w:rsidR="0002598E" w:rsidRPr="0002598E" w:rsidRDefault="0002598E" w:rsidP="00D973CD">
      <w:pPr>
        <w:widowControl w:val="0"/>
        <w:jc w:val="both"/>
        <w:rPr>
          <w:sz w:val="20"/>
        </w:rPr>
      </w:pPr>
    </w:p>
    <w:p w:rsidR="0002598E" w:rsidRPr="0002598E" w:rsidRDefault="0002598E" w:rsidP="00E953CE">
      <w:pPr>
        <w:widowControl w:val="0"/>
        <w:jc w:val="both"/>
        <w:rPr>
          <w:sz w:val="20"/>
        </w:rPr>
      </w:pPr>
      <w:r w:rsidRPr="0002598E">
        <w:rPr>
          <w:sz w:val="20"/>
        </w:rPr>
        <w:t xml:space="preserve">In June 2008, Roger </w:t>
      </w:r>
      <w:proofErr w:type="spellStart"/>
      <w:r w:rsidRPr="0002598E">
        <w:rPr>
          <w:sz w:val="20"/>
        </w:rPr>
        <w:t>Matern</w:t>
      </w:r>
      <w:proofErr w:type="spellEnd"/>
      <w:r w:rsidRPr="0002598E">
        <w:rPr>
          <w:sz w:val="20"/>
        </w:rPr>
        <w:t xml:space="preserve"> consulted the appellant, Mitra Javanmardi, a naturopath. Ms. Javanmardi administered an </w:t>
      </w:r>
      <w:proofErr w:type="spellStart"/>
      <w:r w:rsidRPr="0002598E">
        <w:rPr>
          <w:sz w:val="20"/>
        </w:rPr>
        <w:t>intraveous</w:t>
      </w:r>
      <w:proofErr w:type="spellEnd"/>
      <w:r w:rsidRPr="0002598E">
        <w:rPr>
          <w:sz w:val="20"/>
        </w:rPr>
        <w:t xml:space="preserve"> injection treatment. Mr. </w:t>
      </w:r>
      <w:proofErr w:type="spellStart"/>
      <w:r w:rsidRPr="0002598E">
        <w:rPr>
          <w:sz w:val="20"/>
        </w:rPr>
        <w:t>Matern</w:t>
      </w:r>
      <w:proofErr w:type="spellEnd"/>
      <w:r w:rsidRPr="0002598E">
        <w:rPr>
          <w:sz w:val="20"/>
        </w:rPr>
        <w:t xml:space="preserve"> died not long after the treatment. Ms. Javanmardi was charged, in connection with his death, with criminal negligence causing death and manslaughter.</w:t>
      </w:r>
    </w:p>
    <w:p w:rsidR="0002598E" w:rsidRPr="0002598E" w:rsidRDefault="0002598E" w:rsidP="00D973CD">
      <w:pPr>
        <w:widowControl w:val="0"/>
        <w:jc w:val="both"/>
        <w:rPr>
          <w:sz w:val="20"/>
        </w:rPr>
      </w:pPr>
    </w:p>
    <w:p w:rsidR="0002598E" w:rsidRPr="0002598E" w:rsidRDefault="0002598E" w:rsidP="00E953CE">
      <w:pPr>
        <w:jc w:val="both"/>
        <w:rPr>
          <w:sz w:val="20"/>
        </w:rPr>
      </w:pPr>
      <w:r w:rsidRPr="0002598E">
        <w:rPr>
          <w:sz w:val="20"/>
        </w:rPr>
        <w:t>The Court of Québec found on the basis of the evidence that the cause of Mr. </w:t>
      </w:r>
      <w:proofErr w:type="spellStart"/>
      <w:r w:rsidRPr="0002598E">
        <w:rPr>
          <w:sz w:val="20"/>
        </w:rPr>
        <w:t>Matern’s</w:t>
      </w:r>
      <w:proofErr w:type="spellEnd"/>
      <w:r w:rsidRPr="0002598E">
        <w:rPr>
          <w:sz w:val="20"/>
        </w:rPr>
        <w:t xml:space="preserve"> death was the injection administered by Ms. Javanmardi. But it acquitted her on both counts on the basis that, </w:t>
      </w:r>
      <w:proofErr w:type="spellStart"/>
      <w:r w:rsidRPr="0002598E">
        <w:rPr>
          <w:sz w:val="20"/>
        </w:rPr>
        <w:t>amoung</w:t>
      </w:r>
      <w:proofErr w:type="spellEnd"/>
      <w:r w:rsidRPr="0002598E">
        <w:rPr>
          <w:sz w:val="20"/>
        </w:rPr>
        <w:t xml:space="preserve"> other things, Ms. </w:t>
      </w:r>
      <w:proofErr w:type="spellStart"/>
      <w:r w:rsidRPr="0002598E">
        <w:rPr>
          <w:sz w:val="20"/>
        </w:rPr>
        <w:t>Javanmardi’s</w:t>
      </w:r>
      <w:proofErr w:type="spellEnd"/>
      <w:r w:rsidRPr="0002598E">
        <w:rPr>
          <w:sz w:val="20"/>
        </w:rPr>
        <w:t xml:space="preserve"> conduct had not involved a marked departure and her actions had not been objectively dangerous. </w:t>
      </w:r>
    </w:p>
    <w:p w:rsidR="0002598E" w:rsidRPr="0002598E" w:rsidRDefault="0002598E" w:rsidP="00E953CE">
      <w:pPr>
        <w:jc w:val="both"/>
        <w:rPr>
          <w:sz w:val="20"/>
        </w:rPr>
      </w:pPr>
    </w:p>
    <w:p w:rsidR="0002598E" w:rsidRDefault="0002598E" w:rsidP="00C02B43">
      <w:pPr>
        <w:jc w:val="both"/>
        <w:rPr>
          <w:sz w:val="20"/>
        </w:rPr>
      </w:pPr>
      <w:r w:rsidRPr="0002598E">
        <w:rPr>
          <w:sz w:val="20"/>
        </w:rPr>
        <w:lastRenderedPageBreak/>
        <w:t>The Court of Appeal was of the opinion that errors of law had been made at trial. It found that all the essential elements of the offence of manslaughter had been established beyond a reasonable doubt and found Ms. Javanmardi guilty on that count. As for the count of criminal negligence, it found that a reassessment of the whole of the evidence was necessary and ordered a new trial for that purpose.</w:t>
      </w:r>
    </w:p>
    <w:p w:rsidR="0002598E" w:rsidRDefault="0002598E" w:rsidP="00C02B43">
      <w:pPr>
        <w:jc w:val="both"/>
        <w:rPr>
          <w:sz w:val="20"/>
        </w:rPr>
      </w:pPr>
    </w:p>
    <w:p w:rsidR="0002598E" w:rsidRDefault="0002598E" w:rsidP="00C02B43">
      <w:pPr>
        <w:jc w:val="both"/>
        <w:rPr>
          <w:sz w:val="20"/>
        </w:rPr>
      </w:pPr>
      <w:r w:rsidRPr="00115BAB">
        <w:rPr>
          <w:sz w:val="20"/>
        </w:rPr>
        <w:pict>
          <v:rect id="_x0000_i1028" style="width:2in;height:1pt" o:hrpct="0" o:hralign="center" o:hrstd="t" o:hrnoshade="t" o:hr="t" fillcolor="black [3213]" stroked="f"/>
        </w:pict>
      </w:r>
    </w:p>
    <w:p w:rsidR="0002598E" w:rsidRPr="0002598E" w:rsidRDefault="0002598E" w:rsidP="00C02B43">
      <w:pPr>
        <w:jc w:val="both"/>
        <w:rPr>
          <w:sz w:val="20"/>
        </w:rPr>
      </w:pPr>
    </w:p>
    <w:p w:rsidR="0002598E" w:rsidRPr="0002598E" w:rsidRDefault="0002598E" w:rsidP="007C7A26">
      <w:pPr>
        <w:widowControl w:val="0"/>
        <w:ind w:left="720" w:hanging="720"/>
        <w:jc w:val="both"/>
        <w:rPr>
          <w:b/>
          <w:i/>
          <w:sz w:val="20"/>
          <w:lang w:val="fr-CA"/>
        </w:rPr>
      </w:pPr>
      <w:r w:rsidRPr="0002598E">
        <w:rPr>
          <w:b/>
          <w:sz w:val="20"/>
          <w:lang w:val="fr-CA"/>
        </w:rPr>
        <w:fldChar w:fldCharType="begin"/>
      </w:r>
      <w:r w:rsidRPr="0002598E">
        <w:rPr>
          <w:b/>
          <w:sz w:val="20"/>
          <w:lang w:val="fr-CA"/>
        </w:rPr>
        <w:instrText xml:space="preserve"> SEQ CHAPTER \h \r 1</w:instrText>
      </w:r>
      <w:r w:rsidRPr="0002598E">
        <w:rPr>
          <w:b/>
          <w:sz w:val="20"/>
          <w:lang w:val="fr-CA"/>
        </w:rPr>
        <w:fldChar w:fldCharType="end"/>
      </w:r>
      <w:r w:rsidRPr="0002598E">
        <w:rPr>
          <w:b/>
          <w:sz w:val="20"/>
          <w:lang w:val="fr-CA"/>
        </w:rPr>
        <w:t>38188</w:t>
      </w:r>
      <w:r w:rsidRPr="0002598E">
        <w:rPr>
          <w:sz w:val="20"/>
          <w:lang w:val="fr-CA"/>
        </w:rPr>
        <w:tab/>
      </w:r>
      <w:r w:rsidRPr="0002598E">
        <w:rPr>
          <w:b/>
          <w:i/>
          <w:sz w:val="20"/>
          <w:lang w:val="fr-CA"/>
        </w:rPr>
        <w:t>Mitra Javanmardi c. Sa Majesté la Reine et la procureure générale du Québec</w:t>
      </w:r>
    </w:p>
    <w:p w:rsidR="0002598E" w:rsidRPr="0002598E" w:rsidRDefault="0002598E" w:rsidP="009A0E09">
      <w:pPr>
        <w:pStyle w:val="SCCCaseDescriptor"/>
        <w:ind w:firstLine="720"/>
        <w:rPr>
          <w:b w:val="0"/>
          <w:sz w:val="20"/>
        </w:rPr>
      </w:pPr>
      <w:r w:rsidRPr="0002598E">
        <w:rPr>
          <w:b w:val="0"/>
          <w:sz w:val="20"/>
        </w:rPr>
        <w:t>(Q</w:t>
      </w:r>
      <w:r>
        <w:rPr>
          <w:b w:val="0"/>
          <w:sz w:val="20"/>
        </w:rPr>
        <w:t>c</w:t>
      </w:r>
      <w:r w:rsidRPr="0002598E">
        <w:rPr>
          <w:b w:val="0"/>
          <w:sz w:val="20"/>
        </w:rPr>
        <w:t>) (Criminelle) (De plein droit / Autorisation)</w:t>
      </w:r>
    </w:p>
    <w:p w:rsidR="0002598E" w:rsidRPr="0002598E" w:rsidRDefault="0002598E" w:rsidP="009A0E09">
      <w:pPr>
        <w:widowControl w:val="0"/>
        <w:ind w:left="2160" w:hanging="2160"/>
        <w:jc w:val="both"/>
        <w:rPr>
          <w:sz w:val="20"/>
          <w:lang w:val="fr-CA"/>
        </w:rPr>
      </w:pPr>
    </w:p>
    <w:p w:rsidR="0002598E" w:rsidRPr="0002598E" w:rsidRDefault="0002598E" w:rsidP="009A0E09">
      <w:pPr>
        <w:widowControl w:val="0"/>
        <w:jc w:val="both"/>
        <w:rPr>
          <w:sz w:val="20"/>
          <w:lang w:val="fr-CA"/>
        </w:rPr>
      </w:pPr>
      <w:r w:rsidRPr="0002598E">
        <w:rPr>
          <w:sz w:val="20"/>
          <w:lang w:val="fr-CA"/>
        </w:rPr>
        <w:t>(Ordonnance de non-publication dans le dossier) (Ordonnances de mise sous scellés) (</w:t>
      </w:r>
      <w:r w:rsidRPr="0002598E">
        <w:rPr>
          <w:bCs/>
          <w:sz w:val="20"/>
          <w:lang w:val="fr-CA"/>
        </w:rPr>
        <w:t>Restriction limitant l’accès du public</w:t>
      </w:r>
      <w:r w:rsidRPr="0002598E">
        <w:rPr>
          <w:sz w:val="20"/>
          <w:lang w:val="fr-CA"/>
        </w:rPr>
        <w:t>)</w:t>
      </w:r>
    </w:p>
    <w:p w:rsidR="0002598E" w:rsidRPr="0002598E" w:rsidRDefault="0002598E" w:rsidP="009A0E09">
      <w:pPr>
        <w:widowControl w:val="0"/>
        <w:jc w:val="both"/>
        <w:rPr>
          <w:sz w:val="20"/>
          <w:lang w:val="fr-CA"/>
        </w:rPr>
      </w:pPr>
    </w:p>
    <w:p w:rsidR="0002598E" w:rsidRPr="0002598E" w:rsidRDefault="0002598E" w:rsidP="009A0E09">
      <w:pPr>
        <w:jc w:val="both"/>
        <w:rPr>
          <w:sz w:val="20"/>
          <w:lang w:val="fr-CA"/>
        </w:rPr>
      </w:pPr>
      <w:r w:rsidRPr="0002598E">
        <w:rPr>
          <w:sz w:val="20"/>
          <w:lang w:val="fr-CA"/>
        </w:rPr>
        <w:t xml:space="preserve">Droit criminel - Homicide involontaire coupable - Négligence criminelle causant la mort - Naturopathe accusée de l’homicide involontaire coupable d’un patient et d’avoir, par négligence criminelle, causé la mort de ce dernier - L’acte illégal d’administrer une injection intraveineuse sans être médecin, en contravention des </w:t>
      </w:r>
      <w:proofErr w:type="gramStart"/>
      <w:r w:rsidRPr="0002598E">
        <w:rPr>
          <w:sz w:val="20"/>
          <w:lang w:val="fr-CA"/>
        </w:rPr>
        <w:t>art</w:t>
      </w:r>
      <w:proofErr w:type="gramEnd"/>
      <w:r w:rsidRPr="0002598E">
        <w:rPr>
          <w:sz w:val="20"/>
          <w:lang w:val="fr-CA"/>
        </w:rPr>
        <w:t xml:space="preserve">. 31, 43 et 45 de la </w:t>
      </w:r>
      <w:r w:rsidRPr="0002598E">
        <w:rPr>
          <w:i/>
          <w:sz w:val="20"/>
          <w:lang w:val="fr-CA"/>
        </w:rPr>
        <w:t>Loi médicale</w:t>
      </w:r>
      <w:r w:rsidRPr="0002598E">
        <w:rPr>
          <w:sz w:val="20"/>
          <w:lang w:val="fr-CA"/>
        </w:rPr>
        <w:t>, est-il objectivement dangereux? - La Cour d’appel a-t-elle commis une erreur de droit en concluant que la juge du procès avait personnalisé la norme objective modifiée de négligence pénale et de négligence criminelle? - La Cour d’appel a-t-elle commis une erreur de droit en intervenant à l’égard de la conclusion de la juge du procès selon laquelle la conduite de l’appelante ne constituait pas un écart marqué par rapport à la norme de diligence de la personne raisonnable dans les circonstances? - La Cour d’appel a-t-elle commis une erreur de droit en annulant les acquittements et en inscrivant un verdict de culpabilité en vertu du sous-al. 686(4)b</w:t>
      </w:r>
      <w:proofErr w:type="gramStart"/>
      <w:r w:rsidRPr="0002598E">
        <w:rPr>
          <w:sz w:val="20"/>
          <w:lang w:val="fr-CA"/>
        </w:rPr>
        <w:t>)(</w:t>
      </w:r>
      <w:proofErr w:type="gramEnd"/>
      <w:r w:rsidRPr="0002598E">
        <w:rPr>
          <w:sz w:val="20"/>
          <w:lang w:val="fr-CA"/>
        </w:rPr>
        <w:t xml:space="preserve">ii) du </w:t>
      </w:r>
      <w:r w:rsidRPr="0002598E">
        <w:rPr>
          <w:i/>
          <w:sz w:val="20"/>
          <w:lang w:val="fr-CA"/>
        </w:rPr>
        <w:t>Code criminel</w:t>
      </w:r>
      <w:r w:rsidRPr="0002598E">
        <w:rPr>
          <w:sz w:val="20"/>
          <w:lang w:val="fr-CA"/>
        </w:rPr>
        <w:t xml:space="preserve">? - La Cour d’appel a-t-elle commis une erreur de droit dans son analyse de la causalité en ne se demandant pas si l’acte illégal, à savoir l’administration d’une injection intraveineuse sans être médecin, était une cause ayant contribué de façon appréciable au décès, et non pas simplement si l’injection intraveineuse avait causé le décès? - Les </w:t>
      </w:r>
      <w:proofErr w:type="gramStart"/>
      <w:r w:rsidRPr="0002598E">
        <w:rPr>
          <w:sz w:val="20"/>
          <w:lang w:val="fr-CA"/>
        </w:rPr>
        <w:t>art</w:t>
      </w:r>
      <w:proofErr w:type="gramEnd"/>
      <w:r w:rsidRPr="0002598E">
        <w:rPr>
          <w:sz w:val="20"/>
          <w:lang w:val="fr-CA"/>
        </w:rPr>
        <w:t xml:space="preserve">. 234 et 236 du </w:t>
      </w:r>
      <w:r w:rsidRPr="0002598E">
        <w:rPr>
          <w:i/>
          <w:sz w:val="20"/>
          <w:lang w:val="fr-CA"/>
        </w:rPr>
        <w:t>Code criminel</w:t>
      </w:r>
      <w:r w:rsidRPr="0002598E">
        <w:rPr>
          <w:sz w:val="20"/>
          <w:lang w:val="fr-CA"/>
        </w:rPr>
        <w:t xml:space="preserve"> violent-ils </w:t>
      </w:r>
      <w:proofErr w:type="gramStart"/>
      <w:r w:rsidRPr="0002598E">
        <w:rPr>
          <w:sz w:val="20"/>
          <w:lang w:val="fr-CA"/>
        </w:rPr>
        <w:t>les art</w:t>
      </w:r>
      <w:proofErr w:type="gramEnd"/>
      <w:r w:rsidRPr="0002598E">
        <w:rPr>
          <w:sz w:val="20"/>
          <w:lang w:val="fr-CA"/>
        </w:rPr>
        <w:t xml:space="preserve">. 6 ou 15 de la </w:t>
      </w:r>
      <w:r w:rsidRPr="0002598E">
        <w:rPr>
          <w:i/>
          <w:sz w:val="20"/>
          <w:lang w:val="fr-CA"/>
        </w:rPr>
        <w:t>Charte</w:t>
      </w:r>
      <w:r w:rsidRPr="0002598E">
        <w:rPr>
          <w:sz w:val="20"/>
          <w:lang w:val="fr-CA"/>
        </w:rPr>
        <w:t xml:space="preserve"> et, dans l’affirmative, l’atteinte est-elle justifiée au regard de l’article premier?</w:t>
      </w:r>
    </w:p>
    <w:p w:rsidR="0002598E" w:rsidRPr="0002598E" w:rsidRDefault="0002598E" w:rsidP="009A0E09">
      <w:pPr>
        <w:widowControl w:val="0"/>
        <w:jc w:val="both"/>
        <w:rPr>
          <w:sz w:val="20"/>
          <w:lang w:val="fr-CA"/>
        </w:rPr>
      </w:pPr>
    </w:p>
    <w:p w:rsidR="0002598E" w:rsidRPr="0002598E" w:rsidRDefault="0002598E" w:rsidP="009A0E09">
      <w:pPr>
        <w:widowControl w:val="0"/>
        <w:jc w:val="both"/>
        <w:rPr>
          <w:sz w:val="20"/>
          <w:lang w:val="fr-CA"/>
        </w:rPr>
      </w:pPr>
      <w:r w:rsidRPr="0002598E">
        <w:rPr>
          <w:sz w:val="20"/>
          <w:lang w:val="fr-CA"/>
        </w:rPr>
        <w:t>En juin 2008, M. Roger Matern consulte l’appelante, Mme Mitra Javanmardi, naturopathe. Cette dernière lui administre un traitement par intraveineuse. Peu après le traitement, M. Matern décède. Mme Javanmardi est accusée, en lien avec ce décès, de négligence criminelle ayant causé la mort et d’homicide involontaire coupable.</w:t>
      </w:r>
    </w:p>
    <w:p w:rsidR="0002598E" w:rsidRPr="0002598E" w:rsidRDefault="0002598E" w:rsidP="009A0E09">
      <w:pPr>
        <w:widowControl w:val="0"/>
        <w:jc w:val="both"/>
        <w:rPr>
          <w:sz w:val="20"/>
          <w:lang w:val="fr-CA"/>
        </w:rPr>
      </w:pPr>
    </w:p>
    <w:p w:rsidR="0002598E" w:rsidRPr="0002598E" w:rsidRDefault="0002598E" w:rsidP="009A0E09">
      <w:pPr>
        <w:jc w:val="both"/>
        <w:rPr>
          <w:sz w:val="20"/>
          <w:lang w:val="fr-CA"/>
        </w:rPr>
      </w:pPr>
      <w:r w:rsidRPr="0002598E">
        <w:rPr>
          <w:sz w:val="20"/>
          <w:lang w:val="fr-CA"/>
        </w:rPr>
        <w:t>La Cour du Québec conclut de la preuve que la cause du décès de M. Matern est l’injection administrée par Mme Javanmardi. Elle acquitte par ailleurs cette dernière des deux chefs d’accusation, car elle estime entre autres que la conduite de Mme Javanmardi ne révèle pas un écart marqué de comportement et que les actes posés par Mme Javanmardi n’étaient pas objectivement dangereux.</w:t>
      </w:r>
    </w:p>
    <w:p w:rsidR="0002598E" w:rsidRPr="0002598E" w:rsidRDefault="0002598E" w:rsidP="009A0E09">
      <w:pPr>
        <w:jc w:val="both"/>
        <w:rPr>
          <w:sz w:val="20"/>
          <w:lang w:val="fr-CA"/>
        </w:rPr>
      </w:pPr>
    </w:p>
    <w:p w:rsidR="0002598E" w:rsidRPr="0002598E" w:rsidRDefault="0002598E" w:rsidP="00344BEB">
      <w:pPr>
        <w:jc w:val="both"/>
        <w:rPr>
          <w:sz w:val="20"/>
          <w:lang w:val="fr-CA"/>
        </w:rPr>
      </w:pPr>
      <w:r w:rsidRPr="0002598E">
        <w:rPr>
          <w:sz w:val="20"/>
          <w:lang w:val="fr-CA"/>
        </w:rPr>
        <w:t>La Cour d’appel est d’avis que des erreurs de droit ont été commises en première instance. Elle estime que tous les éléments essentiels de l’infraction d’homicide involontaire coupable ont été établis hors de tout doute raisonnable, et déclare Mme Javanmardi coupable à l’égard de ce chef. Pour ce qui est du chef de négligence criminelle, elle estime qu’une nouvelle évaluation globale de la preuve s’impose et ordonne un nouveau procès à cette fin.</w:t>
      </w:r>
    </w:p>
    <w:p w:rsidR="00072A63" w:rsidRDefault="00072A63" w:rsidP="00340C6D">
      <w:pPr>
        <w:jc w:val="both"/>
        <w:rPr>
          <w:szCs w:val="24"/>
          <w:lang w:val="fr-CA"/>
        </w:rPr>
      </w:pPr>
    </w:p>
    <w:p w:rsidR="0002598E" w:rsidRDefault="0002598E" w:rsidP="00340C6D">
      <w:pPr>
        <w:jc w:val="both"/>
        <w:rPr>
          <w:szCs w:val="24"/>
          <w:lang w:val="fr-CA"/>
        </w:rPr>
      </w:pPr>
      <w:r w:rsidRPr="00115BAB">
        <w:rPr>
          <w:sz w:val="20"/>
        </w:rPr>
        <w:pict>
          <v:rect id="_x0000_i1029" style="width:2in;height:1pt" o:hrpct="0" o:hralign="center" o:hrstd="t" o:hrnoshade="t" o:hr="t" fillcolor="black [3213]" stroked="f"/>
        </w:pict>
      </w:r>
    </w:p>
    <w:p w:rsidR="0002598E" w:rsidRDefault="0002598E" w:rsidP="00340C6D">
      <w:pPr>
        <w:jc w:val="both"/>
        <w:rPr>
          <w:szCs w:val="24"/>
          <w:lang w:val="fr-CA"/>
        </w:rPr>
      </w:pPr>
      <w:bookmarkStart w:id="4" w:name="_GoBack"/>
      <w:bookmarkEnd w:id="4"/>
    </w:p>
    <w:p w:rsidR="0002598E" w:rsidRPr="00CF4403" w:rsidRDefault="0002598E" w:rsidP="00340C6D">
      <w:pPr>
        <w:jc w:val="both"/>
        <w:rPr>
          <w:szCs w:val="24"/>
          <w:lang w:val="fr-CA"/>
        </w:rPr>
      </w:pPr>
    </w:p>
    <w:p w:rsidR="00072A63" w:rsidRPr="00CF4403" w:rsidRDefault="00072A63" w:rsidP="00EC79B0">
      <w:pPr>
        <w:jc w:val="both"/>
        <w:rPr>
          <w:szCs w:val="24"/>
          <w:lang w:val="fr-CA"/>
        </w:rPr>
      </w:pPr>
    </w:p>
    <w:p w:rsidR="001C4415" w:rsidRPr="002A3088" w:rsidRDefault="001C4415" w:rsidP="001C4415">
      <w:pPr>
        <w:widowControl w:val="0"/>
        <w:outlineLvl w:val="0"/>
      </w:pPr>
      <w:r w:rsidRPr="002A3088">
        <w:t xml:space="preserve">Supreme Court of Canada / Cour suprême du </w:t>
      </w:r>
      <w:proofErr w:type="gramStart"/>
      <w:r w:rsidRPr="002A3088">
        <w:t>Canada :</w:t>
      </w:r>
      <w:proofErr w:type="gramEnd"/>
      <w:r w:rsidRPr="002A3088">
        <w:t xml:space="preserve"> </w:t>
      </w:r>
    </w:p>
    <w:p w:rsidR="001C4415" w:rsidRPr="00EE5531" w:rsidRDefault="0002598E" w:rsidP="001C4415">
      <w:pPr>
        <w:widowControl w:val="0"/>
        <w:outlineLvl w:val="0"/>
      </w:pPr>
      <w:hyperlink r:id="rId8" w:history="1">
        <w:r w:rsidR="001C4415" w:rsidRPr="002A3088">
          <w:rPr>
            <w:rStyle w:val="Hyperlink"/>
          </w:rPr>
          <w:t>comments-commentair</w:t>
        </w:r>
        <w:r w:rsidR="001C4415" w:rsidRPr="00EE5531">
          <w:rPr>
            <w:rStyle w:val="Hyperlink"/>
          </w:rPr>
          <w:t>es@scc-csc.ca</w:t>
        </w:r>
      </w:hyperlink>
    </w:p>
    <w:p w:rsidR="001C4415" w:rsidRPr="00EE5531" w:rsidRDefault="001C4415" w:rsidP="001C4415">
      <w:pPr>
        <w:widowControl w:val="0"/>
        <w:outlineLvl w:val="0"/>
      </w:pPr>
      <w:r w:rsidRPr="00EE5531">
        <w:t>(613) 995-4330</w:t>
      </w:r>
    </w:p>
    <w:p w:rsidR="001C4415" w:rsidRPr="00EE5531" w:rsidRDefault="001C4415" w:rsidP="001C4415">
      <w:pPr>
        <w:widowControl w:val="0"/>
        <w:rPr>
          <w:sz w:val="20"/>
        </w:rPr>
      </w:pPr>
    </w:p>
    <w:p w:rsidR="0036476C" w:rsidRPr="002A3088" w:rsidRDefault="001C4415" w:rsidP="0036476C">
      <w:pPr>
        <w:pStyle w:val="Footer"/>
        <w:jc w:val="center"/>
      </w:pPr>
      <w:r w:rsidRPr="002A3088">
        <w:t xml:space="preserve">- 30 </w:t>
      </w:r>
      <w:r w:rsidR="003C1B6E" w:rsidRPr="002A3088">
        <w:t>-</w:t>
      </w:r>
    </w:p>
    <w:p w:rsidR="0036476C" w:rsidRPr="002A3088" w:rsidRDefault="0036476C" w:rsidP="0036476C">
      <w:pPr>
        <w:pStyle w:val="Footer"/>
        <w:jc w:val="center"/>
      </w:pPr>
    </w:p>
    <w:sectPr w:rsidR="0036476C" w:rsidRPr="002A3088"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02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4FFF"/>
    <w:rsid w:val="0001605B"/>
    <w:rsid w:val="0001634B"/>
    <w:rsid w:val="0002161B"/>
    <w:rsid w:val="00021901"/>
    <w:rsid w:val="0002598E"/>
    <w:rsid w:val="0003356F"/>
    <w:rsid w:val="000347C1"/>
    <w:rsid w:val="00035555"/>
    <w:rsid w:val="00035B99"/>
    <w:rsid w:val="0003611D"/>
    <w:rsid w:val="0003620E"/>
    <w:rsid w:val="00036BD1"/>
    <w:rsid w:val="00037405"/>
    <w:rsid w:val="000376CC"/>
    <w:rsid w:val="00042B21"/>
    <w:rsid w:val="000446D3"/>
    <w:rsid w:val="000454BF"/>
    <w:rsid w:val="00050D96"/>
    <w:rsid w:val="00053111"/>
    <w:rsid w:val="00060140"/>
    <w:rsid w:val="00060B39"/>
    <w:rsid w:val="00061A14"/>
    <w:rsid w:val="00072A63"/>
    <w:rsid w:val="0008116D"/>
    <w:rsid w:val="000855FD"/>
    <w:rsid w:val="00087122"/>
    <w:rsid w:val="00095EDD"/>
    <w:rsid w:val="0009615F"/>
    <w:rsid w:val="000A03A4"/>
    <w:rsid w:val="000A063C"/>
    <w:rsid w:val="000A0834"/>
    <w:rsid w:val="000A21DA"/>
    <w:rsid w:val="000A226B"/>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14B"/>
    <w:rsid w:val="00101539"/>
    <w:rsid w:val="0010171C"/>
    <w:rsid w:val="00103400"/>
    <w:rsid w:val="00105085"/>
    <w:rsid w:val="001065AF"/>
    <w:rsid w:val="00113326"/>
    <w:rsid w:val="00113F49"/>
    <w:rsid w:val="00114B52"/>
    <w:rsid w:val="00114D6F"/>
    <w:rsid w:val="00115BAB"/>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67E3"/>
    <w:rsid w:val="00167E17"/>
    <w:rsid w:val="001710E4"/>
    <w:rsid w:val="001714EA"/>
    <w:rsid w:val="00172FC0"/>
    <w:rsid w:val="0017395A"/>
    <w:rsid w:val="00175566"/>
    <w:rsid w:val="00177C9B"/>
    <w:rsid w:val="001801D4"/>
    <w:rsid w:val="0018124A"/>
    <w:rsid w:val="001826CD"/>
    <w:rsid w:val="00184563"/>
    <w:rsid w:val="00191F98"/>
    <w:rsid w:val="00193030"/>
    <w:rsid w:val="001936BC"/>
    <w:rsid w:val="00194B53"/>
    <w:rsid w:val="001A1632"/>
    <w:rsid w:val="001A24F4"/>
    <w:rsid w:val="001A29BA"/>
    <w:rsid w:val="001A4A73"/>
    <w:rsid w:val="001A6B08"/>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607"/>
    <w:rsid w:val="002667BA"/>
    <w:rsid w:val="002667ED"/>
    <w:rsid w:val="00266A8B"/>
    <w:rsid w:val="002723AE"/>
    <w:rsid w:val="00272EAB"/>
    <w:rsid w:val="002768F6"/>
    <w:rsid w:val="00282563"/>
    <w:rsid w:val="0028630C"/>
    <w:rsid w:val="002874E9"/>
    <w:rsid w:val="00290E05"/>
    <w:rsid w:val="00290F21"/>
    <w:rsid w:val="00291F84"/>
    <w:rsid w:val="00295263"/>
    <w:rsid w:val="00296694"/>
    <w:rsid w:val="00297E1D"/>
    <w:rsid w:val="002A1A63"/>
    <w:rsid w:val="002A23AD"/>
    <w:rsid w:val="002A2F5A"/>
    <w:rsid w:val="002A3088"/>
    <w:rsid w:val="002A3DD8"/>
    <w:rsid w:val="002A4252"/>
    <w:rsid w:val="002A44BE"/>
    <w:rsid w:val="002A5496"/>
    <w:rsid w:val="002A6B95"/>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E6C2C"/>
    <w:rsid w:val="002F28E0"/>
    <w:rsid w:val="002F2E89"/>
    <w:rsid w:val="002F4212"/>
    <w:rsid w:val="002F55A8"/>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3ECD"/>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58C4"/>
    <w:rsid w:val="003B6ECB"/>
    <w:rsid w:val="003C1B6E"/>
    <w:rsid w:val="003C381F"/>
    <w:rsid w:val="003D4D2A"/>
    <w:rsid w:val="003D4E95"/>
    <w:rsid w:val="003D74E7"/>
    <w:rsid w:val="003E0326"/>
    <w:rsid w:val="003E101F"/>
    <w:rsid w:val="003E1BBF"/>
    <w:rsid w:val="003E222C"/>
    <w:rsid w:val="003E31F8"/>
    <w:rsid w:val="003E41BB"/>
    <w:rsid w:val="003E4906"/>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535D"/>
    <w:rsid w:val="00467AE4"/>
    <w:rsid w:val="004739C1"/>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C0F87"/>
    <w:rsid w:val="004D033B"/>
    <w:rsid w:val="004D2539"/>
    <w:rsid w:val="004D4322"/>
    <w:rsid w:val="004D465A"/>
    <w:rsid w:val="004D488A"/>
    <w:rsid w:val="004D7A9D"/>
    <w:rsid w:val="004E4B79"/>
    <w:rsid w:val="004E5455"/>
    <w:rsid w:val="004E605A"/>
    <w:rsid w:val="004E7227"/>
    <w:rsid w:val="004F0A44"/>
    <w:rsid w:val="004F1E22"/>
    <w:rsid w:val="004F215A"/>
    <w:rsid w:val="004F22F6"/>
    <w:rsid w:val="004F3FB9"/>
    <w:rsid w:val="004F76A1"/>
    <w:rsid w:val="00504582"/>
    <w:rsid w:val="00506DD4"/>
    <w:rsid w:val="00512FB2"/>
    <w:rsid w:val="0051320D"/>
    <w:rsid w:val="005132EC"/>
    <w:rsid w:val="00517F18"/>
    <w:rsid w:val="00520A3C"/>
    <w:rsid w:val="0052224A"/>
    <w:rsid w:val="00525362"/>
    <w:rsid w:val="00525B8E"/>
    <w:rsid w:val="005271AD"/>
    <w:rsid w:val="00530DD0"/>
    <w:rsid w:val="00531567"/>
    <w:rsid w:val="00534E1E"/>
    <w:rsid w:val="00537187"/>
    <w:rsid w:val="005400BA"/>
    <w:rsid w:val="00542361"/>
    <w:rsid w:val="0054302E"/>
    <w:rsid w:val="0054378D"/>
    <w:rsid w:val="005441B9"/>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25C8"/>
    <w:rsid w:val="005831CF"/>
    <w:rsid w:val="00591F70"/>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65F"/>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533EC"/>
    <w:rsid w:val="006630E5"/>
    <w:rsid w:val="00663CDF"/>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B786C"/>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6D5"/>
    <w:rsid w:val="007418AB"/>
    <w:rsid w:val="00743AB2"/>
    <w:rsid w:val="00743CD0"/>
    <w:rsid w:val="007464AD"/>
    <w:rsid w:val="007505FE"/>
    <w:rsid w:val="00753E0D"/>
    <w:rsid w:val="00753FDD"/>
    <w:rsid w:val="00755A54"/>
    <w:rsid w:val="0076188D"/>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97397"/>
    <w:rsid w:val="007A0A44"/>
    <w:rsid w:val="007A2100"/>
    <w:rsid w:val="007A4A45"/>
    <w:rsid w:val="007A4DF6"/>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D7538"/>
    <w:rsid w:val="007E08A3"/>
    <w:rsid w:val="007E3F7F"/>
    <w:rsid w:val="007E7DF1"/>
    <w:rsid w:val="007F29FE"/>
    <w:rsid w:val="007F3D16"/>
    <w:rsid w:val="007F45A9"/>
    <w:rsid w:val="00800066"/>
    <w:rsid w:val="00803329"/>
    <w:rsid w:val="008064C3"/>
    <w:rsid w:val="00807085"/>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39F"/>
    <w:rsid w:val="00843914"/>
    <w:rsid w:val="00844A0C"/>
    <w:rsid w:val="00845B97"/>
    <w:rsid w:val="0085122E"/>
    <w:rsid w:val="00851B24"/>
    <w:rsid w:val="00857775"/>
    <w:rsid w:val="00861E1D"/>
    <w:rsid w:val="0086609D"/>
    <w:rsid w:val="00866821"/>
    <w:rsid w:val="00870608"/>
    <w:rsid w:val="008709FF"/>
    <w:rsid w:val="008716D8"/>
    <w:rsid w:val="00875923"/>
    <w:rsid w:val="00875B30"/>
    <w:rsid w:val="008766B1"/>
    <w:rsid w:val="008814A0"/>
    <w:rsid w:val="0088190D"/>
    <w:rsid w:val="0088662B"/>
    <w:rsid w:val="00890FD7"/>
    <w:rsid w:val="00893647"/>
    <w:rsid w:val="008B03CF"/>
    <w:rsid w:val="008B0841"/>
    <w:rsid w:val="008B305D"/>
    <w:rsid w:val="008B3BD2"/>
    <w:rsid w:val="008B5FA3"/>
    <w:rsid w:val="008B5FDB"/>
    <w:rsid w:val="008B6308"/>
    <w:rsid w:val="008C2F61"/>
    <w:rsid w:val="008C5ACC"/>
    <w:rsid w:val="008C5D03"/>
    <w:rsid w:val="008D2829"/>
    <w:rsid w:val="008D3DE1"/>
    <w:rsid w:val="008D557C"/>
    <w:rsid w:val="008D5B1F"/>
    <w:rsid w:val="008D6BC4"/>
    <w:rsid w:val="008D7257"/>
    <w:rsid w:val="008D7877"/>
    <w:rsid w:val="008E0CE6"/>
    <w:rsid w:val="008E0CF4"/>
    <w:rsid w:val="008E5108"/>
    <w:rsid w:val="008E5567"/>
    <w:rsid w:val="008E7015"/>
    <w:rsid w:val="008E703D"/>
    <w:rsid w:val="008E7777"/>
    <w:rsid w:val="008F15CD"/>
    <w:rsid w:val="008F246A"/>
    <w:rsid w:val="008F607D"/>
    <w:rsid w:val="008F66A1"/>
    <w:rsid w:val="008F6C55"/>
    <w:rsid w:val="0090380F"/>
    <w:rsid w:val="009050BE"/>
    <w:rsid w:val="009062BF"/>
    <w:rsid w:val="009079AF"/>
    <w:rsid w:val="00911071"/>
    <w:rsid w:val="00916404"/>
    <w:rsid w:val="00916B9F"/>
    <w:rsid w:val="009202FD"/>
    <w:rsid w:val="00921102"/>
    <w:rsid w:val="009214B3"/>
    <w:rsid w:val="0092264F"/>
    <w:rsid w:val="0092285E"/>
    <w:rsid w:val="009232C4"/>
    <w:rsid w:val="009234CE"/>
    <w:rsid w:val="009246D2"/>
    <w:rsid w:val="00925384"/>
    <w:rsid w:val="00931A3C"/>
    <w:rsid w:val="0093468B"/>
    <w:rsid w:val="00935D33"/>
    <w:rsid w:val="009408A3"/>
    <w:rsid w:val="009421D0"/>
    <w:rsid w:val="009448B0"/>
    <w:rsid w:val="00945121"/>
    <w:rsid w:val="00945199"/>
    <w:rsid w:val="00945849"/>
    <w:rsid w:val="00946EC7"/>
    <w:rsid w:val="00954614"/>
    <w:rsid w:val="00955BCE"/>
    <w:rsid w:val="009603A2"/>
    <w:rsid w:val="00961DA1"/>
    <w:rsid w:val="00962301"/>
    <w:rsid w:val="00970CA2"/>
    <w:rsid w:val="00970EDF"/>
    <w:rsid w:val="00972F05"/>
    <w:rsid w:val="00973D8B"/>
    <w:rsid w:val="00975F1B"/>
    <w:rsid w:val="0097705F"/>
    <w:rsid w:val="009773EE"/>
    <w:rsid w:val="009813C5"/>
    <w:rsid w:val="00984F0A"/>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295C"/>
    <w:rsid w:val="009D30BC"/>
    <w:rsid w:val="009E15E2"/>
    <w:rsid w:val="009E23BF"/>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3D6D"/>
    <w:rsid w:val="00A45268"/>
    <w:rsid w:val="00A4560A"/>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D4E9C"/>
    <w:rsid w:val="00AE57A4"/>
    <w:rsid w:val="00AE77AE"/>
    <w:rsid w:val="00AF291D"/>
    <w:rsid w:val="00AF51A0"/>
    <w:rsid w:val="00AF5D67"/>
    <w:rsid w:val="00B00765"/>
    <w:rsid w:val="00B007DA"/>
    <w:rsid w:val="00B0211B"/>
    <w:rsid w:val="00B0252F"/>
    <w:rsid w:val="00B02858"/>
    <w:rsid w:val="00B10539"/>
    <w:rsid w:val="00B10F2E"/>
    <w:rsid w:val="00B11D20"/>
    <w:rsid w:val="00B11D74"/>
    <w:rsid w:val="00B14DCE"/>
    <w:rsid w:val="00B15276"/>
    <w:rsid w:val="00B16C11"/>
    <w:rsid w:val="00B17303"/>
    <w:rsid w:val="00B21DA8"/>
    <w:rsid w:val="00B26A2D"/>
    <w:rsid w:val="00B348B0"/>
    <w:rsid w:val="00B36EC1"/>
    <w:rsid w:val="00B435C2"/>
    <w:rsid w:val="00B46027"/>
    <w:rsid w:val="00B4618B"/>
    <w:rsid w:val="00B46448"/>
    <w:rsid w:val="00B46917"/>
    <w:rsid w:val="00B50803"/>
    <w:rsid w:val="00B51F4D"/>
    <w:rsid w:val="00B57CEE"/>
    <w:rsid w:val="00B622BC"/>
    <w:rsid w:val="00B62425"/>
    <w:rsid w:val="00B63724"/>
    <w:rsid w:val="00B67B8C"/>
    <w:rsid w:val="00B7457F"/>
    <w:rsid w:val="00B75D52"/>
    <w:rsid w:val="00B7734D"/>
    <w:rsid w:val="00B80672"/>
    <w:rsid w:val="00B8086C"/>
    <w:rsid w:val="00B809D3"/>
    <w:rsid w:val="00B80A40"/>
    <w:rsid w:val="00B84353"/>
    <w:rsid w:val="00B87097"/>
    <w:rsid w:val="00B87662"/>
    <w:rsid w:val="00B90B28"/>
    <w:rsid w:val="00B92053"/>
    <w:rsid w:val="00B94C3E"/>
    <w:rsid w:val="00BA5D3E"/>
    <w:rsid w:val="00BA60B3"/>
    <w:rsid w:val="00BB33B9"/>
    <w:rsid w:val="00BB4305"/>
    <w:rsid w:val="00BB4CC8"/>
    <w:rsid w:val="00BB5F43"/>
    <w:rsid w:val="00BC097C"/>
    <w:rsid w:val="00BC100C"/>
    <w:rsid w:val="00BC4F13"/>
    <w:rsid w:val="00BD0BD6"/>
    <w:rsid w:val="00BD2EF8"/>
    <w:rsid w:val="00BD2F73"/>
    <w:rsid w:val="00BD325B"/>
    <w:rsid w:val="00BD4D56"/>
    <w:rsid w:val="00BD762D"/>
    <w:rsid w:val="00BE030B"/>
    <w:rsid w:val="00BF00CF"/>
    <w:rsid w:val="00BF07B1"/>
    <w:rsid w:val="00BF0DC4"/>
    <w:rsid w:val="00BF1E18"/>
    <w:rsid w:val="00BF336E"/>
    <w:rsid w:val="00BF4B52"/>
    <w:rsid w:val="00BF5E12"/>
    <w:rsid w:val="00C02565"/>
    <w:rsid w:val="00C02A35"/>
    <w:rsid w:val="00C05DB6"/>
    <w:rsid w:val="00C06000"/>
    <w:rsid w:val="00C06A7B"/>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19A6"/>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3B1E"/>
    <w:rsid w:val="00C84D4E"/>
    <w:rsid w:val="00C86395"/>
    <w:rsid w:val="00C8650B"/>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2A1C"/>
    <w:rsid w:val="00CD2EFD"/>
    <w:rsid w:val="00CD4BC4"/>
    <w:rsid w:val="00CD6892"/>
    <w:rsid w:val="00CD72FE"/>
    <w:rsid w:val="00CD75D2"/>
    <w:rsid w:val="00CD77BC"/>
    <w:rsid w:val="00CE017D"/>
    <w:rsid w:val="00CE1B9F"/>
    <w:rsid w:val="00CE6F80"/>
    <w:rsid w:val="00CF18AB"/>
    <w:rsid w:val="00CF4403"/>
    <w:rsid w:val="00D00632"/>
    <w:rsid w:val="00D01F37"/>
    <w:rsid w:val="00D02758"/>
    <w:rsid w:val="00D03A26"/>
    <w:rsid w:val="00D05D59"/>
    <w:rsid w:val="00D17D39"/>
    <w:rsid w:val="00D17D8F"/>
    <w:rsid w:val="00D17E8A"/>
    <w:rsid w:val="00D21369"/>
    <w:rsid w:val="00D22031"/>
    <w:rsid w:val="00D303D6"/>
    <w:rsid w:val="00D32687"/>
    <w:rsid w:val="00D32D6E"/>
    <w:rsid w:val="00D3314A"/>
    <w:rsid w:val="00D362A2"/>
    <w:rsid w:val="00D37B27"/>
    <w:rsid w:val="00D424D2"/>
    <w:rsid w:val="00D42E9E"/>
    <w:rsid w:val="00D51791"/>
    <w:rsid w:val="00D522B4"/>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2770"/>
    <w:rsid w:val="00D92F57"/>
    <w:rsid w:val="00D93AE3"/>
    <w:rsid w:val="00D94FA0"/>
    <w:rsid w:val="00DA1A84"/>
    <w:rsid w:val="00DA2EAA"/>
    <w:rsid w:val="00DA6A86"/>
    <w:rsid w:val="00DB2F91"/>
    <w:rsid w:val="00DB406B"/>
    <w:rsid w:val="00DB531C"/>
    <w:rsid w:val="00DB53BA"/>
    <w:rsid w:val="00DC32EB"/>
    <w:rsid w:val="00DC369A"/>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503"/>
    <w:rsid w:val="00DF7A2E"/>
    <w:rsid w:val="00E02404"/>
    <w:rsid w:val="00E046A3"/>
    <w:rsid w:val="00E07FAA"/>
    <w:rsid w:val="00E128DB"/>
    <w:rsid w:val="00E12E0B"/>
    <w:rsid w:val="00E14E68"/>
    <w:rsid w:val="00E16926"/>
    <w:rsid w:val="00E21239"/>
    <w:rsid w:val="00E228C8"/>
    <w:rsid w:val="00E2539B"/>
    <w:rsid w:val="00E2744E"/>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FC2"/>
    <w:rsid w:val="00E67137"/>
    <w:rsid w:val="00E701AC"/>
    <w:rsid w:val="00E71B6C"/>
    <w:rsid w:val="00E71F47"/>
    <w:rsid w:val="00E73BFD"/>
    <w:rsid w:val="00E7552C"/>
    <w:rsid w:val="00E75EDC"/>
    <w:rsid w:val="00E76F19"/>
    <w:rsid w:val="00E7729C"/>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CE4"/>
    <w:rsid w:val="00ED2D18"/>
    <w:rsid w:val="00ED4D5F"/>
    <w:rsid w:val="00ED67B7"/>
    <w:rsid w:val="00EE1079"/>
    <w:rsid w:val="00EE1D6B"/>
    <w:rsid w:val="00EE5531"/>
    <w:rsid w:val="00EE5A88"/>
    <w:rsid w:val="00EE642E"/>
    <w:rsid w:val="00EE677E"/>
    <w:rsid w:val="00EE77E0"/>
    <w:rsid w:val="00EF0BD7"/>
    <w:rsid w:val="00EF65C0"/>
    <w:rsid w:val="00EF778F"/>
    <w:rsid w:val="00EF78B8"/>
    <w:rsid w:val="00EF7999"/>
    <w:rsid w:val="00F006DA"/>
    <w:rsid w:val="00F01ED3"/>
    <w:rsid w:val="00F020DF"/>
    <w:rsid w:val="00F03BFD"/>
    <w:rsid w:val="00F043BC"/>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65C"/>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2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paragraph" w:customStyle="1" w:styleId="SCCCaseDescriptor">
    <w:name w:val="SCC.CaseDescriptor"/>
    <w:basedOn w:val="Normal"/>
    <w:link w:val="SCCCaseDescriptorChar"/>
    <w:qFormat/>
    <w:rsid w:val="0002598E"/>
    <w:rPr>
      <w:b/>
      <w:lang w:val="fr-CA" w:eastAsia="en-CA"/>
    </w:rPr>
  </w:style>
  <w:style w:type="character" w:customStyle="1" w:styleId="SCCCaseDescriptorChar">
    <w:name w:val="SCC.CaseDescriptor Char"/>
    <w:basedOn w:val="DefaultParagraphFont"/>
    <w:link w:val="SCCCaseDescriptor"/>
    <w:rsid w:val="0002598E"/>
    <w:rPr>
      <w:b/>
      <w:sz w:val="24"/>
      <w:lang w:val="fr-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818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1018</Words>
  <Characters>5516</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6521</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2019-11-07T20:10:00Z</dcterms:created>
  <dcterms:modified xsi:type="dcterms:W3CDTF">2019-11-07T20:11:00Z</dcterms:modified>
</cp:coreProperties>
</file>