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EE5531" w:rsidRDefault="001C4415" w:rsidP="001C4415">
      <w:pPr>
        <w:pStyle w:val="Header"/>
        <w:jc w:val="center"/>
        <w:rPr>
          <w:b/>
          <w:sz w:val="32"/>
        </w:rPr>
      </w:pPr>
      <w:r w:rsidRPr="00EE5531">
        <w:rPr>
          <w:b/>
          <w:sz w:val="32"/>
        </w:rPr>
        <w:t>Supreme Court of Canada / Cour suprême du Canada</w:t>
      </w:r>
    </w:p>
    <w:p w:rsidR="001C4415" w:rsidRPr="00EE5531" w:rsidRDefault="001C4415" w:rsidP="001C4415">
      <w:pPr>
        <w:widowControl w:val="0"/>
        <w:rPr>
          <w:i/>
        </w:rPr>
      </w:pPr>
    </w:p>
    <w:p w:rsidR="001C4415" w:rsidRPr="00EE5531" w:rsidRDefault="001C4415" w:rsidP="001C4415">
      <w:pPr>
        <w:widowControl w:val="0"/>
        <w:rPr>
          <w:i/>
        </w:rPr>
      </w:pPr>
    </w:p>
    <w:p w:rsidR="001C4415" w:rsidRPr="00EE5531" w:rsidRDefault="001C4415" w:rsidP="001C4415">
      <w:pPr>
        <w:widowControl w:val="0"/>
        <w:rPr>
          <w:i/>
        </w:rPr>
      </w:pPr>
      <w:r w:rsidRPr="00EE5531">
        <w:rPr>
          <w:i/>
        </w:rPr>
        <w:t>(le français suit)</w:t>
      </w:r>
    </w:p>
    <w:p w:rsidR="001C4415" w:rsidRPr="00EE5531" w:rsidRDefault="001C4415" w:rsidP="001C4415">
      <w:pPr>
        <w:widowControl w:val="0"/>
      </w:pPr>
    </w:p>
    <w:p w:rsidR="001C4415" w:rsidRPr="00AD4E9C" w:rsidRDefault="000347C1" w:rsidP="00214729">
      <w:pPr>
        <w:widowControl w:val="0"/>
        <w:jc w:val="center"/>
        <w:rPr>
          <w:b/>
        </w:rPr>
      </w:pPr>
      <w:r w:rsidRPr="00AD4E9C">
        <w:fldChar w:fldCharType="begin"/>
      </w:r>
      <w:r w:rsidR="00FA7412" w:rsidRPr="00AD4E9C">
        <w:instrText xml:space="preserve"> SEQ CHAPTER \h \r 1</w:instrText>
      </w:r>
      <w:r w:rsidRPr="00AD4E9C">
        <w:fldChar w:fldCharType="end"/>
      </w:r>
      <w:r w:rsidR="00455BB9" w:rsidRPr="00AD4E9C">
        <w:rPr>
          <w:b/>
        </w:rPr>
        <w:t>JUDGMENT</w:t>
      </w:r>
      <w:r w:rsidR="00FA7412" w:rsidRPr="00AD4E9C">
        <w:rPr>
          <w:b/>
        </w:rPr>
        <w:t xml:space="preserve"> TO BE RENDERED IN APPEA</w:t>
      </w:r>
      <w:r w:rsidR="00C669F2">
        <w:rPr>
          <w:b/>
        </w:rPr>
        <w:t>L</w:t>
      </w:r>
      <w:bookmarkStart w:id="0" w:name="_GoBack"/>
      <w:bookmarkEnd w:id="0"/>
    </w:p>
    <w:p w:rsidR="005A7C1B" w:rsidRPr="00AD4E9C" w:rsidRDefault="005A7C1B" w:rsidP="005A7C1B">
      <w:pPr>
        <w:widowControl w:val="0"/>
      </w:pPr>
    </w:p>
    <w:p w:rsidR="00EC79B0" w:rsidRPr="009F4C0F" w:rsidRDefault="00C83B1E" w:rsidP="00EC79B0">
      <w:pPr>
        <w:widowControl w:val="0"/>
        <w:rPr>
          <w:b/>
        </w:rPr>
      </w:pPr>
      <w:r w:rsidRPr="009F4C0F">
        <w:rPr>
          <w:b/>
        </w:rPr>
        <w:t>Novem</w:t>
      </w:r>
      <w:r w:rsidR="00184563" w:rsidRPr="009F4C0F">
        <w:rPr>
          <w:b/>
        </w:rPr>
        <w:t>ber</w:t>
      </w:r>
      <w:r w:rsidR="003B58C4" w:rsidRPr="009F4C0F">
        <w:rPr>
          <w:b/>
        </w:rPr>
        <w:t xml:space="preserve"> </w:t>
      </w:r>
      <w:r w:rsidR="00A0595F">
        <w:rPr>
          <w:b/>
        </w:rPr>
        <w:t>22</w:t>
      </w:r>
      <w:r w:rsidR="001667E3" w:rsidRPr="009F4C0F">
        <w:rPr>
          <w:b/>
        </w:rPr>
        <w:t>,</w:t>
      </w:r>
      <w:r w:rsidR="00EC79B0" w:rsidRPr="009F4C0F">
        <w:rPr>
          <w:b/>
        </w:rPr>
        <w:t xml:space="preserve"> 2</w:t>
      </w:r>
      <w:r w:rsidR="00E6600C" w:rsidRPr="009F4C0F">
        <w:rPr>
          <w:b/>
        </w:rPr>
        <w:t>0</w:t>
      </w:r>
      <w:r w:rsidR="00EC79B0" w:rsidRPr="009F4C0F">
        <w:rPr>
          <w:b/>
        </w:rPr>
        <w:t>1</w:t>
      </w:r>
      <w:r w:rsidR="008C5ACC" w:rsidRPr="009F4C0F">
        <w:rPr>
          <w:b/>
        </w:rPr>
        <w:t>9</w:t>
      </w:r>
    </w:p>
    <w:p w:rsidR="00EC79B0" w:rsidRPr="009F4C0F" w:rsidRDefault="00EC79B0" w:rsidP="00EC79B0">
      <w:pPr>
        <w:widowControl w:val="0"/>
        <w:rPr>
          <w:b/>
        </w:rPr>
      </w:pPr>
      <w:r w:rsidRPr="009F4C0F">
        <w:rPr>
          <w:b/>
        </w:rPr>
        <w:t>For immediate release</w:t>
      </w:r>
    </w:p>
    <w:p w:rsidR="00EC79B0" w:rsidRPr="009F4C0F" w:rsidRDefault="00EC79B0" w:rsidP="00EC79B0">
      <w:pPr>
        <w:widowControl w:val="0"/>
      </w:pPr>
    </w:p>
    <w:p w:rsidR="00EC79B0" w:rsidRPr="00A0595F" w:rsidRDefault="00EC79B0" w:rsidP="00EC79B0">
      <w:pPr>
        <w:widowControl w:val="0"/>
        <w:rPr>
          <w:lang w:val="fr-CA"/>
        </w:rPr>
      </w:pPr>
      <w:r w:rsidRPr="009F4C0F">
        <w:rPr>
          <w:b/>
        </w:rPr>
        <w:t>OTTAWA</w:t>
      </w:r>
      <w:r w:rsidRPr="00E2539B">
        <w:t xml:space="preserve"> – The Supreme Court of Canad</w:t>
      </w:r>
      <w:r w:rsidR="00455BB9" w:rsidRPr="00E2539B">
        <w:t>a announced today that judgment</w:t>
      </w:r>
      <w:r w:rsidRPr="00E2539B">
        <w:t xml:space="preserve"> in the following appeal will be delivered at 9:45 a.m. E</w:t>
      </w:r>
      <w:r w:rsidR="00C83B1E">
        <w:t>S</w:t>
      </w:r>
      <w:r w:rsidR="00DC6C1E" w:rsidRPr="00E2539B">
        <w:t>T</w:t>
      </w:r>
      <w:r w:rsidR="00D74667" w:rsidRPr="00E2539B">
        <w:t xml:space="preserve"> </w:t>
      </w:r>
      <w:r w:rsidR="00D74667" w:rsidRPr="00014FFF">
        <w:t>on</w:t>
      </w:r>
      <w:r w:rsidR="00DC6C1E" w:rsidRPr="00014FFF">
        <w:t xml:space="preserve"> </w:t>
      </w:r>
      <w:r w:rsidR="00A0595F">
        <w:t>Thursday</w:t>
      </w:r>
      <w:r w:rsidR="000A7900" w:rsidRPr="00014FFF">
        <w:t xml:space="preserve">, </w:t>
      </w:r>
      <w:r w:rsidR="00C83B1E">
        <w:t>November</w:t>
      </w:r>
      <w:r w:rsidR="004E605A" w:rsidRPr="00014FFF">
        <w:t xml:space="preserve"> </w:t>
      </w:r>
      <w:r w:rsidR="00A0595F">
        <w:t>28</w:t>
      </w:r>
      <w:r w:rsidR="00E63199" w:rsidRPr="00014FFF">
        <w:t>, 2</w:t>
      </w:r>
      <w:r w:rsidR="0086609D" w:rsidRPr="00014FFF">
        <w:t>01</w:t>
      </w:r>
      <w:r w:rsidR="008C5ACC" w:rsidRPr="00014FFF">
        <w:t>9</w:t>
      </w:r>
      <w:r w:rsidR="00455BB9" w:rsidRPr="00014FFF">
        <w:t xml:space="preserve">. </w:t>
      </w:r>
      <w:r w:rsidR="00455BB9" w:rsidRPr="00A0595F">
        <w:rPr>
          <w:lang w:val="fr-CA"/>
        </w:rPr>
        <w:t>This</w:t>
      </w:r>
      <w:r w:rsidRPr="00A0595F">
        <w:rPr>
          <w:lang w:val="fr-CA"/>
        </w:rPr>
        <w:t xml:space="preserve"> list is subject to change.</w:t>
      </w:r>
    </w:p>
    <w:p w:rsidR="001F76DD" w:rsidRPr="00A0595F" w:rsidRDefault="001F76DD" w:rsidP="001C4415">
      <w:pPr>
        <w:widowControl w:val="0"/>
        <w:rPr>
          <w:szCs w:val="24"/>
          <w:lang w:val="fr-CA"/>
        </w:rPr>
      </w:pPr>
    </w:p>
    <w:p w:rsidR="001C4415" w:rsidRPr="00A0595F" w:rsidRDefault="001C4415" w:rsidP="001C4415">
      <w:pPr>
        <w:widowControl w:val="0"/>
        <w:rPr>
          <w:lang w:val="fr-CA"/>
        </w:rPr>
      </w:pPr>
    </w:p>
    <w:p w:rsidR="001335A1" w:rsidRPr="00E2539B" w:rsidRDefault="001335A1" w:rsidP="001335A1">
      <w:pPr>
        <w:widowControl w:val="0"/>
        <w:jc w:val="center"/>
        <w:rPr>
          <w:b/>
          <w:lang w:val="fr-CA"/>
        </w:rPr>
      </w:pPr>
      <w:r w:rsidRPr="00E2539B">
        <w:rPr>
          <w:b/>
          <w:lang w:val="fr-CA"/>
        </w:rPr>
        <w:t>PROCHAIN JUGEMENT</w:t>
      </w:r>
      <w:r w:rsidR="00455BB9" w:rsidRPr="00E2539B">
        <w:rPr>
          <w:b/>
          <w:lang w:val="fr-CA"/>
        </w:rPr>
        <w:t xml:space="preserve"> SUR APPEL</w:t>
      </w:r>
    </w:p>
    <w:p w:rsidR="001335A1" w:rsidRPr="00E2539B" w:rsidRDefault="001335A1" w:rsidP="001335A1">
      <w:pPr>
        <w:widowControl w:val="0"/>
        <w:rPr>
          <w:lang w:val="fr-CA"/>
        </w:rPr>
      </w:pPr>
    </w:p>
    <w:p w:rsidR="00EC79B0" w:rsidRPr="009F4C0F" w:rsidRDefault="00EC79B0" w:rsidP="00EC79B0">
      <w:pPr>
        <w:widowControl w:val="0"/>
        <w:rPr>
          <w:b/>
          <w:lang w:val="fr-CA"/>
        </w:rPr>
      </w:pPr>
      <w:r w:rsidRPr="009F4C0F">
        <w:rPr>
          <w:b/>
          <w:lang w:val="fr-CA"/>
        </w:rPr>
        <w:t xml:space="preserve">Le </w:t>
      </w:r>
      <w:r w:rsidR="00A0595F">
        <w:rPr>
          <w:b/>
          <w:lang w:val="fr-CA"/>
        </w:rPr>
        <w:t>22</w:t>
      </w:r>
      <w:r w:rsidR="007416D5" w:rsidRPr="009F4C0F">
        <w:rPr>
          <w:b/>
          <w:lang w:val="fr-CA"/>
        </w:rPr>
        <w:t xml:space="preserve"> </w:t>
      </w:r>
      <w:r w:rsidR="00C83B1E" w:rsidRPr="009F4C0F">
        <w:rPr>
          <w:b/>
          <w:lang w:val="fr-CA"/>
        </w:rPr>
        <w:t>n</w:t>
      </w:r>
      <w:r w:rsidR="00184563" w:rsidRPr="009F4C0F">
        <w:rPr>
          <w:b/>
          <w:lang w:val="fr-CA"/>
        </w:rPr>
        <w:t>o</w:t>
      </w:r>
      <w:r w:rsidR="00C83B1E" w:rsidRPr="009F4C0F">
        <w:rPr>
          <w:b/>
          <w:lang w:val="fr-CA"/>
        </w:rPr>
        <w:t>vem</w:t>
      </w:r>
      <w:r w:rsidR="003B58C4" w:rsidRPr="009F4C0F">
        <w:rPr>
          <w:b/>
          <w:lang w:val="fr-CA"/>
        </w:rPr>
        <w:t>bre</w:t>
      </w:r>
      <w:r w:rsidR="00C86395" w:rsidRPr="009F4C0F">
        <w:rPr>
          <w:b/>
          <w:lang w:val="fr-CA"/>
        </w:rPr>
        <w:t xml:space="preserve"> </w:t>
      </w:r>
      <w:r w:rsidR="0086609D" w:rsidRPr="009F4C0F">
        <w:rPr>
          <w:b/>
          <w:lang w:val="fr-CA"/>
        </w:rPr>
        <w:t>201</w:t>
      </w:r>
      <w:r w:rsidR="008C5ACC" w:rsidRPr="009F4C0F">
        <w:rPr>
          <w:b/>
          <w:lang w:val="fr-CA"/>
        </w:rPr>
        <w:t>9</w:t>
      </w:r>
    </w:p>
    <w:p w:rsidR="00EC79B0" w:rsidRPr="00E2539B" w:rsidRDefault="00EC79B0" w:rsidP="00EC79B0">
      <w:pPr>
        <w:widowControl w:val="0"/>
        <w:rPr>
          <w:b/>
          <w:lang w:val="fr-CA"/>
        </w:rPr>
      </w:pPr>
      <w:r w:rsidRPr="009F4C0F">
        <w:rPr>
          <w:b/>
          <w:lang w:val="fr-CA"/>
        </w:rPr>
        <w:t>Pour diffusion immédiate</w:t>
      </w:r>
    </w:p>
    <w:p w:rsidR="00EC79B0" w:rsidRPr="00AD4E9C" w:rsidRDefault="00EC79B0" w:rsidP="00EC79B0">
      <w:pPr>
        <w:widowControl w:val="0"/>
        <w:rPr>
          <w:lang w:val="fr-CA"/>
        </w:rPr>
      </w:pPr>
    </w:p>
    <w:p w:rsidR="00EC79B0" w:rsidRPr="00014FFF" w:rsidRDefault="00EC79B0" w:rsidP="00EC79B0">
      <w:pPr>
        <w:widowControl w:val="0"/>
        <w:rPr>
          <w:lang w:val="fr-CA"/>
        </w:rPr>
      </w:pPr>
      <w:r w:rsidRPr="00E2539B">
        <w:rPr>
          <w:b/>
          <w:lang w:val="fr-CA"/>
        </w:rPr>
        <w:t>OTTAWA</w:t>
      </w:r>
      <w:r w:rsidRPr="007D7538">
        <w:rPr>
          <w:lang w:val="fr-CA"/>
        </w:rPr>
        <w:t xml:space="preserve"> – La Cour suprême du Canada annonce que jugement ser</w:t>
      </w:r>
      <w:r w:rsidR="00C86395" w:rsidRPr="007D7538">
        <w:rPr>
          <w:lang w:val="fr-CA"/>
        </w:rPr>
        <w:t>a</w:t>
      </w:r>
      <w:r w:rsidRPr="007D7538">
        <w:rPr>
          <w:lang w:val="fr-CA"/>
        </w:rPr>
        <w:t xml:space="preserve"> rendu dans </w:t>
      </w:r>
      <w:r w:rsidR="001F1643" w:rsidRPr="007D7538">
        <w:rPr>
          <w:lang w:val="fr-CA"/>
        </w:rPr>
        <w:t>l</w:t>
      </w:r>
      <w:r w:rsidR="00C86395" w:rsidRPr="007D7538">
        <w:rPr>
          <w:lang w:val="fr-CA"/>
        </w:rPr>
        <w:t>’</w:t>
      </w:r>
      <w:r w:rsidR="001F1643" w:rsidRPr="007D7538">
        <w:rPr>
          <w:lang w:val="fr-CA"/>
        </w:rPr>
        <w:t xml:space="preserve">appel </w:t>
      </w:r>
      <w:r w:rsidRPr="007D7538">
        <w:rPr>
          <w:lang w:val="fr-CA"/>
        </w:rPr>
        <w:t xml:space="preserve">suivant le </w:t>
      </w:r>
      <w:r w:rsidR="00A0595F">
        <w:rPr>
          <w:lang w:val="fr-CA"/>
        </w:rPr>
        <w:t>jeudi</w:t>
      </w:r>
      <w:r w:rsidR="007C1648" w:rsidRPr="007D7538">
        <w:rPr>
          <w:lang w:val="fr-CA"/>
        </w:rPr>
        <w:t xml:space="preserve"> </w:t>
      </w:r>
      <w:r w:rsidR="00A0595F">
        <w:rPr>
          <w:lang w:val="fr-CA"/>
        </w:rPr>
        <w:t>28</w:t>
      </w:r>
      <w:r w:rsidR="00DC369A">
        <w:rPr>
          <w:lang w:val="fr-CA"/>
        </w:rPr>
        <w:t xml:space="preserve"> </w:t>
      </w:r>
      <w:r w:rsidR="00C83B1E">
        <w:rPr>
          <w:lang w:val="fr-CA"/>
        </w:rPr>
        <w:t>n</w:t>
      </w:r>
      <w:r w:rsidR="00B007DA">
        <w:rPr>
          <w:lang w:val="fr-CA"/>
        </w:rPr>
        <w:t>o</w:t>
      </w:r>
      <w:r w:rsidR="00C83B1E">
        <w:rPr>
          <w:lang w:val="fr-CA"/>
        </w:rPr>
        <w:t>vem</w:t>
      </w:r>
      <w:r w:rsidR="003B58C4" w:rsidRPr="007D7538">
        <w:rPr>
          <w:lang w:val="fr-CA"/>
        </w:rPr>
        <w:t>bre</w:t>
      </w:r>
      <w:r w:rsidR="00282563" w:rsidRPr="007D7538">
        <w:rPr>
          <w:lang w:val="fr-CA"/>
        </w:rPr>
        <w:t xml:space="preserve"> </w:t>
      </w:r>
      <w:r w:rsidRPr="007D7538">
        <w:rPr>
          <w:lang w:val="fr-CA"/>
        </w:rPr>
        <w:t>201</w:t>
      </w:r>
      <w:r w:rsidR="008C5ACC" w:rsidRPr="007D7538">
        <w:rPr>
          <w:lang w:val="fr-CA"/>
        </w:rPr>
        <w:t>9</w:t>
      </w:r>
      <w:r w:rsidRPr="007D7538">
        <w:rPr>
          <w:lang w:val="fr-CA"/>
        </w:rPr>
        <w:t>, à 9 h 45 H</w:t>
      </w:r>
      <w:r w:rsidR="00C83B1E">
        <w:rPr>
          <w:lang w:val="fr-CA"/>
        </w:rPr>
        <w:t>N</w:t>
      </w:r>
      <w:r w:rsidRPr="007D7538">
        <w:rPr>
          <w:lang w:val="fr-CA"/>
        </w:rPr>
        <w:t xml:space="preserve">E. Cette liste est sujette </w:t>
      </w:r>
      <w:r w:rsidRPr="00014FFF">
        <w:rPr>
          <w:lang w:val="fr-CA"/>
        </w:rPr>
        <w:t>à modifications.</w:t>
      </w:r>
    </w:p>
    <w:p w:rsidR="00340C6D" w:rsidRPr="008B7A0C" w:rsidRDefault="00340C6D" w:rsidP="00340C6D">
      <w:pPr>
        <w:jc w:val="both"/>
        <w:rPr>
          <w:bCs/>
          <w:szCs w:val="24"/>
          <w:lang w:val="fr-CA"/>
        </w:rPr>
      </w:pPr>
    </w:p>
    <w:p w:rsidR="008F607D" w:rsidRDefault="00C669F2" w:rsidP="00340C6D">
      <w:pPr>
        <w:jc w:val="both"/>
        <w:rPr>
          <w:bCs/>
          <w:szCs w:val="24"/>
          <w:lang w:val="fr-CA"/>
        </w:rPr>
      </w:pPr>
      <w:r>
        <w:rPr>
          <w:sz w:val="20"/>
        </w:rPr>
        <w:pict>
          <v:rect id="_x0000_i1025" style="width:2in;height:1pt" o:hrpct="0" o:hralign="center" o:hrstd="t" o:hrnoshade="t" o:hr="t" fillcolor="black [3213]" stroked="f"/>
        </w:pict>
      </w:r>
    </w:p>
    <w:p w:rsidR="008F607D" w:rsidRPr="00EE5531" w:rsidRDefault="008F607D" w:rsidP="00340C6D">
      <w:pPr>
        <w:jc w:val="both"/>
        <w:rPr>
          <w:bCs/>
          <w:szCs w:val="24"/>
          <w:lang w:val="fr-CA"/>
        </w:rPr>
      </w:pPr>
    </w:p>
    <w:p w:rsidR="00772636" w:rsidRPr="00EF72BE" w:rsidRDefault="00A0595F" w:rsidP="00772636">
      <w:pPr>
        <w:jc w:val="both"/>
        <w:rPr>
          <w:szCs w:val="24"/>
        </w:rPr>
      </w:pPr>
      <w:r w:rsidRPr="00A0595F">
        <w:rPr>
          <w:i/>
          <w:szCs w:val="24"/>
          <w:lang w:val="fr-CA"/>
        </w:rPr>
        <w:t>Transport Desgagnés Inc., et al. v. Wärtsilä Canada Inc., et al.</w:t>
      </w:r>
      <w:r w:rsidR="00B16C11" w:rsidRPr="00A0595F">
        <w:rPr>
          <w:i/>
          <w:szCs w:val="24"/>
          <w:lang w:val="fr-CA"/>
        </w:rPr>
        <w:t xml:space="preserve"> </w:t>
      </w:r>
      <w:r w:rsidR="00772636" w:rsidRPr="00EF72BE">
        <w:rPr>
          <w:szCs w:val="24"/>
        </w:rPr>
        <w:t>(</w:t>
      </w:r>
      <w:r>
        <w:rPr>
          <w:szCs w:val="24"/>
        </w:rPr>
        <w:t>Que</w:t>
      </w:r>
      <w:r w:rsidR="002A3088" w:rsidRPr="00EF72BE">
        <w:rPr>
          <w:szCs w:val="24"/>
        </w:rPr>
        <w:t>.</w:t>
      </w:r>
      <w:r w:rsidR="00772636" w:rsidRPr="00EF72BE">
        <w:rPr>
          <w:szCs w:val="24"/>
        </w:rPr>
        <w:t xml:space="preserve">) </w:t>
      </w:r>
      <w:r w:rsidR="00772636" w:rsidRPr="00EF72BE">
        <w:t>(</w:t>
      </w:r>
      <w:hyperlink r:id="rId7" w:history="1">
        <w:r w:rsidR="00772636" w:rsidRPr="00EF72BE">
          <w:rPr>
            <w:rStyle w:val="Hyperlink"/>
          </w:rPr>
          <w:t>3</w:t>
        </w:r>
        <w:r>
          <w:rPr>
            <w:rStyle w:val="Hyperlink"/>
          </w:rPr>
          <w:t>7</w:t>
        </w:r>
        <w:r w:rsidR="00B16C11" w:rsidRPr="00EF72BE">
          <w:rPr>
            <w:rStyle w:val="Hyperlink"/>
          </w:rPr>
          <w:t>8</w:t>
        </w:r>
        <w:r>
          <w:rPr>
            <w:rStyle w:val="Hyperlink"/>
          </w:rPr>
          <w:t>73</w:t>
        </w:r>
      </w:hyperlink>
      <w:r w:rsidR="00772636" w:rsidRPr="00EF72BE">
        <w:t>)</w:t>
      </w:r>
    </w:p>
    <w:p w:rsidR="009F18D7" w:rsidRDefault="009F18D7" w:rsidP="00340C6D">
      <w:pPr>
        <w:jc w:val="both"/>
      </w:pPr>
    </w:p>
    <w:p w:rsidR="0013680B" w:rsidRPr="002234AE" w:rsidRDefault="0013680B" w:rsidP="00A11703">
      <w:pPr>
        <w:widowControl w:val="0"/>
        <w:ind w:left="709" w:hanging="709"/>
        <w:jc w:val="both"/>
        <w:rPr>
          <w:sz w:val="20"/>
          <w:lang w:val="en-CA"/>
        </w:rPr>
      </w:pPr>
      <w:r w:rsidRPr="0013680B">
        <w:rPr>
          <w:b/>
          <w:sz w:val="20"/>
          <w:lang w:val="en-CA"/>
        </w:rPr>
        <w:fldChar w:fldCharType="begin"/>
      </w:r>
      <w:r w:rsidRPr="0013680B">
        <w:rPr>
          <w:b/>
          <w:sz w:val="20"/>
        </w:rPr>
        <w:instrText xml:space="preserve"> SEQ CHAPTER \h \r 1</w:instrText>
      </w:r>
      <w:r w:rsidRPr="0013680B">
        <w:rPr>
          <w:b/>
          <w:sz w:val="20"/>
        </w:rPr>
        <w:fldChar w:fldCharType="end"/>
      </w:r>
      <w:r w:rsidRPr="0013680B">
        <w:rPr>
          <w:b/>
          <w:sz w:val="20"/>
          <w:lang w:val="en-CA"/>
        </w:rPr>
        <w:t>37873</w:t>
      </w:r>
      <w:r w:rsidRPr="0013680B">
        <w:rPr>
          <w:sz w:val="20"/>
          <w:lang w:val="en-CA"/>
        </w:rPr>
        <w:tab/>
      </w:r>
      <w:r w:rsidRPr="0013680B">
        <w:rPr>
          <w:b/>
          <w:i/>
          <w:sz w:val="20"/>
          <w:lang w:val="en-CA"/>
        </w:rPr>
        <w:t>Transport Desgagnés Inc., Desgagnés Transartik Inc., Navigation Desgagnés Inc., Lloyds Underwriters and Institute of Lloyds Underwriters (ILU) Companies Subscribing to Policy Number B0856 09h0016 and Aim Insurance (Barbados) SCC v. Wärtsilä Canada Inc. and Wärtsilä Nederland B.V.</w:t>
      </w:r>
    </w:p>
    <w:p w:rsidR="0013680B" w:rsidRPr="0013680B" w:rsidRDefault="0013680B" w:rsidP="00A11703">
      <w:pPr>
        <w:widowControl w:val="0"/>
        <w:ind w:firstLine="709"/>
        <w:jc w:val="both"/>
        <w:rPr>
          <w:sz w:val="20"/>
          <w:lang w:val="en-CA"/>
        </w:rPr>
      </w:pPr>
      <w:r w:rsidRPr="0013680B">
        <w:rPr>
          <w:sz w:val="20"/>
          <w:lang w:val="en-CA"/>
        </w:rPr>
        <w:t>(Que.) (Civil) (By Leave)</w:t>
      </w:r>
    </w:p>
    <w:p w:rsidR="0013680B" w:rsidRPr="0013680B" w:rsidRDefault="0013680B">
      <w:pPr>
        <w:widowControl w:val="0"/>
        <w:jc w:val="both"/>
        <w:rPr>
          <w:sz w:val="20"/>
          <w:lang w:val="en-CA"/>
        </w:rPr>
      </w:pPr>
    </w:p>
    <w:p w:rsidR="0013680B" w:rsidRPr="0013680B" w:rsidRDefault="0013680B" w:rsidP="00F92D5C">
      <w:pPr>
        <w:widowControl w:val="0"/>
        <w:jc w:val="both"/>
        <w:rPr>
          <w:sz w:val="20"/>
        </w:rPr>
      </w:pPr>
      <w:bookmarkStart w:id="1" w:name="QuickMark_1"/>
      <w:bookmarkEnd w:id="1"/>
      <w:r w:rsidRPr="0013680B">
        <w:rPr>
          <w:sz w:val="20"/>
        </w:rPr>
        <w:t xml:space="preserve">Constitutional law - Division of powers - Maritime law - Scope - Courts - Federal Court - Jurisdiction - Contracts - Sale - Whether Canadian maritime law or the </w:t>
      </w:r>
      <w:r w:rsidRPr="0013680B">
        <w:rPr>
          <w:i/>
          <w:sz w:val="20"/>
        </w:rPr>
        <w:t xml:space="preserve">Civil Code of Québec </w:t>
      </w:r>
      <w:r w:rsidRPr="0013680B">
        <w:rPr>
          <w:sz w:val="20"/>
        </w:rPr>
        <w:t xml:space="preserve">applies - Whether the adjudication of a claim by a buyer for damages arising from a latent defect pursuant to a contract of sale of a marine engine or equipment supplied to a ship is governed by Canadian maritime law or </w:t>
      </w:r>
      <w:r w:rsidRPr="0013680B">
        <w:rPr>
          <w:sz w:val="20"/>
          <w:lang w:val="en-CA"/>
        </w:rPr>
        <w:t>whether</w:t>
      </w:r>
      <w:r w:rsidRPr="0013680B">
        <w:rPr>
          <w:sz w:val="20"/>
        </w:rPr>
        <w:t xml:space="preserve"> it falls within provincial jurisdiction - In what circumstances (and by what criteria) should the choice as to whether federal or provincial laws apply be made - In characterizing the true nature of the matters in dispute to determine whether the subject-matter under consideration is “integrally connected with maritime matters”, whether the analysis should focus on the activity which gave rise to the breach of contract of sale, or on whether the object of the activity appears in a federal statute - If Canadian maritime law governs, whether provincial law can nevertheless apply incidentally - Whether art. 1729 and 1733 of the </w:t>
      </w:r>
      <w:r w:rsidRPr="0013680B">
        <w:rPr>
          <w:i/>
          <w:sz w:val="20"/>
        </w:rPr>
        <w:t>Civil Code of Québec</w:t>
      </w:r>
      <w:r w:rsidRPr="0013680B">
        <w:rPr>
          <w:sz w:val="20"/>
        </w:rPr>
        <w:t xml:space="preserve"> are constitutionally inoperative in respect of a claim by a buyer for damages arising from a latent defect pursuant to a contract of sale of a marine engine or equipment supplied to a ship by reason of the doctrine of federal paramountcy - Whether art. 1729 and 1733 of the </w:t>
      </w:r>
      <w:r w:rsidRPr="0013680B">
        <w:rPr>
          <w:i/>
          <w:sz w:val="20"/>
        </w:rPr>
        <w:t xml:space="preserve">Civil Code of Québec </w:t>
      </w:r>
      <w:r w:rsidRPr="0013680B">
        <w:rPr>
          <w:sz w:val="20"/>
        </w:rPr>
        <w:t xml:space="preserve">are constitutionally inapplicable in respect of a claim by a buyer for damages arising from a latent defect pursuant to a contract of sale of a marine engine or equipment supplied to a ship by reason of the doctrine of inter-jurisdictional immunity - </w:t>
      </w:r>
      <w:r w:rsidRPr="0013680B">
        <w:rPr>
          <w:i/>
          <w:sz w:val="20"/>
        </w:rPr>
        <w:t>Constitution Act</w:t>
      </w:r>
      <w:r w:rsidRPr="0013680B">
        <w:rPr>
          <w:sz w:val="20"/>
        </w:rPr>
        <w:t xml:space="preserve">, 1867, ss. 91(10) &amp; 92(13) - </w:t>
      </w:r>
      <w:r w:rsidRPr="0013680B">
        <w:rPr>
          <w:i/>
          <w:sz w:val="20"/>
        </w:rPr>
        <w:t xml:space="preserve">Federal Courts Act, </w:t>
      </w:r>
      <w:r w:rsidRPr="0013680B">
        <w:rPr>
          <w:sz w:val="20"/>
        </w:rPr>
        <w:t xml:space="preserve">R.S.C. 1985, c. F-7, ss. 2 &amp; 22 - </w:t>
      </w:r>
      <w:r w:rsidRPr="0013680B">
        <w:rPr>
          <w:i/>
          <w:sz w:val="20"/>
        </w:rPr>
        <w:t>Civil Code of Québec</w:t>
      </w:r>
      <w:r w:rsidRPr="0013680B">
        <w:rPr>
          <w:sz w:val="20"/>
        </w:rPr>
        <w:t>, art. 1728, 1729 &amp; 1733.</w:t>
      </w:r>
    </w:p>
    <w:p w:rsidR="0013680B" w:rsidRPr="0013680B" w:rsidRDefault="0013680B">
      <w:pPr>
        <w:widowControl w:val="0"/>
        <w:jc w:val="both"/>
        <w:rPr>
          <w:sz w:val="20"/>
        </w:rPr>
      </w:pPr>
    </w:p>
    <w:p w:rsidR="0013680B" w:rsidRPr="0013680B" w:rsidRDefault="0013680B" w:rsidP="00C83814">
      <w:pPr>
        <w:jc w:val="both"/>
        <w:rPr>
          <w:sz w:val="20"/>
        </w:rPr>
      </w:pPr>
      <w:r w:rsidRPr="0013680B">
        <w:rPr>
          <w:sz w:val="20"/>
        </w:rPr>
        <w:t xml:space="preserve">In 2006, Desgagnés purchased marine engine parts for one of its vessels from Wärtsilä. The parts were delivered and installed in 2007. The engine failed in 2009, engendering damages of $5,661,830.33 for Desgagnés. The contract limited Wärtsilä’s liability in both scope and time. Desgagnés instituted proceedings against Wärtsilä for the recovery of its damages. </w:t>
      </w:r>
    </w:p>
    <w:p w:rsidR="0013680B" w:rsidRPr="0013680B" w:rsidRDefault="0013680B" w:rsidP="00C83814">
      <w:pPr>
        <w:jc w:val="both"/>
        <w:rPr>
          <w:sz w:val="20"/>
        </w:rPr>
      </w:pPr>
    </w:p>
    <w:p w:rsidR="0013680B" w:rsidRDefault="0013680B" w:rsidP="00C83814">
      <w:pPr>
        <w:jc w:val="both"/>
        <w:rPr>
          <w:sz w:val="20"/>
        </w:rPr>
      </w:pPr>
      <w:r w:rsidRPr="0013680B">
        <w:rPr>
          <w:sz w:val="20"/>
        </w:rPr>
        <w:t xml:space="preserve">The Superior Court of Québec ordered Wärtsilä to fully indemnify Desgagnés, ruling that provincial law governed the dispute, and that the contractual limitations of liability were rendered inapplicable by the </w:t>
      </w:r>
      <w:r w:rsidRPr="0013680B">
        <w:rPr>
          <w:i/>
          <w:sz w:val="20"/>
        </w:rPr>
        <w:t>Québec Civil Code</w:t>
      </w:r>
      <w:r w:rsidRPr="0013680B">
        <w:rPr>
          <w:sz w:val="20"/>
        </w:rPr>
        <w:t>’s provisions on warranties. The majority of the Court of Appeal of Québec set aside the trial judgment, ruling that Canadian maritime law exclusively governed the dispute, and that the contractual limitations of liability were thus applicable. The dissent sided with the Superior Court’s conclusions.</w:t>
      </w:r>
    </w:p>
    <w:p w:rsidR="0013680B" w:rsidRDefault="0013680B" w:rsidP="00C83814">
      <w:pPr>
        <w:jc w:val="both"/>
        <w:rPr>
          <w:sz w:val="20"/>
        </w:rPr>
      </w:pPr>
    </w:p>
    <w:p w:rsidR="0013680B" w:rsidRPr="0013680B" w:rsidRDefault="00C669F2" w:rsidP="00C83814">
      <w:pPr>
        <w:jc w:val="both"/>
        <w:rPr>
          <w:sz w:val="20"/>
        </w:rPr>
      </w:pPr>
      <w:r>
        <w:rPr>
          <w:sz w:val="20"/>
        </w:rPr>
        <w:pict>
          <v:rect id="_x0000_i1026" style="width:2in;height:1pt" o:hrpct="0" o:hralign="center" o:hrstd="t" o:hrnoshade="t" o:hr="t" fillcolor="black [3213]" stroked="f"/>
        </w:pict>
      </w:r>
    </w:p>
    <w:p w:rsidR="0013680B" w:rsidRPr="0013680B" w:rsidRDefault="0013680B">
      <w:pPr>
        <w:widowControl w:val="0"/>
        <w:jc w:val="both"/>
        <w:rPr>
          <w:sz w:val="20"/>
        </w:rPr>
      </w:pPr>
    </w:p>
    <w:p w:rsidR="0013680B" w:rsidRPr="002234AE" w:rsidRDefault="0013680B" w:rsidP="00B939C1">
      <w:pPr>
        <w:widowControl w:val="0"/>
        <w:ind w:left="709" w:hanging="709"/>
        <w:jc w:val="both"/>
        <w:rPr>
          <w:sz w:val="20"/>
        </w:rPr>
      </w:pPr>
      <w:r w:rsidRPr="0013680B">
        <w:rPr>
          <w:b/>
          <w:sz w:val="20"/>
          <w:lang w:val="en-CA"/>
        </w:rPr>
        <w:fldChar w:fldCharType="begin"/>
      </w:r>
      <w:r w:rsidRPr="0013680B">
        <w:rPr>
          <w:b/>
          <w:sz w:val="20"/>
        </w:rPr>
        <w:instrText xml:space="preserve"> SEQ CHAPTER \h \r 1</w:instrText>
      </w:r>
      <w:r w:rsidRPr="0013680B">
        <w:rPr>
          <w:b/>
          <w:sz w:val="20"/>
        </w:rPr>
        <w:fldChar w:fldCharType="end"/>
      </w:r>
      <w:r w:rsidRPr="0013680B">
        <w:rPr>
          <w:b/>
          <w:sz w:val="20"/>
          <w:lang w:val="en-CA"/>
        </w:rPr>
        <w:t>37873</w:t>
      </w:r>
      <w:r w:rsidRPr="0013680B">
        <w:rPr>
          <w:sz w:val="20"/>
          <w:lang w:val="en-CA"/>
        </w:rPr>
        <w:tab/>
      </w:r>
      <w:r w:rsidRPr="0013680B">
        <w:rPr>
          <w:b/>
          <w:i/>
          <w:sz w:val="20"/>
        </w:rPr>
        <w:t>Desgagnés</w:t>
      </w:r>
      <w:r w:rsidR="002234AE">
        <w:rPr>
          <w:b/>
          <w:i/>
          <w:sz w:val="20"/>
        </w:rPr>
        <w:t xml:space="preserve"> Transport</w:t>
      </w:r>
      <w:r w:rsidRPr="0013680B">
        <w:rPr>
          <w:b/>
          <w:i/>
          <w:sz w:val="20"/>
        </w:rPr>
        <w:t xml:space="preserve"> Inc., Desgagnés Transartik Inc., Navigation Desgagnés Inc., Lloyds Underwriters and Institute of Lloyds Underwriters (ILU) Companies Subscribing to Policy Number B0856 09h0016 et Aim Insurance (Barbados) SCC c. Wärtsilä Canada Inc. et Wärtsilä Nederland B.V</w:t>
      </w:r>
      <w:r w:rsidR="002234AE">
        <w:rPr>
          <w:b/>
          <w:i/>
          <w:sz w:val="20"/>
        </w:rPr>
        <w:t>.</w:t>
      </w:r>
    </w:p>
    <w:p w:rsidR="0013680B" w:rsidRPr="0013680B" w:rsidRDefault="0013680B" w:rsidP="00B939C1">
      <w:pPr>
        <w:widowControl w:val="0"/>
        <w:ind w:firstLine="709"/>
        <w:jc w:val="both"/>
        <w:rPr>
          <w:sz w:val="20"/>
          <w:lang w:val="fr-CA"/>
        </w:rPr>
      </w:pPr>
      <w:r w:rsidRPr="0013680B">
        <w:rPr>
          <w:sz w:val="20"/>
          <w:lang w:val="fr-CA"/>
        </w:rPr>
        <w:t>(Q</w:t>
      </w:r>
      <w:r>
        <w:rPr>
          <w:sz w:val="20"/>
          <w:lang w:val="fr-CA"/>
        </w:rPr>
        <w:t>c</w:t>
      </w:r>
      <w:r w:rsidRPr="0013680B">
        <w:rPr>
          <w:sz w:val="20"/>
          <w:lang w:val="fr-CA"/>
        </w:rPr>
        <w:t>) (Civile) (Autorisation)</w:t>
      </w:r>
    </w:p>
    <w:p w:rsidR="0013680B" w:rsidRPr="0013680B" w:rsidRDefault="0013680B" w:rsidP="00075055">
      <w:pPr>
        <w:widowControl w:val="0"/>
        <w:jc w:val="both"/>
        <w:rPr>
          <w:sz w:val="20"/>
          <w:lang w:val="fr-CA"/>
        </w:rPr>
      </w:pPr>
    </w:p>
    <w:p w:rsidR="0013680B" w:rsidRPr="0013680B" w:rsidRDefault="0013680B" w:rsidP="00075055">
      <w:pPr>
        <w:jc w:val="both"/>
        <w:rPr>
          <w:sz w:val="20"/>
          <w:lang w:val="fr-CA"/>
        </w:rPr>
      </w:pPr>
      <w:r w:rsidRPr="0013680B">
        <w:rPr>
          <w:sz w:val="20"/>
          <w:lang w:val="fr-CA"/>
        </w:rPr>
        <w:t xml:space="preserve">Droit constitutionnel - Partage des compétences - Droit maritime - Portée - Tribunaux - Cour fédérale - Compétence - Contrats - Vente - Est-ce le droit maritime canadien ou le </w:t>
      </w:r>
      <w:r w:rsidRPr="0013680B">
        <w:rPr>
          <w:i/>
          <w:sz w:val="20"/>
          <w:lang w:val="fr-CA"/>
        </w:rPr>
        <w:t xml:space="preserve">Code civil du Québec </w:t>
      </w:r>
      <w:r w:rsidRPr="0013680B">
        <w:rPr>
          <w:sz w:val="20"/>
          <w:lang w:val="fr-CA"/>
        </w:rPr>
        <w:t xml:space="preserve">qui s’applique en l’espèce? - L’action d’un acheteur en dommages-intérêts pour vices cachés fondée sur un contrat de vente d’un moteur de navire ou d’équipement fourni à un navire est-elle régie par le droit maritime canadien ou relève-t-elle de la compétence provinciale? - Dans quelles situations (et à partir de quels critères) doit être fait le choix du droit applicable, fédéral ou provincial? - Dans la qualification de la véritable nature des questions en litige pour déterminer si l’objet examiné « relève intégralement du domaine maritime », l’analyse doit-elle porter principalement sur l’activité qui a donné lieu à la violation du contrat de vente ou sur la question de savoir si l’objet de l’activité apparaît dans une loi fédérale? - Si le droit maritime canadien régit l’instance, le droit provincial peut-il s’appliquer de façon accessoire? - Les articles 1729 et 1733 du </w:t>
      </w:r>
      <w:r w:rsidRPr="0013680B">
        <w:rPr>
          <w:i/>
          <w:sz w:val="20"/>
          <w:lang w:val="fr-CA"/>
        </w:rPr>
        <w:t>Code civil du Québec</w:t>
      </w:r>
      <w:r w:rsidRPr="0013680B">
        <w:rPr>
          <w:sz w:val="20"/>
          <w:lang w:val="fr-CA"/>
        </w:rPr>
        <w:t xml:space="preserve"> sont-elles inopérantes du point de vue constitutionnel à l’égard de l’action d’un acheteur en dommages-intérêts pour vices cachés fondée sur un contrat de vente d’un moteur de navire ou d’équipement fourni à un navire en raison de l’application de la doctrine de la prépondérance fédérale? - Les articles 1729 et 1733 du </w:t>
      </w:r>
      <w:r w:rsidRPr="0013680B">
        <w:rPr>
          <w:i/>
          <w:sz w:val="20"/>
          <w:lang w:val="fr-CA"/>
        </w:rPr>
        <w:t>Code civil du Québec</w:t>
      </w:r>
      <w:r w:rsidRPr="0013680B">
        <w:rPr>
          <w:sz w:val="20"/>
          <w:lang w:val="fr-CA"/>
        </w:rPr>
        <w:t xml:space="preserve"> sont-elles inapplicables du point de vue constitutionnel à l’égard de l’action d’un acheteur en dommages-intérêts pour vices cachés fondée sur un contrat de vente d’un moteur de navire ou d’équipement fourni à un navire en raison de la doctrine de l’exclusivité des compétences? - </w:t>
      </w:r>
      <w:r w:rsidRPr="0013680B">
        <w:rPr>
          <w:i/>
          <w:sz w:val="20"/>
          <w:lang w:val="fr-CA"/>
        </w:rPr>
        <w:t>Loi constitutionnelle de 1867</w:t>
      </w:r>
      <w:r w:rsidRPr="0013680B">
        <w:rPr>
          <w:sz w:val="20"/>
          <w:lang w:val="fr-CA"/>
        </w:rPr>
        <w:t xml:space="preserve">, par. 91(10) et 92(13) - </w:t>
      </w:r>
      <w:r w:rsidRPr="0013680B">
        <w:rPr>
          <w:i/>
          <w:sz w:val="20"/>
          <w:lang w:val="fr-CA"/>
        </w:rPr>
        <w:t xml:space="preserve">Loi sur les Cours fédérales, </w:t>
      </w:r>
      <w:r w:rsidRPr="0013680B">
        <w:rPr>
          <w:sz w:val="20"/>
          <w:lang w:val="fr-CA"/>
        </w:rPr>
        <w:t xml:space="preserve">L.R.C. 1985, ch. F-7, art. 2 et 22 - </w:t>
      </w:r>
      <w:r w:rsidRPr="0013680B">
        <w:rPr>
          <w:i/>
          <w:sz w:val="20"/>
          <w:lang w:val="fr-CA"/>
        </w:rPr>
        <w:t>Code civil du Québec</w:t>
      </w:r>
      <w:r w:rsidRPr="0013680B">
        <w:rPr>
          <w:sz w:val="20"/>
          <w:lang w:val="fr-CA"/>
        </w:rPr>
        <w:t>, art. 1728, 1729 et 1733.</w:t>
      </w:r>
    </w:p>
    <w:p w:rsidR="0013680B" w:rsidRPr="0013680B" w:rsidRDefault="0013680B" w:rsidP="00075055">
      <w:pPr>
        <w:widowControl w:val="0"/>
        <w:jc w:val="both"/>
        <w:rPr>
          <w:sz w:val="20"/>
          <w:lang w:val="fr-CA"/>
        </w:rPr>
      </w:pPr>
    </w:p>
    <w:p w:rsidR="0013680B" w:rsidRPr="0013680B" w:rsidRDefault="0013680B" w:rsidP="00075055">
      <w:pPr>
        <w:jc w:val="both"/>
        <w:rPr>
          <w:sz w:val="20"/>
          <w:lang w:val="fr-CA"/>
        </w:rPr>
      </w:pPr>
      <w:r w:rsidRPr="0013680B">
        <w:rPr>
          <w:sz w:val="20"/>
          <w:lang w:val="fr-CA"/>
        </w:rPr>
        <w:t xml:space="preserve">En 2006, Desgagnés a acheté de Wärtsilä des pièces de moteur pour un de ses navires. Les pièces ont été livrées et installées en 2007. Le moteur a connu une défaillance en 2009, engendrant pour Desgagnés des dommages se chiffrant à 5 661 830,33 $. Le contrat limitait la portée et la durée de la responsabilité de Wärtsilä. Desgagnés a intenté une action contre Wärtsilä pour le recouvrement des dommages qu’elle a subis. </w:t>
      </w:r>
    </w:p>
    <w:p w:rsidR="0013680B" w:rsidRPr="0013680B" w:rsidRDefault="0013680B" w:rsidP="00075055">
      <w:pPr>
        <w:jc w:val="both"/>
        <w:rPr>
          <w:sz w:val="20"/>
          <w:lang w:val="fr-CA"/>
        </w:rPr>
      </w:pPr>
    </w:p>
    <w:p w:rsidR="0013680B" w:rsidRPr="0013680B" w:rsidRDefault="0013680B" w:rsidP="00FA3910">
      <w:pPr>
        <w:jc w:val="both"/>
        <w:rPr>
          <w:sz w:val="20"/>
          <w:lang w:val="fr-CA"/>
        </w:rPr>
      </w:pPr>
      <w:r w:rsidRPr="0013680B">
        <w:rPr>
          <w:sz w:val="20"/>
          <w:lang w:val="fr-CA"/>
        </w:rPr>
        <w:t xml:space="preserve">La Cour supérieure du Québec a ordonné à Wärtsilä d’indemniser intégralement Desgagnés, statuant que le droit provincial régissait le différend et que les dispositions du </w:t>
      </w:r>
      <w:r w:rsidRPr="0013680B">
        <w:rPr>
          <w:i/>
          <w:sz w:val="20"/>
          <w:lang w:val="fr-CA"/>
        </w:rPr>
        <w:t>Code civil du Québec</w:t>
      </w:r>
      <w:r w:rsidRPr="0013680B">
        <w:rPr>
          <w:sz w:val="20"/>
          <w:lang w:val="fr-CA"/>
        </w:rPr>
        <w:t xml:space="preserve"> sur les garanties rendaient inapplicables les limitations de la responsabilité contractuelle. Les juges majoritaires de la Cour d’appel du Québec ont annulé le jugement de première instance, statuant que le droit maritime canadien régissait exclusivement le différend et que les limitations de la responsabilité contractuelle étaient donc applicables. Le juge dissident a souscrit aux conclusions de la Cour supérieure.</w:t>
      </w:r>
    </w:p>
    <w:p w:rsidR="00072A63" w:rsidRPr="001E53FB" w:rsidRDefault="00072A63" w:rsidP="00340C6D">
      <w:pPr>
        <w:jc w:val="both"/>
        <w:rPr>
          <w:szCs w:val="24"/>
          <w:lang w:val="fr-CA"/>
        </w:rPr>
      </w:pPr>
    </w:p>
    <w:p w:rsidR="001E53FB" w:rsidRPr="001E53FB" w:rsidRDefault="00C669F2" w:rsidP="00340C6D">
      <w:pPr>
        <w:jc w:val="both"/>
        <w:rPr>
          <w:szCs w:val="24"/>
          <w:lang w:val="fr-CA"/>
        </w:rPr>
      </w:pPr>
      <w:r>
        <w:rPr>
          <w:sz w:val="20"/>
        </w:rPr>
        <w:pict>
          <v:rect id="_x0000_i1027" style="width:2in;height:1pt" o:hrpct="0" o:hralign="center" o:hrstd="t" o:hrnoshade="t" o:hr="t" fillcolor="black [3213]" stroked="f"/>
        </w:pict>
      </w:r>
    </w:p>
    <w:p w:rsidR="001E53FB" w:rsidRPr="001E53FB" w:rsidRDefault="001E53FB" w:rsidP="00340C6D">
      <w:pPr>
        <w:jc w:val="both"/>
        <w:rPr>
          <w:szCs w:val="24"/>
          <w:lang w:val="fr-CA"/>
        </w:rPr>
      </w:pPr>
    </w:p>
    <w:p w:rsidR="001E53FB" w:rsidRPr="001E53FB" w:rsidRDefault="001E53FB" w:rsidP="00340C6D">
      <w:pPr>
        <w:jc w:val="both"/>
        <w:rPr>
          <w:szCs w:val="24"/>
          <w:lang w:val="fr-CA"/>
        </w:rPr>
      </w:pPr>
    </w:p>
    <w:p w:rsidR="00072A63" w:rsidRPr="001E53FB" w:rsidRDefault="00072A63" w:rsidP="00EC79B0">
      <w:pPr>
        <w:jc w:val="both"/>
        <w:rPr>
          <w:szCs w:val="24"/>
          <w:lang w:val="fr-CA"/>
        </w:rPr>
      </w:pPr>
    </w:p>
    <w:p w:rsidR="001C4415" w:rsidRPr="002A3088" w:rsidRDefault="001C4415" w:rsidP="001C4415">
      <w:pPr>
        <w:widowControl w:val="0"/>
        <w:outlineLvl w:val="0"/>
      </w:pPr>
      <w:r w:rsidRPr="002A3088">
        <w:t xml:space="preserve">Supreme Court of Canada / Cour suprême du </w:t>
      </w:r>
      <w:proofErr w:type="gramStart"/>
      <w:r w:rsidRPr="002A3088">
        <w:t>Canada :</w:t>
      </w:r>
      <w:proofErr w:type="gramEnd"/>
      <w:r w:rsidRPr="002A3088">
        <w:t xml:space="preserve"> </w:t>
      </w:r>
    </w:p>
    <w:p w:rsidR="001C4415" w:rsidRPr="00EE5531" w:rsidRDefault="00C669F2" w:rsidP="001C4415">
      <w:pPr>
        <w:widowControl w:val="0"/>
        <w:outlineLvl w:val="0"/>
      </w:pPr>
      <w:hyperlink r:id="rId8" w:history="1">
        <w:r w:rsidR="001C4415" w:rsidRPr="002A3088">
          <w:rPr>
            <w:rStyle w:val="Hyperlink"/>
          </w:rPr>
          <w:t>comments-commentair</w:t>
        </w:r>
        <w:r w:rsidR="001C4415" w:rsidRPr="00EE5531">
          <w:rPr>
            <w:rStyle w:val="Hyperlink"/>
          </w:rPr>
          <w:t>es@scc-csc.ca</w:t>
        </w:r>
      </w:hyperlink>
    </w:p>
    <w:p w:rsidR="001C4415" w:rsidRPr="00EE5531" w:rsidRDefault="001C4415" w:rsidP="001C4415">
      <w:pPr>
        <w:widowControl w:val="0"/>
        <w:outlineLvl w:val="0"/>
      </w:pPr>
      <w:r w:rsidRPr="00EE5531">
        <w:t>(613) 995-4330</w:t>
      </w:r>
    </w:p>
    <w:p w:rsidR="001C4415" w:rsidRPr="00EE5531" w:rsidRDefault="001C4415" w:rsidP="001C4415">
      <w:pPr>
        <w:widowControl w:val="0"/>
        <w:rPr>
          <w:sz w:val="20"/>
        </w:rPr>
      </w:pPr>
    </w:p>
    <w:p w:rsidR="0036476C" w:rsidRPr="002A3088" w:rsidRDefault="001C4415" w:rsidP="0036476C">
      <w:pPr>
        <w:pStyle w:val="Footer"/>
        <w:jc w:val="center"/>
      </w:pPr>
      <w:r w:rsidRPr="002A3088">
        <w:t xml:space="preserve">- 30 </w:t>
      </w:r>
      <w:r w:rsidR="003C1B6E" w:rsidRPr="002A3088">
        <w:t>-</w:t>
      </w:r>
    </w:p>
    <w:p w:rsidR="0036476C" w:rsidRPr="002A3088" w:rsidRDefault="0036476C" w:rsidP="0036476C">
      <w:pPr>
        <w:pStyle w:val="Footer"/>
        <w:jc w:val="center"/>
      </w:pPr>
    </w:p>
    <w:sectPr w:rsidR="0036476C" w:rsidRPr="002A3088"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0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4FFF"/>
    <w:rsid w:val="0001605B"/>
    <w:rsid w:val="0001634B"/>
    <w:rsid w:val="0002161B"/>
    <w:rsid w:val="00021901"/>
    <w:rsid w:val="0003356F"/>
    <w:rsid w:val="000347C1"/>
    <w:rsid w:val="00035555"/>
    <w:rsid w:val="00035B99"/>
    <w:rsid w:val="0003611D"/>
    <w:rsid w:val="0003620E"/>
    <w:rsid w:val="00036BD1"/>
    <w:rsid w:val="00037405"/>
    <w:rsid w:val="000376CC"/>
    <w:rsid w:val="00042B21"/>
    <w:rsid w:val="000446D3"/>
    <w:rsid w:val="000454BF"/>
    <w:rsid w:val="00050D96"/>
    <w:rsid w:val="00053111"/>
    <w:rsid w:val="00060140"/>
    <w:rsid w:val="00060B39"/>
    <w:rsid w:val="00061A14"/>
    <w:rsid w:val="00072A63"/>
    <w:rsid w:val="0008116D"/>
    <w:rsid w:val="000855FD"/>
    <w:rsid w:val="00087122"/>
    <w:rsid w:val="00095EDD"/>
    <w:rsid w:val="0009615F"/>
    <w:rsid w:val="000A03A4"/>
    <w:rsid w:val="000A063C"/>
    <w:rsid w:val="000A0834"/>
    <w:rsid w:val="000A21DA"/>
    <w:rsid w:val="000A226B"/>
    <w:rsid w:val="000A23D2"/>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14B"/>
    <w:rsid w:val="00101539"/>
    <w:rsid w:val="0010171C"/>
    <w:rsid w:val="00103400"/>
    <w:rsid w:val="00105085"/>
    <w:rsid w:val="001065AF"/>
    <w:rsid w:val="00113326"/>
    <w:rsid w:val="00113F49"/>
    <w:rsid w:val="00114B52"/>
    <w:rsid w:val="00114D6F"/>
    <w:rsid w:val="00116CE5"/>
    <w:rsid w:val="001170D1"/>
    <w:rsid w:val="00121D32"/>
    <w:rsid w:val="0012635E"/>
    <w:rsid w:val="00127E76"/>
    <w:rsid w:val="001305E1"/>
    <w:rsid w:val="00131418"/>
    <w:rsid w:val="001335A1"/>
    <w:rsid w:val="001364D9"/>
    <w:rsid w:val="0013680B"/>
    <w:rsid w:val="0013792F"/>
    <w:rsid w:val="00141A4B"/>
    <w:rsid w:val="001439C6"/>
    <w:rsid w:val="00143A58"/>
    <w:rsid w:val="001448DF"/>
    <w:rsid w:val="00145925"/>
    <w:rsid w:val="001476BD"/>
    <w:rsid w:val="00150BC6"/>
    <w:rsid w:val="00152C42"/>
    <w:rsid w:val="001563FF"/>
    <w:rsid w:val="00163F70"/>
    <w:rsid w:val="001642A1"/>
    <w:rsid w:val="00165E2A"/>
    <w:rsid w:val="001667E3"/>
    <w:rsid w:val="00167E17"/>
    <w:rsid w:val="001710E4"/>
    <w:rsid w:val="001714EA"/>
    <w:rsid w:val="00172FC0"/>
    <w:rsid w:val="0017395A"/>
    <w:rsid w:val="00175566"/>
    <w:rsid w:val="00177C9B"/>
    <w:rsid w:val="001801D4"/>
    <w:rsid w:val="0018124A"/>
    <w:rsid w:val="001826CD"/>
    <w:rsid w:val="00184563"/>
    <w:rsid w:val="00191F98"/>
    <w:rsid w:val="00193030"/>
    <w:rsid w:val="001936BC"/>
    <w:rsid w:val="00194B53"/>
    <w:rsid w:val="001A1632"/>
    <w:rsid w:val="001A24F4"/>
    <w:rsid w:val="001A29BA"/>
    <w:rsid w:val="001A4A73"/>
    <w:rsid w:val="001A6B08"/>
    <w:rsid w:val="001B092D"/>
    <w:rsid w:val="001B0D7E"/>
    <w:rsid w:val="001B104F"/>
    <w:rsid w:val="001B4934"/>
    <w:rsid w:val="001B599A"/>
    <w:rsid w:val="001B71AA"/>
    <w:rsid w:val="001C0462"/>
    <w:rsid w:val="001C149E"/>
    <w:rsid w:val="001C3E08"/>
    <w:rsid w:val="001C4415"/>
    <w:rsid w:val="001C6FEC"/>
    <w:rsid w:val="001D75ED"/>
    <w:rsid w:val="001E4A60"/>
    <w:rsid w:val="001E53FB"/>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34AE"/>
    <w:rsid w:val="002257CF"/>
    <w:rsid w:val="00226AE8"/>
    <w:rsid w:val="00233411"/>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607"/>
    <w:rsid w:val="002667BA"/>
    <w:rsid w:val="002667ED"/>
    <w:rsid w:val="00266A8B"/>
    <w:rsid w:val="002723AE"/>
    <w:rsid w:val="00272EAB"/>
    <w:rsid w:val="002768F6"/>
    <w:rsid w:val="00282563"/>
    <w:rsid w:val="0028630C"/>
    <w:rsid w:val="002874E9"/>
    <w:rsid w:val="00290E05"/>
    <w:rsid w:val="00290F21"/>
    <w:rsid w:val="00291F84"/>
    <w:rsid w:val="00295263"/>
    <w:rsid w:val="00296694"/>
    <w:rsid w:val="00297E1D"/>
    <w:rsid w:val="002A1A63"/>
    <w:rsid w:val="002A23AD"/>
    <w:rsid w:val="002A2F5A"/>
    <w:rsid w:val="002A3088"/>
    <w:rsid w:val="002A3DD8"/>
    <w:rsid w:val="002A4252"/>
    <w:rsid w:val="002A44BE"/>
    <w:rsid w:val="002A5496"/>
    <w:rsid w:val="002A6B95"/>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E6C2C"/>
    <w:rsid w:val="002F28E0"/>
    <w:rsid w:val="002F2E89"/>
    <w:rsid w:val="002F4212"/>
    <w:rsid w:val="002F55A8"/>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3ECD"/>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58C4"/>
    <w:rsid w:val="003B6ECB"/>
    <w:rsid w:val="003C1B6E"/>
    <w:rsid w:val="003C381F"/>
    <w:rsid w:val="003D4D2A"/>
    <w:rsid w:val="003D4E95"/>
    <w:rsid w:val="003D74E7"/>
    <w:rsid w:val="003E0326"/>
    <w:rsid w:val="003E101F"/>
    <w:rsid w:val="003E1BBF"/>
    <w:rsid w:val="003E222C"/>
    <w:rsid w:val="003E31F8"/>
    <w:rsid w:val="003E41BB"/>
    <w:rsid w:val="003E4906"/>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535D"/>
    <w:rsid w:val="00467AE4"/>
    <w:rsid w:val="004739C1"/>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C0F87"/>
    <w:rsid w:val="004D033B"/>
    <w:rsid w:val="004D2539"/>
    <w:rsid w:val="004D4322"/>
    <w:rsid w:val="004D465A"/>
    <w:rsid w:val="004D488A"/>
    <w:rsid w:val="004D7A9D"/>
    <w:rsid w:val="004E4B79"/>
    <w:rsid w:val="004E5455"/>
    <w:rsid w:val="004E605A"/>
    <w:rsid w:val="004E7227"/>
    <w:rsid w:val="004F0A44"/>
    <w:rsid w:val="004F1E22"/>
    <w:rsid w:val="004F215A"/>
    <w:rsid w:val="004F22F6"/>
    <w:rsid w:val="004F3FB9"/>
    <w:rsid w:val="004F76A1"/>
    <w:rsid w:val="00504582"/>
    <w:rsid w:val="00506DD4"/>
    <w:rsid w:val="00512FB2"/>
    <w:rsid w:val="0051320D"/>
    <w:rsid w:val="005132EC"/>
    <w:rsid w:val="00517F18"/>
    <w:rsid w:val="00520A3C"/>
    <w:rsid w:val="0052224A"/>
    <w:rsid w:val="00525362"/>
    <w:rsid w:val="00525B8E"/>
    <w:rsid w:val="005271AD"/>
    <w:rsid w:val="00530DD0"/>
    <w:rsid w:val="00531567"/>
    <w:rsid w:val="00534E1E"/>
    <w:rsid w:val="00537187"/>
    <w:rsid w:val="005400BA"/>
    <w:rsid w:val="00542361"/>
    <w:rsid w:val="0054302E"/>
    <w:rsid w:val="0054378D"/>
    <w:rsid w:val="005441B9"/>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25C8"/>
    <w:rsid w:val="005831CF"/>
    <w:rsid w:val="00591F70"/>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533EC"/>
    <w:rsid w:val="006630E5"/>
    <w:rsid w:val="00663CDF"/>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B786C"/>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6D5"/>
    <w:rsid w:val="007418AB"/>
    <w:rsid w:val="00743AB2"/>
    <w:rsid w:val="00743CD0"/>
    <w:rsid w:val="00744D65"/>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97397"/>
    <w:rsid w:val="007A0A44"/>
    <w:rsid w:val="007A2100"/>
    <w:rsid w:val="007A4A45"/>
    <w:rsid w:val="007A4DF6"/>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D7538"/>
    <w:rsid w:val="007E08A3"/>
    <w:rsid w:val="007E3F7F"/>
    <w:rsid w:val="007E7DF1"/>
    <w:rsid w:val="007F29FE"/>
    <w:rsid w:val="007F3D16"/>
    <w:rsid w:val="007F45A9"/>
    <w:rsid w:val="00800066"/>
    <w:rsid w:val="00803329"/>
    <w:rsid w:val="008064C3"/>
    <w:rsid w:val="00807085"/>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39F"/>
    <w:rsid w:val="00843914"/>
    <w:rsid w:val="00844A0C"/>
    <w:rsid w:val="00845B97"/>
    <w:rsid w:val="0085122E"/>
    <w:rsid w:val="00851B24"/>
    <w:rsid w:val="00857775"/>
    <w:rsid w:val="00861E1D"/>
    <w:rsid w:val="0086609D"/>
    <w:rsid w:val="00866821"/>
    <w:rsid w:val="00870608"/>
    <w:rsid w:val="008709FF"/>
    <w:rsid w:val="008716D8"/>
    <w:rsid w:val="00875923"/>
    <w:rsid w:val="00875B30"/>
    <w:rsid w:val="008766B1"/>
    <w:rsid w:val="008814A0"/>
    <w:rsid w:val="0088190D"/>
    <w:rsid w:val="0088662B"/>
    <w:rsid w:val="00890FD7"/>
    <w:rsid w:val="00893647"/>
    <w:rsid w:val="008B03CF"/>
    <w:rsid w:val="008B0841"/>
    <w:rsid w:val="008B305D"/>
    <w:rsid w:val="008B3BD2"/>
    <w:rsid w:val="008B5FA3"/>
    <w:rsid w:val="008B5FDB"/>
    <w:rsid w:val="008B6308"/>
    <w:rsid w:val="008B7A0C"/>
    <w:rsid w:val="008C2F61"/>
    <w:rsid w:val="008C5ACC"/>
    <w:rsid w:val="008C5D03"/>
    <w:rsid w:val="008D2829"/>
    <w:rsid w:val="008D3DE1"/>
    <w:rsid w:val="008D557C"/>
    <w:rsid w:val="008D5B1F"/>
    <w:rsid w:val="008D6BC4"/>
    <w:rsid w:val="008D7257"/>
    <w:rsid w:val="008D7877"/>
    <w:rsid w:val="008E0CE6"/>
    <w:rsid w:val="008E0CF4"/>
    <w:rsid w:val="008E5108"/>
    <w:rsid w:val="008E5567"/>
    <w:rsid w:val="008E7015"/>
    <w:rsid w:val="008E703D"/>
    <w:rsid w:val="008E7777"/>
    <w:rsid w:val="008F15CD"/>
    <w:rsid w:val="008F246A"/>
    <w:rsid w:val="008F607D"/>
    <w:rsid w:val="008F66A1"/>
    <w:rsid w:val="008F6C55"/>
    <w:rsid w:val="0090380F"/>
    <w:rsid w:val="009050BE"/>
    <w:rsid w:val="009062BF"/>
    <w:rsid w:val="009079AF"/>
    <w:rsid w:val="00911071"/>
    <w:rsid w:val="00916404"/>
    <w:rsid w:val="00916B9F"/>
    <w:rsid w:val="009202FD"/>
    <w:rsid w:val="00921102"/>
    <w:rsid w:val="009214B3"/>
    <w:rsid w:val="0092264F"/>
    <w:rsid w:val="0092285E"/>
    <w:rsid w:val="009232C4"/>
    <w:rsid w:val="009234CE"/>
    <w:rsid w:val="009246D2"/>
    <w:rsid w:val="00925384"/>
    <w:rsid w:val="00931A3C"/>
    <w:rsid w:val="0093468B"/>
    <w:rsid w:val="00935D33"/>
    <w:rsid w:val="009408A3"/>
    <w:rsid w:val="009421D0"/>
    <w:rsid w:val="009448B0"/>
    <w:rsid w:val="00945121"/>
    <w:rsid w:val="00945199"/>
    <w:rsid w:val="00945849"/>
    <w:rsid w:val="00946EC7"/>
    <w:rsid w:val="00954614"/>
    <w:rsid w:val="00955BCE"/>
    <w:rsid w:val="009603A2"/>
    <w:rsid w:val="00961DA1"/>
    <w:rsid w:val="00962301"/>
    <w:rsid w:val="00970CA2"/>
    <w:rsid w:val="00970EDF"/>
    <w:rsid w:val="00972F05"/>
    <w:rsid w:val="00973D8B"/>
    <w:rsid w:val="00975F1B"/>
    <w:rsid w:val="0097705F"/>
    <w:rsid w:val="009773EE"/>
    <w:rsid w:val="009813C5"/>
    <w:rsid w:val="00984F0A"/>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295C"/>
    <w:rsid w:val="009D30BC"/>
    <w:rsid w:val="009E15E2"/>
    <w:rsid w:val="009E23BF"/>
    <w:rsid w:val="009E2BF3"/>
    <w:rsid w:val="009E2D9A"/>
    <w:rsid w:val="009E478A"/>
    <w:rsid w:val="009E6E2B"/>
    <w:rsid w:val="009E7F8F"/>
    <w:rsid w:val="009F18D7"/>
    <w:rsid w:val="009F1E2B"/>
    <w:rsid w:val="009F4C0F"/>
    <w:rsid w:val="009F5005"/>
    <w:rsid w:val="009F5F96"/>
    <w:rsid w:val="009F74D0"/>
    <w:rsid w:val="00A00CBF"/>
    <w:rsid w:val="00A0595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3D6D"/>
    <w:rsid w:val="00A45268"/>
    <w:rsid w:val="00A4560A"/>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D4E9C"/>
    <w:rsid w:val="00AE57A4"/>
    <w:rsid w:val="00AE77AE"/>
    <w:rsid w:val="00AF291D"/>
    <w:rsid w:val="00AF51A0"/>
    <w:rsid w:val="00AF5D67"/>
    <w:rsid w:val="00B00765"/>
    <w:rsid w:val="00B007DA"/>
    <w:rsid w:val="00B0211B"/>
    <w:rsid w:val="00B0252F"/>
    <w:rsid w:val="00B02858"/>
    <w:rsid w:val="00B10539"/>
    <w:rsid w:val="00B10F2E"/>
    <w:rsid w:val="00B11D20"/>
    <w:rsid w:val="00B11D74"/>
    <w:rsid w:val="00B14DCE"/>
    <w:rsid w:val="00B15276"/>
    <w:rsid w:val="00B16C11"/>
    <w:rsid w:val="00B17303"/>
    <w:rsid w:val="00B21DA8"/>
    <w:rsid w:val="00B26A2D"/>
    <w:rsid w:val="00B348B0"/>
    <w:rsid w:val="00B36EC1"/>
    <w:rsid w:val="00B435C2"/>
    <w:rsid w:val="00B46027"/>
    <w:rsid w:val="00B4618B"/>
    <w:rsid w:val="00B46448"/>
    <w:rsid w:val="00B46917"/>
    <w:rsid w:val="00B50803"/>
    <w:rsid w:val="00B51F4D"/>
    <w:rsid w:val="00B57CEE"/>
    <w:rsid w:val="00B622BC"/>
    <w:rsid w:val="00B62425"/>
    <w:rsid w:val="00B63724"/>
    <w:rsid w:val="00B67B8C"/>
    <w:rsid w:val="00B7457F"/>
    <w:rsid w:val="00B75D52"/>
    <w:rsid w:val="00B7734D"/>
    <w:rsid w:val="00B80672"/>
    <w:rsid w:val="00B8086C"/>
    <w:rsid w:val="00B809D3"/>
    <w:rsid w:val="00B80A40"/>
    <w:rsid w:val="00B84353"/>
    <w:rsid w:val="00B87097"/>
    <w:rsid w:val="00B87662"/>
    <w:rsid w:val="00B90B28"/>
    <w:rsid w:val="00B92053"/>
    <w:rsid w:val="00B94C3E"/>
    <w:rsid w:val="00BA5D3E"/>
    <w:rsid w:val="00BA60B3"/>
    <w:rsid w:val="00BB33B9"/>
    <w:rsid w:val="00BB3CD4"/>
    <w:rsid w:val="00BB4305"/>
    <w:rsid w:val="00BB4CC8"/>
    <w:rsid w:val="00BB5F43"/>
    <w:rsid w:val="00BC097C"/>
    <w:rsid w:val="00BC100C"/>
    <w:rsid w:val="00BC4F13"/>
    <w:rsid w:val="00BD0BD6"/>
    <w:rsid w:val="00BD2EF8"/>
    <w:rsid w:val="00BD2F73"/>
    <w:rsid w:val="00BD325B"/>
    <w:rsid w:val="00BD4D56"/>
    <w:rsid w:val="00BD762D"/>
    <w:rsid w:val="00BE030B"/>
    <w:rsid w:val="00BF00CF"/>
    <w:rsid w:val="00BF07B1"/>
    <w:rsid w:val="00BF0DC4"/>
    <w:rsid w:val="00BF1E18"/>
    <w:rsid w:val="00BF336E"/>
    <w:rsid w:val="00BF4B52"/>
    <w:rsid w:val="00BF5E12"/>
    <w:rsid w:val="00C02565"/>
    <w:rsid w:val="00C02A35"/>
    <w:rsid w:val="00C05DB6"/>
    <w:rsid w:val="00C06000"/>
    <w:rsid w:val="00C06A7B"/>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19A6"/>
    <w:rsid w:val="00C443AF"/>
    <w:rsid w:val="00C46901"/>
    <w:rsid w:val="00C472C0"/>
    <w:rsid w:val="00C51144"/>
    <w:rsid w:val="00C5334E"/>
    <w:rsid w:val="00C54C7F"/>
    <w:rsid w:val="00C55365"/>
    <w:rsid w:val="00C56B06"/>
    <w:rsid w:val="00C610C8"/>
    <w:rsid w:val="00C63FB9"/>
    <w:rsid w:val="00C65E58"/>
    <w:rsid w:val="00C669F2"/>
    <w:rsid w:val="00C724D2"/>
    <w:rsid w:val="00C72BFA"/>
    <w:rsid w:val="00C72BFD"/>
    <w:rsid w:val="00C72F53"/>
    <w:rsid w:val="00C7690C"/>
    <w:rsid w:val="00C7692E"/>
    <w:rsid w:val="00C76C3D"/>
    <w:rsid w:val="00C77D60"/>
    <w:rsid w:val="00C80CEE"/>
    <w:rsid w:val="00C83B1E"/>
    <w:rsid w:val="00C84D4E"/>
    <w:rsid w:val="00C86395"/>
    <w:rsid w:val="00C8650B"/>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1369"/>
    <w:rsid w:val="00D22031"/>
    <w:rsid w:val="00D303D6"/>
    <w:rsid w:val="00D32687"/>
    <w:rsid w:val="00D32D6E"/>
    <w:rsid w:val="00D3314A"/>
    <w:rsid w:val="00D362A2"/>
    <w:rsid w:val="00D37B27"/>
    <w:rsid w:val="00D424D2"/>
    <w:rsid w:val="00D42E9E"/>
    <w:rsid w:val="00D51791"/>
    <w:rsid w:val="00D522B4"/>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2770"/>
    <w:rsid w:val="00D92F57"/>
    <w:rsid w:val="00D93AE3"/>
    <w:rsid w:val="00D94FA0"/>
    <w:rsid w:val="00DA1A84"/>
    <w:rsid w:val="00DA2EAA"/>
    <w:rsid w:val="00DA6A86"/>
    <w:rsid w:val="00DB2F91"/>
    <w:rsid w:val="00DB406B"/>
    <w:rsid w:val="00DB531C"/>
    <w:rsid w:val="00DB53BA"/>
    <w:rsid w:val="00DC32EB"/>
    <w:rsid w:val="00DC369A"/>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503"/>
    <w:rsid w:val="00DF7A2E"/>
    <w:rsid w:val="00E02404"/>
    <w:rsid w:val="00E046A3"/>
    <w:rsid w:val="00E07FAA"/>
    <w:rsid w:val="00E128DB"/>
    <w:rsid w:val="00E12E0B"/>
    <w:rsid w:val="00E14E68"/>
    <w:rsid w:val="00E16926"/>
    <w:rsid w:val="00E21239"/>
    <w:rsid w:val="00E228C8"/>
    <w:rsid w:val="00E2539B"/>
    <w:rsid w:val="00E2744E"/>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FC2"/>
    <w:rsid w:val="00E67137"/>
    <w:rsid w:val="00E701AC"/>
    <w:rsid w:val="00E71B6C"/>
    <w:rsid w:val="00E71F47"/>
    <w:rsid w:val="00E73BFD"/>
    <w:rsid w:val="00E7552C"/>
    <w:rsid w:val="00E75EDC"/>
    <w:rsid w:val="00E76F19"/>
    <w:rsid w:val="00E7729C"/>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CE4"/>
    <w:rsid w:val="00ED2D18"/>
    <w:rsid w:val="00ED4D5F"/>
    <w:rsid w:val="00ED67B7"/>
    <w:rsid w:val="00EE1079"/>
    <w:rsid w:val="00EE1D6B"/>
    <w:rsid w:val="00EE5531"/>
    <w:rsid w:val="00EE5A88"/>
    <w:rsid w:val="00EE642E"/>
    <w:rsid w:val="00EE677E"/>
    <w:rsid w:val="00EE77E0"/>
    <w:rsid w:val="00EF0BD7"/>
    <w:rsid w:val="00EF65C0"/>
    <w:rsid w:val="00EF72BE"/>
    <w:rsid w:val="00EF778F"/>
    <w:rsid w:val="00EF78B8"/>
    <w:rsid w:val="00EF7999"/>
    <w:rsid w:val="00F006DA"/>
    <w:rsid w:val="00F01ED3"/>
    <w:rsid w:val="00F020DF"/>
    <w:rsid w:val="00F03BFD"/>
    <w:rsid w:val="00F043BC"/>
    <w:rsid w:val="00F118D3"/>
    <w:rsid w:val="00F1242C"/>
    <w:rsid w:val="00F128C3"/>
    <w:rsid w:val="00F1711D"/>
    <w:rsid w:val="00F200BC"/>
    <w:rsid w:val="00F223F4"/>
    <w:rsid w:val="00F23EAF"/>
    <w:rsid w:val="00F25C3E"/>
    <w:rsid w:val="00F269BB"/>
    <w:rsid w:val="00F317F9"/>
    <w:rsid w:val="00F33A4A"/>
    <w:rsid w:val="00F353AE"/>
    <w:rsid w:val="00F36D46"/>
    <w:rsid w:val="00F42BF1"/>
    <w:rsid w:val="00F4365C"/>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0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paragraph" w:customStyle="1" w:styleId="SCCBanSummary">
    <w:name w:val="SCC.BanSummary"/>
    <w:basedOn w:val="Normal"/>
    <w:next w:val="Normal"/>
    <w:link w:val="SCCBanSummaryChar"/>
    <w:rsid w:val="001E53FB"/>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1E53FB"/>
    <w:rPr>
      <w:rFonts w:eastAsiaTheme="minorHAnsi" w:cstheme="minorBidi"/>
      <w:smallCaps/>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7873"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7193</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2019-11-08T13:42:00Z</dcterms:created>
  <dcterms:modified xsi:type="dcterms:W3CDTF">2019-11-22T14:53:00Z</dcterms:modified>
</cp:coreProperties>
</file>