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1206B9" w:rsidRDefault="003F43E6" w:rsidP="003F43E6">
      <w:pPr>
        <w:pStyle w:val="Header"/>
        <w:jc w:val="center"/>
        <w:rPr>
          <w:b/>
          <w:sz w:val="32"/>
        </w:rPr>
      </w:pPr>
      <w:r w:rsidRPr="001206B9">
        <w:rPr>
          <w:b/>
          <w:sz w:val="32"/>
        </w:rPr>
        <w:t>Supreme Court of Canada / Cour suprême du Canada</w:t>
      </w:r>
    </w:p>
    <w:p w:rsidR="003F43E6" w:rsidRPr="001206B9" w:rsidRDefault="003F43E6" w:rsidP="006F2579">
      <w:pPr>
        <w:widowControl w:val="0"/>
        <w:rPr>
          <w:i/>
        </w:rPr>
      </w:pPr>
    </w:p>
    <w:p w:rsidR="003F43E6" w:rsidRPr="001206B9" w:rsidRDefault="003F43E6" w:rsidP="006F2579">
      <w:pPr>
        <w:widowControl w:val="0"/>
        <w:rPr>
          <w:i/>
        </w:rPr>
      </w:pPr>
    </w:p>
    <w:p w:rsidR="006F2579" w:rsidRPr="001206B9" w:rsidRDefault="006F2579" w:rsidP="006F2579">
      <w:pPr>
        <w:widowControl w:val="0"/>
        <w:rPr>
          <w:i/>
          <w:sz w:val="20"/>
        </w:rPr>
      </w:pPr>
      <w:r w:rsidRPr="001206B9">
        <w:rPr>
          <w:i/>
          <w:sz w:val="20"/>
        </w:rPr>
        <w:t>(</w:t>
      </w:r>
      <w:r w:rsidR="00E37DE3" w:rsidRPr="001206B9">
        <w:rPr>
          <w:i/>
          <w:sz w:val="20"/>
        </w:rPr>
        <w:t>L</w:t>
      </w:r>
      <w:r w:rsidRPr="001206B9">
        <w:rPr>
          <w:i/>
          <w:sz w:val="20"/>
        </w:rPr>
        <w:t>e français suit)</w:t>
      </w:r>
    </w:p>
    <w:p w:rsidR="006F2579" w:rsidRPr="001206B9" w:rsidRDefault="006F2579" w:rsidP="006F2579">
      <w:pPr>
        <w:widowControl w:val="0"/>
      </w:pPr>
    </w:p>
    <w:p w:rsidR="006F2579" w:rsidRPr="001206B9" w:rsidRDefault="00D01D61" w:rsidP="006F2579">
      <w:pPr>
        <w:widowControl w:val="0"/>
        <w:jc w:val="center"/>
        <w:rPr>
          <w:b/>
        </w:rPr>
      </w:pPr>
      <w:r w:rsidRPr="001206B9">
        <w:fldChar w:fldCharType="begin"/>
      </w:r>
      <w:r w:rsidR="006F2579" w:rsidRPr="001206B9">
        <w:instrText xml:space="preserve"> SEQ CHAPTER \h \r 1</w:instrText>
      </w:r>
      <w:r w:rsidRPr="001206B9">
        <w:fldChar w:fldCharType="end"/>
      </w:r>
      <w:r w:rsidR="002767DF" w:rsidRPr="001206B9">
        <w:rPr>
          <w:b/>
        </w:rPr>
        <w:t xml:space="preserve">JUDGMENTS </w:t>
      </w:r>
      <w:r w:rsidR="004C4C26" w:rsidRPr="001206B9">
        <w:rPr>
          <w:b/>
        </w:rPr>
        <w:t>IN APPEAL</w:t>
      </w:r>
      <w:r w:rsidR="003602FC" w:rsidRPr="001206B9">
        <w:rPr>
          <w:b/>
        </w:rPr>
        <w:t>S</w:t>
      </w:r>
      <w:r w:rsidR="004C4C26" w:rsidRPr="001206B9">
        <w:rPr>
          <w:b/>
        </w:rPr>
        <w:t xml:space="preserve"> AND LEAVE APPLIC</w:t>
      </w:r>
      <w:r w:rsidR="002E6185" w:rsidRPr="001206B9">
        <w:rPr>
          <w:b/>
        </w:rPr>
        <w:t>A</w:t>
      </w:r>
      <w:r w:rsidR="004C4C26" w:rsidRPr="001206B9">
        <w:rPr>
          <w:b/>
        </w:rPr>
        <w:t>TION</w:t>
      </w:r>
      <w:r w:rsidR="00A35C4D" w:rsidRPr="001206B9">
        <w:rPr>
          <w:b/>
        </w:rPr>
        <w:t>S</w:t>
      </w:r>
    </w:p>
    <w:p w:rsidR="006F2579" w:rsidRPr="001206B9" w:rsidRDefault="006F2579" w:rsidP="006F2579">
      <w:pPr>
        <w:widowControl w:val="0"/>
      </w:pPr>
    </w:p>
    <w:p w:rsidR="006F2579" w:rsidRPr="001206B9" w:rsidRDefault="00033C46" w:rsidP="006F2579">
      <w:pPr>
        <w:widowControl w:val="0"/>
      </w:pPr>
      <w:r w:rsidRPr="001206B9">
        <w:rPr>
          <w:b/>
        </w:rPr>
        <w:t>December 1</w:t>
      </w:r>
      <w:r w:rsidR="003602FC" w:rsidRPr="001206B9">
        <w:rPr>
          <w:b/>
        </w:rPr>
        <w:t>9</w:t>
      </w:r>
      <w:r w:rsidR="002E4682" w:rsidRPr="001206B9">
        <w:rPr>
          <w:b/>
        </w:rPr>
        <w:t>, 201</w:t>
      </w:r>
      <w:r w:rsidR="00B96728" w:rsidRPr="001206B9">
        <w:rPr>
          <w:b/>
        </w:rPr>
        <w:t>9</w:t>
      </w:r>
    </w:p>
    <w:p w:rsidR="006F2579" w:rsidRPr="001206B9" w:rsidRDefault="006F2579" w:rsidP="006F2579">
      <w:pPr>
        <w:widowControl w:val="0"/>
        <w:rPr>
          <w:b/>
        </w:rPr>
      </w:pPr>
      <w:r w:rsidRPr="001206B9">
        <w:rPr>
          <w:b/>
        </w:rPr>
        <w:t>For immediate release</w:t>
      </w:r>
    </w:p>
    <w:p w:rsidR="006F2579" w:rsidRPr="001206B9" w:rsidRDefault="006F2579" w:rsidP="006F2579">
      <w:pPr>
        <w:widowControl w:val="0"/>
      </w:pPr>
    </w:p>
    <w:p w:rsidR="002767DF" w:rsidRPr="001206B9" w:rsidRDefault="002767DF" w:rsidP="002767DF">
      <w:pPr>
        <w:widowControl w:val="0"/>
      </w:pPr>
      <w:r w:rsidRPr="001206B9">
        <w:rPr>
          <w:b/>
        </w:rPr>
        <w:t>OTTAWA</w:t>
      </w:r>
      <w:r w:rsidRPr="001206B9">
        <w:t xml:space="preserve"> – The Supreme Court of Canada has today deposited with the Registrar judgment</w:t>
      </w:r>
      <w:r w:rsidR="00320863" w:rsidRPr="001206B9">
        <w:t>s</w:t>
      </w:r>
      <w:r w:rsidRPr="001206B9">
        <w:t xml:space="preserve"> in the following appeal</w:t>
      </w:r>
      <w:r w:rsidR="003602FC" w:rsidRPr="001206B9">
        <w:t>s</w:t>
      </w:r>
      <w:r w:rsidRPr="001206B9">
        <w:t xml:space="preserve"> and </w:t>
      </w:r>
      <w:r w:rsidR="009B2F43" w:rsidRPr="001206B9">
        <w:t xml:space="preserve">leave </w:t>
      </w:r>
      <w:r w:rsidRPr="001206B9">
        <w:t>application</w:t>
      </w:r>
      <w:r w:rsidR="00CC044F" w:rsidRPr="001206B9">
        <w:t>s</w:t>
      </w:r>
      <w:r w:rsidRPr="001206B9">
        <w:t>.</w:t>
      </w:r>
    </w:p>
    <w:p w:rsidR="006F2579" w:rsidRPr="001206B9" w:rsidRDefault="006F2579" w:rsidP="006F2579">
      <w:pPr>
        <w:widowControl w:val="0"/>
      </w:pPr>
    </w:p>
    <w:p w:rsidR="006F2579" w:rsidRPr="001206B9" w:rsidRDefault="006F2579" w:rsidP="006F2579">
      <w:pPr>
        <w:widowControl w:val="0"/>
      </w:pPr>
    </w:p>
    <w:p w:rsidR="002767DF" w:rsidRPr="001206B9" w:rsidRDefault="002767DF" w:rsidP="002767DF">
      <w:pPr>
        <w:widowControl w:val="0"/>
        <w:jc w:val="center"/>
        <w:rPr>
          <w:lang w:val="fr-CA"/>
        </w:rPr>
      </w:pPr>
      <w:r w:rsidRPr="001206B9">
        <w:rPr>
          <w:b/>
          <w:lang w:val="fr-CA"/>
        </w:rPr>
        <w:t>JUGEMENT</w:t>
      </w:r>
      <w:r w:rsidR="004C4C26" w:rsidRPr="001206B9">
        <w:rPr>
          <w:b/>
          <w:lang w:val="fr-CA"/>
        </w:rPr>
        <w:t>S SUR APPEL</w:t>
      </w:r>
      <w:r w:rsidR="003602FC" w:rsidRPr="001206B9">
        <w:rPr>
          <w:b/>
          <w:lang w:val="fr-CA"/>
        </w:rPr>
        <w:t>S</w:t>
      </w:r>
      <w:r w:rsidR="004C4C26" w:rsidRPr="001206B9">
        <w:rPr>
          <w:b/>
          <w:lang w:val="fr-CA"/>
        </w:rPr>
        <w:t xml:space="preserve"> ET DEMANDE</w:t>
      </w:r>
      <w:r w:rsidR="00CC044F" w:rsidRPr="001206B9">
        <w:rPr>
          <w:b/>
          <w:lang w:val="fr-CA"/>
        </w:rPr>
        <w:t>S</w:t>
      </w:r>
      <w:r w:rsidRPr="001206B9">
        <w:rPr>
          <w:b/>
          <w:lang w:val="fr-CA"/>
        </w:rPr>
        <w:t xml:space="preserve"> D’AUTORISATION</w:t>
      </w:r>
    </w:p>
    <w:p w:rsidR="006F2579" w:rsidRPr="001206B9" w:rsidRDefault="006F2579" w:rsidP="006F2579">
      <w:pPr>
        <w:widowControl w:val="0"/>
        <w:rPr>
          <w:lang w:val="fr-CA"/>
        </w:rPr>
      </w:pPr>
    </w:p>
    <w:p w:rsidR="006F2579" w:rsidRPr="001206B9" w:rsidRDefault="006F2579" w:rsidP="006F2579">
      <w:pPr>
        <w:widowControl w:val="0"/>
        <w:rPr>
          <w:lang w:val="fr-CA"/>
        </w:rPr>
      </w:pPr>
      <w:r w:rsidRPr="001206B9">
        <w:rPr>
          <w:b/>
          <w:lang w:val="fr-CA"/>
        </w:rPr>
        <w:t>Le</w:t>
      </w:r>
      <w:r w:rsidR="008825DB" w:rsidRPr="001206B9">
        <w:rPr>
          <w:b/>
          <w:lang w:val="fr-CA"/>
        </w:rPr>
        <w:t xml:space="preserve"> </w:t>
      </w:r>
      <w:r w:rsidR="00033C46" w:rsidRPr="001206B9">
        <w:rPr>
          <w:b/>
          <w:lang w:val="fr-CA"/>
        </w:rPr>
        <w:t>1</w:t>
      </w:r>
      <w:r w:rsidR="003602FC" w:rsidRPr="001206B9">
        <w:rPr>
          <w:b/>
          <w:lang w:val="fr-CA"/>
        </w:rPr>
        <w:t>9</w:t>
      </w:r>
      <w:r w:rsidR="00FF4756" w:rsidRPr="001206B9">
        <w:rPr>
          <w:b/>
          <w:lang w:val="fr-CA"/>
        </w:rPr>
        <w:t xml:space="preserve"> </w:t>
      </w:r>
      <w:r w:rsidR="00033C46" w:rsidRPr="001206B9">
        <w:rPr>
          <w:b/>
          <w:lang w:val="fr-CA"/>
        </w:rPr>
        <w:t>décembre</w:t>
      </w:r>
      <w:r w:rsidR="002E4682" w:rsidRPr="001206B9">
        <w:rPr>
          <w:b/>
          <w:lang w:val="fr-CA"/>
        </w:rPr>
        <w:t xml:space="preserve"> </w:t>
      </w:r>
      <w:r w:rsidR="008825DB" w:rsidRPr="001206B9">
        <w:rPr>
          <w:b/>
          <w:lang w:val="fr-CA"/>
        </w:rPr>
        <w:t>201</w:t>
      </w:r>
      <w:r w:rsidR="00B96728" w:rsidRPr="001206B9">
        <w:rPr>
          <w:b/>
          <w:lang w:val="fr-CA"/>
        </w:rPr>
        <w:t>9</w:t>
      </w:r>
    </w:p>
    <w:p w:rsidR="006F2579" w:rsidRPr="001206B9" w:rsidRDefault="006F2579" w:rsidP="006F2579">
      <w:pPr>
        <w:widowControl w:val="0"/>
        <w:rPr>
          <w:b/>
          <w:lang w:val="fr-CA"/>
        </w:rPr>
      </w:pPr>
      <w:r w:rsidRPr="001206B9">
        <w:rPr>
          <w:b/>
          <w:lang w:val="fr-CA"/>
        </w:rPr>
        <w:t>Pour diffusion immédiate</w:t>
      </w:r>
    </w:p>
    <w:p w:rsidR="006F2579" w:rsidRPr="001206B9" w:rsidRDefault="006F2579" w:rsidP="006F2579">
      <w:pPr>
        <w:widowControl w:val="0"/>
        <w:rPr>
          <w:sz w:val="20"/>
          <w:lang w:val="fr-CA"/>
        </w:rPr>
      </w:pPr>
    </w:p>
    <w:p w:rsidR="002767DF" w:rsidRPr="001206B9" w:rsidRDefault="002767DF" w:rsidP="002767DF">
      <w:pPr>
        <w:widowControl w:val="0"/>
        <w:rPr>
          <w:lang w:val="fr-CA"/>
        </w:rPr>
      </w:pPr>
      <w:r w:rsidRPr="001206B9">
        <w:rPr>
          <w:b/>
          <w:lang w:val="fr-CA"/>
        </w:rPr>
        <w:t>OTTAWA</w:t>
      </w:r>
      <w:r w:rsidRPr="001206B9">
        <w:rPr>
          <w:lang w:val="fr-CA"/>
        </w:rPr>
        <w:t xml:space="preserve"> – La Cour suprême du Canada a déposé aujourd’hui auprès du registraire les jugement</w:t>
      </w:r>
      <w:r w:rsidR="005D2479" w:rsidRPr="001206B9">
        <w:rPr>
          <w:lang w:val="fr-CA"/>
        </w:rPr>
        <w:t>s</w:t>
      </w:r>
      <w:r w:rsidRPr="001206B9">
        <w:rPr>
          <w:lang w:val="fr-CA"/>
        </w:rPr>
        <w:t xml:space="preserve"> dans l</w:t>
      </w:r>
      <w:r w:rsidR="003602FC" w:rsidRPr="001206B9">
        <w:rPr>
          <w:lang w:val="fr-CA"/>
        </w:rPr>
        <w:t xml:space="preserve">es </w:t>
      </w:r>
      <w:r w:rsidRPr="001206B9">
        <w:rPr>
          <w:lang w:val="fr-CA"/>
        </w:rPr>
        <w:t>appel</w:t>
      </w:r>
      <w:r w:rsidR="003602FC" w:rsidRPr="001206B9">
        <w:rPr>
          <w:lang w:val="fr-CA"/>
        </w:rPr>
        <w:t>s</w:t>
      </w:r>
      <w:r w:rsidR="00DF6BD5" w:rsidRPr="001206B9">
        <w:rPr>
          <w:lang w:val="fr-CA"/>
        </w:rPr>
        <w:t xml:space="preserve"> </w:t>
      </w:r>
      <w:r w:rsidRPr="001206B9">
        <w:rPr>
          <w:lang w:val="fr-CA"/>
        </w:rPr>
        <w:t>et</w:t>
      </w:r>
      <w:r w:rsidR="00CC044F" w:rsidRPr="001206B9">
        <w:rPr>
          <w:lang w:val="fr-CA"/>
        </w:rPr>
        <w:t xml:space="preserve"> </w:t>
      </w:r>
      <w:r w:rsidR="004C4C26" w:rsidRPr="001206B9">
        <w:rPr>
          <w:lang w:val="fr-CA"/>
        </w:rPr>
        <w:t>demande</w:t>
      </w:r>
      <w:r w:rsidR="00CC044F" w:rsidRPr="001206B9">
        <w:rPr>
          <w:lang w:val="fr-CA"/>
        </w:rPr>
        <w:t>s</w:t>
      </w:r>
      <w:r w:rsidRPr="001206B9">
        <w:rPr>
          <w:lang w:val="fr-CA"/>
        </w:rPr>
        <w:t xml:space="preserve"> d’autorisation suiv</w:t>
      </w:r>
      <w:r w:rsidR="00B466A3" w:rsidRPr="001206B9">
        <w:rPr>
          <w:lang w:val="fr-CA"/>
        </w:rPr>
        <w:t>a</w:t>
      </w:r>
      <w:r w:rsidRPr="001206B9">
        <w:rPr>
          <w:lang w:val="fr-CA"/>
        </w:rPr>
        <w:t>nt</w:t>
      </w:r>
      <w:r w:rsidR="00B466A3" w:rsidRPr="001206B9">
        <w:rPr>
          <w:lang w:val="fr-CA"/>
        </w:rPr>
        <w:t>s</w:t>
      </w:r>
      <w:r w:rsidRPr="001206B9">
        <w:rPr>
          <w:lang w:val="fr-CA"/>
        </w:rPr>
        <w:t>.</w:t>
      </w:r>
    </w:p>
    <w:p w:rsidR="002767DF" w:rsidRPr="001206B9" w:rsidRDefault="002767DF" w:rsidP="002767DF">
      <w:pPr>
        <w:widowControl w:val="0"/>
        <w:rPr>
          <w:szCs w:val="24"/>
          <w:lang w:val="fr-CA"/>
        </w:rPr>
      </w:pPr>
    </w:p>
    <w:p w:rsidR="002767DF" w:rsidRPr="001206B9" w:rsidRDefault="001206B9" w:rsidP="002767DF">
      <w:pPr>
        <w:widowControl w:val="0"/>
        <w:rPr>
          <w:szCs w:val="24"/>
          <w:lang w:val="fr-CA"/>
        </w:rPr>
      </w:pPr>
      <w:r w:rsidRPr="001206B9">
        <w:rPr>
          <w:szCs w:val="24"/>
          <w:lang w:val="fr-CA"/>
        </w:rPr>
        <w:pict>
          <v:rect id="_x0000_i1025" style="width:108pt;height:1pt" o:hrpct="0" o:hralign="center" o:hrstd="t" o:hrnoshade="t" o:hr="t" fillcolor="black [3213]" stroked="f"/>
        </w:pict>
      </w:r>
    </w:p>
    <w:p w:rsidR="002767DF" w:rsidRPr="001206B9" w:rsidRDefault="002767DF" w:rsidP="002767DF">
      <w:pPr>
        <w:widowControl w:val="0"/>
        <w:jc w:val="both"/>
        <w:rPr>
          <w:szCs w:val="24"/>
          <w:lang w:val="fr-CA"/>
        </w:rPr>
      </w:pPr>
    </w:p>
    <w:p w:rsidR="002767DF" w:rsidRPr="001206B9" w:rsidRDefault="002767DF" w:rsidP="002767DF">
      <w:pPr>
        <w:outlineLvl w:val="0"/>
        <w:rPr>
          <w:b/>
          <w:szCs w:val="24"/>
        </w:rPr>
      </w:pPr>
      <w:r w:rsidRPr="001206B9">
        <w:rPr>
          <w:b/>
          <w:szCs w:val="24"/>
        </w:rPr>
        <w:t>APPEAL</w:t>
      </w:r>
      <w:r w:rsidR="0050261B" w:rsidRPr="001206B9">
        <w:rPr>
          <w:b/>
          <w:szCs w:val="24"/>
        </w:rPr>
        <w:t>S</w:t>
      </w:r>
      <w:r w:rsidRPr="001206B9">
        <w:rPr>
          <w:b/>
          <w:szCs w:val="24"/>
        </w:rPr>
        <w:t xml:space="preserve"> / APPEL</w:t>
      </w:r>
      <w:r w:rsidR="0050261B" w:rsidRPr="001206B9">
        <w:rPr>
          <w:b/>
          <w:szCs w:val="24"/>
        </w:rPr>
        <w:t>S</w:t>
      </w:r>
    </w:p>
    <w:p w:rsidR="002767DF" w:rsidRPr="001206B9" w:rsidRDefault="002767DF" w:rsidP="002767DF">
      <w:pPr>
        <w:rPr>
          <w:szCs w:val="24"/>
        </w:rPr>
      </w:pPr>
    </w:p>
    <w:p w:rsidR="00B1256C" w:rsidRPr="001206B9" w:rsidRDefault="008A5E61" w:rsidP="008A5E61">
      <w:pPr>
        <w:tabs>
          <w:tab w:val="left" w:pos="720"/>
          <w:tab w:val="left" w:pos="1296"/>
          <w:tab w:val="left" w:pos="2160"/>
          <w:tab w:val="left" w:pos="2880"/>
          <w:tab w:val="left" w:pos="4320"/>
          <w:tab w:val="left" w:pos="10224"/>
          <w:tab w:val="left" w:pos="11376"/>
        </w:tabs>
        <w:jc w:val="both"/>
      </w:pPr>
      <w:r w:rsidRPr="001206B9">
        <w:t xml:space="preserve">The </w:t>
      </w:r>
      <w:hyperlink r:id="rId7" w:history="1">
        <w:r w:rsidRPr="001206B9">
          <w:rPr>
            <w:rStyle w:val="Hyperlink"/>
          </w:rPr>
          <w:t>r</w:t>
        </w:r>
        <w:r w:rsidR="00347EF8" w:rsidRPr="001206B9">
          <w:rPr>
            <w:rStyle w:val="Hyperlink"/>
          </w:rPr>
          <w:t>easons for j</w:t>
        </w:r>
        <w:r w:rsidR="002767DF" w:rsidRPr="001206B9">
          <w:rPr>
            <w:rStyle w:val="Hyperlink"/>
          </w:rPr>
          <w:t>udgment</w:t>
        </w:r>
      </w:hyperlink>
      <w:r w:rsidR="002767DF" w:rsidRPr="001206B9">
        <w:t xml:space="preserve"> will be available shortly</w:t>
      </w:r>
      <w:r w:rsidRPr="001206B9">
        <w:t>.</w:t>
      </w:r>
      <w:r w:rsidR="002767DF" w:rsidRPr="001206B9">
        <w:t xml:space="preserve"> / </w:t>
      </w:r>
      <w:r w:rsidRPr="001206B9">
        <w:t xml:space="preserve">Les </w:t>
      </w:r>
      <w:hyperlink r:id="rId8" w:history="1">
        <w:r w:rsidRPr="001206B9">
          <w:rPr>
            <w:rStyle w:val="Hyperlink"/>
          </w:rPr>
          <w:t>m</w:t>
        </w:r>
        <w:r w:rsidR="00347EF8" w:rsidRPr="001206B9">
          <w:rPr>
            <w:rStyle w:val="Hyperlink"/>
          </w:rPr>
          <w:t>otifs de</w:t>
        </w:r>
        <w:r w:rsidR="00623896" w:rsidRPr="001206B9">
          <w:rPr>
            <w:rStyle w:val="Hyperlink"/>
          </w:rPr>
          <w:t xml:space="preserve"> jugement</w:t>
        </w:r>
      </w:hyperlink>
      <w:r w:rsidR="00623896" w:rsidRPr="001206B9">
        <w:t xml:space="preserve"> </w:t>
      </w:r>
      <w:r w:rsidRPr="001206B9">
        <w:t xml:space="preserve">seront </w:t>
      </w:r>
      <w:r w:rsidR="003413DF" w:rsidRPr="001206B9">
        <w:t>disponible</w:t>
      </w:r>
      <w:r w:rsidR="000D01C7" w:rsidRPr="001206B9">
        <w:t>s</w:t>
      </w:r>
      <w:r w:rsidR="002767DF" w:rsidRPr="001206B9">
        <w:t xml:space="preserve"> sous peu</w:t>
      </w:r>
      <w:r w:rsidRPr="001206B9">
        <w:t>.</w:t>
      </w:r>
    </w:p>
    <w:p w:rsidR="002767DF" w:rsidRPr="001206B9" w:rsidRDefault="002767DF" w:rsidP="002767DF"/>
    <w:p w:rsidR="00BF2A9D" w:rsidRPr="001206B9" w:rsidRDefault="00104BEE" w:rsidP="002628AD">
      <w:pPr>
        <w:ind w:left="1440" w:hanging="1440"/>
        <w:jc w:val="both"/>
        <w:rPr>
          <w:rFonts w:eastAsiaTheme="minorHAnsi" w:cstheme="minorBidi"/>
          <w:sz w:val="20"/>
        </w:rPr>
      </w:pPr>
      <w:r w:rsidRPr="001206B9">
        <w:rPr>
          <w:b/>
          <w:sz w:val="20"/>
        </w:rPr>
        <w:fldChar w:fldCharType="begin"/>
      </w:r>
      <w:r w:rsidRPr="001206B9">
        <w:rPr>
          <w:b/>
          <w:sz w:val="20"/>
        </w:rPr>
        <w:instrText xml:space="preserve"> SEQ CHAPTER \h \r 1</w:instrText>
      </w:r>
      <w:r w:rsidRPr="001206B9">
        <w:rPr>
          <w:b/>
          <w:sz w:val="20"/>
        </w:rPr>
        <w:fldChar w:fldCharType="end"/>
      </w:r>
      <w:r w:rsidRPr="001206B9">
        <w:rPr>
          <w:b/>
          <w:sz w:val="20"/>
        </w:rPr>
        <w:t>3</w:t>
      </w:r>
      <w:r w:rsidR="000A678F" w:rsidRPr="001206B9">
        <w:rPr>
          <w:b/>
          <w:sz w:val="20"/>
        </w:rPr>
        <w:t>7748</w:t>
      </w:r>
      <w:r w:rsidRPr="001206B9">
        <w:rPr>
          <w:color w:val="FF0000"/>
          <w:sz w:val="20"/>
        </w:rPr>
        <w:tab/>
      </w:r>
      <w:r w:rsidR="000A678F" w:rsidRPr="001206B9">
        <w:rPr>
          <w:b/>
          <w:bCs/>
          <w:color w:val="000000"/>
          <w:sz w:val="20"/>
        </w:rPr>
        <w:t xml:space="preserve">Minister of Citizenship and Immigration v. Alexander Vavilov - and - </w:t>
      </w:r>
      <w:r w:rsidR="00D22376" w:rsidRPr="001206B9">
        <w:rPr>
          <w:b/>
          <w:bCs/>
          <w:color w:val="000000"/>
          <w:sz w:val="20"/>
        </w:rPr>
        <w:t>Attorney General of Ontario, Attorney General of Quebec, Attorney General of British Columbia, Attorney General of Saskatchewan, Canadian Council for Refugees, Advocacy Centre for Tenants Ontario - Tenant Duty Counsel Program, Ontario Securities Commission, British Columbia Securities Commission, Alberta Securities Commission, Ecojustice Canada Society, Workplace Safety and Insurance Appeals Tribunal (Ontario), Workers’ Compensation Appeals Tribunal (Northwest Territories and Nunavut), Workers’ Compensation Appeals Tribunal (Nova Scotia), Appeals Commission for Alberta Workers’ Compensation, Workers’ Compensation Appeals Tribunal (New Brunswick), British Columbia International Commercial Arbitration Centre Foundation, Council of Canadian Administrative Tribunals, National Academy of Arbitrators, Ontario Labour-Management Arbitrators’ Association, Conférence des arbitres du Québec, Canadian Labour Congress, National Association of Pharmacy Regulatory Authorities, Queen’s Prison Law Clinic, Advocates for the Rule of Law, Parkdale Community Legal Services, Cambridge Comparative Administrative Law Forum, Samuelson-Glushko Canadian Internet Policy and Public Interest Clinic, Canadian Bar Association, Canadian Association of Refugee Lawyers, Community &amp; Legal Aid Services Programme, Association québécoise des avocats et avocates en droit de l’immigration and First Nations Child &amp; Family Caring Society of Canada</w:t>
      </w:r>
      <w:r w:rsidR="002628AD" w:rsidRPr="001206B9">
        <w:rPr>
          <w:rFonts w:eastAsiaTheme="minorHAnsi" w:cstheme="minorBidi"/>
          <w:b/>
          <w:sz w:val="20"/>
        </w:rPr>
        <w:t xml:space="preserve"> </w:t>
      </w:r>
      <w:r w:rsidR="00BF2A9D" w:rsidRPr="001206B9">
        <w:rPr>
          <w:rFonts w:eastAsiaTheme="minorHAnsi" w:cstheme="minorBidi"/>
          <w:iCs/>
          <w:sz w:val="20"/>
        </w:rPr>
        <w:t>(</w:t>
      </w:r>
      <w:r w:rsidR="000A678F" w:rsidRPr="001206B9">
        <w:rPr>
          <w:rFonts w:eastAsiaTheme="minorHAnsi" w:cstheme="minorBidi"/>
          <w:iCs/>
          <w:sz w:val="20"/>
        </w:rPr>
        <w:t>F.C</w:t>
      </w:r>
      <w:r w:rsidR="00354E37" w:rsidRPr="001206B9">
        <w:rPr>
          <w:rFonts w:eastAsiaTheme="minorHAnsi" w:cstheme="minorBidi"/>
          <w:iCs/>
          <w:sz w:val="20"/>
        </w:rPr>
        <w:t>.</w:t>
      </w:r>
      <w:r w:rsidR="00BF2A9D" w:rsidRPr="001206B9">
        <w:rPr>
          <w:rFonts w:eastAsiaTheme="minorHAnsi" w:cstheme="minorBidi"/>
          <w:iCs/>
          <w:sz w:val="20"/>
        </w:rPr>
        <w:t>)</w:t>
      </w:r>
    </w:p>
    <w:p w:rsidR="00BF2A9D" w:rsidRPr="001206B9" w:rsidRDefault="00BF2A9D" w:rsidP="00BF2A9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1206B9">
        <w:rPr>
          <w:rFonts w:eastAsiaTheme="minorHAnsi" w:cstheme="minorBidi"/>
          <w:b/>
          <w:sz w:val="20"/>
        </w:rPr>
        <w:t>201</w:t>
      </w:r>
      <w:r w:rsidR="006F0310" w:rsidRPr="001206B9">
        <w:rPr>
          <w:rFonts w:eastAsiaTheme="minorHAnsi" w:cstheme="minorBidi"/>
          <w:b/>
          <w:sz w:val="20"/>
        </w:rPr>
        <w:t>9</w:t>
      </w:r>
      <w:r w:rsidRPr="001206B9">
        <w:rPr>
          <w:rFonts w:eastAsiaTheme="minorHAnsi" w:cstheme="minorBidi"/>
          <w:b/>
          <w:sz w:val="20"/>
        </w:rPr>
        <w:t xml:space="preserve"> SCC </w:t>
      </w:r>
      <w:r w:rsidR="001C075F" w:rsidRPr="001206B9">
        <w:rPr>
          <w:rFonts w:eastAsiaTheme="minorHAnsi" w:cstheme="minorBidi"/>
          <w:b/>
          <w:sz w:val="20"/>
        </w:rPr>
        <w:t>65</w:t>
      </w:r>
      <w:r w:rsidRPr="001206B9">
        <w:rPr>
          <w:rFonts w:eastAsiaTheme="minorHAnsi" w:cstheme="minorBidi"/>
          <w:b/>
          <w:sz w:val="20"/>
        </w:rPr>
        <w:t xml:space="preserve"> / 201</w:t>
      </w:r>
      <w:r w:rsidR="006F0310" w:rsidRPr="001206B9">
        <w:rPr>
          <w:rFonts w:eastAsiaTheme="minorHAnsi" w:cstheme="minorBidi"/>
          <w:b/>
          <w:sz w:val="20"/>
        </w:rPr>
        <w:t>9</w:t>
      </w:r>
      <w:r w:rsidRPr="001206B9">
        <w:rPr>
          <w:rFonts w:eastAsiaTheme="minorHAnsi" w:cstheme="minorBidi"/>
          <w:b/>
          <w:sz w:val="20"/>
        </w:rPr>
        <w:t xml:space="preserve"> CSC </w:t>
      </w:r>
      <w:r w:rsidR="001C075F" w:rsidRPr="001206B9">
        <w:rPr>
          <w:rFonts w:eastAsiaTheme="minorHAnsi" w:cstheme="minorBidi"/>
          <w:b/>
          <w:sz w:val="20"/>
        </w:rPr>
        <w:t>65</w:t>
      </w:r>
    </w:p>
    <w:p w:rsidR="00104BEE" w:rsidRPr="001206B9" w:rsidRDefault="00104BEE" w:rsidP="00BF2A9D">
      <w:pPr>
        <w:ind w:left="1440" w:hanging="1440"/>
        <w:jc w:val="both"/>
        <w:rPr>
          <w:sz w:val="20"/>
        </w:rPr>
      </w:pPr>
    </w:p>
    <w:p w:rsidR="00104BEE" w:rsidRPr="001206B9" w:rsidRDefault="00104BEE" w:rsidP="00104BEE">
      <w:pPr>
        <w:ind w:left="1440" w:hanging="1440"/>
        <w:rPr>
          <w:sz w:val="20"/>
        </w:rPr>
      </w:pPr>
      <w:r w:rsidRPr="001206B9">
        <w:rPr>
          <w:sz w:val="20"/>
        </w:rPr>
        <w:t>Coram:</w:t>
      </w:r>
      <w:r w:rsidRPr="001206B9">
        <w:rPr>
          <w:sz w:val="20"/>
        </w:rPr>
        <w:tab/>
      </w:r>
      <w:r w:rsidR="000A678F" w:rsidRPr="001206B9">
        <w:rPr>
          <w:color w:val="000000"/>
          <w:sz w:val="20"/>
        </w:rPr>
        <w:t>Wagner C.J. and Abella, Moldaver, Karakatsanis, Gascon, Côté, Brown, Rowe and Martin JJ.</w:t>
      </w:r>
    </w:p>
    <w:p w:rsidR="00605BA1" w:rsidRPr="001206B9" w:rsidRDefault="00605BA1" w:rsidP="00DD0FAB">
      <w:pPr>
        <w:jc w:val="both"/>
        <w:rPr>
          <w:sz w:val="20"/>
        </w:rPr>
      </w:pPr>
    </w:p>
    <w:p w:rsidR="00AD3CB0" w:rsidRPr="001206B9" w:rsidRDefault="009B159B" w:rsidP="00AD3CB0">
      <w:pPr>
        <w:jc w:val="both"/>
        <w:rPr>
          <w:sz w:val="20"/>
        </w:rPr>
      </w:pPr>
      <w:r w:rsidRPr="001206B9">
        <w:rPr>
          <w:sz w:val="20"/>
        </w:rPr>
        <w:t xml:space="preserve">The appeal from the judgment </w:t>
      </w:r>
      <w:bookmarkStart w:id="0" w:name="BM_1_"/>
      <w:bookmarkEnd w:id="0"/>
      <w:r w:rsidRPr="001206B9">
        <w:rPr>
          <w:sz w:val="20"/>
        </w:rPr>
        <w:t>of the Federal Court of Appeal, Number A-394-15, 2017 FCA 132, dated June 21, 2017, heard on December 4, 5 and 6, 2018, is dismissed with costs throughout.</w:t>
      </w:r>
    </w:p>
    <w:p w:rsidR="00AD3CB0" w:rsidRPr="001206B9" w:rsidRDefault="00AD3CB0" w:rsidP="00DD0FAB">
      <w:pPr>
        <w:jc w:val="both"/>
        <w:rPr>
          <w:sz w:val="20"/>
        </w:rPr>
      </w:pPr>
    </w:p>
    <w:p w:rsidR="00062C6D" w:rsidRPr="001206B9" w:rsidRDefault="009B159B" w:rsidP="00062C6D">
      <w:pPr>
        <w:rPr>
          <w:rFonts w:eastAsiaTheme="minorHAnsi" w:cstheme="minorBidi"/>
          <w:sz w:val="20"/>
          <w:lang w:val="fr-CA"/>
        </w:rPr>
      </w:pPr>
      <w:r w:rsidRPr="001206B9">
        <w:rPr>
          <w:sz w:val="20"/>
          <w:lang w:val="fr-CA"/>
        </w:rPr>
        <w:t xml:space="preserve">L’appel interjeté contre l’arrêt de la </w:t>
      </w:r>
      <w:r w:rsidRPr="001206B9">
        <w:rPr>
          <w:sz w:val="20"/>
          <w:lang w:val="fr-FR"/>
        </w:rPr>
        <w:t>Cour d’appel fédérale</w:t>
      </w:r>
      <w:r w:rsidRPr="001206B9">
        <w:rPr>
          <w:sz w:val="20"/>
          <w:lang w:val="fr-CA"/>
        </w:rPr>
        <w:t xml:space="preserve">, numéro </w:t>
      </w:r>
      <w:r w:rsidRPr="001206B9">
        <w:rPr>
          <w:sz w:val="20"/>
          <w:lang w:val="fr-FR"/>
        </w:rPr>
        <w:t>A-394-15, 2017 FCA 132</w:t>
      </w:r>
      <w:r w:rsidRPr="001206B9">
        <w:rPr>
          <w:sz w:val="20"/>
          <w:lang w:val="fr-CA"/>
        </w:rPr>
        <w:t xml:space="preserve">, daté du </w:t>
      </w:r>
      <w:r w:rsidRPr="001206B9">
        <w:rPr>
          <w:sz w:val="20"/>
          <w:lang w:val="fr-FR"/>
        </w:rPr>
        <w:t>21 juin 2017</w:t>
      </w:r>
      <w:r w:rsidRPr="001206B9">
        <w:rPr>
          <w:sz w:val="20"/>
          <w:lang w:val="fr-CA"/>
        </w:rPr>
        <w:t xml:space="preserve">, entendu les </w:t>
      </w:r>
      <w:r w:rsidRPr="001206B9">
        <w:rPr>
          <w:sz w:val="20"/>
          <w:lang w:val="fr-FR"/>
        </w:rPr>
        <w:t>4, 5 et 6 décembre 2018</w:t>
      </w:r>
      <w:r w:rsidRPr="001206B9">
        <w:rPr>
          <w:sz w:val="20"/>
          <w:lang w:val="fr-CA"/>
        </w:rPr>
        <w:t>, est rejeté avec dépens devant la Cour et les juridictions inférieures.</w:t>
      </w:r>
    </w:p>
    <w:p w:rsidR="00062C6D" w:rsidRPr="001206B9" w:rsidRDefault="00062C6D" w:rsidP="00062C6D">
      <w:pPr>
        <w:ind w:left="1440" w:hanging="1440"/>
        <w:rPr>
          <w:rFonts w:eastAsiaTheme="minorHAnsi" w:cstheme="minorBidi"/>
          <w:sz w:val="20"/>
          <w:lang w:val="fr-CA"/>
        </w:rPr>
      </w:pPr>
    </w:p>
    <w:p w:rsidR="00FF073E" w:rsidRPr="001206B9" w:rsidRDefault="001206B9" w:rsidP="00104BEE">
      <w:pPr>
        <w:jc w:val="both"/>
        <w:rPr>
          <w:sz w:val="20"/>
          <w:lang w:val="fr-CA"/>
        </w:rPr>
      </w:pPr>
      <w:r w:rsidRPr="001206B9">
        <w:rPr>
          <w:sz w:val="20"/>
          <w:lang w:val="fr-CA"/>
        </w:rPr>
        <w:pict>
          <v:rect id="_x0000_i1026" style="width:108pt;height:1pt" o:hrpct="0" o:hralign="center" o:hrstd="t" o:hrnoshade="t" o:hr="t" fillcolor="black [3213]" stroked="f"/>
        </w:pict>
      </w:r>
    </w:p>
    <w:p w:rsidR="00844741" w:rsidRPr="001206B9" w:rsidRDefault="00844741" w:rsidP="00104BEE">
      <w:pPr>
        <w:jc w:val="both"/>
        <w:rPr>
          <w:sz w:val="20"/>
          <w:lang w:val="fr-CA"/>
        </w:rPr>
      </w:pPr>
    </w:p>
    <w:p w:rsidR="00C61D84" w:rsidRPr="001206B9" w:rsidRDefault="00C61D84" w:rsidP="00C61D84">
      <w:pPr>
        <w:ind w:left="1440" w:hanging="1440"/>
        <w:jc w:val="both"/>
        <w:rPr>
          <w:rFonts w:eastAsiaTheme="minorHAnsi" w:cstheme="minorBidi"/>
          <w:sz w:val="20"/>
        </w:rPr>
      </w:pPr>
      <w:r w:rsidRPr="001206B9">
        <w:rPr>
          <w:b/>
          <w:sz w:val="20"/>
        </w:rPr>
        <w:fldChar w:fldCharType="begin"/>
      </w:r>
      <w:r w:rsidRPr="001206B9">
        <w:rPr>
          <w:b/>
          <w:sz w:val="20"/>
        </w:rPr>
        <w:instrText xml:space="preserve"> SEQ CHAPTER \h \r 1</w:instrText>
      </w:r>
      <w:r w:rsidRPr="001206B9">
        <w:rPr>
          <w:b/>
          <w:sz w:val="20"/>
        </w:rPr>
        <w:fldChar w:fldCharType="end"/>
      </w:r>
      <w:r w:rsidRPr="001206B9">
        <w:rPr>
          <w:b/>
          <w:sz w:val="20"/>
        </w:rPr>
        <w:t>37896</w:t>
      </w:r>
      <w:r w:rsidRPr="001206B9">
        <w:rPr>
          <w:color w:val="FF0000"/>
          <w:sz w:val="20"/>
        </w:rPr>
        <w:tab/>
      </w:r>
      <w:r w:rsidRPr="001206B9">
        <w:rPr>
          <w:b/>
          <w:bCs/>
          <w:color w:val="000000"/>
          <w:sz w:val="20"/>
        </w:rPr>
        <w:t xml:space="preserve">Bell Canada and Bell Media Inc. v. Attorney General of Canada - and - </w:t>
      </w:r>
      <w:r w:rsidR="000E72C5" w:rsidRPr="001206B9">
        <w:rPr>
          <w:b/>
          <w:bCs/>
          <w:color w:val="000000"/>
          <w:sz w:val="20"/>
        </w:rPr>
        <w:t>Attorney General of Ontario, Attorney General of Quebec, Attorney General of British Columbia, Attorney General of Saskatchewan, Canadian Radio-television and Telecommunications Commission, Telus Communications Inc., Advocacy Centre for Tenants Ontario - Tenant Duty Counsel Program, Ontario Securities Commission, British Columbia Securities Commission, Alberta Securities Commission, Ecojustice Canada Society, Workplace Safety and Insurance Appeals Tribunal (Ontario), Workers’ Compensation Appeals Tribunal (Northwest Territories and Nunavut), Workers’ Compensation Appeals Tribunal (Nova Scotia), Appeals Commission for Alberta Workers’ Compensation, Workers’ Compensation Appeals Tribunal (New Brunswick), British Columbia International Commercial Arbitration Centre Foundation, Council of Canadian Administrative Tribunals, National Academy of Arbitrators, Ontario Labour-Management Arbitrators’ Association, Conférence des arbitres du Québec, Canadian Labour Congress, National Association of Pharmacy Regulatory Authorities, Queen’s Prison Law Clinic, Advocates for the Rule of Law, Cambridge Comparative Administrative Law Forum, Association of Canadian Advertisers, Alliance of Canadian Cinema, Television and Radio Artists, Samuelson-Glushko Canadian Internet Policy and Public Interest Clinic, Canadian Bar Association, Blue Ant Media Inc., Canadian Broadcasting Corporation, DHX Media Ltd., Groupe V Média inc., Independent Broadcast Group, Aboriginal Peoples Television Network, Allarco Entertainment Inc., BBC Kids, Channel Zero, Ethnic Channels Group Ltd., Hollywood Suite, OUTtv Network Inc., Stingray Digital Group Inc., TV5 Québec Canada, ZoomerMedia Ltd., Pelmorex Weather Networks (Television) Inc. and First Nations Child &amp; Family Caring Society of Canada</w:t>
      </w:r>
      <w:r w:rsidRPr="001206B9">
        <w:rPr>
          <w:rFonts w:eastAsiaTheme="minorHAnsi" w:cstheme="minorBidi"/>
          <w:b/>
          <w:sz w:val="20"/>
        </w:rPr>
        <w:t xml:space="preserve"> </w:t>
      </w:r>
      <w:r w:rsidRPr="001206B9">
        <w:rPr>
          <w:rFonts w:eastAsiaTheme="minorHAnsi" w:cstheme="minorBidi"/>
          <w:iCs/>
          <w:sz w:val="20"/>
        </w:rPr>
        <w:t>(F.C.)</w:t>
      </w:r>
    </w:p>
    <w:p w:rsidR="00C61D84" w:rsidRPr="001206B9" w:rsidRDefault="00C61D84" w:rsidP="00C61D84">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1206B9">
        <w:rPr>
          <w:rFonts w:eastAsiaTheme="minorHAnsi" w:cstheme="minorBidi"/>
          <w:b/>
          <w:sz w:val="20"/>
        </w:rPr>
        <w:t xml:space="preserve">2019 SCC </w:t>
      </w:r>
      <w:r w:rsidR="001C075F" w:rsidRPr="001206B9">
        <w:rPr>
          <w:rFonts w:eastAsiaTheme="minorHAnsi" w:cstheme="minorBidi"/>
          <w:b/>
          <w:sz w:val="20"/>
        </w:rPr>
        <w:t>66</w:t>
      </w:r>
      <w:r w:rsidRPr="001206B9">
        <w:rPr>
          <w:rFonts w:eastAsiaTheme="minorHAnsi" w:cstheme="minorBidi"/>
          <w:b/>
          <w:sz w:val="20"/>
        </w:rPr>
        <w:t xml:space="preserve"> / 2019 CSC </w:t>
      </w:r>
      <w:r w:rsidR="001C075F" w:rsidRPr="001206B9">
        <w:rPr>
          <w:rFonts w:eastAsiaTheme="minorHAnsi" w:cstheme="minorBidi"/>
          <w:b/>
          <w:sz w:val="20"/>
        </w:rPr>
        <w:t>66</w:t>
      </w:r>
    </w:p>
    <w:p w:rsidR="00C61D84" w:rsidRPr="001206B9" w:rsidRDefault="00C61D84" w:rsidP="00C61D84">
      <w:pPr>
        <w:ind w:left="1440" w:hanging="1440"/>
        <w:jc w:val="both"/>
        <w:rPr>
          <w:sz w:val="20"/>
        </w:rPr>
      </w:pPr>
    </w:p>
    <w:p w:rsidR="00C61D84" w:rsidRPr="001206B9" w:rsidRDefault="00C61D84" w:rsidP="00C61D84">
      <w:pPr>
        <w:ind w:left="1440" w:hanging="1440"/>
        <w:rPr>
          <w:sz w:val="20"/>
        </w:rPr>
      </w:pPr>
      <w:r w:rsidRPr="001206B9">
        <w:rPr>
          <w:sz w:val="20"/>
        </w:rPr>
        <w:t>Coram:</w:t>
      </w:r>
      <w:r w:rsidRPr="001206B9">
        <w:rPr>
          <w:sz w:val="20"/>
        </w:rPr>
        <w:tab/>
      </w:r>
      <w:r w:rsidRPr="001206B9">
        <w:rPr>
          <w:color w:val="000000"/>
          <w:sz w:val="20"/>
        </w:rPr>
        <w:t>Wagner C.J. and Abella, Moldaver, Karakatsanis, Gascon, Côté, Brown, Rowe and Martin JJ.</w:t>
      </w:r>
    </w:p>
    <w:p w:rsidR="00C61D84" w:rsidRPr="001206B9" w:rsidRDefault="00C61D84" w:rsidP="00C61D84">
      <w:pPr>
        <w:jc w:val="both"/>
        <w:rPr>
          <w:sz w:val="20"/>
        </w:rPr>
      </w:pPr>
    </w:p>
    <w:p w:rsidR="00C61D84" w:rsidRPr="001206B9" w:rsidRDefault="008705EE" w:rsidP="00C61D84">
      <w:pPr>
        <w:jc w:val="both"/>
        <w:rPr>
          <w:sz w:val="20"/>
          <w:lang w:val="fr-CA"/>
        </w:rPr>
      </w:pPr>
      <w:r w:rsidRPr="001206B9">
        <w:rPr>
          <w:sz w:val="20"/>
        </w:rPr>
        <w:t xml:space="preserve">The appeal from the judgment of the Federal Court of Appeal, Number A-472-16, 2017 FCA 249, dated December 18, 2017, heard on December 4, 5 and 6, 2018, is allowed with costs throughout. The judgment of the Federal Court of Appeal is set aside, and the decisions of the Canadian Radio-television and Telecommunications Commission (CRTC 2016-334 and CRTC 2016-335) are quashed. </w:t>
      </w:r>
      <w:r w:rsidRPr="001206B9">
        <w:rPr>
          <w:sz w:val="20"/>
          <w:lang w:val="fr-CA"/>
        </w:rPr>
        <w:t xml:space="preserve">Abella and Karakatsanis JJ. </w:t>
      </w:r>
      <w:proofErr w:type="gramStart"/>
      <w:r w:rsidRPr="001206B9">
        <w:rPr>
          <w:sz w:val="20"/>
          <w:lang w:val="fr-CA"/>
        </w:rPr>
        <w:t>dissent</w:t>
      </w:r>
      <w:proofErr w:type="gramEnd"/>
      <w:r w:rsidRPr="001206B9">
        <w:rPr>
          <w:sz w:val="20"/>
          <w:lang w:val="fr-CA"/>
        </w:rPr>
        <w:t>.</w:t>
      </w:r>
    </w:p>
    <w:p w:rsidR="00C61D84" w:rsidRPr="001206B9" w:rsidRDefault="00C61D84" w:rsidP="00C61D84">
      <w:pPr>
        <w:jc w:val="both"/>
        <w:rPr>
          <w:sz w:val="20"/>
          <w:lang w:val="fr-CA"/>
        </w:rPr>
      </w:pPr>
    </w:p>
    <w:p w:rsidR="00C61D84" w:rsidRPr="001206B9" w:rsidRDefault="008705EE" w:rsidP="00C61D84">
      <w:pPr>
        <w:rPr>
          <w:rFonts w:eastAsiaTheme="minorHAnsi" w:cstheme="minorBidi"/>
          <w:sz w:val="20"/>
          <w:lang w:val="fr-CA"/>
        </w:rPr>
      </w:pPr>
      <w:r w:rsidRPr="001206B9">
        <w:rPr>
          <w:sz w:val="20"/>
          <w:lang w:val="fr-CA"/>
        </w:rPr>
        <w:t xml:space="preserve">L’appel interjeté contre l’arrêt de la Cour d’appel fédérale, numéro A-472-16, 2017 CAF 249, daté du 18 décembre 2017, entendu les 4, 5 et 6 décembre 2018, est accueilli avec dépens dans toutes les cours. L’arrêt de la Cour d’appel fédérale est infirmé et les décisions du </w:t>
      </w:r>
      <w:r w:rsidRPr="001206B9">
        <w:rPr>
          <w:sz w:val="20"/>
          <w:lang w:val="fr-FR"/>
        </w:rPr>
        <w:t>Conseil de la radiodiffusion et des télécommunications canadiennes</w:t>
      </w:r>
      <w:r w:rsidRPr="001206B9">
        <w:rPr>
          <w:sz w:val="20"/>
          <w:lang w:val="fr-CA"/>
        </w:rPr>
        <w:t xml:space="preserve"> (CRTC 2016-334 et CRTC 2016-335) sont cassées. Les juges Abella et Karakatsanis sont dissidentes.</w:t>
      </w:r>
    </w:p>
    <w:p w:rsidR="00C61D84" w:rsidRPr="001206B9" w:rsidRDefault="00C61D84" w:rsidP="00104BEE">
      <w:pPr>
        <w:jc w:val="both"/>
        <w:rPr>
          <w:sz w:val="20"/>
          <w:lang w:val="fr-CA"/>
        </w:rPr>
      </w:pPr>
    </w:p>
    <w:p w:rsidR="00C61D84" w:rsidRPr="001206B9" w:rsidRDefault="001206B9" w:rsidP="00104BEE">
      <w:pPr>
        <w:jc w:val="both"/>
        <w:rPr>
          <w:sz w:val="20"/>
          <w:lang w:val="fr-CA"/>
        </w:rPr>
      </w:pPr>
      <w:r w:rsidRPr="001206B9">
        <w:rPr>
          <w:sz w:val="20"/>
          <w:lang w:val="fr-CA"/>
        </w:rPr>
        <w:pict>
          <v:rect id="_x0000_i1027" style="width:108pt;height:1pt" o:hrpct="0" o:hralign="center" o:hrstd="t" o:hrnoshade="t" o:hr="t" fillcolor="black [3213]" stroked="f"/>
        </w:pict>
      </w:r>
    </w:p>
    <w:p w:rsidR="00C61D84" w:rsidRPr="001206B9" w:rsidRDefault="00C61D84" w:rsidP="00104BEE">
      <w:pPr>
        <w:jc w:val="both"/>
        <w:rPr>
          <w:sz w:val="20"/>
          <w:lang w:val="fr-CA"/>
        </w:rPr>
      </w:pPr>
    </w:p>
    <w:p w:rsidR="00C61D84" w:rsidRPr="001206B9" w:rsidRDefault="00C61D84" w:rsidP="00C61D84">
      <w:pPr>
        <w:ind w:left="1440" w:hanging="1440"/>
        <w:jc w:val="both"/>
        <w:rPr>
          <w:rFonts w:eastAsiaTheme="minorHAnsi" w:cstheme="minorBidi"/>
          <w:sz w:val="20"/>
        </w:rPr>
      </w:pPr>
      <w:r w:rsidRPr="001206B9">
        <w:rPr>
          <w:b/>
          <w:sz w:val="20"/>
        </w:rPr>
        <w:fldChar w:fldCharType="begin"/>
      </w:r>
      <w:r w:rsidRPr="001206B9">
        <w:rPr>
          <w:b/>
          <w:sz w:val="20"/>
        </w:rPr>
        <w:instrText xml:space="preserve"> SEQ CHAPTER \h \r 1</w:instrText>
      </w:r>
      <w:r w:rsidRPr="001206B9">
        <w:rPr>
          <w:b/>
          <w:sz w:val="20"/>
        </w:rPr>
        <w:fldChar w:fldCharType="end"/>
      </w:r>
      <w:r w:rsidRPr="001206B9">
        <w:rPr>
          <w:b/>
          <w:sz w:val="20"/>
        </w:rPr>
        <w:t>37897</w:t>
      </w:r>
      <w:r w:rsidRPr="001206B9">
        <w:rPr>
          <w:color w:val="FF0000"/>
          <w:sz w:val="20"/>
        </w:rPr>
        <w:tab/>
      </w:r>
      <w:r w:rsidRPr="001206B9">
        <w:rPr>
          <w:b/>
          <w:bCs/>
          <w:color w:val="000000"/>
          <w:sz w:val="20"/>
        </w:rPr>
        <w:t xml:space="preserve">National Football League, NFL International LLC and NFL Productions LLC v. Attorney General of Canada - and - </w:t>
      </w:r>
      <w:r w:rsidR="00F76834" w:rsidRPr="001206B9">
        <w:rPr>
          <w:b/>
          <w:bCs/>
          <w:color w:val="000000"/>
          <w:sz w:val="20"/>
        </w:rPr>
        <w:t>Attorney General of Ontario, Attorney General of Quebec, Attorney General of British Columbia, Attorney General of Saskatchewan, Canadian Radio-television and Telecommunications Commission, Telus Communications Inc., Advocacy Centre for Tenants Ontario - Tenant Duty Counsel Program, Ontario Securities Commission, British Columbia Securities Commission, Alberta Securities Commission, Ecojustice Canada Society, Workplace Safety and Insurance Appeals Tribunal (Ontario), Workers’ Compensation Appeals Tribunal (Northwest Territories and Nunavut), Workers’ Compensation Appeals Tribunal (Nova Scotia), Appeals Commission for Alberta Workers’ Compensation, Workers’ Compensation Appeals Tribunal (New Brunswick), British Columbia International Commercial Arbitration Centre Foundation, Council of Canadian Administrative Tribunals, National Academy of Arbitrators, Ontario Labour-Management Arbitrators’ Association, Conférence des arbitres du Québec, Canadian Labour Congress, National Association of Pharmacy Regulatory Authorities, Queen’s Prison Law Clinic, Advocates for the Rule of Law, Cambridge Comparative Administrative Law Forum, Association of Canadian Advertisers, Alliance of Canadian Cinema, Television and Radio Artists, Samuelson-Glushko Canadian Internet Policy and Public Interest Clinic, Canadian Bar Association and First Nations Child &amp; Family Caring Society of Canada</w:t>
      </w:r>
      <w:r w:rsidRPr="001206B9">
        <w:rPr>
          <w:rFonts w:eastAsiaTheme="minorHAnsi" w:cstheme="minorBidi"/>
          <w:b/>
          <w:sz w:val="20"/>
        </w:rPr>
        <w:t xml:space="preserve"> </w:t>
      </w:r>
      <w:r w:rsidRPr="001206B9">
        <w:rPr>
          <w:rFonts w:eastAsiaTheme="minorHAnsi" w:cstheme="minorBidi"/>
          <w:iCs/>
          <w:sz w:val="20"/>
        </w:rPr>
        <w:t>(F.C.)</w:t>
      </w:r>
    </w:p>
    <w:p w:rsidR="00C61D84" w:rsidRPr="001206B9" w:rsidRDefault="00C61D84" w:rsidP="00C61D84">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1206B9">
        <w:rPr>
          <w:rFonts w:eastAsiaTheme="minorHAnsi" w:cstheme="minorBidi"/>
          <w:b/>
          <w:sz w:val="20"/>
        </w:rPr>
        <w:lastRenderedPageBreak/>
        <w:t xml:space="preserve">2019 SCC </w:t>
      </w:r>
      <w:r w:rsidR="001C075F" w:rsidRPr="001206B9">
        <w:rPr>
          <w:rFonts w:eastAsiaTheme="minorHAnsi" w:cstheme="minorBidi"/>
          <w:b/>
          <w:sz w:val="20"/>
        </w:rPr>
        <w:t>66</w:t>
      </w:r>
      <w:r w:rsidRPr="001206B9">
        <w:rPr>
          <w:rFonts w:eastAsiaTheme="minorHAnsi" w:cstheme="minorBidi"/>
          <w:b/>
          <w:sz w:val="20"/>
        </w:rPr>
        <w:t xml:space="preserve"> / 2019 CSC </w:t>
      </w:r>
      <w:r w:rsidR="001C075F" w:rsidRPr="001206B9">
        <w:rPr>
          <w:rFonts w:eastAsiaTheme="minorHAnsi" w:cstheme="minorBidi"/>
          <w:b/>
          <w:sz w:val="20"/>
        </w:rPr>
        <w:t>66</w:t>
      </w:r>
    </w:p>
    <w:p w:rsidR="00C61D84" w:rsidRPr="001206B9" w:rsidRDefault="00C61D84" w:rsidP="00C61D84">
      <w:pPr>
        <w:ind w:left="1440" w:hanging="1440"/>
        <w:jc w:val="both"/>
        <w:rPr>
          <w:sz w:val="20"/>
        </w:rPr>
      </w:pPr>
    </w:p>
    <w:p w:rsidR="00C61D84" w:rsidRPr="001206B9" w:rsidRDefault="00C61D84" w:rsidP="00C61D84">
      <w:pPr>
        <w:ind w:left="1440" w:hanging="1440"/>
        <w:rPr>
          <w:sz w:val="20"/>
        </w:rPr>
      </w:pPr>
      <w:r w:rsidRPr="001206B9">
        <w:rPr>
          <w:sz w:val="20"/>
        </w:rPr>
        <w:t>Coram:</w:t>
      </w:r>
      <w:r w:rsidRPr="001206B9">
        <w:rPr>
          <w:sz w:val="20"/>
        </w:rPr>
        <w:tab/>
      </w:r>
      <w:r w:rsidRPr="001206B9">
        <w:rPr>
          <w:color w:val="000000"/>
          <w:sz w:val="20"/>
        </w:rPr>
        <w:t>Wagner C.J. and Abella, Moldaver, Karakatsanis, Gascon, Côté, Brown, Rowe and Martin JJ.</w:t>
      </w:r>
    </w:p>
    <w:p w:rsidR="00C61D84" w:rsidRPr="001206B9" w:rsidRDefault="00C61D84" w:rsidP="00C61D84">
      <w:pPr>
        <w:jc w:val="both"/>
        <w:rPr>
          <w:sz w:val="20"/>
        </w:rPr>
      </w:pPr>
    </w:p>
    <w:p w:rsidR="00C61D84" w:rsidRPr="001206B9" w:rsidRDefault="002C54BD" w:rsidP="00C61D84">
      <w:pPr>
        <w:jc w:val="both"/>
        <w:rPr>
          <w:sz w:val="20"/>
          <w:lang w:val="fr-CA"/>
        </w:rPr>
      </w:pPr>
      <w:r w:rsidRPr="001206B9">
        <w:rPr>
          <w:sz w:val="20"/>
        </w:rPr>
        <w:t xml:space="preserve">The appeal from the judgment of the Federal Court of Appeal, Number A-471-16, 2017 FCA 249, dated December 18, 2017, heard on December 4, 5 and 6, 2018, is allowed with costs throughout. The judgment of the Federal Court of Appeal is set aside, and the decisions of the Canadian Radio-television and Telecommunications Commission (CRTC 2016-334 and CRTC 2016-335) are quashed. </w:t>
      </w:r>
      <w:r w:rsidRPr="001206B9">
        <w:rPr>
          <w:sz w:val="20"/>
          <w:lang w:val="fr-CA"/>
        </w:rPr>
        <w:t xml:space="preserve">Abella and Karakatsanis JJ. </w:t>
      </w:r>
      <w:proofErr w:type="gramStart"/>
      <w:r w:rsidRPr="001206B9">
        <w:rPr>
          <w:sz w:val="20"/>
          <w:lang w:val="fr-CA"/>
        </w:rPr>
        <w:t>dissent</w:t>
      </w:r>
      <w:proofErr w:type="gramEnd"/>
      <w:r w:rsidRPr="001206B9">
        <w:rPr>
          <w:sz w:val="20"/>
          <w:lang w:val="fr-CA"/>
        </w:rPr>
        <w:t>.</w:t>
      </w:r>
    </w:p>
    <w:p w:rsidR="00C61D84" w:rsidRPr="001206B9" w:rsidRDefault="00C61D84" w:rsidP="00C61D84">
      <w:pPr>
        <w:jc w:val="both"/>
        <w:rPr>
          <w:sz w:val="20"/>
          <w:lang w:val="fr-CA"/>
        </w:rPr>
      </w:pPr>
    </w:p>
    <w:p w:rsidR="00C61D84" w:rsidRPr="001206B9" w:rsidRDefault="002C54BD" w:rsidP="00C61D84">
      <w:pPr>
        <w:rPr>
          <w:rFonts w:eastAsiaTheme="minorHAnsi" w:cstheme="minorBidi"/>
          <w:sz w:val="20"/>
          <w:lang w:val="fr-CA"/>
        </w:rPr>
      </w:pPr>
      <w:r w:rsidRPr="001206B9">
        <w:rPr>
          <w:sz w:val="20"/>
          <w:lang w:val="fr-CA"/>
        </w:rPr>
        <w:t xml:space="preserve">L’appel interjeté contre l’arrêt de la Cour d’appel fédérale, numéro A-471-16, 2017 CAF 249, daté du 18 décembre 2017, entendu les 4, 5 et 6 décembre 2018, est accueilli avec dépens dans toutes les cours. L’arrêt de la Cour d’appel fédérale est infirmé et les décisions du </w:t>
      </w:r>
      <w:r w:rsidRPr="001206B9">
        <w:rPr>
          <w:sz w:val="20"/>
          <w:lang w:val="fr-FR"/>
        </w:rPr>
        <w:t>Conseil de la radiodiffusion et des télécommunications canadiennes</w:t>
      </w:r>
      <w:r w:rsidRPr="001206B9">
        <w:rPr>
          <w:sz w:val="20"/>
          <w:lang w:val="fr-CA"/>
        </w:rPr>
        <w:t xml:space="preserve"> (CRTC 2016-334 et CRTC 2016-335) sont cassées. Les juges Abella et Karakatsanis sont dissidentes.</w:t>
      </w:r>
    </w:p>
    <w:p w:rsidR="00C61D84" w:rsidRPr="001206B9" w:rsidRDefault="00C61D84" w:rsidP="00C61D84">
      <w:pPr>
        <w:jc w:val="both"/>
        <w:rPr>
          <w:sz w:val="20"/>
          <w:lang w:val="fr-CA"/>
        </w:rPr>
      </w:pPr>
    </w:p>
    <w:p w:rsidR="00C61D84" w:rsidRPr="001206B9" w:rsidRDefault="001206B9" w:rsidP="00C61D84">
      <w:pPr>
        <w:jc w:val="both"/>
        <w:rPr>
          <w:sz w:val="20"/>
          <w:lang w:val="fr-CA"/>
        </w:rPr>
      </w:pPr>
      <w:r w:rsidRPr="001206B9">
        <w:rPr>
          <w:sz w:val="20"/>
          <w:lang w:val="fr-CA"/>
        </w:rPr>
        <w:pict>
          <v:rect id="_x0000_i1028" style="width:108pt;height:1pt" o:hrpct="0" o:hralign="center" o:hrstd="t" o:hrnoshade="t" o:hr="t" fillcolor="black [3213]" stroked="f"/>
        </w:pict>
      </w:r>
    </w:p>
    <w:p w:rsidR="00C61D84" w:rsidRPr="001206B9" w:rsidRDefault="00C61D84" w:rsidP="00104BEE">
      <w:pPr>
        <w:jc w:val="both"/>
        <w:rPr>
          <w:sz w:val="20"/>
          <w:lang w:val="fr-CA"/>
        </w:rPr>
      </w:pPr>
    </w:p>
    <w:p w:rsidR="009D2AD9" w:rsidRPr="001206B9" w:rsidRDefault="00D01D61" w:rsidP="009D2AD9">
      <w:pPr>
        <w:rPr>
          <w:lang w:val="fr-CA"/>
        </w:rPr>
      </w:pPr>
      <w:r w:rsidRPr="001206B9">
        <w:rPr>
          <w:szCs w:val="24"/>
        </w:rPr>
        <w:fldChar w:fldCharType="begin"/>
      </w:r>
      <w:r w:rsidR="009D2AD9" w:rsidRPr="001206B9">
        <w:rPr>
          <w:szCs w:val="24"/>
          <w:lang w:val="fr-CA"/>
        </w:rPr>
        <w:instrText xml:space="preserve"> SEQ CHAPTER \h \r 1</w:instrText>
      </w:r>
      <w:r w:rsidRPr="001206B9">
        <w:rPr>
          <w:szCs w:val="24"/>
        </w:rPr>
        <w:fldChar w:fldCharType="end"/>
      </w:r>
      <w:r w:rsidR="009D2AD9" w:rsidRPr="001206B9">
        <w:rPr>
          <w:b/>
          <w:bCs/>
          <w:szCs w:val="24"/>
          <w:lang w:val="fr-CA"/>
        </w:rPr>
        <w:t>APPLICATION</w:t>
      </w:r>
      <w:r w:rsidR="0044099A" w:rsidRPr="001206B9">
        <w:rPr>
          <w:b/>
          <w:bCs/>
          <w:szCs w:val="24"/>
          <w:lang w:val="fr-CA"/>
        </w:rPr>
        <w:t>S</w:t>
      </w:r>
      <w:r w:rsidR="009D2AD9" w:rsidRPr="001206B9">
        <w:rPr>
          <w:b/>
          <w:bCs/>
          <w:szCs w:val="24"/>
          <w:lang w:val="fr-CA"/>
        </w:rPr>
        <w:t xml:space="preserve"> FOR LEAVE / DEMANDE</w:t>
      </w:r>
      <w:r w:rsidR="0044099A" w:rsidRPr="001206B9">
        <w:rPr>
          <w:b/>
          <w:bCs/>
          <w:szCs w:val="24"/>
          <w:lang w:val="fr-CA"/>
        </w:rPr>
        <w:t>S</w:t>
      </w:r>
      <w:r w:rsidR="009D2AD9" w:rsidRPr="001206B9">
        <w:rPr>
          <w:b/>
          <w:bCs/>
          <w:szCs w:val="24"/>
          <w:lang w:val="fr-CA"/>
        </w:rPr>
        <w:t xml:space="preserve"> D’AUTORISATION :</w:t>
      </w:r>
    </w:p>
    <w:p w:rsidR="009D5E9C" w:rsidRPr="001206B9" w:rsidRDefault="009D5E9C" w:rsidP="000627A2">
      <w:pPr>
        <w:widowControl w:val="0"/>
        <w:jc w:val="both"/>
        <w:rPr>
          <w:sz w:val="20"/>
          <w:lang w:val="fr-CA"/>
        </w:rPr>
      </w:pPr>
    </w:p>
    <w:p w:rsidR="009F09C0" w:rsidRPr="001206B9" w:rsidRDefault="009F09C0" w:rsidP="009F09C0">
      <w:pPr>
        <w:jc w:val="both"/>
        <w:rPr>
          <w:b/>
          <w:sz w:val="22"/>
          <w:szCs w:val="22"/>
        </w:rPr>
      </w:pPr>
      <w:r w:rsidRPr="001206B9">
        <w:rPr>
          <w:b/>
          <w:sz w:val="22"/>
          <w:szCs w:val="22"/>
        </w:rPr>
        <w:t>DISMISSED / REJETÉES</w:t>
      </w:r>
    </w:p>
    <w:p w:rsidR="009971D8" w:rsidRPr="001206B9" w:rsidRDefault="009971D8" w:rsidP="00026162">
      <w:pPr>
        <w:widowControl w:val="0"/>
        <w:rPr>
          <w:sz w:val="20"/>
        </w:rPr>
      </w:pPr>
    </w:p>
    <w:p w:rsidR="000D7B2F" w:rsidRPr="001206B9" w:rsidRDefault="000D7B2F" w:rsidP="000D7B2F">
      <w:pPr>
        <w:jc w:val="both"/>
        <w:rPr>
          <w:sz w:val="22"/>
          <w:szCs w:val="22"/>
        </w:rPr>
      </w:pPr>
      <w:r w:rsidRPr="001206B9">
        <w:rPr>
          <w:i/>
          <w:sz w:val="22"/>
          <w:szCs w:val="22"/>
        </w:rPr>
        <w:t>Packers Plus Energy Services Inc. and Rapid Completions LLC v. Essential Energy Services Ltd., Tryton Tool Services Limited Partnership, Baker Hughes Canada Company, Weatherford International PLC, Weatherford Canada Ltd., Weatherford Canada Partnership, Harvest Operations Corp., Resource Well Completion Technologies Inc. and Resource Completion Systems Inc.</w:t>
      </w:r>
      <w:r w:rsidRPr="001206B9">
        <w:rPr>
          <w:sz w:val="22"/>
          <w:szCs w:val="22"/>
        </w:rPr>
        <w:t xml:space="preserve"> (F.C.) (Civil) (By Leave) (</w:t>
      </w:r>
      <w:hyperlink r:id="rId9" w:history="1">
        <w:r w:rsidRPr="001206B9">
          <w:rPr>
            <w:rStyle w:val="Hyperlink"/>
            <w:sz w:val="22"/>
            <w:szCs w:val="22"/>
          </w:rPr>
          <w:t>38694</w:t>
        </w:r>
      </w:hyperlink>
      <w:r w:rsidRPr="001206B9">
        <w:rPr>
          <w:sz w:val="22"/>
          <w:szCs w:val="22"/>
        </w:rPr>
        <w:t>)</w:t>
      </w:r>
    </w:p>
    <w:p w:rsidR="006F0310" w:rsidRPr="001206B9" w:rsidRDefault="006F0310" w:rsidP="00026162">
      <w:pPr>
        <w:widowControl w:val="0"/>
        <w:rPr>
          <w:sz w:val="16"/>
        </w:rPr>
      </w:pPr>
    </w:p>
    <w:p w:rsidR="006F0310" w:rsidRPr="001206B9" w:rsidRDefault="000D7B2F" w:rsidP="00026162">
      <w:pPr>
        <w:widowControl w:val="0"/>
        <w:rPr>
          <w:sz w:val="20"/>
        </w:rPr>
      </w:pPr>
      <w:r w:rsidRPr="001206B9">
        <w:rPr>
          <w:sz w:val="20"/>
        </w:rPr>
        <w:t>The application for leave to appeal from the judgment of the Federal Court of Appeal, Number A-31-18, 2019 FCA 96, dated April 24, 2019, is dismissed with costs.</w:t>
      </w:r>
    </w:p>
    <w:p w:rsidR="00E50CCF" w:rsidRPr="001206B9" w:rsidRDefault="00E50CCF" w:rsidP="00026162">
      <w:pPr>
        <w:widowControl w:val="0"/>
        <w:rPr>
          <w:sz w:val="20"/>
        </w:rPr>
      </w:pPr>
    </w:p>
    <w:p w:rsidR="00E50CCF" w:rsidRPr="001206B9" w:rsidRDefault="000D7B2F" w:rsidP="00E50CCF">
      <w:pPr>
        <w:jc w:val="both"/>
        <w:rPr>
          <w:sz w:val="20"/>
          <w:lang w:val="fr-CA"/>
        </w:rPr>
      </w:pPr>
      <w:r w:rsidRPr="001206B9">
        <w:rPr>
          <w:sz w:val="20"/>
          <w:lang w:val="fr-CA"/>
        </w:rPr>
        <w:t xml:space="preserve">La demande d’autorisation d’appel de l’arrêt de la </w:t>
      </w:r>
      <w:r w:rsidRPr="001206B9">
        <w:rPr>
          <w:sz w:val="20"/>
          <w:lang w:val="fr-FR"/>
        </w:rPr>
        <w:t>Cour d’appel fédérale</w:t>
      </w:r>
      <w:r w:rsidRPr="001206B9">
        <w:rPr>
          <w:sz w:val="20"/>
          <w:lang w:val="fr-CA"/>
        </w:rPr>
        <w:t xml:space="preserve">, numéro </w:t>
      </w:r>
      <w:r w:rsidRPr="001206B9">
        <w:rPr>
          <w:sz w:val="20"/>
          <w:lang w:val="fr-FR"/>
        </w:rPr>
        <w:t>A-31-18</w:t>
      </w:r>
      <w:r w:rsidRPr="001206B9">
        <w:rPr>
          <w:sz w:val="20"/>
          <w:lang w:val="fr-CA"/>
        </w:rPr>
        <w:t xml:space="preserve">, </w:t>
      </w:r>
      <w:r w:rsidRPr="001206B9">
        <w:rPr>
          <w:sz w:val="20"/>
          <w:lang w:val="fr-FR"/>
        </w:rPr>
        <w:t xml:space="preserve">2019 FCA 96, </w:t>
      </w:r>
      <w:r w:rsidRPr="001206B9">
        <w:rPr>
          <w:sz w:val="20"/>
          <w:lang w:val="fr-CA"/>
        </w:rPr>
        <w:t xml:space="preserve">daté du </w:t>
      </w:r>
      <w:r w:rsidRPr="001206B9">
        <w:rPr>
          <w:sz w:val="20"/>
          <w:lang w:val="fr-FR"/>
        </w:rPr>
        <w:t>24 avril 2019</w:t>
      </w:r>
      <w:r w:rsidRPr="001206B9">
        <w:rPr>
          <w:sz w:val="20"/>
          <w:lang w:val="fr-CA"/>
        </w:rPr>
        <w:t>, est rejetée avec dépens.</w:t>
      </w:r>
    </w:p>
    <w:p w:rsidR="00A357F9" w:rsidRPr="001206B9" w:rsidRDefault="00A357F9" w:rsidP="00A357F9">
      <w:pPr>
        <w:widowControl w:val="0"/>
        <w:rPr>
          <w:sz w:val="20"/>
          <w:lang w:val="fr-CA"/>
        </w:rPr>
      </w:pPr>
    </w:p>
    <w:p w:rsidR="00A357F9" w:rsidRPr="001206B9" w:rsidRDefault="001206B9" w:rsidP="00026162">
      <w:pPr>
        <w:widowControl w:val="0"/>
        <w:rPr>
          <w:szCs w:val="24"/>
          <w:lang w:val="fr-CA"/>
        </w:rPr>
      </w:pPr>
      <w:r w:rsidRPr="001206B9">
        <w:rPr>
          <w:szCs w:val="24"/>
          <w:lang w:val="fr-CA"/>
        </w:rPr>
        <w:pict>
          <v:rect id="_x0000_i1029" style="width:108pt;height:1pt" o:hrpct="0" o:hralign="center" o:hrstd="t" o:hrnoshade="t" o:hr="t" fillcolor="black [3213]" stroked="f"/>
        </w:pict>
      </w:r>
    </w:p>
    <w:p w:rsidR="00E50CCF" w:rsidRPr="001206B9" w:rsidRDefault="00E50CCF" w:rsidP="00026162">
      <w:pPr>
        <w:widowControl w:val="0"/>
        <w:rPr>
          <w:sz w:val="20"/>
          <w:lang w:val="fr-CA"/>
        </w:rPr>
      </w:pPr>
    </w:p>
    <w:p w:rsidR="000A0B56" w:rsidRPr="001206B9" w:rsidRDefault="000A0B56" w:rsidP="000A0B56">
      <w:pPr>
        <w:jc w:val="both"/>
        <w:rPr>
          <w:sz w:val="22"/>
          <w:szCs w:val="22"/>
          <w:lang w:val="fr-FR"/>
        </w:rPr>
      </w:pPr>
      <w:r w:rsidRPr="001206B9">
        <w:rPr>
          <w:i/>
          <w:sz w:val="22"/>
          <w:szCs w:val="22"/>
          <w:lang w:val="fr-FR"/>
        </w:rPr>
        <w:t>Katy Jean c. Agence du revenu du Québec</w:t>
      </w:r>
      <w:r w:rsidRPr="001206B9">
        <w:rPr>
          <w:sz w:val="22"/>
          <w:szCs w:val="22"/>
          <w:lang w:val="fr-FR"/>
        </w:rPr>
        <w:t xml:space="preserve"> (Qc) (Civile) (Autorisation) </w:t>
      </w:r>
      <w:r w:rsidRPr="001206B9">
        <w:rPr>
          <w:sz w:val="22"/>
          <w:szCs w:val="22"/>
          <w:lang w:val="fr-CA"/>
        </w:rPr>
        <w:t>(</w:t>
      </w:r>
      <w:hyperlink r:id="rId10" w:history="1">
        <w:r w:rsidRPr="001206B9">
          <w:rPr>
            <w:rStyle w:val="Hyperlink"/>
            <w:sz w:val="22"/>
            <w:szCs w:val="22"/>
            <w:lang w:val="fr-CA"/>
          </w:rPr>
          <w:t>38766</w:t>
        </w:r>
      </w:hyperlink>
      <w:r w:rsidRPr="001206B9">
        <w:rPr>
          <w:sz w:val="22"/>
          <w:szCs w:val="22"/>
          <w:lang w:val="fr-CA"/>
        </w:rPr>
        <w:t>)</w:t>
      </w:r>
    </w:p>
    <w:p w:rsidR="00D61FBD" w:rsidRPr="001206B9" w:rsidRDefault="00D61FBD" w:rsidP="00D61FBD">
      <w:pPr>
        <w:widowControl w:val="0"/>
        <w:rPr>
          <w:sz w:val="20"/>
          <w:lang w:val="fr-FR"/>
        </w:rPr>
      </w:pPr>
    </w:p>
    <w:p w:rsidR="00F90991" w:rsidRPr="001206B9" w:rsidRDefault="000A0B56" w:rsidP="00D61FBD">
      <w:pPr>
        <w:widowControl w:val="0"/>
        <w:rPr>
          <w:sz w:val="20"/>
          <w:lang w:val="fr-CA"/>
        </w:rPr>
      </w:pPr>
      <w:r w:rsidRPr="001206B9">
        <w:rPr>
          <w:sz w:val="20"/>
          <w:lang w:val="fr-CA"/>
        </w:rPr>
        <w:t>La demande d’autorisation d’appel de l’arrêt de la Cour d’appel du Québec (Montréal), numéro 500-09-027146-174, 2019 QCCA 458, daté du 15 mars 2019, est rejetée avec dépens.</w:t>
      </w:r>
    </w:p>
    <w:p w:rsidR="000A0B56" w:rsidRPr="001206B9" w:rsidRDefault="000A0B56" w:rsidP="00D61FBD">
      <w:pPr>
        <w:widowControl w:val="0"/>
        <w:rPr>
          <w:sz w:val="20"/>
          <w:lang w:val="fr-CA"/>
        </w:rPr>
      </w:pPr>
    </w:p>
    <w:p w:rsidR="000A0B56" w:rsidRPr="001206B9" w:rsidRDefault="000A0B56" w:rsidP="00D61FBD">
      <w:pPr>
        <w:widowControl w:val="0"/>
        <w:rPr>
          <w:sz w:val="20"/>
        </w:rPr>
      </w:pPr>
      <w:r w:rsidRPr="001206B9">
        <w:rPr>
          <w:sz w:val="20"/>
          <w:lang w:val="en-CA"/>
        </w:rPr>
        <w:t xml:space="preserve">The application for leave to appeal from the judgment of the </w:t>
      </w:r>
      <w:r w:rsidRPr="001206B9">
        <w:rPr>
          <w:sz w:val="20"/>
        </w:rPr>
        <w:t>Court of Appeal of Quebec (Montréal)</w:t>
      </w:r>
      <w:r w:rsidRPr="001206B9">
        <w:rPr>
          <w:sz w:val="20"/>
          <w:lang w:val="en-CA"/>
        </w:rPr>
        <w:t xml:space="preserve">, Number </w:t>
      </w:r>
      <w:r w:rsidRPr="001206B9">
        <w:rPr>
          <w:sz w:val="20"/>
        </w:rPr>
        <w:t>500-09-027146-174</w:t>
      </w:r>
      <w:r w:rsidRPr="001206B9">
        <w:rPr>
          <w:sz w:val="20"/>
          <w:lang w:val="en-CA"/>
        </w:rPr>
        <w:t>,</w:t>
      </w:r>
      <w:r w:rsidRPr="001206B9">
        <w:rPr>
          <w:sz w:val="20"/>
        </w:rPr>
        <w:t xml:space="preserve"> 2019 QCCA 458, </w:t>
      </w:r>
      <w:r w:rsidRPr="001206B9">
        <w:rPr>
          <w:sz w:val="20"/>
          <w:lang w:val="en-CA"/>
        </w:rPr>
        <w:t xml:space="preserve">dated </w:t>
      </w:r>
      <w:r w:rsidRPr="001206B9">
        <w:rPr>
          <w:sz w:val="20"/>
        </w:rPr>
        <w:t>March 15, 2019,</w:t>
      </w:r>
      <w:r w:rsidRPr="001206B9">
        <w:rPr>
          <w:sz w:val="20"/>
          <w:lang w:val="en-CA"/>
        </w:rPr>
        <w:t xml:space="preserve"> is dismissed with costs.</w:t>
      </w:r>
    </w:p>
    <w:p w:rsidR="00F90991" w:rsidRPr="001206B9" w:rsidRDefault="00F90991" w:rsidP="00D61FBD">
      <w:pPr>
        <w:widowControl w:val="0"/>
        <w:rPr>
          <w:sz w:val="20"/>
        </w:rPr>
      </w:pPr>
    </w:p>
    <w:p w:rsidR="00E50CCF" w:rsidRPr="001206B9" w:rsidRDefault="001206B9" w:rsidP="00D61FBD">
      <w:pPr>
        <w:widowControl w:val="0"/>
        <w:rPr>
          <w:sz w:val="20"/>
          <w:lang w:val="fr-CA"/>
        </w:rPr>
      </w:pPr>
      <w:r w:rsidRPr="001206B9">
        <w:rPr>
          <w:sz w:val="20"/>
          <w:lang w:val="fr-CA"/>
        </w:rPr>
        <w:pict>
          <v:rect id="_x0000_i1030" style="width:108pt;height:1pt" o:hrpct="0" o:hralign="center" o:hrstd="t" o:hrnoshade="t" o:hr="t" fillcolor="black [3213]" stroked="f"/>
        </w:pict>
      </w:r>
    </w:p>
    <w:p w:rsidR="00E50CCF" w:rsidRPr="001206B9" w:rsidRDefault="00E50CCF" w:rsidP="00026162">
      <w:pPr>
        <w:widowControl w:val="0"/>
        <w:rPr>
          <w:sz w:val="20"/>
          <w:lang w:val="fr-CA"/>
        </w:rPr>
      </w:pPr>
    </w:p>
    <w:p w:rsidR="000A7478" w:rsidRPr="001206B9" w:rsidRDefault="000A7478" w:rsidP="000A7478">
      <w:pPr>
        <w:jc w:val="both"/>
        <w:rPr>
          <w:sz w:val="22"/>
          <w:szCs w:val="22"/>
        </w:rPr>
      </w:pPr>
      <w:r w:rsidRPr="001206B9">
        <w:rPr>
          <w:i/>
          <w:sz w:val="22"/>
          <w:szCs w:val="22"/>
          <w:lang w:val="en-CA"/>
        </w:rPr>
        <w:t xml:space="preserve">Zoocheck Canada Inc., Voice for Animals Humane Society and Tove Reece v. </w:t>
      </w:r>
      <w:r w:rsidRPr="001206B9">
        <w:rPr>
          <w:i/>
          <w:sz w:val="22"/>
          <w:szCs w:val="22"/>
        </w:rPr>
        <w:t xml:space="preserve">Her Majesty the Queen </w:t>
      </w:r>
      <w:proofErr w:type="gramStart"/>
      <w:r w:rsidRPr="001206B9">
        <w:rPr>
          <w:i/>
          <w:sz w:val="22"/>
          <w:szCs w:val="22"/>
        </w:rPr>
        <w:t>In</w:t>
      </w:r>
      <w:proofErr w:type="gramEnd"/>
      <w:r w:rsidRPr="001206B9">
        <w:rPr>
          <w:i/>
          <w:sz w:val="22"/>
          <w:szCs w:val="22"/>
        </w:rPr>
        <w:t xml:space="preserve"> Right of Alberta (Minister of Agriculture and Forestry and Minister of Environment and Parks) and City of Edmonton</w:t>
      </w:r>
      <w:r w:rsidRPr="001206B9">
        <w:rPr>
          <w:sz w:val="22"/>
          <w:szCs w:val="22"/>
        </w:rPr>
        <w:t xml:space="preserve"> (Alta.) (Civil) (By Leave) (</w:t>
      </w:r>
      <w:hyperlink r:id="rId11" w:history="1">
        <w:r w:rsidRPr="001206B9">
          <w:rPr>
            <w:rStyle w:val="Hyperlink"/>
            <w:sz w:val="22"/>
            <w:szCs w:val="22"/>
          </w:rPr>
          <w:t>38774</w:t>
        </w:r>
      </w:hyperlink>
      <w:r w:rsidRPr="001206B9">
        <w:rPr>
          <w:sz w:val="22"/>
          <w:szCs w:val="22"/>
        </w:rPr>
        <w:t>)</w:t>
      </w:r>
    </w:p>
    <w:p w:rsidR="00D61FBD" w:rsidRPr="001206B9" w:rsidRDefault="00D61FBD" w:rsidP="00D61FBD">
      <w:pPr>
        <w:widowControl w:val="0"/>
        <w:rPr>
          <w:sz w:val="20"/>
        </w:rPr>
      </w:pPr>
    </w:p>
    <w:p w:rsidR="000A7478" w:rsidRPr="001206B9" w:rsidRDefault="000A7478" w:rsidP="000A7478">
      <w:pPr>
        <w:jc w:val="both"/>
        <w:rPr>
          <w:sz w:val="20"/>
        </w:rPr>
      </w:pPr>
      <w:r w:rsidRPr="001206B9">
        <w:rPr>
          <w:sz w:val="20"/>
        </w:rPr>
        <w:t>The application for leave to appeal from the judgment of the Court of Appeal of Alberta (Edmonton), Number 1703-0244-AC, 2019 ABCA 208, dated May 24, 2019, is dismissed with costs.</w:t>
      </w:r>
    </w:p>
    <w:p w:rsidR="000A7478" w:rsidRPr="001206B9" w:rsidRDefault="000A7478" w:rsidP="00D61FBD">
      <w:pPr>
        <w:widowControl w:val="0"/>
        <w:rPr>
          <w:sz w:val="20"/>
        </w:rPr>
      </w:pPr>
    </w:p>
    <w:p w:rsidR="000A7478" w:rsidRPr="001206B9" w:rsidRDefault="000A7478" w:rsidP="00D61FBD">
      <w:pPr>
        <w:widowControl w:val="0"/>
        <w:rPr>
          <w:sz w:val="20"/>
          <w:lang w:val="fr-CA"/>
        </w:rPr>
      </w:pPr>
      <w:r w:rsidRPr="001206B9">
        <w:rPr>
          <w:sz w:val="20"/>
          <w:lang w:val="fr-CA"/>
        </w:rPr>
        <w:t>La demande d’autorisation d’appel de l’arrêt de la Cour d’appel de l’Alberta (Edmonton), numéro 1703-0244-AC, 2019 ABCA 208, daté du 24 mai 2019, est rejetée avec dépens.</w:t>
      </w:r>
    </w:p>
    <w:p w:rsidR="00F90991" w:rsidRPr="001206B9" w:rsidRDefault="00F90991" w:rsidP="00D61FBD">
      <w:pPr>
        <w:widowControl w:val="0"/>
        <w:rPr>
          <w:sz w:val="20"/>
          <w:lang w:val="fr-CA"/>
        </w:rPr>
      </w:pPr>
    </w:p>
    <w:p w:rsidR="00D61FBD" w:rsidRPr="001206B9" w:rsidRDefault="001206B9" w:rsidP="00D61FBD">
      <w:pPr>
        <w:widowControl w:val="0"/>
        <w:rPr>
          <w:sz w:val="20"/>
          <w:lang w:val="fr-CA"/>
        </w:rPr>
      </w:pPr>
      <w:r w:rsidRPr="001206B9">
        <w:rPr>
          <w:sz w:val="20"/>
          <w:lang w:val="fr-CA"/>
        </w:rPr>
        <w:pict>
          <v:rect id="_x0000_i1031" style="width:108pt;height:1pt" o:hrpct="0" o:hralign="center" o:hrstd="t" o:hrnoshade="t" o:hr="t" fillcolor="black [3213]" stroked="f"/>
        </w:pict>
      </w:r>
    </w:p>
    <w:p w:rsidR="00D61FBD" w:rsidRPr="001206B9" w:rsidRDefault="00D61FBD" w:rsidP="00D61FBD">
      <w:pPr>
        <w:widowControl w:val="0"/>
        <w:rPr>
          <w:sz w:val="20"/>
          <w:lang w:val="fr-CA"/>
        </w:rPr>
      </w:pPr>
    </w:p>
    <w:p w:rsidR="009856F0" w:rsidRPr="001206B9" w:rsidRDefault="009856F0" w:rsidP="009856F0">
      <w:pPr>
        <w:jc w:val="both"/>
        <w:rPr>
          <w:sz w:val="22"/>
          <w:szCs w:val="22"/>
        </w:rPr>
      </w:pPr>
      <w:r w:rsidRPr="001206B9">
        <w:rPr>
          <w:i/>
          <w:sz w:val="22"/>
          <w:szCs w:val="22"/>
        </w:rPr>
        <w:t xml:space="preserve">Kim Barker v. Information and Privacy Commissioner of Ontario and Algoma Public Health </w:t>
      </w:r>
      <w:r w:rsidRPr="001206B9">
        <w:rPr>
          <w:sz w:val="22"/>
          <w:szCs w:val="22"/>
        </w:rPr>
        <w:t>(Ont.) (Civil) (By Leave) (</w:t>
      </w:r>
      <w:hyperlink r:id="rId12" w:history="1">
        <w:r w:rsidRPr="001206B9">
          <w:rPr>
            <w:rStyle w:val="Hyperlink"/>
            <w:sz w:val="22"/>
            <w:szCs w:val="22"/>
          </w:rPr>
          <w:t>38705</w:t>
        </w:r>
      </w:hyperlink>
      <w:r w:rsidRPr="001206B9">
        <w:rPr>
          <w:sz w:val="22"/>
          <w:szCs w:val="22"/>
        </w:rPr>
        <w:t>)</w:t>
      </w:r>
    </w:p>
    <w:p w:rsidR="00D61FBD" w:rsidRPr="001206B9" w:rsidRDefault="00D61FBD" w:rsidP="00D61FBD">
      <w:pPr>
        <w:widowControl w:val="0"/>
        <w:rPr>
          <w:sz w:val="20"/>
        </w:rPr>
      </w:pPr>
    </w:p>
    <w:p w:rsidR="009856F0" w:rsidRPr="001206B9" w:rsidRDefault="009856F0" w:rsidP="009856F0">
      <w:pPr>
        <w:jc w:val="both"/>
        <w:rPr>
          <w:sz w:val="20"/>
        </w:rPr>
      </w:pPr>
      <w:r w:rsidRPr="001206B9">
        <w:rPr>
          <w:sz w:val="20"/>
        </w:rPr>
        <w:t>The application for leave to appeal from the judgment of the Court of Appeal for Ontario, Number C65372, 2019 ONCA 275, dated April 9, 2019, is dismissed.</w:t>
      </w:r>
    </w:p>
    <w:p w:rsidR="00F90991" w:rsidRPr="001206B9" w:rsidRDefault="00F90991" w:rsidP="00D61FBD">
      <w:pPr>
        <w:widowControl w:val="0"/>
        <w:rPr>
          <w:sz w:val="20"/>
        </w:rPr>
      </w:pPr>
    </w:p>
    <w:p w:rsidR="009856F0" w:rsidRPr="001206B9" w:rsidRDefault="009856F0" w:rsidP="00D61FBD">
      <w:pPr>
        <w:widowControl w:val="0"/>
        <w:rPr>
          <w:sz w:val="20"/>
          <w:lang w:val="fr-CA"/>
        </w:rPr>
      </w:pPr>
      <w:r w:rsidRPr="001206B9">
        <w:rPr>
          <w:sz w:val="20"/>
          <w:lang w:val="fr-CA"/>
        </w:rPr>
        <w:t>La demande d’autorisation d’appel de l’arrêt de la Cour d’appel de l’Ontario, numéro C65372, 2019 ONCA 275, daté du 9 avril 2019, est rejetée.</w:t>
      </w:r>
    </w:p>
    <w:p w:rsidR="00F90991" w:rsidRPr="001206B9" w:rsidRDefault="00F90991" w:rsidP="00D61FBD">
      <w:pPr>
        <w:widowControl w:val="0"/>
        <w:rPr>
          <w:sz w:val="20"/>
          <w:lang w:val="fr-CA"/>
        </w:rPr>
      </w:pPr>
    </w:p>
    <w:p w:rsidR="00D61FBD" w:rsidRPr="001206B9" w:rsidRDefault="001206B9" w:rsidP="00D61FBD">
      <w:pPr>
        <w:widowControl w:val="0"/>
        <w:rPr>
          <w:sz w:val="20"/>
          <w:lang w:val="fr-CA"/>
        </w:rPr>
      </w:pPr>
      <w:r w:rsidRPr="001206B9">
        <w:rPr>
          <w:sz w:val="20"/>
          <w:lang w:val="fr-CA"/>
        </w:rPr>
        <w:pict>
          <v:rect id="_x0000_i1032" style="width:108pt;height:1pt" o:hrpct="0" o:hralign="center" o:hrstd="t" o:hrnoshade="t" o:hr="t" fillcolor="black [3213]" stroked="f"/>
        </w:pict>
      </w:r>
    </w:p>
    <w:p w:rsidR="00D61FBD" w:rsidRPr="001206B9" w:rsidRDefault="00D61FBD" w:rsidP="00026162">
      <w:pPr>
        <w:widowControl w:val="0"/>
        <w:rPr>
          <w:sz w:val="20"/>
          <w:lang w:val="fr-CA"/>
        </w:rPr>
      </w:pPr>
    </w:p>
    <w:p w:rsidR="00902B0E" w:rsidRPr="001206B9" w:rsidRDefault="00902B0E" w:rsidP="00902B0E">
      <w:pPr>
        <w:jc w:val="both"/>
        <w:rPr>
          <w:sz w:val="22"/>
          <w:szCs w:val="22"/>
          <w:lang w:val="en-CA"/>
        </w:rPr>
      </w:pPr>
      <w:r w:rsidRPr="001206B9">
        <w:rPr>
          <w:i/>
          <w:sz w:val="22"/>
          <w:szCs w:val="22"/>
        </w:rPr>
        <w:t>Shane Williams v. Her Majesty the Queen</w:t>
      </w:r>
      <w:r w:rsidRPr="001206B9">
        <w:rPr>
          <w:sz w:val="22"/>
          <w:szCs w:val="22"/>
        </w:rPr>
        <w:t xml:space="preserve"> (N.B.) (Criminal) (By Leave) (N.B.) (Criminal) (By Leave) (</w:t>
      </w:r>
      <w:hyperlink r:id="rId13" w:history="1">
        <w:r w:rsidRPr="001206B9">
          <w:rPr>
            <w:rStyle w:val="Hyperlink"/>
            <w:sz w:val="22"/>
            <w:szCs w:val="22"/>
          </w:rPr>
          <w:t>38800</w:t>
        </w:r>
      </w:hyperlink>
      <w:r w:rsidRPr="001206B9">
        <w:rPr>
          <w:sz w:val="22"/>
          <w:szCs w:val="22"/>
        </w:rPr>
        <w:t>)</w:t>
      </w:r>
    </w:p>
    <w:p w:rsidR="00D61FBD" w:rsidRPr="001206B9" w:rsidRDefault="00D61FBD" w:rsidP="00026162">
      <w:pPr>
        <w:widowControl w:val="0"/>
        <w:rPr>
          <w:sz w:val="20"/>
        </w:rPr>
      </w:pPr>
    </w:p>
    <w:p w:rsidR="00902B0E" w:rsidRPr="001206B9" w:rsidRDefault="00902B0E" w:rsidP="00902B0E">
      <w:pPr>
        <w:jc w:val="both"/>
        <w:rPr>
          <w:sz w:val="20"/>
        </w:rPr>
      </w:pPr>
      <w:r w:rsidRPr="001206B9">
        <w:rPr>
          <w:sz w:val="20"/>
        </w:rPr>
        <w:t>The motion for an extension of time to serve and file the application for leave to appeal is granted. The application for leave to appeal from the judgment of the Court of Appeal of New Brunswick, Number 92-16-CA, 2018 NBCA 70, dated November 1, 2018, is dismissed.</w:t>
      </w:r>
    </w:p>
    <w:p w:rsidR="00902B0E" w:rsidRPr="001206B9" w:rsidRDefault="00902B0E" w:rsidP="00026162">
      <w:pPr>
        <w:widowControl w:val="0"/>
        <w:rPr>
          <w:sz w:val="20"/>
        </w:rPr>
      </w:pPr>
    </w:p>
    <w:p w:rsidR="00902B0E" w:rsidRPr="001206B9" w:rsidRDefault="00902B0E" w:rsidP="00026162">
      <w:pPr>
        <w:widowControl w:val="0"/>
        <w:rPr>
          <w:sz w:val="20"/>
          <w:lang w:val="fr-CA"/>
        </w:rPr>
      </w:pPr>
      <w:r w:rsidRPr="001206B9">
        <w:rPr>
          <w:sz w:val="20"/>
          <w:lang w:val="fr-CA"/>
        </w:rPr>
        <w:t>La requête en prorogation du délai de signification et de dépôt de la demande d’autorisation d’appel est accueillie. La demande d’autorisation d’appel de l’arrêt de la Cour d’appel du Nouveau-Brunswick, numéro 92-16-CA, 2018 NBCA 70, daté du 1</w:t>
      </w:r>
      <w:r w:rsidRPr="001206B9">
        <w:rPr>
          <w:sz w:val="20"/>
          <w:vertAlign w:val="superscript"/>
          <w:lang w:val="fr-CA"/>
        </w:rPr>
        <w:t>er</w:t>
      </w:r>
      <w:r w:rsidRPr="001206B9">
        <w:rPr>
          <w:sz w:val="20"/>
          <w:lang w:val="fr-CA"/>
        </w:rPr>
        <w:t> novembre 2018, est rejetée.</w:t>
      </w:r>
    </w:p>
    <w:p w:rsidR="00F90991" w:rsidRPr="001206B9" w:rsidRDefault="00F90991" w:rsidP="00026162">
      <w:pPr>
        <w:widowControl w:val="0"/>
        <w:rPr>
          <w:sz w:val="20"/>
          <w:lang w:val="fr-CA"/>
        </w:rPr>
      </w:pPr>
    </w:p>
    <w:p w:rsidR="00EC6323" w:rsidRPr="001206B9" w:rsidRDefault="001206B9" w:rsidP="00026162">
      <w:pPr>
        <w:widowControl w:val="0"/>
        <w:rPr>
          <w:sz w:val="20"/>
          <w:lang w:val="fr-CA"/>
        </w:rPr>
      </w:pPr>
      <w:r w:rsidRPr="001206B9">
        <w:rPr>
          <w:sz w:val="20"/>
          <w:lang w:val="fr-CA"/>
        </w:rPr>
        <w:pict>
          <v:rect id="_x0000_i1033" style="width:108pt;height:1pt" o:hrpct="0" o:hralign="center" o:hrstd="t" o:hrnoshade="t" o:hr="t" fillcolor="black [3213]" stroked="f"/>
        </w:pict>
      </w:r>
    </w:p>
    <w:p w:rsidR="00E50CCF" w:rsidRPr="001206B9" w:rsidRDefault="00E50CCF" w:rsidP="00026162">
      <w:pPr>
        <w:widowControl w:val="0"/>
        <w:rPr>
          <w:sz w:val="20"/>
          <w:lang w:val="fr-CA"/>
        </w:rPr>
      </w:pPr>
    </w:p>
    <w:p w:rsidR="00D91A81" w:rsidRPr="001206B9" w:rsidRDefault="00D91A81" w:rsidP="00D91A81">
      <w:pPr>
        <w:jc w:val="both"/>
        <w:rPr>
          <w:sz w:val="22"/>
          <w:szCs w:val="22"/>
          <w:lang w:val="en-CA"/>
        </w:rPr>
      </w:pPr>
      <w:r w:rsidRPr="001206B9">
        <w:rPr>
          <w:i/>
          <w:sz w:val="22"/>
          <w:szCs w:val="22"/>
          <w:lang w:val="fr-CA"/>
        </w:rPr>
        <w:t xml:space="preserve">Nippon Yusen Kabushiki Kaisha, NYK Line (North America) Inc., NYK Line (Canada), Inc., Mitsui O.S.K. Lines, Ltd., Mitsui O.S.K. Bulk Shipping (U.S.A.), Inc., Kawasaki Kisen Kaisha, Ltd., “K” Line America, Inc., EUKOR Car Carriers, Inc., Wilh. </w:t>
      </w:r>
      <w:r w:rsidRPr="001206B9">
        <w:rPr>
          <w:i/>
          <w:sz w:val="22"/>
          <w:szCs w:val="22"/>
        </w:rPr>
        <w:t>Wilhelmsen Holding ASA, Wilh. Wilhelmsen ASA, Wallenius Wilhelmsen Logistics Americas, LLC, Wallenius Wilhelmsen Logistics AS, Wallenius Lines AB, WWL Vehicle Services Canada Ltd., Nissan Motor Car Carrier Co., Ltd. and World Logistics Service (USA) Inc. v. Darren Ewert</w:t>
      </w:r>
      <w:r w:rsidRPr="001206B9">
        <w:rPr>
          <w:sz w:val="22"/>
          <w:szCs w:val="22"/>
        </w:rPr>
        <w:t xml:space="preserve"> (B.C.) (Civil) (By Leave) (</w:t>
      </w:r>
      <w:hyperlink r:id="rId14" w:history="1">
        <w:r w:rsidRPr="001206B9">
          <w:rPr>
            <w:rStyle w:val="Hyperlink"/>
            <w:sz w:val="22"/>
            <w:szCs w:val="22"/>
          </w:rPr>
          <w:t>38784</w:t>
        </w:r>
      </w:hyperlink>
      <w:r w:rsidRPr="001206B9">
        <w:rPr>
          <w:sz w:val="22"/>
          <w:szCs w:val="22"/>
        </w:rPr>
        <w:t>)</w:t>
      </w:r>
    </w:p>
    <w:p w:rsidR="00E50CCF" w:rsidRPr="001206B9" w:rsidRDefault="00E50CCF" w:rsidP="00026162">
      <w:pPr>
        <w:widowControl w:val="0"/>
        <w:rPr>
          <w:sz w:val="20"/>
        </w:rPr>
      </w:pPr>
    </w:p>
    <w:p w:rsidR="009327B1" w:rsidRPr="001206B9" w:rsidRDefault="009327B1" w:rsidP="009327B1">
      <w:pPr>
        <w:jc w:val="both"/>
        <w:rPr>
          <w:w w:val="98"/>
          <w:sz w:val="20"/>
        </w:rPr>
      </w:pPr>
      <w:r w:rsidRPr="001206B9">
        <w:rPr>
          <w:sz w:val="20"/>
        </w:rPr>
        <w:t xml:space="preserve">The application for leave to appeal from the judgment of the Court of Appeal for British </w:t>
      </w:r>
      <w:r w:rsidRPr="001206B9">
        <w:rPr>
          <w:w w:val="98"/>
          <w:sz w:val="20"/>
        </w:rPr>
        <w:t>Columbia (Vancouver), Number CA45021, 2019 BCCA 187, dated May 29, 2019, is dismissed with costs.</w:t>
      </w:r>
    </w:p>
    <w:p w:rsidR="00D91A81" w:rsidRPr="001206B9" w:rsidRDefault="00D91A81" w:rsidP="00026162">
      <w:pPr>
        <w:widowControl w:val="0"/>
        <w:rPr>
          <w:sz w:val="20"/>
        </w:rPr>
      </w:pPr>
    </w:p>
    <w:p w:rsidR="00D91A81" w:rsidRPr="001206B9" w:rsidRDefault="009327B1" w:rsidP="00026162">
      <w:pPr>
        <w:widowControl w:val="0"/>
        <w:rPr>
          <w:sz w:val="20"/>
          <w:lang w:val="fr-CA"/>
        </w:rPr>
      </w:pPr>
      <w:r w:rsidRPr="001206B9">
        <w:rPr>
          <w:w w:val="105"/>
          <w:sz w:val="20"/>
          <w:lang w:val="fr-CA"/>
        </w:rPr>
        <w:t xml:space="preserve">La demande d’autorisation d’appel de l’arrêt de la Cour d’appel de la </w:t>
      </w:r>
      <w:r w:rsidRPr="001206B9">
        <w:rPr>
          <w:sz w:val="20"/>
          <w:lang w:val="fr-CA"/>
        </w:rPr>
        <w:t>Colombie</w:t>
      </w:r>
      <w:r w:rsidRPr="001206B9">
        <w:rPr>
          <w:sz w:val="20"/>
          <w:lang w:val="fr-CA"/>
        </w:rPr>
        <w:noBreakHyphen/>
        <w:t>Britannique (Vancouver), numéro CA45021, 2019 BCCA 187, daté du 29 mai 2019, est rejetée avec dépens.</w:t>
      </w:r>
    </w:p>
    <w:p w:rsidR="00F90991" w:rsidRPr="001206B9" w:rsidRDefault="00F90991" w:rsidP="00026162">
      <w:pPr>
        <w:widowControl w:val="0"/>
        <w:rPr>
          <w:sz w:val="20"/>
          <w:lang w:val="fr-CA"/>
        </w:rPr>
      </w:pPr>
    </w:p>
    <w:p w:rsidR="006F0310" w:rsidRPr="001206B9" w:rsidRDefault="001206B9" w:rsidP="00E50CCF">
      <w:pPr>
        <w:contextualSpacing/>
        <w:jc w:val="both"/>
        <w:rPr>
          <w:sz w:val="20"/>
          <w:lang w:val="fr-CA"/>
        </w:rPr>
      </w:pPr>
      <w:r w:rsidRPr="001206B9">
        <w:rPr>
          <w:sz w:val="20"/>
          <w:lang w:val="fr-CA"/>
        </w:rPr>
        <w:pict>
          <v:rect id="_x0000_i1034" style="width:108pt;height:1pt" o:hrpct="0" o:hralign="center" o:hrstd="t" o:hrnoshade="t" o:hr="t" fillcolor="black [3213]" stroked="f"/>
        </w:pict>
      </w:r>
    </w:p>
    <w:p w:rsidR="00F90991" w:rsidRPr="001206B9" w:rsidRDefault="00F90991" w:rsidP="006C152B">
      <w:pPr>
        <w:ind w:left="360" w:hanging="360"/>
        <w:contextualSpacing/>
        <w:jc w:val="both"/>
        <w:rPr>
          <w:sz w:val="20"/>
        </w:rPr>
      </w:pPr>
    </w:p>
    <w:p w:rsidR="003C15E7" w:rsidRPr="001206B9" w:rsidRDefault="003C15E7" w:rsidP="006C152B">
      <w:pPr>
        <w:ind w:left="360" w:hanging="360"/>
        <w:contextualSpacing/>
        <w:jc w:val="both"/>
        <w:rPr>
          <w:sz w:val="20"/>
        </w:rPr>
      </w:pPr>
    </w:p>
    <w:p w:rsidR="00824220" w:rsidRPr="001206B9" w:rsidRDefault="00824220" w:rsidP="006C152B">
      <w:pPr>
        <w:ind w:left="360" w:hanging="360"/>
        <w:contextualSpacing/>
        <w:jc w:val="both"/>
        <w:rPr>
          <w:sz w:val="20"/>
        </w:rPr>
      </w:pPr>
    </w:p>
    <w:p w:rsidR="002E4682" w:rsidRPr="001206B9" w:rsidRDefault="002E4682" w:rsidP="002E4682">
      <w:pPr>
        <w:widowControl w:val="0"/>
        <w:outlineLvl w:val="0"/>
      </w:pPr>
      <w:r w:rsidRPr="001206B9">
        <w:t xml:space="preserve">Supreme Court of Canada / Cour suprême du </w:t>
      </w:r>
      <w:proofErr w:type="gramStart"/>
      <w:r w:rsidRPr="001206B9">
        <w:t>Canada :</w:t>
      </w:r>
      <w:proofErr w:type="gramEnd"/>
      <w:r w:rsidRPr="001206B9">
        <w:t xml:space="preserve"> </w:t>
      </w:r>
    </w:p>
    <w:p w:rsidR="002E4682" w:rsidRPr="001206B9" w:rsidRDefault="001206B9" w:rsidP="002E4682">
      <w:pPr>
        <w:widowControl w:val="0"/>
        <w:outlineLvl w:val="0"/>
        <w:rPr>
          <w:color w:val="0000FF"/>
          <w:u w:val="single"/>
        </w:rPr>
      </w:pPr>
      <w:hyperlink r:id="rId15" w:history="1">
        <w:r w:rsidR="002E4682" w:rsidRPr="001206B9">
          <w:rPr>
            <w:rStyle w:val="Hyperlink"/>
          </w:rPr>
          <w:t>comments-commentaires@scc-csc.ca</w:t>
        </w:r>
      </w:hyperlink>
    </w:p>
    <w:p w:rsidR="002E4682" w:rsidRPr="001206B9" w:rsidRDefault="002E4682" w:rsidP="002E4682">
      <w:pPr>
        <w:widowControl w:val="0"/>
        <w:outlineLvl w:val="0"/>
      </w:pPr>
      <w:r w:rsidRPr="001206B9">
        <w:t>(613) 995-4330</w:t>
      </w:r>
    </w:p>
    <w:p w:rsidR="002E4682" w:rsidRPr="001206B9" w:rsidRDefault="002E4682" w:rsidP="002E4682">
      <w:pPr>
        <w:widowControl w:val="0"/>
        <w:rPr>
          <w:sz w:val="20"/>
        </w:rPr>
      </w:pPr>
    </w:p>
    <w:p w:rsidR="002E4682" w:rsidRPr="001206B9" w:rsidRDefault="002E4682" w:rsidP="002E4682">
      <w:pPr>
        <w:widowControl w:val="0"/>
        <w:rPr>
          <w:sz w:val="20"/>
        </w:rPr>
      </w:pPr>
    </w:p>
    <w:p w:rsidR="000C541E" w:rsidRPr="0057289B" w:rsidRDefault="002E4682">
      <w:pPr>
        <w:pStyle w:val="Footer"/>
        <w:jc w:val="center"/>
      </w:pPr>
      <w:r w:rsidRPr="001206B9">
        <w:t>- 30 -</w:t>
      </w:r>
      <w:bookmarkStart w:id="1" w:name="_GoBack"/>
      <w:bookmarkEnd w:id="1"/>
    </w:p>
    <w:sectPr w:rsidR="000C541E" w:rsidRPr="0057289B" w:rsidSect="007C3E99">
      <w:footerReference w:type="default" r:id="rId16"/>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05" w:rsidRDefault="000E3305" w:rsidP="0034178A">
      <w:r>
        <w:separator/>
      </w:r>
    </w:p>
  </w:endnote>
  <w:endnote w:type="continuationSeparator" w:id="0">
    <w:p w:rsidR="000E3305" w:rsidRDefault="000E3305"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305" w:rsidRDefault="000E3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05" w:rsidRDefault="000E3305" w:rsidP="0034178A">
      <w:r>
        <w:separator/>
      </w:r>
    </w:p>
  </w:footnote>
  <w:footnote w:type="continuationSeparator" w:id="0">
    <w:p w:rsidR="000E3305" w:rsidRDefault="000E3305" w:rsidP="00341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11D"/>
    <w:multiLevelType w:val="hybridMultilevel"/>
    <w:tmpl w:val="BB9E4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37DC"/>
    <w:multiLevelType w:val="hybridMultilevel"/>
    <w:tmpl w:val="6020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A1F54"/>
    <w:multiLevelType w:val="hybridMultilevel"/>
    <w:tmpl w:val="0C38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778A6"/>
    <w:multiLevelType w:val="hybridMultilevel"/>
    <w:tmpl w:val="B0F2DD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0E21D3"/>
    <w:multiLevelType w:val="hybridMultilevel"/>
    <w:tmpl w:val="8F0E7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C6355"/>
    <w:multiLevelType w:val="hybridMultilevel"/>
    <w:tmpl w:val="14C04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C4511"/>
    <w:multiLevelType w:val="hybridMultilevel"/>
    <w:tmpl w:val="C0B4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B643E"/>
    <w:multiLevelType w:val="hybridMultilevel"/>
    <w:tmpl w:val="CBEA7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543FD1"/>
    <w:multiLevelType w:val="hybridMultilevel"/>
    <w:tmpl w:val="CCA08E66"/>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2A626D"/>
    <w:multiLevelType w:val="hybridMultilevel"/>
    <w:tmpl w:val="576E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2128C"/>
    <w:multiLevelType w:val="hybridMultilevel"/>
    <w:tmpl w:val="6FBC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F56BD"/>
    <w:multiLevelType w:val="hybridMultilevel"/>
    <w:tmpl w:val="C490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025D8"/>
    <w:multiLevelType w:val="hybridMultilevel"/>
    <w:tmpl w:val="152E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10065"/>
    <w:multiLevelType w:val="hybridMultilevel"/>
    <w:tmpl w:val="92008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C3BB0"/>
    <w:multiLevelType w:val="hybridMultilevel"/>
    <w:tmpl w:val="F8322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0445D"/>
    <w:multiLevelType w:val="hybridMultilevel"/>
    <w:tmpl w:val="B060D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66857"/>
    <w:multiLevelType w:val="hybridMultilevel"/>
    <w:tmpl w:val="4756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33E1C"/>
    <w:multiLevelType w:val="hybridMultilevel"/>
    <w:tmpl w:val="E3B65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E507E"/>
    <w:multiLevelType w:val="hybridMultilevel"/>
    <w:tmpl w:val="7B2A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32D7F"/>
    <w:multiLevelType w:val="hybridMultilevel"/>
    <w:tmpl w:val="9E6AB6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CE10F2"/>
    <w:multiLevelType w:val="hybridMultilevel"/>
    <w:tmpl w:val="983CC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26C7A"/>
    <w:multiLevelType w:val="hybridMultilevel"/>
    <w:tmpl w:val="3E1071EE"/>
    <w:lvl w:ilvl="0" w:tplc="52D646D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A5678"/>
    <w:multiLevelType w:val="hybridMultilevel"/>
    <w:tmpl w:val="0F84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21066"/>
    <w:multiLevelType w:val="hybridMultilevel"/>
    <w:tmpl w:val="751E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22363"/>
    <w:multiLevelType w:val="hybridMultilevel"/>
    <w:tmpl w:val="7E1A0E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B20229B"/>
    <w:multiLevelType w:val="hybridMultilevel"/>
    <w:tmpl w:val="827EB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D075C"/>
    <w:multiLevelType w:val="hybridMultilevel"/>
    <w:tmpl w:val="11B6ED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E744FCD"/>
    <w:multiLevelType w:val="hybridMultilevel"/>
    <w:tmpl w:val="46C0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65F44"/>
    <w:multiLevelType w:val="hybridMultilevel"/>
    <w:tmpl w:val="E886DE6E"/>
    <w:lvl w:ilvl="0" w:tplc="C8D2B7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5627C"/>
    <w:multiLevelType w:val="hybridMultilevel"/>
    <w:tmpl w:val="F3E4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90C51"/>
    <w:multiLevelType w:val="hybridMultilevel"/>
    <w:tmpl w:val="679C6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24157"/>
    <w:multiLevelType w:val="hybridMultilevel"/>
    <w:tmpl w:val="D4A2DC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EA6622"/>
    <w:multiLevelType w:val="hybridMultilevel"/>
    <w:tmpl w:val="FB8A71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882648"/>
    <w:multiLevelType w:val="hybridMultilevel"/>
    <w:tmpl w:val="8D928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47822"/>
    <w:multiLevelType w:val="hybridMultilevel"/>
    <w:tmpl w:val="5844B900"/>
    <w:lvl w:ilvl="0" w:tplc="B8CA8CF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A4F50"/>
    <w:multiLevelType w:val="hybridMultilevel"/>
    <w:tmpl w:val="D978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752C6"/>
    <w:multiLevelType w:val="hybridMultilevel"/>
    <w:tmpl w:val="5740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053A9F"/>
    <w:multiLevelType w:val="hybridMultilevel"/>
    <w:tmpl w:val="512E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76837"/>
    <w:multiLevelType w:val="hybridMultilevel"/>
    <w:tmpl w:val="FC281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8399E"/>
    <w:multiLevelType w:val="hybridMultilevel"/>
    <w:tmpl w:val="2368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B2092"/>
    <w:multiLevelType w:val="hybridMultilevel"/>
    <w:tmpl w:val="65A25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0"/>
  </w:num>
  <w:num w:numId="4">
    <w:abstractNumId w:val="6"/>
  </w:num>
  <w:num w:numId="5">
    <w:abstractNumId w:val="29"/>
  </w:num>
  <w:num w:numId="6">
    <w:abstractNumId w:val="21"/>
  </w:num>
  <w:num w:numId="7">
    <w:abstractNumId w:val="33"/>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3"/>
  </w:num>
  <w:num w:numId="12">
    <w:abstractNumId w:val="26"/>
  </w:num>
  <w:num w:numId="13">
    <w:abstractNumId w:val="9"/>
  </w:num>
  <w:num w:numId="14">
    <w:abstractNumId w:val="7"/>
  </w:num>
  <w:num w:numId="15">
    <w:abstractNumId w:val="28"/>
  </w:num>
  <w:num w:numId="16">
    <w:abstractNumId w:val="14"/>
  </w:num>
  <w:num w:numId="17">
    <w:abstractNumId w:val="30"/>
  </w:num>
  <w:num w:numId="18">
    <w:abstractNumId w:val="16"/>
  </w:num>
  <w:num w:numId="19">
    <w:abstractNumId w:val="0"/>
  </w:num>
  <w:num w:numId="20">
    <w:abstractNumId w:val="3"/>
  </w:num>
  <w:num w:numId="21">
    <w:abstractNumId w:val="24"/>
  </w:num>
  <w:num w:numId="22">
    <w:abstractNumId w:val="32"/>
  </w:num>
  <w:num w:numId="23">
    <w:abstractNumId w:val="19"/>
  </w:num>
  <w:num w:numId="24">
    <w:abstractNumId w:val="31"/>
  </w:num>
  <w:num w:numId="25">
    <w:abstractNumId w:val="5"/>
  </w:num>
  <w:num w:numId="26">
    <w:abstractNumId w:val="27"/>
  </w:num>
  <w:num w:numId="27">
    <w:abstractNumId w:val="35"/>
  </w:num>
  <w:num w:numId="28">
    <w:abstractNumId w:val="34"/>
  </w:num>
  <w:num w:numId="29">
    <w:abstractNumId w:val="36"/>
  </w:num>
  <w:num w:numId="30">
    <w:abstractNumId w:val="37"/>
  </w:num>
  <w:num w:numId="31">
    <w:abstractNumId w:val="17"/>
  </w:num>
  <w:num w:numId="32">
    <w:abstractNumId w:val="22"/>
  </w:num>
  <w:num w:numId="33">
    <w:abstractNumId w:val="1"/>
  </w:num>
  <w:num w:numId="34">
    <w:abstractNumId w:val="4"/>
  </w:num>
  <w:num w:numId="35">
    <w:abstractNumId w:val="20"/>
  </w:num>
  <w:num w:numId="36">
    <w:abstractNumId w:val="13"/>
  </w:num>
  <w:num w:numId="37">
    <w:abstractNumId w:val="15"/>
  </w:num>
  <w:num w:numId="38">
    <w:abstractNumId w:val="38"/>
  </w:num>
  <w:num w:numId="39">
    <w:abstractNumId w:val="11"/>
  </w:num>
  <w:num w:numId="40">
    <w:abstractNumId w:val="39"/>
  </w:num>
  <w:num w:numId="41">
    <w:abstractNumId w:val="40"/>
  </w:num>
  <w:num w:numId="42">
    <w:abstractNumId w:val="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97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963"/>
    <w:rsid w:val="00001838"/>
    <w:rsid w:val="000018E3"/>
    <w:rsid w:val="000028E6"/>
    <w:rsid w:val="000029A3"/>
    <w:rsid w:val="00003F34"/>
    <w:rsid w:val="000043C3"/>
    <w:rsid w:val="00006442"/>
    <w:rsid w:val="00006C46"/>
    <w:rsid w:val="0001169C"/>
    <w:rsid w:val="000118B0"/>
    <w:rsid w:val="000128A2"/>
    <w:rsid w:val="00012EA7"/>
    <w:rsid w:val="000136CC"/>
    <w:rsid w:val="00013ACB"/>
    <w:rsid w:val="00014C19"/>
    <w:rsid w:val="00014F6E"/>
    <w:rsid w:val="00015464"/>
    <w:rsid w:val="00015743"/>
    <w:rsid w:val="00016491"/>
    <w:rsid w:val="000164DB"/>
    <w:rsid w:val="000168E0"/>
    <w:rsid w:val="00016D65"/>
    <w:rsid w:val="00020797"/>
    <w:rsid w:val="00020816"/>
    <w:rsid w:val="0002267C"/>
    <w:rsid w:val="00023AE8"/>
    <w:rsid w:val="00023F0F"/>
    <w:rsid w:val="0002445D"/>
    <w:rsid w:val="00024531"/>
    <w:rsid w:val="00024962"/>
    <w:rsid w:val="00026162"/>
    <w:rsid w:val="00026E74"/>
    <w:rsid w:val="0002704A"/>
    <w:rsid w:val="000275D5"/>
    <w:rsid w:val="000276EE"/>
    <w:rsid w:val="00027A01"/>
    <w:rsid w:val="00027B69"/>
    <w:rsid w:val="00027EC2"/>
    <w:rsid w:val="00033257"/>
    <w:rsid w:val="00033B10"/>
    <w:rsid w:val="00033C46"/>
    <w:rsid w:val="00033D1E"/>
    <w:rsid w:val="00033D28"/>
    <w:rsid w:val="00034A7F"/>
    <w:rsid w:val="000350D2"/>
    <w:rsid w:val="00035790"/>
    <w:rsid w:val="00036753"/>
    <w:rsid w:val="000414BC"/>
    <w:rsid w:val="00041B58"/>
    <w:rsid w:val="00042069"/>
    <w:rsid w:val="00043D06"/>
    <w:rsid w:val="00043FDE"/>
    <w:rsid w:val="00044217"/>
    <w:rsid w:val="0004601E"/>
    <w:rsid w:val="00047CD6"/>
    <w:rsid w:val="0005131F"/>
    <w:rsid w:val="00051DE6"/>
    <w:rsid w:val="0005591B"/>
    <w:rsid w:val="000577D9"/>
    <w:rsid w:val="000603E0"/>
    <w:rsid w:val="00060F87"/>
    <w:rsid w:val="000627A2"/>
    <w:rsid w:val="00062C6D"/>
    <w:rsid w:val="00064C3D"/>
    <w:rsid w:val="00065F8F"/>
    <w:rsid w:val="000660E6"/>
    <w:rsid w:val="00066B80"/>
    <w:rsid w:val="00067298"/>
    <w:rsid w:val="00067929"/>
    <w:rsid w:val="00067F50"/>
    <w:rsid w:val="00070830"/>
    <w:rsid w:val="00072F91"/>
    <w:rsid w:val="000731E6"/>
    <w:rsid w:val="00073C1E"/>
    <w:rsid w:val="00073D38"/>
    <w:rsid w:val="00077E16"/>
    <w:rsid w:val="00082037"/>
    <w:rsid w:val="00082444"/>
    <w:rsid w:val="000825A5"/>
    <w:rsid w:val="0008264D"/>
    <w:rsid w:val="00082980"/>
    <w:rsid w:val="00083ACC"/>
    <w:rsid w:val="000843DB"/>
    <w:rsid w:val="00084856"/>
    <w:rsid w:val="00085D13"/>
    <w:rsid w:val="00086629"/>
    <w:rsid w:val="00087808"/>
    <w:rsid w:val="0009085B"/>
    <w:rsid w:val="00091A43"/>
    <w:rsid w:val="000925EE"/>
    <w:rsid w:val="00092DBB"/>
    <w:rsid w:val="00093AC1"/>
    <w:rsid w:val="00095627"/>
    <w:rsid w:val="00096438"/>
    <w:rsid w:val="00097411"/>
    <w:rsid w:val="000A0444"/>
    <w:rsid w:val="000A068E"/>
    <w:rsid w:val="000A0B56"/>
    <w:rsid w:val="000A1461"/>
    <w:rsid w:val="000A245A"/>
    <w:rsid w:val="000A3622"/>
    <w:rsid w:val="000A4311"/>
    <w:rsid w:val="000A50F9"/>
    <w:rsid w:val="000A5484"/>
    <w:rsid w:val="000A54F8"/>
    <w:rsid w:val="000A5A04"/>
    <w:rsid w:val="000A649B"/>
    <w:rsid w:val="000A678F"/>
    <w:rsid w:val="000A7478"/>
    <w:rsid w:val="000B01CD"/>
    <w:rsid w:val="000B0673"/>
    <w:rsid w:val="000B0A52"/>
    <w:rsid w:val="000B0C32"/>
    <w:rsid w:val="000B163F"/>
    <w:rsid w:val="000B1B04"/>
    <w:rsid w:val="000B32C4"/>
    <w:rsid w:val="000B355C"/>
    <w:rsid w:val="000B3582"/>
    <w:rsid w:val="000B7258"/>
    <w:rsid w:val="000C014A"/>
    <w:rsid w:val="000C08E9"/>
    <w:rsid w:val="000C0E20"/>
    <w:rsid w:val="000C182C"/>
    <w:rsid w:val="000C3667"/>
    <w:rsid w:val="000C541E"/>
    <w:rsid w:val="000C67B8"/>
    <w:rsid w:val="000C78FC"/>
    <w:rsid w:val="000C7BA4"/>
    <w:rsid w:val="000C7F2F"/>
    <w:rsid w:val="000D01C7"/>
    <w:rsid w:val="000D3129"/>
    <w:rsid w:val="000D5A59"/>
    <w:rsid w:val="000D6566"/>
    <w:rsid w:val="000D7B2F"/>
    <w:rsid w:val="000E0BAB"/>
    <w:rsid w:val="000E1F2A"/>
    <w:rsid w:val="000E3305"/>
    <w:rsid w:val="000E35CD"/>
    <w:rsid w:val="000E50F2"/>
    <w:rsid w:val="000E5407"/>
    <w:rsid w:val="000E72C5"/>
    <w:rsid w:val="000F1164"/>
    <w:rsid w:val="000F22D3"/>
    <w:rsid w:val="000F36DA"/>
    <w:rsid w:val="000F3B4D"/>
    <w:rsid w:val="000F525E"/>
    <w:rsid w:val="000F65BF"/>
    <w:rsid w:val="00100570"/>
    <w:rsid w:val="001005C5"/>
    <w:rsid w:val="00100CEE"/>
    <w:rsid w:val="00100E6C"/>
    <w:rsid w:val="00101E4B"/>
    <w:rsid w:val="001027F9"/>
    <w:rsid w:val="00102C52"/>
    <w:rsid w:val="00102F8F"/>
    <w:rsid w:val="00104502"/>
    <w:rsid w:val="00104A47"/>
    <w:rsid w:val="00104BEE"/>
    <w:rsid w:val="001068F5"/>
    <w:rsid w:val="00107219"/>
    <w:rsid w:val="00110A00"/>
    <w:rsid w:val="00111D39"/>
    <w:rsid w:val="00111DA0"/>
    <w:rsid w:val="0011236E"/>
    <w:rsid w:val="00112997"/>
    <w:rsid w:val="00112C98"/>
    <w:rsid w:val="00113D71"/>
    <w:rsid w:val="00116285"/>
    <w:rsid w:val="00117AF3"/>
    <w:rsid w:val="001206B9"/>
    <w:rsid w:val="0012101A"/>
    <w:rsid w:val="00121851"/>
    <w:rsid w:val="00121952"/>
    <w:rsid w:val="00123976"/>
    <w:rsid w:val="00124DEC"/>
    <w:rsid w:val="00125133"/>
    <w:rsid w:val="00127484"/>
    <w:rsid w:val="00130FF5"/>
    <w:rsid w:val="00131605"/>
    <w:rsid w:val="00132635"/>
    <w:rsid w:val="00132E67"/>
    <w:rsid w:val="001352E4"/>
    <w:rsid w:val="001354E7"/>
    <w:rsid w:val="00136895"/>
    <w:rsid w:val="001403D2"/>
    <w:rsid w:val="00141200"/>
    <w:rsid w:val="00141BC5"/>
    <w:rsid w:val="0014243F"/>
    <w:rsid w:val="00142C72"/>
    <w:rsid w:val="00143DD1"/>
    <w:rsid w:val="00144111"/>
    <w:rsid w:val="0014650B"/>
    <w:rsid w:val="00147BE4"/>
    <w:rsid w:val="00147DE3"/>
    <w:rsid w:val="00150027"/>
    <w:rsid w:val="00150453"/>
    <w:rsid w:val="00151336"/>
    <w:rsid w:val="00151B13"/>
    <w:rsid w:val="001528A1"/>
    <w:rsid w:val="001542B0"/>
    <w:rsid w:val="0015605D"/>
    <w:rsid w:val="001560EC"/>
    <w:rsid w:val="00156618"/>
    <w:rsid w:val="00160F87"/>
    <w:rsid w:val="00163365"/>
    <w:rsid w:val="00167B9C"/>
    <w:rsid w:val="001716F7"/>
    <w:rsid w:val="0017350D"/>
    <w:rsid w:val="00173B3A"/>
    <w:rsid w:val="00174655"/>
    <w:rsid w:val="00176790"/>
    <w:rsid w:val="00176C45"/>
    <w:rsid w:val="00176CC2"/>
    <w:rsid w:val="001813C3"/>
    <w:rsid w:val="00183170"/>
    <w:rsid w:val="00185355"/>
    <w:rsid w:val="001866BF"/>
    <w:rsid w:val="00186884"/>
    <w:rsid w:val="0019030D"/>
    <w:rsid w:val="00190C7A"/>
    <w:rsid w:val="00190F7F"/>
    <w:rsid w:val="00193547"/>
    <w:rsid w:val="001947C1"/>
    <w:rsid w:val="00194F2A"/>
    <w:rsid w:val="00195C65"/>
    <w:rsid w:val="00196DF0"/>
    <w:rsid w:val="001A06DE"/>
    <w:rsid w:val="001A1AE7"/>
    <w:rsid w:val="001A2314"/>
    <w:rsid w:val="001A35B0"/>
    <w:rsid w:val="001A4547"/>
    <w:rsid w:val="001A485B"/>
    <w:rsid w:val="001A48FB"/>
    <w:rsid w:val="001A4F22"/>
    <w:rsid w:val="001A562F"/>
    <w:rsid w:val="001B07C7"/>
    <w:rsid w:val="001B1337"/>
    <w:rsid w:val="001B3248"/>
    <w:rsid w:val="001B3257"/>
    <w:rsid w:val="001B32DC"/>
    <w:rsid w:val="001B3762"/>
    <w:rsid w:val="001B37B3"/>
    <w:rsid w:val="001B3C91"/>
    <w:rsid w:val="001B3EDD"/>
    <w:rsid w:val="001B4569"/>
    <w:rsid w:val="001B4CF9"/>
    <w:rsid w:val="001B68D3"/>
    <w:rsid w:val="001B7265"/>
    <w:rsid w:val="001C075F"/>
    <w:rsid w:val="001C0C39"/>
    <w:rsid w:val="001C0E0C"/>
    <w:rsid w:val="001C1383"/>
    <w:rsid w:val="001C2F21"/>
    <w:rsid w:val="001C5E6C"/>
    <w:rsid w:val="001C7D32"/>
    <w:rsid w:val="001C7F81"/>
    <w:rsid w:val="001D0423"/>
    <w:rsid w:val="001D14DD"/>
    <w:rsid w:val="001D235D"/>
    <w:rsid w:val="001D2555"/>
    <w:rsid w:val="001D2E61"/>
    <w:rsid w:val="001D6A28"/>
    <w:rsid w:val="001E165E"/>
    <w:rsid w:val="001E1BA7"/>
    <w:rsid w:val="001E1C80"/>
    <w:rsid w:val="001E2870"/>
    <w:rsid w:val="001E3BCD"/>
    <w:rsid w:val="001E4329"/>
    <w:rsid w:val="001F1186"/>
    <w:rsid w:val="001F27B1"/>
    <w:rsid w:val="001F30DD"/>
    <w:rsid w:val="001F5B11"/>
    <w:rsid w:val="001F79FD"/>
    <w:rsid w:val="00200F31"/>
    <w:rsid w:val="0020221F"/>
    <w:rsid w:val="0020334D"/>
    <w:rsid w:val="00203AEA"/>
    <w:rsid w:val="00203C42"/>
    <w:rsid w:val="00205051"/>
    <w:rsid w:val="00205D01"/>
    <w:rsid w:val="0020794A"/>
    <w:rsid w:val="00207C3D"/>
    <w:rsid w:val="00207C7F"/>
    <w:rsid w:val="00210652"/>
    <w:rsid w:val="002111E6"/>
    <w:rsid w:val="00212962"/>
    <w:rsid w:val="002135E4"/>
    <w:rsid w:val="00213F00"/>
    <w:rsid w:val="00214BA3"/>
    <w:rsid w:val="00215945"/>
    <w:rsid w:val="00216319"/>
    <w:rsid w:val="00217135"/>
    <w:rsid w:val="00220056"/>
    <w:rsid w:val="00220E8C"/>
    <w:rsid w:val="002210DD"/>
    <w:rsid w:val="0022132D"/>
    <w:rsid w:val="0022134D"/>
    <w:rsid w:val="002216CC"/>
    <w:rsid w:val="00221D04"/>
    <w:rsid w:val="00222CAE"/>
    <w:rsid w:val="00223B83"/>
    <w:rsid w:val="00223DB9"/>
    <w:rsid w:val="00224133"/>
    <w:rsid w:val="00224214"/>
    <w:rsid w:val="00224B8B"/>
    <w:rsid w:val="00224BDE"/>
    <w:rsid w:val="00225A53"/>
    <w:rsid w:val="002264F4"/>
    <w:rsid w:val="00231427"/>
    <w:rsid w:val="00233057"/>
    <w:rsid w:val="00234A3D"/>
    <w:rsid w:val="0023658B"/>
    <w:rsid w:val="00237C53"/>
    <w:rsid w:val="002407C6"/>
    <w:rsid w:val="00243304"/>
    <w:rsid w:val="002434DF"/>
    <w:rsid w:val="0024428B"/>
    <w:rsid w:val="00244CDD"/>
    <w:rsid w:val="002450B0"/>
    <w:rsid w:val="00245D73"/>
    <w:rsid w:val="00245DAC"/>
    <w:rsid w:val="00247323"/>
    <w:rsid w:val="0025056A"/>
    <w:rsid w:val="0025069B"/>
    <w:rsid w:val="002514CA"/>
    <w:rsid w:val="00252FDB"/>
    <w:rsid w:val="002548F4"/>
    <w:rsid w:val="002567CD"/>
    <w:rsid w:val="0025713A"/>
    <w:rsid w:val="002613AC"/>
    <w:rsid w:val="00261D3C"/>
    <w:rsid w:val="002628AD"/>
    <w:rsid w:val="00262C42"/>
    <w:rsid w:val="0026349D"/>
    <w:rsid w:val="002655B9"/>
    <w:rsid w:val="00265E51"/>
    <w:rsid w:val="00266E0E"/>
    <w:rsid w:val="002671CC"/>
    <w:rsid w:val="002709E7"/>
    <w:rsid w:val="00272D25"/>
    <w:rsid w:val="00273760"/>
    <w:rsid w:val="0027631F"/>
    <w:rsid w:val="002767DF"/>
    <w:rsid w:val="00276C42"/>
    <w:rsid w:val="00277449"/>
    <w:rsid w:val="00280E55"/>
    <w:rsid w:val="00281D85"/>
    <w:rsid w:val="00282EF5"/>
    <w:rsid w:val="002848CB"/>
    <w:rsid w:val="002858BA"/>
    <w:rsid w:val="002861F9"/>
    <w:rsid w:val="0028686B"/>
    <w:rsid w:val="00290A71"/>
    <w:rsid w:val="00290C85"/>
    <w:rsid w:val="0029170D"/>
    <w:rsid w:val="00292338"/>
    <w:rsid w:val="00292574"/>
    <w:rsid w:val="0029457E"/>
    <w:rsid w:val="00296182"/>
    <w:rsid w:val="00296766"/>
    <w:rsid w:val="002A08C0"/>
    <w:rsid w:val="002A0D9F"/>
    <w:rsid w:val="002A1071"/>
    <w:rsid w:val="002A10BE"/>
    <w:rsid w:val="002A29E5"/>
    <w:rsid w:val="002A4035"/>
    <w:rsid w:val="002A4D0A"/>
    <w:rsid w:val="002A5245"/>
    <w:rsid w:val="002A55D1"/>
    <w:rsid w:val="002A5C41"/>
    <w:rsid w:val="002A78A0"/>
    <w:rsid w:val="002B49D6"/>
    <w:rsid w:val="002B5525"/>
    <w:rsid w:val="002B63EB"/>
    <w:rsid w:val="002B6F52"/>
    <w:rsid w:val="002B7C63"/>
    <w:rsid w:val="002C082D"/>
    <w:rsid w:val="002C10D1"/>
    <w:rsid w:val="002C1A99"/>
    <w:rsid w:val="002C54BD"/>
    <w:rsid w:val="002C5B18"/>
    <w:rsid w:val="002C61DF"/>
    <w:rsid w:val="002C63CB"/>
    <w:rsid w:val="002C6D9C"/>
    <w:rsid w:val="002D0C49"/>
    <w:rsid w:val="002D1371"/>
    <w:rsid w:val="002D2553"/>
    <w:rsid w:val="002D2B23"/>
    <w:rsid w:val="002D43A1"/>
    <w:rsid w:val="002D45D1"/>
    <w:rsid w:val="002D5CCE"/>
    <w:rsid w:val="002D6680"/>
    <w:rsid w:val="002D73A0"/>
    <w:rsid w:val="002E29C1"/>
    <w:rsid w:val="002E30C3"/>
    <w:rsid w:val="002E3911"/>
    <w:rsid w:val="002E3B68"/>
    <w:rsid w:val="002E4682"/>
    <w:rsid w:val="002E6185"/>
    <w:rsid w:val="002F0620"/>
    <w:rsid w:val="002F06D0"/>
    <w:rsid w:val="002F2E7A"/>
    <w:rsid w:val="002F35E4"/>
    <w:rsid w:val="002F3830"/>
    <w:rsid w:val="002F455E"/>
    <w:rsid w:val="002F4929"/>
    <w:rsid w:val="002F6C90"/>
    <w:rsid w:val="002F7DDE"/>
    <w:rsid w:val="002F7E97"/>
    <w:rsid w:val="0030076B"/>
    <w:rsid w:val="00300891"/>
    <w:rsid w:val="003012A2"/>
    <w:rsid w:val="00301A43"/>
    <w:rsid w:val="00304091"/>
    <w:rsid w:val="00305583"/>
    <w:rsid w:val="00306E8A"/>
    <w:rsid w:val="00307DB0"/>
    <w:rsid w:val="00312D0B"/>
    <w:rsid w:val="003134D7"/>
    <w:rsid w:val="00313652"/>
    <w:rsid w:val="00314319"/>
    <w:rsid w:val="003151B5"/>
    <w:rsid w:val="00315AF3"/>
    <w:rsid w:val="00315FF3"/>
    <w:rsid w:val="00316DFA"/>
    <w:rsid w:val="003205B7"/>
    <w:rsid w:val="003207FB"/>
    <w:rsid w:val="00320863"/>
    <w:rsid w:val="0032335F"/>
    <w:rsid w:val="003235CC"/>
    <w:rsid w:val="00324F71"/>
    <w:rsid w:val="00325668"/>
    <w:rsid w:val="00330DF3"/>
    <w:rsid w:val="0033241A"/>
    <w:rsid w:val="00332E19"/>
    <w:rsid w:val="00333C90"/>
    <w:rsid w:val="0033418E"/>
    <w:rsid w:val="0033535C"/>
    <w:rsid w:val="00337444"/>
    <w:rsid w:val="003378D9"/>
    <w:rsid w:val="00340D7B"/>
    <w:rsid w:val="003413DF"/>
    <w:rsid w:val="003414D0"/>
    <w:rsid w:val="0034178A"/>
    <w:rsid w:val="00342295"/>
    <w:rsid w:val="003446AF"/>
    <w:rsid w:val="00344FD4"/>
    <w:rsid w:val="003450E3"/>
    <w:rsid w:val="00347ED2"/>
    <w:rsid w:val="00347EF8"/>
    <w:rsid w:val="003509E6"/>
    <w:rsid w:val="00351946"/>
    <w:rsid w:val="00352802"/>
    <w:rsid w:val="00352C8A"/>
    <w:rsid w:val="003535EF"/>
    <w:rsid w:val="00354E37"/>
    <w:rsid w:val="00355DB1"/>
    <w:rsid w:val="003602FC"/>
    <w:rsid w:val="00360FCE"/>
    <w:rsid w:val="00362520"/>
    <w:rsid w:val="00362E82"/>
    <w:rsid w:val="00364001"/>
    <w:rsid w:val="0036464A"/>
    <w:rsid w:val="0036541E"/>
    <w:rsid w:val="00366709"/>
    <w:rsid w:val="003676FD"/>
    <w:rsid w:val="0037013D"/>
    <w:rsid w:val="003710CD"/>
    <w:rsid w:val="00371399"/>
    <w:rsid w:val="00372704"/>
    <w:rsid w:val="00372FD5"/>
    <w:rsid w:val="00376958"/>
    <w:rsid w:val="003770DF"/>
    <w:rsid w:val="00377868"/>
    <w:rsid w:val="00377C17"/>
    <w:rsid w:val="003834EE"/>
    <w:rsid w:val="00383B64"/>
    <w:rsid w:val="0038431A"/>
    <w:rsid w:val="0038547C"/>
    <w:rsid w:val="00385A88"/>
    <w:rsid w:val="00385D39"/>
    <w:rsid w:val="00387AF8"/>
    <w:rsid w:val="00390065"/>
    <w:rsid w:val="00391197"/>
    <w:rsid w:val="003925DD"/>
    <w:rsid w:val="00393660"/>
    <w:rsid w:val="003940A4"/>
    <w:rsid w:val="003958AE"/>
    <w:rsid w:val="0039709D"/>
    <w:rsid w:val="00397213"/>
    <w:rsid w:val="003A00C9"/>
    <w:rsid w:val="003A0258"/>
    <w:rsid w:val="003A06E9"/>
    <w:rsid w:val="003A11C4"/>
    <w:rsid w:val="003A1515"/>
    <w:rsid w:val="003A16EE"/>
    <w:rsid w:val="003A1F69"/>
    <w:rsid w:val="003A268D"/>
    <w:rsid w:val="003A58BA"/>
    <w:rsid w:val="003A5E8C"/>
    <w:rsid w:val="003A6900"/>
    <w:rsid w:val="003A6FF1"/>
    <w:rsid w:val="003B0718"/>
    <w:rsid w:val="003B1455"/>
    <w:rsid w:val="003B1955"/>
    <w:rsid w:val="003B2AC6"/>
    <w:rsid w:val="003B39D7"/>
    <w:rsid w:val="003B434B"/>
    <w:rsid w:val="003B43CE"/>
    <w:rsid w:val="003B5381"/>
    <w:rsid w:val="003B5A50"/>
    <w:rsid w:val="003B61F0"/>
    <w:rsid w:val="003B64B3"/>
    <w:rsid w:val="003B6E18"/>
    <w:rsid w:val="003C15E7"/>
    <w:rsid w:val="003C2E5C"/>
    <w:rsid w:val="003C5F5E"/>
    <w:rsid w:val="003C62B0"/>
    <w:rsid w:val="003C6BB7"/>
    <w:rsid w:val="003D0A88"/>
    <w:rsid w:val="003D1FDF"/>
    <w:rsid w:val="003D27BD"/>
    <w:rsid w:val="003D52D1"/>
    <w:rsid w:val="003D67ED"/>
    <w:rsid w:val="003E0468"/>
    <w:rsid w:val="003E0670"/>
    <w:rsid w:val="003E0D5A"/>
    <w:rsid w:val="003E3957"/>
    <w:rsid w:val="003E5769"/>
    <w:rsid w:val="003E597E"/>
    <w:rsid w:val="003E6558"/>
    <w:rsid w:val="003E7FB7"/>
    <w:rsid w:val="003F1029"/>
    <w:rsid w:val="003F1BAE"/>
    <w:rsid w:val="003F1CB3"/>
    <w:rsid w:val="003F1E6F"/>
    <w:rsid w:val="003F25CB"/>
    <w:rsid w:val="003F3BC1"/>
    <w:rsid w:val="003F43E6"/>
    <w:rsid w:val="003F466B"/>
    <w:rsid w:val="003F573E"/>
    <w:rsid w:val="004000BE"/>
    <w:rsid w:val="0040063B"/>
    <w:rsid w:val="0040101A"/>
    <w:rsid w:val="004026BA"/>
    <w:rsid w:val="00403038"/>
    <w:rsid w:val="00403315"/>
    <w:rsid w:val="00405AD7"/>
    <w:rsid w:val="0040709C"/>
    <w:rsid w:val="004116DA"/>
    <w:rsid w:val="004117D6"/>
    <w:rsid w:val="00411834"/>
    <w:rsid w:val="00411FE6"/>
    <w:rsid w:val="00413157"/>
    <w:rsid w:val="004149DA"/>
    <w:rsid w:val="0041524E"/>
    <w:rsid w:val="00416949"/>
    <w:rsid w:val="00417BA7"/>
    <w:rsid w:val="00420FC0"/>
    <w:rsid w:val="00426676"/>
    <w:rsid w:val="00426976"/>
    <w:rsid w:val="00427F4F"/>
    <w:rsid w:val="00430373"/>
    <w:rsid w:val="00432412"/>
    <w:rsid w:val="00433C3E"/>
    <w:rsid w:val="00434871"/>
    <w:rsid w:val="00434B35"/>
    <w:rsid w:val="00435BBE"/>
    <w:rsid w:val="0044099A"/>
    <w:rsid w:val="00444072"/>
    <w:rsid w:val="004511AB"/>
    <w:rsid w:val="00451AD0"/>
    <w:rsid w:val="0045235F"/>
    <w:rsid w:val="004533F1"/>
    <w:rsid w:val="00453400"/>
    <w:rsid w:val="00453ABE"/>
    <w:rsid w:val="00453FCE"/>
    <w:rsid w:val="004542A8"/>
    <w:rsid w:val="00455898"/>
    <w:rsid w:val="00456E0C"/>
    <w:rsid w:val="00460794"/>
    <w:rsid w:val="00463D03"/>
    <w:rsid w:val="00464F61"/>
    <w:rsid w:val="00464FEE"/>
    <w:rsid w:val="004672B7"/>
    <w:rsid w:val="00467391"/>
    <w:rsid w:val="00472190"/>
    <w:rsid w:val="00472396"/>
    <w:rsid w:val="00474D9B"/>
    <w:rsid w:val="0047577A"/>
    <w:rsid w:val="0047588F"/>
    <w:rsid w:val="0047739A"/>
    <w:rsid w:val="00480523"/>
    <w:rsid w:val="00480EB5"/>
    <w:rsid w:val="00481888"/>
    <w:rsid w:val="004835D8"/>
    <w:rsid w:val="00484C8D"/>
    <w:rsid w:val="00484F57"/>
    <w:rsid w:val="004904F3"/>
    <w:rsid w:val="00490DDC"/>
    <w:rsid w:val="00491173"/>
    <w:rsid w:val="00491D60"/>
    <w:rsid w:val="00494283"/>
    <w:rsid w:val="00494CD1"/>
    <w:rsid w:val="004957BA"/>
    <w:rsid w:val="0049607D"/>
    <w:rsid w:val="004963C9"/>
    <w:rsid w:val="004970C9"/>
    <w:rsid w:val="0049747D"/>
    <w:rsid w:val="00497B5E"/>
    <w:rsid w:val="00497D57"/>
    <w:rsid w:val="004A0FED"/>
    <w:rsid w:val="004A1296"/>
    <w:rsid w:val="004A1699"/>
    <w:rsid w:val="004A224A"/>
    <w:rsid w:val="004A3074"/>
    <w:rsid w:val="004A3208"/>
    <w:rsid w:val="004A3A12"/>
    <w:rsid w:val="004A7CEC"/>
    <w:rsid w:val="004B06E1"/>
    <w:rsid w:val="004B0CC1"/>
    <w:rsid w:val="004B127F"/>
    <w:rsid w:val="004B35A2"/>
    <w:rsid w:val="004B427D"/>
    <w:rsid w:val="004B4D25"/>
    <w:rsid w:val="004B4EBC"/>
    <w:rsid w:val="004B5A50"/>
    <w:rsid w:val="004B6380"/>
    <w:rsid w:val="004B7D44"/>
    <w:rsid w:val="004C0544"/>
    <w:rsid w:val="004C2585"/>
    <w:rsid w:val="004C281D"/>
    <w:rsid w:val="004C2E9D"/>
    <w:rsid w:val="004C4513"/>
    <w:rsid w:val="004C4C26"/>
    <w:rsid w:val="004C7FC6"/>
    <w:rsid w:val="004D0704"/>
    <w:rsid w:val="004D16CE"/>
    <w:rsid w:val="004D422A"/>
    <w:rsid w:val="004D4921"/>
    <w:rsid w:val="004E020B"/>
    <w:rsid w:val="004E0B2F"/>
    <w:rsid w:val="004E1B3F"/>
    <w:rsid w:val="004E33C5"/>
    <w:rsid w:val="004E3524"/>
    <w:rsid w:val="004F0EC9"/>
    <w:rsid w:val="004F2287"/>
    <w:rsid w:val="004F27DD"/>
    <w:rsid w:val="004F36A1"/>
    <w:rsid w:val="004F40AB"/>
    <w:rsid w:val="004F5B79"/>
    <w:rsid w:val="004F66ED"/>
    <w:rsid w:val="004F672B"/>
    <w:rsid w:val="004F7009"/>
    <w:rsid w:val="0050207A"/>
    <w:rsid w:val="0050261B"/>
    <w:rsid w:val="00502AA3"/>
    <w:rsid w:val="00502F3E"/>
    <w:rsid w:val="00502FFF"/>
    <w:rsid w:val="00503196"/>
    <w:rsid w:val="00504706"/>
    <w:rsid w:val="00507026"/>
    <w:rsid w:val="0051062F"/>
    <w:rsid w:val="00511E62"/>
    <w:rsid w:val="00512BC5"/>
    <w:rsid w:val="005146FA"/>
    <w:rsid w:val="00514D57"/>
    <w:rsid w:val="0051517F"/>
    <w:rsid w:val="00516260"/>
    <w:rsid w:val="00516E12"/>
    <w:rsid w:val="005208AC"/>
    <w:rsid w:val="00521EFA"/>
    <w:rsid w:val="005229FF"/>
    <w:rsid w:val="005232E3"/>
    <w:rsid w:val="00525B79"/>
    <w:rsid w:val="005301A3"/>
    <w:rsid w:val="00532EB0"/>
    <w:rsid w:val="00532EEF"/>
    <w:rsid w:val="00535069"/>
    <w:rsid w:val="00535A60"/>
    <w:rsid w:val="005360E7"/>
    <w:rsid w:val="005368D3"/>
    <w:rsid w:val="00542D06"/>
    <w:rsid w:val="00543779"/>
    <w:rsid w:val="00544481"/>
    <w:rsid w:val="00545F3F"/>
    <w:rsid w:val="00546DAD"/>
    <w:rsid w:val="00547C0E"/>
    <w:rsid w:val="005502DA"/>
    <w:rsid w:val="00550A35"/>
    <w:rsid w:val="00550CF9"/>
    <w:rsid w:val="00553032"/>
    <w:rsid w:val="005542A1"/>
    <w:rsid w:val="00554EC9"/>
    <w:rsid w:val="00557DCC"/>
    <w:rsid w:val="005617DA"/>
    <w:rsid w:val="00561B18"/>
    <w:rsid w:val="00566C79"/>
    <w:rsid w:val="00570169"/>
    <w:rsid w:val="0057289B"/>
    <w:rsid w:val="005756A3"/>
    <w:rsid w:val="005805A8"/>
    <w:rsid w:val="005812EF"/>
    <w:rsid w:val="00583F19"/>
    <w:rsid w:val="0058734E"/>
    <w:rsid w:val="00587897"/>
    <w:rsid w:val="00587914"/>
    <w:rsid w:val="005910F3"/>
    <w:rsid w:val="005925EC"/>
    <w:rsid w:val="0059402F"/>
    <w:rsid w:val="0059611F"/>
    <w:rsid w:val="00597224"/>
    <w:rsid w:val="0059795B"/>
    <w:rsid w:val="005A1B7D"/>
    <w:rsid w:val="005A3592"/>
    <w:rsid w:val="005A4082"/>
    <w:rsid w:val="005A5BE4"/>
    <w:rsid w:val="005A7109"/>
    <w:rsid w:val="005B0AAB"/>
    <w:rsid w:val="005B0D9E"/>
    <w:rsid w:val="005B10FF"/>
    <w:rsid w:val="005B22FC"/>
    <w:rsid w:val="005B28C2"/>
    <w:rsid w:val="005B4EB8"/>
    <w:rsid w:val="005B743E"/>
    <w:rsid w:val="005C0F87"/>
    <w:rsid w:val="005C1075"/>
    <w:rsid w:val="005C196C"/>
    <w:rsid w:val="005C2CA2"/>
    <w:rsid w:val="005C3064"/>
    <w:rsid w:val="005C413E"/>
    <w:rsid w:val="005C4568"/>
    <w:rsid w:val="005C5C2F"/>
    <w:rsid w:val="005C7BBF"/>
    <w:rsid w:val="005D019B"/>
    <w:rsid w:val="005D0DE0"/>
    <w:rsid w:val="005D1C0B"/>
    <w:rsid w:val="005D2479"/>
    <w:rsid w:val="005D29DE"/>
    <w:rsid w:val="005D2C20"/>
    <w:rsid w:val="005D2DE6"/>
    <w:rsid w:val="005D3069"/>
    <w:rsid w:val="005D3730"/>
    <w:rsid w:val="005D54AA"/>
    <w:rsid w:val="005D7831"/>
    <w:rsid w:val="005E0EF2"/>
    <w:rsid w:val="005E2F85"/>
    <w:rsid w:val="005E2F89"/>
    <w:rsid w:val="005E45F2"/>
    <w:rsid w:val="005E67A8"/>
    <w:rsid w:val="005E73A1"/>
    <w:rsid w:val="005E7A89"/>
    <w:rsid w:val="005F04EB"/>
    <w:rsid w:val="005F27C0"/>
    <w:rsid w:val="005F4197"/>
    <w:rsid w:val="005F5163"/>
    <w:rsid w:val="005F576D"/>
    <w:rsid w:val="005F622B"/>
    <w:rsid w:val="005F7542"/>
    <w:rsid w:val="0060159C"/>
    <w:rsid w:val="006017D8"/>
    <w:rsid w:val="0060301E"/>
    <w:rsid w:val="0060338A"/>
    <w:rsid w:val="00605BA1"/>
    <w:rsid w:val="00605FBB"/>
    <w:rsid w:val="006067DB"/>
    <w:rsid w:val="00606EFB"/>
    <w:rsid w:val="00610BC0"/>
    <w:rsid w:val="0061282A"/>
    <w:rsid w:val="006132AE"/>
    <w:rsid w:val="0061351E"/>
    <w:rsid w:val="006167B8"/>
    <w:rsid w:val="006167DB"/>
    <w:rsid w:val="00620B86"/>
    <w:rsid w:val="00621F03"/>
    <w:rsid w:val="006232EB"/>
    <w:rsid w:val="00623896"/>
    <w:rsid w:val="0062521D"/>
    <w:rsid w:val="00625B63"/>
    <w:rsid w:val="0062613D"/>
    <w:rsid w:val="006261D9"/>
    <w:rsid w:val="00627B2C"/>
    <w:rsid w:val="00630890"/>
    <w:rsid w:val="006326E6"/>
    <w:rsid w:val="006328EE"/>
    <w:rsid w:val="00632A4A"/>
    <w:rsid w:val="00634540"/>
    <w:rsid w:val="00634573"/>
    <w:rsid w:val="00635A24"/>
    <w:rsid w:val="00636ADD"/>
    <w:rsid w:val="006406E5"/>
    <w:rsid w:val="00640B24"/>
    <w:rsid w:val="006442C8"/>
    <w:rsid w:val="00644576"/>
    <w:rsid w:val="006445A8"/>
    <w:rsid w:val="006447DC"/>
    <w:rsid w:val="006451E9"/>
    <w:rsid w:val="00647438"/>
    <w:rsid w:val="00650965"/>
    <w:rsid w:val="00650E46"/>
    <w:rsid w:val="0065372A"/>
    <w:rsid w:val="00654633"/>
    <w:rsid w:val="00655090"/>
    <w:rsid w:val="00660B99"/>
    <w:rsid w:val="00662A9C"/>
    <w:rsid w:val="00664E1D"/>
    <w:rsid w:val="00665E8A"/>
    <w:rsid w:val="00666BA1"/>
    <w:rsid w:val="00670844"/>
    <w:rsid w:val="006721DF"/>
    <w:rsid w:val="006725EA"/>
    <w:rsid w:val="0067270F"/>
    <w:rsid w:val="00672A20"/>
    <w:rsid w:val="00674808"/>
    <w:rsid w:val="00674CE6"/>
    <w:rsid w:val="0067545E"/>
    <w:rsid w:val="006766DA"/>
    <w:rsid w:val="00677979"/>
    <w:rsid w:val="00680EC9"/>
    <w:rsid w:val="00683770"/>
    <w:rsid w:val="006841EF"/>
    <w:rsid w:val="006849D2"/>
    <w:rsid w:val="00685844"/>
    <w:rsid w:val="00686A7E"/>
    <w:rsid w:val="00690509"/>
    <w:rsid w:val="00690B95"/>
    <w:rsid w:val="00691302"/>
    <w:rsid w:val="006914D8"/>
    <w:rsid w:val="00692432"/>
    <w:rsid w:val="0069306B"/>
    <w:rsid w:val="00693751"/>
    <w:rsid w:val="00693795"/>
    <w:rsid w:val="00693CE6"/>
    <w:rsid w:val="0069646C"/>
    <w:rsid w:val="006965DF"/>
    <w:rsid w:val="006A09A4"/>
    <w:rsid w:val="006A21CC"/>
    <w:rsid w:val="006A2B17"/>
    <w:rsid w:val="006A2C1F"/>
    <w:rsid w:val="006A3856"/>
    <w:rsid w:val="006A4B3F"/>
    <w:rsid w:val="006A503A"/>
    <w:rsid w:val="006B0BF3"/>
    <w:rsid w:val="006B1C34"/>
    <w:rsid w:val="006B1D4C"/>
    <w:rsid w:val="006B293F"/>
    <w:rsid w:val="006B40C1"/>
    <w:rsid w:val="006B6409"/>
    <w:rsid w:val="006B6A20"/>
    <w:rsid w:val="006B71F7"/>
    <w:rsid w:val="006B731F"/>
    <w:rsid w:val="006B772F"/>
    <w:rsid w:val="006B7F76"/>
    <w:rsid w:val="006C152B"/>
    <w:rsid w:val="006C1659"/>
    <w:rsid w:val="006C2011"/>
    <w:rsid w:val="006C4010"/>
    <w:rsid w:val="006C477E"/>
    <w:rsid w:val="006C6301"/>
    <w:rsid w:val="006D0DD8"/>
    <w:rsid w:val="006D0F19"/>
    <w:rsid w:val="006D3FB0"/>
    <w:rsid w:val="006D443D"/>
    <w:rsid w:val="006D4C3A"/>
    <w:rsid w:val="006D50F8"/>
    <w:rsid w:val="006D56E9"/>
    <w:rsid w:val="006D614A"/>
    <w:rsid w:val="006D6930"/>
    <w:rsid w:val="006D6B5E"/>
    <w:rsid w:val="006D7DA7"/>
    <w:rsid w:val="006E169C"/>
    <w:rsid w:val="006E1CBE"/>
    <w:rsid w:val="006E213B"/>
    <w:rsid w:val="006E27D1"/>
    <w:rsid w:val="006E3FB5"/>
    <w:rsid w:val="006E4B08"/>
    <w:rsid w:val="006E4EB7"/>
    <w:rsid w:val="006E63F0"/>
    <w:rsid w:val="006E72CF"/>
    <w:rsid w:val="006E7F81"/>
    <w:rsid w:val="006F02B8"/>
    <w:rsid w:val="006F02E8"/>
    <w:rsid w:val="006F0310"/>
    <w:rsid w:val="006F16DF"/>
    <w:rsid w:val="006F21F3"/>
    <w:rsid w:val="006F2579"/>
    <w:rsid w:val="006F2CD0"/>
    <w:rsid w:val="006F2E4C"/>
    <w:rsid w:val="006F4713"/>
    <w:rsid w:val="006F5483"/>
    <w:rsid w:val="006F6638"/>
    <w:rsid w:val="006F6D08"/>
    <w:rsid w:val="00704777"/>
    <w:rsid w:val="00704CDE"/>
    <w:rsid w:val="0070582E"/>
    <w:rsid w:val="00705E29"/>
    <w:rsid w:val="007067C1"/>
    <w:rsid w:val="00706817"/>
    <w:rsid w:val="0071143C"/>
    <w:rsid w:val="007129EA"/>
    <w:rsid w:val="00712D85"/>
    <w:rsid w:val="007140F8"/>
    <w:rsid w:val="00715888"/>
    <w:rsid w:val="00722455"/>
    <w:rsid w:val="007226F3"/>
    <w:rsid w:val="00723025"/>
    <w:rsid w:val="00723E7F"/>
    <w:rsid w:val="007240C3"/>
    <w:rsid w:val="007243CC"/>
    <w:rsid w:val="00724899"/>
    <w:rsid w:val="0072546E"/>
    <w:rsid w:val="00725ED5"/>
    <w:rsid w:val="007266F1"/>
    <w:rsid w:val="00726E9F"/>
    <w:rsid w:val="007301CB"/>
    <w:rsid w:val="007315EE"/>
    <w:rsid w:val="00733432"/>
    <w:rsid w:val="00733EF3"/>
    <w:rsid w:val="0073443B"/>
    <w:rsid w:val="007356BB"/>
    <w:rsid w:val="00735BED"/>
    <w:rsid w:val="0073666D"/>
    <w:rsid w:val="0073669E"/>
    <w:rsid w:val="0073707B"/>
    <w:rsid w:val="00737D1D"/>
    <w:rsid w:val="00737F76"/>
    <w:rsid w:val="00741002"/>
    <w:rsid w:val="00741637"/>
    <w:rsid w:val="0074197A"/>
    <w:rsid w:val="00744F24"/>
    <w:rsid w:val="007479FD"/>
    <w:rsid w:val="00747C5A"/>
    <w:rsid w:val="00750A93"/>
    <w:rsid w:val="00750B42"/>
    <w:rsid w:val="00751DE7"/>
    <w:rsid w:val="00755055"/>
    <w:rsid w:val="00757888"/>
    <w:rsid w:val="00760D26"/>
    <w:rsid w:val="00761D51"/>
    <w:rsid w:val="007626D3"/>
    <w:rsid w:val="00765769"/>
    <w:rsid w:val="00766432"/>
    <w:rsid w:val="00766983"/>
    <w:rsid w:val="0077122D"/>
    <w:rsid w:val="007712C3"/>
    <w:rsid w:val="00771432"/>
    <w:rsid w:val="007716CD"/>
    <w:rsid w:val="0077287B"/>
    <w:rsid w:val="007736D0"/>
    <w:rsid w:val="00774310"/>
    <w:rsid w:val="00774A32"/>
    <w:rsid w:val="00775FEC"/>
    <w:rsid w:val="00776281"/>
    <w:rsid w:val="007768EA"/>
    <w:rsid w:val="0077725B"/>
    <w:rsid w:val="00777EBC"/>
    <w:rsid w:val="007823D7"/>
    <w:rsid w:val="00782C3A"/>
    <w:rsid w:val="00782E96"/>
    <w:rsid w:val="00783215"/>
    <w:rsid w:val="00783617"/>
    <w:rsid w:val="007862ED"/>
    <w:rsid w:val="0078776F"/>
    <w:rsid w:val="00795FC0"/>
    <w:rsid w:val="007970F8"/>
    <w:rsid w:val="007975AC"/>
    <w:rsid w:val="007A10D6"/>
    <w:rsid w:val="007A14FC"/>
    <w:rsid w:val="007A34D5"/>
    <w:rsid w:val="007A39A9"/>
    <w:rsid w:val="007A4ACA"/>
    <w:rsid w:val="007A5A11"/>
    <w:rsid w:val="007A6F16"/>
    <w:rsid w:val="007A7F7F"/>
    <w:rsid w:val="007A7FD6"/>
    <w:rsid w:val="007B03A5"/>
    <w:rsid w:val="007B09DF"/>
    <w:rsid w:val="007B0B4B"/>
    <w:rsid w:val="007B300E"/>
    <w:rsid w:val="007B446B"/>
    <w:rsid w:val="007B4BBC"/>
    <w:rsid w:val="007B567F"/>
    <w:rsid w:val="007B57E8"/>
    <w:rsid w:val="007B5903"/>
    <w:rsid w:val="007B65D4"/>
    <w:rsid w:val="007B6F87"/>
    <w:rsid w:val="007C150A"/>
    <w:rsid w:val="007C3D96"/>
    <w:rsid w:val="007C3E99"/>
    <w:rsid w:val="007C5323"/>
    <w:rsid w:val="007C6187"/>
    <w:rsid w:val="007C67EE"/>
    <w:rsid w:val="007C6C79"/>
    <w:rsid w:val="007C7A8C"/>
    <w:rsid w:val="007D0805"/>
    <w:rsid w:val="007D0A94"/>
    <w:rsid w:val="007D0C0D"/>
    <w:rsid w:val="007D24AB"/>
    <w:rsid w:val="007D2643"/>
    <w:rsid w:val="007D2971"/>
    <w:rsid w:val="007D2B8B"/>
    <w:rsid w:val="007D3433"/>
    <w:rsid w:val="007D36C9"/>
    <w:rsid w:val="007D42D5"/>
    <w:rsid w:val="007D4BFC"/>
    <w:rsid w:val="007D5305"/>
    <w:rsid w:val="007D55CB"/>
    <w:rsid w:val="007D56EC"/>
    <w:rsid w:val="007D6193"/>
    <w:rsid w:val="007D6B1C"/>
    <w:rsid w:val="007D70C6"/>
    <w:rsid w:val="007D79EE"/>
    <w:rsid w:val="007E14CF"/>
    <w:rsid w:val="007E48E9"/>
    <w:rsid w:val="007E5C9C"/>
    <w:rsid w:val="007E6196"/>
    <w:rsid w:val="007E6535"/>
    <w:rsid w:val="007E6FE2"/>
    <w:rsid w:val="007E70BF"/>
    <w:rsid w:val="007E735A"/>
    <w:rsid w:val="007F0F01"/>
    <w:rsid w:val="007F22ED"/>
    <w:rsid w:val="007F29EA"/>
    <w:rsid w:val="007F3158"/>
    <w:rsid w:val="007F4473"/>
    <w:rsid w:val="007F4F42"/>
    <w:rsid w:val="00800913"/>
    <w:rsid w:val="00800972"/>
    <w:rsid w:val="00800DF8"/>
    <w:rsid w:val="008010EA"/>
    <w:rsid w:val="00801C8D"/>
    <w:rsid w:val="00801F8E"/>
    <w:rsid w:val="008021FD"/>
    <w:rsid w:val="00802692"/>
    <w:rsid w:val="008036BE"/>
    <w:rsid w:val="00804FE6"/>
    <w:rsid w:val="0080585A"/>
    <w:rsid w:val="00806EE8"/>
    <w:rsid w:val="00807EB6"/>
    <w:rsid w:val="00810CF7"/>
    <w:rsid w:val="008115B8"/>
    <w:rsid w:val="00812315"/>
    <w:rsid w:val="00814655"/>
    <w:rsid w:val="00814D46"/>
    <w:rsid w:val="00815D1B"/>
    <w:rsid w:val="008167D5"/>
    <w:rsid w:val="00816C1F"/>
    <w:rsid w:val="00817A74"/>
    <w:rsid w:val="00820CCF"/>
    <w:rsid w:val="0082143F"/>
    <w:rsid w:val="008218C8"/>
    <w:rsid w:val="00821ED8"/>
    <w:rsid w:val="00823610"/>
    <w:rsid w:val="00823C00"/>
    <w:rsid w:val="00824220"/>
    <w:rsid w:val="00824424"/>
    <w:rsid w:val="00826E9D"/>
    <w:rsid w:val="00827FCC"/>
    <w:rsid w:val="00831DF2"/>
    <w:rsid w:val="00831E8E"/>
    <w:rsid w:val="0083380F"/>
    <w:rsid w:val="00833B16"/>
    <w:rsid w:val="00834D1B"/>
    <w:rsid w:val="00835FCE"/>
    <w:rsid w:val="0083686C"/>
    <w:rsid w:val="008368DE"/>
    <w:rsid w:val="00840B4D"/>
    <w:rsid w:val="00840C46"/>
    <w:rsid w:val="0084156A"/>
    <w:rsid w:val="0084161A"/>
    <w:rsid w:val="00841962"/>
    <w:rsid w:val="00841C37"/>
    <w:rsid w:val="00841DF8"/>
    <w:rsid w:val="00844741"/>
    <w:rsid w:val="0084497D"/>
    <w:rsid w:val="008456E7"/>
    <w:rsid w:val="0085127E"/>
    <w:rsid w:val="008518A3"/>
    <w:rsid w:val="00853C98"/>
    <w:rsid w:val="00855185"/>
    <w:rsid w:val="0085543E"/>
    <w:rsid w:val="0085559F"/>
    <w:rsid w:val="00857B21"/>
    <w:rsid w:val="00860210"/>
    <w:rsid w:val="008602E3"/>
    <w:rsid w:val="00861CAB"/>
    <w:rsid w:val="00863AA5"/>
    <w:rsid w:val="00865274"/>
    <w:rsid w:val="00866A27"/>
    <w:rsid w:val="00867286"/>
    <w:rsid w:val="00867716"/>
    <w:rsid w:val="00867A56"/>
    <w:rsid w:val="008705EE"/>
    <w:rsid w:val="0087081B"/>
    <w:rsid w:val="00871C02"/>
    <w:rsid w:val="008738D7"/>
    <w:rsid w:val="00874308"/>
    <w:rsid w:val="008762F7"/>
    <w:rsid w:val="00876A08"/>
    <w:rsid w:val="0087734D"/>
    <w:rsid w:val="0087771F"/>
    <w:rsid w:val="00877B13"/>
    <w:rsid w:val="00880EC6"/>
    <w:rsid w:val="00881267"/>
    <w:rsid w:val="008825DB"/>
    <w:rsid w:val="008836A7"/>
    <w:rsid w:val="00883F3F"/>
    <w:rsid w:val="008853EF"/>
    <w:rsid w:val="00885427"/>
    <w:rsid w:val="00890762"/>
    <w:rsid w:val="00890F18"/>
    <w:rsid w:val="0089414D"/>
    <w:rsid w:val="008956B5"/>
    <w:rsid w:val="008967C3"/>
    <w:rsid w:val="00897578"/>
    <w:rsid w:val="008A1084"/>
    <w:rsid w:val="008A1E0C"/>
    <w:rsid w:val="008A3884"/>
    <w:rsid w:val="008A4ABF"/>
    <w:rsid w:val="008A5E61"/>
    <w:rsid w:val="008A6C13"/>
    <w:rsid w:val="008A6E6C"/>
    <w:rsid w:val="008A7444"/>
    <w:rsid w:val="008B0108"/>
    <w:rsid w:val="008B12FB"/>
    <w:rsid w:val="008B1DD8"/>
    <w:rsid w:val="008B3086"/>
    <w:rsid w:val="008B3670"/>
    <w:rsid w:val="008B3DD1"/>
    <w:rsid w:val="008B4157"/>
    <w:rsid w:val="008B4A24"/>
    <w:rsid w:val="008B5AFF"/>
    <w:rsid w:val="008B5E0B"/>
    <w:rsid w:val="008B7CD2"/>
    <w:rsid w:val="008C12F3"/>
    <w:rsid w:val="008C2F21"/>
    <w:rsid w:val="008C3B33"/>
    <w:rsid w:val="008C6043"/>
    <w:rsid w:val="008C73F6"/>
    <w:rsid w:val="008C7834"/>
    <w:rsid w:val="008C7C77"/>
    <w:rsid w:val="008C7CD9"/>
    <w:rsid w:val="008D3544"/>
    <w:rsid w:val="008D3B18"/>
    <w:rsid w:val="008D3D04"/>
    <w:rsid w:val="008D579D"/>
    <w:rsid w:val="008D6376"/>
    <w:rsid w:val="008D68D4"/>
    <w:rsid w:val="008D70F6"/>
    <w:rsid w:val="008D7908"/>
    <w:rsid w:val="008D79EC"/>
    <w:rsid w:val="008D7F59"/>
    <w:rsid w:val="008E10A7"/>
    <w:rsid w:val="008E30CD"/>
    <w:rsid w:val="008E404E"/>
    <w:rsid w:val="008E62CD"/>
    <w:rsid w:val="008E6D94"/>
    <w:rsid w:val="008E7C23"/>
    <w:rsid w:val="008E7F8D"/>
    <w:rsid w:val="008F06B7"/>
    <w:rsid w:val="008F106F"/>
    <w:rsid w:val="008F1AF0"/>
    <w:rsid w:val="008F2066"/>
    <w:rsid w:val="008F2850"/>
    <w:rsid w:val="008F302C"/>
    <w:rsid w:val="008F33E3"/>
    <w:rsid w:val="008F4E2F"/>
    <w:rsid w:val="008F5B18"/>
    <w:rsid w:val="00901343"/>
    <w:rsid w:val="00902AD7"/>
    <w:rsid w:val="00902B0E"/>
    <w:rsid w:val="009035A2"/>
    <w:rsid w:val="00907409"/>
    <w:rsid w:val="009074C8"/>
    <w:rsid w:val="00910442"/>
    <w:rsid w:val="00912BCC"/>
    <w:rsid w:val="00913D1E"/>
    <w:rsid w:val="00914783"/>
    <w:rsid w:val="009152C1"/>
    <w:rsid w:val="009164C6"/>
    <w:rsid w:val="009166C2"/>
    <w:rsid w:val="00920A81"/>
    <w:rsid w:val="00923646"/>
    <w:rsid w:val="00925955"/>
    <w:rsid w:val="00925C95"/>
    <w:rsid w:val="0092773B"/>
    <w:rsid w:val="00930D7C"/>
    <w:rsid w:val="009327B1"/>
    <w:rsid w:val="00932E04"/>
    <w:rsid w:val="009340AB"/>
    <w:rsid w:val="00936192"/>
    <w:rsid w:val="00936642"/>
    <w:rsid w:val="009367AC"/>
    <w:rsid w:val="00942A08"/>
    <w:rsid w:val="00942CAD"/>
    <w:rsid w:val="00943363"/>
    <w:rsid w:val="009434F5"/>
    <w:rsid w:val="009441A5"/>
    <w:rsid w:val="00944736"/>
    <w:rsid w:val="00951233"/>
    <w:rsid w:val="00952AFC"/>
    <w:rsid w:val="00952FCA"/>
    <w:rsid w:val="00953692"/>
    <w:rsid w:val="00956067"/>
    <w:rsid w:val="009571E4"/>
    <w:rsid w:val="009574CC"/>
    <w:rsid w:val="00957921"/>
    <w:rsid w:val="00957C00"/>
    <w:rsid w:val="00957EFD"/>
    <w:rsid w:val="009619CF"/>
    <w:rsid w:val="00964197"/>
    <w:rsid w:val="00966191"/>
    <w:rsid w:val="00966A89"/>
    <w:rsid w:val="0097114B"/>
    <w:rsid w:val="00971A04"/>
    <w:rsid w:val="00971F36"/>
    <w:rsid w:val="00972A4E"/>
    <w:rsid w:val="00974DE9"/>
    <w:rsid w:val="0097588C"/>
    <w:rsid w:val="00977C25"/>
    <w:rsid w:val="009807C9"/>
    <w:rsid w:val="0098122A"/>
    <w:rsid w:val="009833CB"/>
    <w:rsid w:val="009837A3"/>
    <w:rsid w:val="0098395F"/>
    <w:rsid w:val="00983AFA"/>
    <w:rsid w:val="00983EE6"/>
    <w:rsid w:val="00984A6A"/>
    <w:rsid w:val="009856F0"/>
    <w:rsid w:val="009861EE"/>
    <w:rsid w:val="009872BF"/>
    <w:rsid w:val="0099130E"/>
    <w:rsid w:val="00992D7A"/>
    <w:rsid w:val="00992E19"/>
    <w:rsid w:val="00995670"/>
    <w:rsid w:val="00996373"/>
    <w:rsid w:val="009971D8"/>
    <w:rsid w:val="00997705"/>
    <w:rsid w:val="009A1215"/>
    <w:rsid w:val="009A20E4"/>
    <w:rsid w:val="009A2448"/>
    <w:rsid w:val="009A250A"/>
    <w:rsid w:val="009A2939"/>
    <w:rsid w:val="009A2A34"/>
    <w:rsid w:val="009A5EF6"/>
    <w:rsid w:val="009A6043"/>
    <w:rsid w:val="009A6F9E"/>
    <w:rsid w:val="009B0110"/>
    <w:rsid w:val="009B0602"/>
    <w:rsid w:val="009B0987"/>
    <w:rsid w:val="009B159B"/>
    <w:rsid w:val="009B2F43"/>
    <w:rsid w:val="009B38BC"/>
    <w:rsid w:val="009B3EB1"/>
    <w:rsid w:val="009B4111"/>
    <w:rsid w:val="009B43A1"/>
    <w:rsid w:val="009B4EC5"/>
    <w:rsid w:val="009B50CC"/>
    <w:rsid w:val="009B5476"/>
    <w:rsid w:val="009B550D"/>
    <w:rsid w:val="009B5877"/>
    <w:rsid w:val="009B67B3"/>
    <w:rsid w:val="009B739B"/>
    <w:rsid w:val="009B7C89"/>
    <w:rsid w:val="009C05A7"/>
    <w:rsid w:val="009C0F48"/>
    <w:rsid w:val="009C205F"/>
    <w:rsid w:val="009C2DCD"/>
    <w:rsid w:val="009C3B2A"/>
    <w:rsid w:val="009C4D85"/>
    <w:rsid w:val="009C5124"/>
    <w:rsid w:val="009C5C89"/>
    <w:rsid w:val="009C5F2B"/>
    <w:rsid w:val="009C6454"/>
    <w:rsid w:val="009D2AD9"/>
    <w:rsid w:val="009D2D62"/>
    <w:rsid w:val="009D31CD"/>
    <w:rsid w:val="009D35AF"/>
    <w:rsid w:val="009D5453"/>
    <w:rsid w:val="009D5E9C"/>
    <w:rsid w:val="009D6F03"/>
    <w:rsid w:val="009D7121"/>
    <w:rsid w:val="009E10C4"/>
    <w:rsid w:val="009E17CC"/>
    <w:rsid w:val="009E2E0D"/>
    <w:rsid w:val="009E3F6C"/>
    <w:rsid w:val="009E446A"/>
    <w:rsid w:val="009E52A8"/>
    <w:rsid w:val="009E54B7"/>
    <w:rsid w:val="009E5BE0"/>
    <w:rsid w:val="009E77BC"/>
    <w:rsid w:val="009E7ADE"/>
    <w:rsid w:val="009F09C0"/>
    <w:rsid w:val="009F0D41"/>
    <w:rsid w:val="009F161C"/>
    <w:rsid w:val="009F2F18"/>
    <w:rsid w:val="009F4A42"/>
    <w:rsid w:val="009F4EF8"/>
    <w:rsid w:val="009F4F1B"/>
    <w:rsid w:val="009F51A9"/>
    <w:rsid w:val="009F5783"/>
    <w:rsid w:val="009F5872"/>
    <w:rsid w:val="009F64D1"/>
    <w:rsid w:val="009F6D2A"/>
    <w:rsid w:val="009F6F6E"/>
    <w:rsid w:val="00A00F88"/>
    <w:rsid w:val="00A01AAA"/>
    <w:rsid w:val="00A02451"/>
    <w:rsid w:val="00A02D70"/>
    <w:rsid w:val="00A041C7"/>
    <w:rsid w:val="00A04539"/>
    <w:rsid w:val="00A06B3C"/>
    <w:rsid w:val="00A1003F"/>
    <w:rsid w:val="00A101C0"/>
    <w:rsid w:val="00A117F4"/>
    <w:rsid w:val="00A12CC9"/>
    <w:rsid w:val="00A12DC8"/>
    <w:rsid w:val="00A138C3"/>
    <w:rsid w:val="00A15F1F"/>
    <w:rsid w:val="00A2060D"/>
    <w:rsid w:val="00A216B7"/>
    <w:rsid w:val="00A242EA"/>
    <w:rsid w:val="00A2504D"/>
    <w:rsid w:val="00A25D73"/>
    <w:rsid w:val="00A26117"/>
    <w:rsid w:val="00A31E95"/>
    <w:rsid w:val="00A32761"/>
    <w:rsid w:val="00A33BD3"/>
    <w:rsid w:val="00A34F04"/>
    <w:rsid w:val="00A352F9"/>
    <w:rsid w:val="00A357F9"/>
    <w:rsid w:val="00A35C4D"/>
    <w:rsid w:val="00A36994"/>
    <w:rsid w:val="00A40B1E"/>
    <w:rsid w:val="00A415AF"/>
    <w:rsid w:val="00A41AEF"/>
    <w:rsid w:val="00A41B5E"/>
    <w:rsid w:val="00A41BBC"/>
    <w:rsid w:val="00A42042"/>
    <w:rsid w:val="00A4281A"/>
    <w:rsid w:val="00A444DD"/>
    <w:rsid w:val="00A4492D"/>
    <w:rsid w:val="00A45F29"/>
    <w:rsid w:val="00A466AC"/>
    <w:rsid w:val="00A476D4"/>
    <w:rsid w:val="00A50604"/>
    <w:rsid w:val="00A50E26"/>
    <w:rsid w:val="00A52186"/>
    <w:rsid w:val="00A54818"/>
    <w:rsid w:val="00A56409"/>
    <w:rsid w:val="00A5682D"/>
    <w:rsid w:val="00A575AD"/>
    <w:rsid w:val="00A57B79"/>
    <w:rsid w:val="00A602C0"/>
    <w:rsid w:val="00A60CA4"/>
    <w:rsid w:val="00A62285"/>
    <w:rsid w:val="00A635D9"/>
    <w:rsid w:val="00A64BF1"/>
    <w:rsid w:val="00A70197"/>
    <w:rsid w:val="00A73387"/>
    <w:rsid w:val="00A8029C"/>
    <w:rsid w:val="00A8033D"/>
    <w:rsid w:val="00A80F5B"/>
    <w:rsid w:val="00A81963"/>
    <w:rsid w:val="00A8395A"/>
    <w:rsid w:val="00A83C7E"/>
    <w:rsid w:val="00A8418C"/>
    <w:rsid w:val="00A8486E"/>
    <w:rsid w:val="00A84DA1"/>
    <w:rsid w:val="00A86B78"/>
    <w:rsid w:val="00A9019A"/>
    <w:rsid w:val="00A936AD"/>
    <w:rsid w:val="00A94210"/>
    <w:rsid w:val="00A960E9"/>
    <w:rsid w:val="00A96928"/>
    <w:rsid w:val="00A97F93"/>
    <w:rsid w:val="00AA0E4D"/>
    <w:rsid w:val="00AA1E5C"/>
    <w:rsid w:val="00AB05C9"/>
    <w:rsid w:val="00AB0760"/>
    <w:rsid w:val="00AB09B6"/>
    <w:rsid w:val="00AB2AAE"/>
    <w:rsid w:val="00AB2C0F"/>
    <w:rsid w:val="00AB3365"/>
    <w:rsid w:val="00AB5604"/>
    <w:rsid w:val="00AB59AC"/>
    <w:rsid w:val="00AC0AB0"/>
    <w:rsid w:val="00AC0D10"/>
    <w:rsid w:val="00AC21C6"/>
    <w:rsid w:val="00AC33F8"/>
    <w:rsid w:val="00AC3779"/>
    <w:rsid w:val="00AC41BC"/>
    <w:rsid w:val="00AC5AEC"/>
    <w:rsid w:val="00AD0097"/>
    <w:rsid w:val="00AD020B"/>
    <w:rsid w:val="00AD30C3"/>
    <w:rsid w:val="00AD3CB0"/>
    <w:rsid w:val="00AD4780"/>
    <w:rsid w:val="00AD4F01"/>
    <w:rsid w:val="00AD52A6"/>
    <w:rsid w:val="00AD68F4"/>
    <w:rsid w:val="00AD6AD0"/>
    <w:rsid w:val="00AD7038"/>
    <w:rsid w:val="00AE2218"/>
    <w:rsid w:val="00AE3AF2"/>
    <w:rsid w:val="00AE42F5"/>
    <w:rsid w:val="00AE4721"/>
    <w:rsid w:val="00AE62B2"/>
    <w:rsid w:val="00AE747B"/>
    <w:rsid w:val="00AF1653"/>
    <w:rsid w:val="00AF1EFF"/>
    <w:rsid w:val="00AF5A9D"/>
    <w:rsid w:val="00AF6DC0"/>
    <w:rsid w:val="00AF6E3E"/>
    <w:rsid w:val="00B02DE3"/>
    <w:rsid w:val="00B037AA"/>
    <w:rsid w:val="00B04B0F"/>
    <w:rsid w:val="00B066B1"/>
    <w:rsid w:val="00B10162"/>
    <w:rsid w:val="00B10B81"/>
    <w:rsid w:val="00B1160A"/>
    <w:rsid w:val="00B12339"/>
    <w:rsid w:val="00B1256C"/>
    <w:rsid w:val="00B12E59"/>
    <w:rsid w:val="00B13787"/>
    <w:rsid w:val="00B13CAD"/>
    <w:rsid w:val="00B1445B"/>
    <w:rsid w:val="00B14A2A"/>
    <w:rsid w:val="00B14B19"/>
    <w:rsid w:val="00B1644E"/>
    <w:rsid w:val="00B16D65"/>
    <w:rsid w:val="00B21AD9"/>
    <w:rsid w:val="00B220E6"/>
    <w:rsid w:val="00B22D45"/>
    <w:rsid w:val="00B245B8"/>
    <w:rsid w:val="00B24ABA"/>
    <w:rsid w:val="00B25939"/>
    <w:rsid w:val="00B25FB2"/>
    <w:rsid w:val="00B30861"/>
    <w:rsid w:val="00B3266D"/>
    <w:rsid w:val="00B33FC9"/>
    <w:rsid w:val="00B34DE6"/>
    <w:rsid w:val="00B34E1F"/>
    <w:rsid w:val="00B3503B"/>
    <w:rsid w:val="00B35194"/>
    <w:rsid w:val="00B35A95"/>
    <w:rsid w:val="00B363B9"/>
    <w:rsid w:val="00B36C97"/>
    <w:rsid w:val="00B37AAA"/>
    <w:rsid w:val="00B37C41"/>
    <w:rsid w:val="00B4078C"/>
    <w:rsid w:val="00B4086A"/>
    <w:rsid w:val="00B409D7"/>
    <w:rsid w:val="00B4191E"/>
    <w:rsid w:val="00B41E92"/>
    <w:rsid w:val="00B42C6D"/>
    <w:rsid w:val="00B4516E"/>
    <w:rsid w:val="00B45B27"/>
    <w:rsid w:val="00B45EF0"/>
    <w:rsid w:val="00B466A3"/>
    <w:rsid w:val="00B474ED"/>
    <w:rsid w:val="00B50D48"/>
    <w:rsid w:val="00B5139A"/>
    <w:rsid w:val="00B548FD"/>
    <w:rsid w:val="00B55EA9"/>
    <w:rsid w:val="00B57067"/>
    <w:rsid w:val="00B63AF6"/>
    <w:rsid w:val="00B6480A"/>
    <w:rsid w:val="00B6581A"/>
    <w:rsid w:val="00B6639E"/>
    <w:rsid w:val="00B67C07"/>
    <w:rsid w:val="00B70890"/>
    <w:rsid w:val="00B71369"/>
    <w:rsid w:val="00B73606"/>
    <w:rsid w:val="00B74DA0"/>
    <w:rsid w:val="00B75614"/>
    <w:rsid w:val="00B7733B"/>
    <w:rsid w:val="00B80F85"/>
    <w:rsid w:val="00B820C2"/>
    <w:rsid w:val="00B83D3B"/>
    <w:rsid w:val="00B83EBF"/>
    <w:rsid w:val="00B84490"/>
    <w:rsid w:val="00B84553"/>
    <w:rsid w:val="00B84F90"/>
    <w:rsid w:val="00B86D28"/>
    <w:rsid w:val="00B86E92"/>
    <w:rsid w:val="00B905DA"/>
    <w:rsid w:val="00B90F3B"/>
    <w:rsid w:val="00B9309E"/>
    <w:rsid w:val="00B96728"/>
    <w:rsid w:val="00B9752D"/>
    <w:rsid w:val="00BA01C1"/>
    <w:rsid w:val="00BA06FA"/>
    <w:rsid w:val="00BA0A23"/>
    <w:rsid w:val="00BA2F33"/>
    <w:rsid w:val="00BA3460"/>
    <w:rsid w:val="00BA451B"/>
    <w:rsid w:val="00BA5F1E"/>
    <w:rsid w:val="00BA7782"/>
    <w:rsid w:val="00BB134D"/>
    <w:rsid w:val="00BB28E3"/>
    <w:rsid w:val="00BC0A42"/>
    <w:rsid w:val="00BC0DDB"/>
    <w:rsid w:val="00BC3E39"/>
    <w:rsid w:val="00BC3EED"/>
    <w:rsid w:val="00BC45E1"/>
    <w:rsid w:val="00BC471A"/>
    <w:rsid w:val="00BC52D2"/>
    <w:rsid w:val="00BC6F58"/>
    <w:rsid w:val="00BC7230"/>
    <w:rsid w:val="00BC785B"/>
    <w:rsid w:val="00BD07C7"/>
    <w:rsid w:val="00BD14CE"/>
    <w:rsid w:val="00BD3E65"/>
    <w:rsid w:val="00BD4652"/>
    <w:rsid w:val="00BD55D8"/>
    <w:rsid w:val="00BD600C"/>
    <w:rsid w:val="00BD62A2"/>
    <w:rsid w:val="00BE037A"/>
    <w:rsid w:val="00BE17E6"/>
    <w:rsid w:val="00BE53C5"/>
    <w:rsid w:val="00BE540B"/>
    <w:rsid w:val="00BE6576"/>
    <w:rsid w:val="00BE77A0"/>
    <w:rsid w:val="00BE7BDF"/>
    <w:rsid w:val="00BF0413"/>
    <w:rsid w:val="00BF048F"/>
    <w:rsid w:val="00BF12F5"/>
    <w:rsid w:val="00BF1FCA"/>
    <w:rsid w:val="00BF2A9D"/>
    <w:rsid w:val="00BF4DB8"/>
    <w:rsid w:val="00BF59D2"/>
    <w:rsid w:val="00C00650"/>
    <w:rsid w:val="00C01B2C"/>
    <w:rsid w:val="00C01CEF"/>
    <w:rsid w:val="00C021BB"/>
    <w:rsid w:val="00C023F5"/>
    <w:rsid w:val="00C0261F"/>
    <w:rsid w:val="00C03932"/>
    <w:rsid w:val="00C049B5"/>
    <w:rsid w:val="00C07C01"/>
    <w:rsid w:val="00C12264"/>
    <w:rsid w:val="00C1317E"/>
    <w:rsid w:val="00C142F5"/>
    <w:rsid w:val="00C15DB0"/>
    <w:rsid w:val="00C16009"/>
    <w:rsid w:val="00C20393"/>
    <w:rsid w:val="00C20E9F"/>
    <w:rsid w:val="00C23824"/>
    <w:rsid w:val="00C24B75"/>
    <w:rsid w:val="00C250FE"/>
    <w:rsid w:val="00C264D9"/>
    <w:rsid w:val="00C26556"/>
    <w:rsid w:val="00C26F6A"/>
    <w:rsid w:val="00C309CC"/>
    <w:rsid w:val="00C31354"/>
    <w:rsid w:val="00C319FB"/>
    <w:rsid w:val="00C31C5A"/>
    <w:rsid w:val="00C32638"/>
    <w:rsid w:val="00C3269C"/>
    <w:rsid w:val="00C33F41"/>
    <w:rsid w:val="00C342CA"/>
    <w:rsid w:val="00C34515"/>
    <w:rsid w:val="00C34A25"/>
    <w:rsid w:val="00C34D9A"/>
    <w:rsid w:val="00C36C08"/>
    <w:rsid w:val="00C36FF2"/>
    <w:rsid w:val="00C412AD"/>
    <w:rsid w:val="00C419F7"/>
    <w:rsid w:val="00C459AD"/>
    <w:rsid w:val="00C45F01"/>
    <w:rsid w:val="00C4698C"/>
    <w:rsid w:val="00C500FA"/>
    <w:rsid w:val="00C5207F"/>
    <w:rsid w:val="00C52D21"/>
    <w:rsid w:val="00C52EF2"/>
    <w:rsid w:val="00C5378C"/>
    <w:rsid w:val="00C54E0E"/>
    <w:rsid w:val="00C55342"/>
    <w:rsid w:val="00C573B1"/>
    <w:rsid w:val="00C5767F"/>
    <w:rsid w:val="00C61411"/>
    <w:rsid w:val="00C6146D"/>
    <w:rsid w:val="00C61D84"/>
    <w:rsid w:val="00C64190"/>
    <w:rsid w:val="00C64192"/>
    <w:rsid w:val="00C653FB"/>
    <w:rsid w:val="00C6540C"/>
    <w:rsid w:val="00C65D72"/>
    <w:rsid w:val="00C67CD6"/>
    <w:rsid w:val="00C70EFD"/>
    <w:rsid w:val="00C717C9"/>
    <w:rsid w:val="00C7351D"/>
    <w:rsid w:val="00C74030"/>
    <w:rsid w:val="00C75878"/>
    <w:rsid w:val="00C76BBB"/>
    <w:rsid w:val="00C779D4"/>
    <w:rsid w:val="00C77C0E"/>
    <w:rsid w:val="00C8231C"/>
    <w:rsid w:val="00C8343F"/>
    <w:rsid w:val="00C83AAC"/>
    <w:rsid w:val="00C85915"/>
    <w:rsid w:val="00C86AE1"/>
    <w:rsid w:val="00C935F6"/>
    <w:rsid w:val="00C9530B"/>
    <w:rsid w:val="00C959D0"/>
    <w:rsid w:val="00C95D6B"/>
    <w:rsid w:val="00C96CB2"/>
    <w:rsid w:val="00C97388"/>
    <w:rsid w:val="00C9788C"/>
    <w:rsid w:val="00C97C59"/>
    <w:rsid w:val="00CA40AB"/>
    <w:rsid w:val="00CA64A9"/>
    <w:rsid w:val="00CA7BB3"/>
    <w:rsid w:val="00CB002D"/>
    <w:rsid w:val="00CB1766"/>
    <w:rsid w:val="00CB1E90"/>
    <w:rsid w:val="00CB215C"/>
    <w:rsid w:val="00CB3B10"/>
    <w:rsid w:val="00CB3FC8"/>
    <w:rsid w:val="00CB4831"/>
    <w:rsid w:val="00CB5DBA"/>
    <w:rsid w:val="00CB5FBD"/>
    <w:rsid w:val="00CB6701"/>
    <w:rsid w:val="00CB7716"/>
    <w:rsid w:val="00CB7F2D"/>
    <w:rsid w:val="00CC044F"/>
    <w:rsid w:val="00CC23DF"/>
    <w:rsid w:val="00CC2F1C"/>
    <w:rsid w:val="00CC33DE"/>
    <w:rsid w:val="00CC43A4"/>
    <w:rsid w:val="00CC4A80"/>
    <w:rsid w:val="00CC4C01"/>
    <w:rsid w:val="00CC530D"/>
    <w:rsid w:val="00CC5B2D"/>
    <w:rsid w:val="00CC6839"/>
    <w:rsid w:val="00CC7478"/>
    <w:rsid w:val="00CC759C"/>
    <w:rsid w:val="00CC7944"/>
    <w:rsid w:val="00CD0363"/>
    <w:rsid w:val="00CD171A"/>
    <w:rsid w:val="00CD1CCD"/>
    <w:rsid w:val="00CD4F9A"/>
    <w:rsid w:val="00CD7593"/>
    <w:rsid w:val="00CD7E67"/>
    <w:rsid w:val="00CE0221"/>
    <w:rsid w:val="00CE113C"/>
    <w:rsid w:val="00CE3714"/>
    <w:rsid w:val="00CE4C48"/>
    <w:rsid w:val="00CE6C1C"/>
    <w:rsid w:val="00CE708F"/>
    <w:rsid w:val="00CE7B3F"/>
    <w:rsid w:val="00CF04B8"/>
    <w:rsid w:val="00CF0EF2"/>
    <w:rsid w:val="00CF12A3"/>
    <w:rsid w:val="00CF3D0A"/>
    <w:rsid w:val="00CF70DB"/>
    <w:rsid w:val="00CF732A"/>
    <w:rsid w:val="00D00F0E"/>
    <w:rsid w:val="00D01D61"/>
    <w:rsid w:val="00D0250E"/>
    <w:rsid w:val="00D02CD0"/>
    <w:rsid w:val="00D0343C"/>
    <w:rsid w:val="00D03A35"/>
    <w:rsid w:val="00D056DF"/>
    <w:rsid w:val="00D07526"/>
    <w:rsid w:val="00D10946"/>
    <w:rsid w:val="00D1308F"/>
    <w:rsid w:val="00D1463C"/>
    <w:rsid w:val="00D1479F"/>
    <w:rsid w:val="00D202AE"/>
    <w:rsid w:val="00D207B2"/>
    <w:rsid w:val="00D212C8"/>
    <w:rsid w:val="00D22376"/>
    <w:rsid w:val="00D22FC0"/>
    <w:rsid w:val="00D23BF0"/>
    <w:rsid w:val="00D23C89"/>
    <w:rsid w:val="00D240C0"/>
    <w:rsid w:val="00D24A6C"/>
    <w:rsid w:val="00D25A76"/>
    <w:rsid w:val="00D25C14"/>
    <w:rsid w:val="00D27486"/>
    <w:rsid w:val="00D308D8"/>
    <w:rsid w:val="00D320C1"/>
    <w:rsid w:val="00D3344A"/>
    <w:rsid w:val="00D35346"/>
    <w:rsid w:val="00D36BE9"/>
    <w:rsid w:val="00D3722A"/>
    <w:rsid w:val="00D37A9E"/>
    <w:rsid w:val="00D432C2"/>
    <w:rsid w:val="00D436B4"/>
    <w:rsid w:val="00D43F58"/>
    <w:rsid w:val="00D45EAB"/>
    <w:rsid w:val="00D47829"/>
    <w:rsid w:val="00D47927"/>
    <w:rsid w:val="00D5081D"/>
    <w:rsid w:val="00D542A9"/>
    <w:rsid w:val="00D5501F"/>
    <w:rsid w:val="00D55807"/>
    <w:rsid w:val="00D56538"/>
    <w:rsid w:val="00D61E3D"/>
    <w:rsid w:val="00D61FBD"/>
    <w:rsid w:val="00D63579"/>
    <w:rsid w:val="00D645E0"/>
    <w:rsid w:val="00D6476D"/>
    <w:rsid w:val="00D65671"/>
    <w:rsid w:val="00D6599A"/>
    <w:rsid w:val="00D6634C"/>
    <w:rsid w:val="00D669A4"/>
    <w:rsid w:val="00D7143F"/>
    <w:rsid w:val="00D72617"/>
    <w:rsid w:val="00D72F0C"/>
    <w:rsid w:val="00D7507B"/>
    <w:rsid w:val="00D7557F"/>
    <w:rsid w:val="00D75968"/>
    <w:rsid w:val="00D75BC9"/>
    <w:rsid w:val="00D75EE3"/>
    <w:rsid w:val="00D76168"/>
    <w:rsid w:val="00D77160"/>
    <w:rsid w:val="00D80E99"/>
    <w:rsid w:val="00D81BB1"/>
    <w:rsid w:val="00D81C9B"/>
    <w:rsid w:val="00D822FE"/>
    <w:rsid w:val="00D83D17"/>
    <w:rsid w:val="00D84F6A"/>
    <w:rsid w:val="00D852CC"/>
    <w:rsid w:val="00D90F27"/>
    <w:rsid w:val="00D90F8B"/>
    <w:rsid w:val="00D91A81"/>
    <w:rsid w:val="00D92517"/>
    <w:rsid w:val="00D92F3E"/>
    <w:rsid w:val="00D94E30"/>
    <w:rsid w:val="00D95F43"/>
    <w:rsid w:val="00DA06BD"/>
    <w:rsid w:val="00DA17B0"/>
    <w:rsid w:val="00DA2720"/>
    <w:rsid w:val="00DA2C00"/>
    <w:rsid w:val="00DA3CA7"/>
    <w:rsid w:val="00DA5E1F"/>
    <w:rsid w:val="00DA659B"/>
    <w:rsid w:val="00DA6D82"/>
    <w:rsid w:val="00DA6E7C"/>
    <w:rsid w:val="00DA7D08"/>
    <w:rsid w:val="00DB0227"/>
    <w:rsid w:val="00DB0E8B"/>
    <w:rsid w:val="00DB169C"/>
    <w:rsid w:val="00DB1705"/>
    <w:rsid w:val="00DB180E"/>
    <w:rsid w:val="00DB197B"/>
    <w:rsid w:val="00DB27AF"/>
    <w:rsid w:val="00DB292F"/>
    <w:rsid w:val="00DB2C9E"/>
    <w:rsid w:val="00DB3966"/>
    <w:rsid w:val="00DB3F0F"/>
    <w:rsid w:val="00DB5589"/>
    <w:rsid w:val="00DB5A3F"/>
    <w:rsid w:val="00DB696C"/>
    <w:rsid w:val="00DB74BA"/>
    <w:rsid w:val="00DC0039"/>
    <w:rsid w:val="00DC0FF5"/>
    <w:rsid w:val="00DC25BA"/>
    <w:rsid w:val="00DC2AD7"/>
    <w:rsid w:val="00DC4B00"/>
    <w:rsid w:val="00DC572A"/>
    <w:rsid w:val="00DD0031"/>
    <w:rsid w:val="00DD0FAB"/>
    <w:rsid w:val="00DD1E71"/>
    <w:rsid w:val="00DD28EA"/>
    <w:rsid w:val="00DD417C"/>
    <w:rsid w:val="00DD4E67"/>
    <w:rsid w:val="00DD5423"/>
    <w:rsid w:val="00DD620A"/>
    <w:rsid w:val="00DE11D6"/>
    <w:rsid w:val="00DE2360"/>
    <w:rsid w:val="00DE264E"/>
    <w:rsid w:val="00DE40FA"/>
    <w:rsid w:val="00DF011C"/>
    <w:rsid w:val="00DF0B9B"/>
    <w:rsid w:val="00DF2C09"/>
    <w:rsid w:val="00DF3931"/>
    <w:rsid w:val="00DF39C1"/>
    <w:rsid w:val="00DF412A"/>
    <w:rsid w:val="00DF631D"/>
    <w:rsid w:val="00DF6BD5"/>
    <w:rsid w:val="00DF6C2D"/>
    <w:rsid w:val="00E010DC"/>
    <w:rsid w:val="00E02459"/>
    <w:rsid w:val="00E02872"/>
    <w:rsid w:val="00E02941"/>
    <w:rsid w:val="00E03081"/>
    <w:rsid w:val="00E05B90"/>
    <w:rsid w:val="00E06224"/>
    <w:rsid w:val="00E105BC"/>
    <w:rsid w:val="00E108C8"/>
    <w:rsid w:val="00E108DC"/>
    <w:rsid w:val="00E114D9"/>
    <w:rsid w:val="00E134A9"/>
    <w:rsid w:val="00E1355C"/>
    <w:rsid w:val="00E13C84"/>
    <w:rsid w:val="00E150E0"/>
    <w:rsid w:val="00E15791"/>
    <w:rsid w:val="00E1686B"/>
    <w:rsid w:val="00E17101"/>
    <w:rsid w:val="00E2108D"/>
    <w:rsid w:val="00E21F53"/>
    <w:rsid w:val="00E21F9F"/>
    <w:rsid w:val="00E220EA"/>
    <w:rsid w:val="00E23054"/>
    <w:rsid w:val="00E236AB"/>
    <w:rsid w:val="00E237A8"/>
    <w:rsid w:val="00E25852"/>
    <w:rsid w:val="00E26D98"/>
    <w:rsid w:val="00E27508"/>
    <w:rsid w:val="00E30066"/>
    <w:rsid w:val="00E30827"/>
    <w:rsid w:val="00E31B7F"/>
    <w:rsid w:val="00E31BA9"/>
    <w:rsid w:val="00E33134"/>
    <w:rsid w:val="00E337E8"/>
    <w:rsid w:val="00E33E8D"/>
    <w:rsid w:val="00E33F7B"/>
    <w:rsid w:val="00E34AA2"/>
    <w:rsid w:val="00E35507"/>
    <w:rsid w:val="00E370F1"/>
    <w:rsid w:val="00E37552"/>
    <w:rsid w:val="00E37DE3"/>
    <w:rsid w:val="00E37FAF"/>
    <w:rsid w:val="00E42B30"/>
    <w:rsid w:val="00E42DA2"/>
    <w:rsid w:val="00E45E6B"/>
    <w:rsid w:val="00E5097C"/>
    <w:rsid w:val="00E50CCF"/>
    <w:rsid w:val="00E51050"/>
    <w:rsid w:val="00E51833"/>
    <w:rsid w:val="00E53109"/>
    <w:rsid w:val="00E5361B"/>
    <w:rsid w:val="00E546FD"/>
    <w:rsid w:val="00E54925"/>
    <w:rsid w:val="00E6107B"/>
    <w:rsid w:val="00E611B7"/>
    <w:rsid w:val="00E61C4E"/>
    <w:rsid w:val="00E632EE"/>
    <w:rsid w:val="00E65A41"/>
    <w:rsid w:val="00E706D8"/>
    <w:rsid w:val="00E710C9"/>
    <w:rsid w:val="00E724E4"/>
    <w:rsid w:val="00E73312"/>
    <w:rsid w:val="00E735D4"/>
    <w:rsid w:val="00E75928"/>
    <w:rsid w:val="00E76439"/>
    <w:rsid w:val="00E76BAC"/>
    <w:rsid w:val="00E80002"/>
    <w:rsid w:val="00E80317"/>
    <w:rsid w:val="00E804AB"/>
    <w:rsid w:val="00E83A2B"/>
    <w:rsid w:val="00E841FF"/>
    <w:rsid w:val="00E84544"/>
    <w:rsid w:val="00E858D9"/>
    <w:rsid w:val="00E86052"/>
    <w:rsid w:val="00E862F4"/>
    <w:rsid w:val="00E87508"/>
    <w:rsid w:val="00E9032B"/>
    <w:rsid w:val="00E92AE1"/>
    <w:rsid w:val="00E92DE1"/>
    <w:rsid w:val="00E936E0"/>
    <w:rsid w:val="00E96DCA"/>
    <w:rsid w:val="00EA0702"/>
    <w:rsid w:val="00EA10E2"/>
    <w:rsid w:val="00EA5C42"/>
    <w:rsid w:val="00EB0730"/>
    <w:rsid w:val="00EB4E77"/>
    <w:rsid w:val="00EB5BE4"/>
    <w:rsid w:val="00EB6058"/>
    <w:rsid w:val="00EC0E72"/>
    <w:rsid w:val="00EC2317"/>
    <w:rsid w:val="00EC2990"/>
    <w:rsid w:val="00EC2A4D"/>
    <w:rsid w:val="00EC44F3"/>
    <w:rsid w:val="00EC4647"/>
    <w:rsid w:val="00EC4A6C"/>
    <w:rsid w:val="00EC4FBB"/>
    <w:rsid w:val="00EC52E0"/>
    <w:rsid w:val="00EC55C8"/>
    <w:rsid w:val="00EC6143"/>
    <w:rsid w:val="00EC6323"/>
    <w:rsid w:val="00ED1803"/>
    <w:rsid w:val="00ED200B"/>
    <w:rsid w:val="00ED2E12"/>
    <w:rsid w:val="00ED4F03"/>
    <w:rsid w:val="00ED7509"/>
    <w:rsid w:val="00EE173D"/>
    <w:rsid w:val="00EE1868"/>
    <w:rsid w:val="00EE1CB9"/>
    <w:rsid w:val="00EE24D6"/>
    <w:rsid w:val="00EE475F"/>
    <w:rsid w:val="00EE59C6"/>
    <w:rsid w:val="00EE7852"/>
    <w:rsid w:val="00EF0C04"/>
    <w:rsid w:val="00EF1864"/>
    <w:rsid w:val="00EF26B4"/>
    <w:rsid w:val="00EF3641"/>
    <w:rsid w:val="00EF5BF9"/>
    <w:rsid w:val="00EF63CB"/>
    <w:rsid w:val="00EF7C06"/>
    <w:rsid w:val="00F02E36"/>
    <w:rsid w:val="00F0392F"/>
    <w:rsid w:val="00F04707"/>
    <w:rsid w:val="00F04ACD"/>
    <w:rsid w:val="00F057D3"/>
    <w:rsid w:val="00F06A99"/>
    <w:rsid w:val="00F06BBB"/>
    <w:rsid w:val="00F110F6"/>
    <w:rsid w:val="00F11EEF"/>
    <w:rsid w:val="00F122E7"/>
    <w:rsid w:val="00F1408F"/>
    <w:rsid w:val="00F147DB"/>
    <w:rsid w:val="00F152B2"/>
    <w:rsid w:val="00F157B5"/>
    <w:rsid w:val="00F169F3"/>
    <w:rsid w:val="00F17401"/>
    <w:rsid w:val="00F200E3"/>
    <w:rsid w:val="00F20D82"/>
    <w:rsid w:val="00F210BA"/>
    <w:rsid w:val="00F211D1"/>
    <w:rsid w:val="00F22056"/>
    <w:rsid w:val="00F22153"/>
    <w:rsid w:val="00F22AFE"/>
    <w:rsid w:val="00F23D40"/>
    <w:rsid w:val="00F265F6"/>
    <w:rsid w:val="00F2690F"/>
    <w:rsid w:val="00F27291"/>
    <w:rsid w:val="00F32569"/>
    <w:rsid w:val="00F33612"/>
    <w:rsid w:val="00F33C90"/>
    <w:rsid w:val="00F33EEA"/>
    <w:rsid w:val="00F35C22"/>
    <w:rsid w:val="00F3661E"/>
    <w:rsid w:val="00F41337"/>
    <w:rsid w:val="00F41940"/>
    <w:rsid w:val="00F44405"/>
    <w:rsid w:val="00F44A77"/>
    <w:rsid w:val="00F46255"/>
    <w:rsid w:val="00F46BAA"/>
    <w:rsid w:val="00F50007"/>
    <w:rsid w:val="00F50E67"/>
    <w:rsid w:val="00F5158A"/>
    <w:rsid w:val="00F53282"/>
    <w:rsid w:val="00F53A2D"/>
    <w:rsid w:val="00F53B21"/>
    <w:rsid w:val="00F55369"/>
    <w:rsid w:val="00F5608F"/>
    <w:rsid w:val="00F60DAD"/>
    <w:rsid w:val="00F61F8E"/>
    <w:rsid w:val="00F63405"/>
    <w:rsid w:val="00F64156"/>
    <w:rsid w:val="00F64951"/>
    <w:rsid w:val="00F67501"/>
    <w:rsid w:val="00F67CBF"/>
    <w:rsid w:val="00F67D60"/>
    <w:rsid w:val="00F711BE"/>
    <w:rsid w:val="00F726B2"/>
    <w:rsid w:val="00F730FF"/>
    <w:rsid w:val="00F73CCA"/>
    <w:rsid w:val="00F73CF6"/>
    <w:rsid w:val="00F75BFF"/>
    <w:rsid w:val="00F76834"/>
    <w:rsid w:val="00F76A83"/>
    <w:rsid w:val="00F77DAE"/>
    <w:rsid w:val="00F802CE"/>
    <w:rsid w:val="00F812A4"/>
    <w:rsid w:val="00F81C7B"/>
    <w:rsid w:val="00F82749"/>
    <w:rsid w:val="00F83D29"/>
    <w:rsid w:val="00F83ED3"/>
    <w:rsid w:val="00F84D2E"/>
    <w:rsid w:val="00F857B4"/>
    <w:rsid w:val="00F86B26"/>
    <w:rsid w:val="00F86C88"/>
    <w:rsid w:val="00F87535"/>
    <w:rsid w:val="00F87D2E"/>
    <w:rsid w:val="00F90991"/>
    <w:rsid w:val="00F913BE"/>
    <w:rsid w:val="00F929CD"/>
    <w:rsid w:val="00F950AA"/>
    <w:rsid w:val="00F95386"/>
    <w:rsid w:val="00F962B4"/>
    <w:rsid w:val="00FA0210"/>
    <w:rsid w:val="00FA26A3"/>
    <w:rsid w:val="00FA3AA3"/>
    <w:rsid w:val="00FA5D62"/>
    <w:rsid w:val="00FA76D8"/>
    <w:rsid w:val="00FB08CC"/>
    <w:rsid w:val="00FB2825"/>
    <w:rsid w:val="00FB2E89"/>
    <w:rsid w:val="00FB3686"/>
    <w:rsid w:val="00FB4545"/>
    <w:rsid w:val="00FB4B18"/>
    <w:rsid w:val="00FB578C"/>
    <w:rsid w:val="00FB5F91"/>
    <w:rsid w:val="00FB7BC0"/>
    <w:rsid w:val="00FC0756"/>
    <w:rsid w:val="00FC0A50"/>
    <w:rsid w:val="00FC1A5C"/>
    <w:rsid w:val="00FC21B3"/>
    <w:rsid w:val="00FC39EA"/>
    <w:rsid w:val="00FC3FD5"/>
    <w:rsid w:val="00FC4AAC"/>
    <w:rsid w:val="00FC4ECC"/>
    <w:rsid w:val="00FC5B66"/>
    <w:rsid w:val="00FC5FC5"/>
    <w:rsid w:val="00FD147A"/>
    <w:rsid w:val="00FD15AF"/>
    <w:rsid w:val="00FD23EE"/>
    <w:rsid w:val="00FD2F1A"/>
    <w:rsid w:val="00FD5F57"/>
    <w:rsid w:val="00FD6865"/>
    <w:rsid w:val="00FD7F01"/>
    <w:rsid w:val="00FE1185"/>
    <w:rsid w:val="00FE44CF"/>
    <w:rsid w:val="00FE4692"/>
    <w:rsid w:val="00FE4721"/>
    <w:rsid w:val="00FE4D2A"/>
    <w:rsid w:val="00FE4FD0"/>
    <w:rsid w:val="00FF073E"/>
    <w:rsid w:val="00FF0799"/>
    <w:rsid w:val="00FF21F2"/>
    <w:rsid w:val="00FF291B"/>
    <w:rsid w:val="00FF3659"/>
    <w:rsid w:val="00FF4756"/>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paragraph" w:styleId="Heading2">
    <w:name w:val="heading 2"/>
    <w:basedOn w:val="Normal"/>
    <w:next w:val="Normal"/>
    <w:link w:val="Heading2Char"/>
    <w:uiPriority w:val="9"/>
    <w:semiHidden/>
    <w:unhideWhenUsed/>
    <w:qFormat/>
    <w:rsid w:val="005F27C0"/>
    <w:pPr>
      <w:keepNext/>
      <w:keepLines/>
      <w:spacing w:before="200"/>
      <w:outlineLvl w:val="1"/>
    </w:pPr>
    <w:rPr>
      <w:rFonts w:ascii="Cambria" w:hAnsi="Cambria"/>
      <w:b/>
      <w:bCs/>
      <w:color w:val="4F81BD"/>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Heading2Char">
    <w:name w:val="Heading 2 Char"/>
    <w:basedOn w:val="DefaultParagraphFont"/>
    <w:link w:val="Heading2"/>
    <w:uiPriority w:val="9"/>
    <w:semiHidden/>
    <w:rsid w:val="005F27C0"/>
    <w:rPr>
      <w:rFonts w:ascii="Cambria" w:eastAsia="Times New Roman" w:hAnsi="Cambria" w:cs="Times New Roman"/>
      <w:b/>
      <w:bCs/>
      <w:color w:val="4F81BD"/>
      <w:sz w:val="26"/>
      <w:szCs w:val="26"/>
      <w:lang w:val="en-CA"/>
    </w:rPr>
  </w:style>
  <w:style w:type="paragraph" w:customStyle="1" w:styleId="SCCLsocVersus">
    <w:name w:val="SCC.Lsoc.Versus"/>
    <w:basedOn w:val="Normal"/>
    <w:next w:val="Normal"/>
    <w:link w:val="SCCLsocVersusChar"/>
    <w:rsid w:val="00554EC9"/>
    <w:pPr>
      <w:jc w:val="center"/>
    </w:pPr>
    <w:rPr>
      <w:rFonts w:eastAsiaTheme="minorHAnsi" w:cstheme="minorBidi"/>
      <w:szCs w:val="24"/>
      <w:lang w:val="en-CA"/>
    </w:rPr>
  </w:style>
  <w:style w:type="character" w:customStyle="1" w:styleId="SCCLsocVersusChar">
    <w:name w:val="SCC.Lsoc.Versus Char"/>
    <w:basedOn w:val="DefaultParagraphFont"/>
    <w:link w:val="SCCLsocVersus"/>
    <w:rsid w:val="00554EC9"/>
    <w:rPr>
      <w:rFonts w:ascii="Times New Roman" w:eastAsiaTheme="minorHAnsi" w:hAnsi="Times New Roman" w:cstheme="minorBidi"/>
      <w:sz w:val="24"/>
      <w:szCs w:val="24"/>
      <w:lang w:val="en-CA"/>
    </w:rPr>
  </w:style>
  <w:style w:type="paragraph" w:customStyle="1" w:styleId="SCCLsocPartyRole">
    <w:name w:val="SCC.Lsoc.PartyRole"/>
    <w:basedOn w:val="Normal"/>
    <w:next w:val="Normal"/>
    <w:link w:val="SCCLsocPartyRoleChar"/>
    <w:rsid w:val="00554EC9"/>
    <w:pPr>
      <w:jc w:val="center"/>
    </w:pPr>
    <w:rPr>
      <w:rFonts w:eastAsiaTheme="minorHAnsi" w:cstheme="minorBidi"/>
      <w:szCs w:val="24"/>
      <w:lang w:val="en-CA"/>
    </w:rPr>
  </w:style>
  <w:style w:type="character" w:customStyle="1" w:styleId="SCCLsocPartyRoleChar">
    <w:name w:val="SCC.Lsoc.PartyRole Char"/>
    <w:basedOn w:val="DefaultParagraphFont"/>
    <w:link w:val="SCCLsocPartyRole"/>
    <w:rsid w:val="00554EC9"/>
    <w:rPr>
      <w:rFonts w:ascii="Times New Roman" w:eastAsiaTheme="minorHAnsi" w:hAnsi="Times New Roman" w:cstheme="minorBidi"/>
      <w:sz w:val="24"/>
      <w:szCs w:val="24"/>
      <w:lang w:val="en-CA"/>
    </w:rPr>
  </w:style>
  <w:style w:type="paragraph" w:customStyle="1" w:styleId="SCCLsocPrefix">
    <w:name w:val="SCC.Lsoc.Prefix"/>
    <w:basedOn w:val="Normal"/>
    <w:next w:val="Normal"/>
    <w:link w:val="SCCLsocPrefixChar"/>
    <w:rsid w:val="00554EC9"/>
    <w:rPr>
      <w:rFonts w:eastAsiaTheme="minorHAnsi" w:cstheme="minorBidi"/>
      <w:b/>
      <w:smallCaps/>
      <w:szCs w:val="24"/>
      <w:lang w:val="en-CA"/>
    </w:rPr>
  </w:style>
  <w:style w:type="character" w:customStyle="1" w:styleId="SCCLsocPrefixChar">
    <w:name w:val="SCC.Lsoc.Prefix Char"/>
    <w:basedOn w:val="DefaultParagraphFont"/>
    <w:link w:val="SCCLsocPrefix"/>
    <w:rsid w:val="00554EC9"/>
    <w:rPr>
      <w:rFonts w:ascii="Times New Roman" w:eastAsiaTheme="minorHAnsi" w:hAnsi="Times New Roman" w:cstheme="minorBidi"/>
      <w:b/>
      <w:smallCaps/>
      <w:sz w:val="24"/>
      <w:szCs w:val="24"/>
      <w:lang w:val="en-CA"/>
    </w:rPr>
  </w:style>
  <w:style w:type="paragraph" w:customStyle="1" w:styleId="SCCLsocOtherPartySeparator">
    <w:name w:val="SCC.Lsoc.OtherPartySeparator"/>
    <w:basedOn w:val="Normal"/>
    <w:next w:val="Normal"/>
    <w:link w:val="SCCLsocOtherPartySeparatorChar"/>
    <w:rsid w:val="00554EC9"/>
    <w:pPr>
      <w:jc w:val="center"/>
    </w:pPr>
    <w:rPr>
      <w:rFonts w:eastAsiaTheme="minorHAnsi" w:cstheme="minorBidi"/>
      <w:szCs w:val="24"/>
      <w:lang w:val="en-CA"/>
    </w:rPr>
  </w:style>
  <w:style w:type="character" w:customStyle="1" w:styleId="SCCLsocOtherPartySeparatorChar">
    <w:name w:val="SCC.Lsoc.OtherPartySeparator Char"/>
    <w:basedOn w:val="DefaultParagraphFont"/>
    <w:link w:val="SCCLsocOtherPartySeparator"/>
    <w:rsid w:val="00554EC9"/>
    <w:rPr>
      <w:rFonts w:ascii="Times New Roman" w:eastAsiaTheme="minorHAnsi" w:hAnsi="Times New Roman" w:cstheme="minorBidi"/>
      <w:sz w:val="24"/>
      <w:szCs w:val="24"/>
      <w:lang w:val="en-CA"/>
    </w:rPr>
  </w:style>
  <w:style w:type="character" w:customStyle="1" w:styleId="shorttext">
    <w:name w:val="shorttext"/>
    <w:basedOn w:val="DefaultParagraphFont"/>
    <w:rsid w:val="000B01CD"/>
  </w:style>
  <w:style w:type="paragraph" w:customStyle="1" w:styleId="SCCCoram">
    <w:name w:val="SCC.Coram"/>
    <w:basedOn w:val="Normal"/>
    <w:next w:val="Normal"/>
    <w:link w:val="SCCCoramChar"/>
    <w:rsid w:val="00113D71"/>
    <w:pPr>
      <w:pBdr>
        <w:bottom w:val="single" w:sz="4" w:space="1" w:color="auto"/>
      </w:pBdr>
    </w:pPr>
    <w:rPr>
      <w:rFonts w:eastAsiaTheme="minorHAnsi" w:cstheme="minorBidi"/>
      <w:szCs w:val="22"/>
      <w:lang w:val="en-CA"/>
    </w:rPr>
  </w:style>
  <w:style w:type="character" w:customStyle="1" w:styleId="SCCCoramChar">
    <w:name w:val="SCC.Coram Char"/>
    <w:basedOn w:val="DefaultParagraphFont"/>
    <w:link w:val="SCCCoram"/>
    <w:rsid w:val="00113D71"/>
    <w:rPr>
      <w:rFonts w:ascii="Times New Roman" w:eastAsiaTheme="minorHAnsi" w:hAnsi="Times New Roman" w:cstheme="minorBidi"/>
      <w:sz w:val="24"/>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1759549">
      <w:bodyDiv w:val="1"/>
      <w:marLeft w:val="0"/>
      <w:marRight w:val="0"/>
      <w:marTop w:val="0"/>
      <w:marBottom w:val="0"/>
      <w:divBdr>
        <w:top w:val="none" w:sz="0" w:space="0" w:color="auto"/>
        <w:left w:val="none" w:sz="0" w:space="0" w:color="auto"/>
        <w:bottom w:val="none" w:sz="0" w:space="0" w:color="auto"/>
        <w:right w:val="none" w:sz="0" w:space="0" w:color="auto"/>
      </w:divBdr>
    </w:div>
    <w:div w:id="62526263">
      <w:bodyDiv w:val="1"/>
      <w:marLeft w:val="0"/>
      <w:marRight w:val="0"/>
      <w:marTop w:val="0"/>
      <w:marBottom w:val="0"/>
      <w:divBdr>
        <w:top w:val="none" w:sz="0" w:space="0" w:color="auto"/>
        <w:left w:val="none" w:sz="0" w:space="0" w:color="auto"/>
        <w:bottom w:val="none" w:sz="0" w:space="0" w:color="auto"/>
        <w:right w:val="none" w:sz="0" w:space="0" w:color="auto"/>
      </w:divBdr>
    </w:div>
    <w:div w:id="83697709">
      <w:bodyDiv w:val="1"/>
      <w:marLeft w:val="0"/>
      <w:marRight w:val="0"/>
      <w:marTop w:val="0"/>
      <w:marBottom w:val="0"/>
      <w:divBdr>
        <w:top w:val="none" w:sz="0" w:space="0" w:color="auto"/>
        <w:left w:val="none" w:sz="0" w:space="0" w:color="auto"/>
        <w:bottom w:val="none" w:sz="0" w:space="0" w:color="auto"/>
        <w:right w:val="none" w:sz="0" w:space="0" w:color="auto"/>
      </w:divBdr>
    </w:div>
    <w:div w:id="86925013">
      <w:bodyDiv w:val="1"/>
      <w:marLeft w:val="0"/>
      <w:marRight w:val="0"/>
      <w:marTop w:val="0"/>
      <w:marBottom w:val="0"/>
      <w:divBdr>
        <w:top w:val="none" w:sz="0" w:space="0" w:color="auto"/>
        <w:left w:val="none" w:sz="0" w:space="0" w:color="auto"/>
        <w:bottom w:val="none" w:sz="0" w:space="0" w:color="auto"/>
        <w:right w:val="none" w:sz="0" w:space="0" w:color="auto"/>
      </w:divBdr>
    </w:div>
    <w:div w:id="112797411">
      <w:bodyDiv w:val="1"/>
      <w:marLeft w:val="0"/>
      <w:marRight w:val="0"/>
      <w:marTop w:val="0"/>
      <w:marBottom w:val="0"/>
      <w:divBdr>
        <w:top w:val="none" w:sz="0" w:space="0" w:color="auto"/>
        <w:left w:val="none" w:sz="0" w:space="0" w:color="auto"/>
        <w:bottom w:val="none" w:sz="0" w:space="0" w:color="auto"/>
        <w:right w:val="none" w:sz="0" w:space="0" w:color="auto"/>
      </w:divBdr>
    </w:div>
    <w:div w:id="126551166">
      <w:bodyDiv w:val="1"/>
      <w:marLeft w:val="0"/>
      <w:marRight w:val="0"/>
      <w:marTop w:val="0"/>
      <w:marBottom w:val="0"/>
      <w:divBdr>
        <w:top w:val="none" w:sz="0" w:space="0" w:color="auto"/>
        <w:left w:val="none" w:sz="0" w:space="0" w:color="auto"/>
        <w:bottom w:val="none" w:sz="0" w:space="0" w:color="auto"/>
        <w:right w:val="none" w:sz="0" w:space="0" w:color="auto"/>
      </w:divBdr>
    </w:div>
    <w:div w:id="13691685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93543952">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128156">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84654114">
      <w:bodyDiv w:val="1"/>
      <w:marLeft w:val="0"/>
      <w:marRight w:val="0"/>
      <w:marTop w:val="0"/>
      <w:marBottom w:val="0"/>
      <w:divBdr>
        <w:top w:val="none" w:sz="0" w:space="0" w:color="auto"/>
        <w:left w:val="none" w:sz="0" w:space="0" w:color="auto"/>
        <w:bottom w:val="none" w:sz="0" w:space="0" w:color="auto"/>
        <w:right w:val="none" w:sz="0" w:space="0" w:color="auto"/>
      </w:divBdr>
    </w:div>
    <w:div w:id="291136290">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1044567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406420082">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25884670">
      <w:bodyDiv w:val="1"/>
      <w:marLeft w:val="0"/>
      <w:marRight w:val="0"/>
      <w:marTop w:val="0"/>
      <w:marBottom w:val="0"/>
      <w:divBdr>
        <w:top w:val="none" w:sz="0" w:space="0" w:color="auto"/>
        <w:left w:val="none" w:sz="0" w:space="0" w:color="auto"/>
        <w:bottom w:val="none" w:sz="0" w:space="0" w:color="auto"/>
        <w:right w:val="none" w:sz="0" w:space="0" w:color="auto"/>
      </w:divBdr>
    </w:div>
    <w:div w:id="459497231">
      <w:bodyDiv w:val="1"/>
      <w:marLeft w:val="0"/>
      <w:marRight w:val="0"/>
      <w:marTop w:val="0"/>
      <w:marBottom w:val="0"/>
      <w:divBdr>
        <w:top w:val="none" w:sz="0" w:space="0" w:color="auto"/>
        <w:left w:val="none" w:sz="0" w:space="0" w:color="auto"/>
        <w:bottom w:val="none" w:sz="0" w:space="0" w:color="auto"/>
        <w:right w:val="none" w:sz="0" w:space="0" w:color="auto"/>
      </w:divBdr>
    </w:div>
    <w:div w:id="484933096">
      <w:bodyDiv w:val="1"/>
      <w:marLeft w:val="0"/>
      <w:marRight w:val="0"/>
      <w:marTop w:val="0"/>
      <w:marBottom w:val="0"/>
      <w:divBdr>
        <w:top w:val="none" w:sz="0" w:space="0" w:color="auto"/>
        <w:left w:val="none" w:sz="0" w:space="0" w:color="auto"/>
        <w:bottom w:val="none" w:sz="0" w:space="0" w:color="auto"/>
        <w:right w:val="none" w:sz="0" w:space="0" w:color="auto"/>
      </w:divBdr>
    </w:div>
    <w:div w:id="496769084">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25234324">
      <w:bodyDiv w:val="1"/>
      <w:marLeft w:val="0"/>
      <w:marRight w:val="0"/>
      <w:marTop w:val="0"/>
      <w:marBottom w:val="0"/>
      <w:divBdr>
        <w:top w:val="none" w:sz="0" w:space="0" w:color="auto"/>
        <w:left w:val="none" w:sz="0" w:space="0" w:color="auto"/>
        <w:bottom w:val="none" w:sz="0" w:space="0" w:color="auto"/>
        <w:right w:val="none" w:sz="0" w:space="0" w:color="auto"/>
      </w:divBdr>
    </w:div>
    <w:div w:id="65492066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274867">
      <w:bodyDiv w:val="1"/>
      <w:marLeft w:val="0"/>
      <w:marRight w:val="0"/>
      <w:marTop w:val="0"/>
      <w:marBottom w:val="0"/>
      <w:divBdr>
        <w:top w:val="none" w:sz="0" w:space="0" w:color="auto"/>
        <w:left w:val="none" w:sz="0" w:space="0" w:color="auto"/>
        <w:bottom w:val="none" w:sz="0" w:space="0" w:color="auto"/>
        <w:right w:val="none" w:sz="0" w:space="0" w:color="auto"/>
      </w:divBdr>
    </w:div>
    <w:div w:id="691495007">
      <w:bodyDiv w:val="1"/>
      <w:marLeft w:val="0"/>
      <w:marRight w:val="0"/>
      <w:marTop w:val="0"/>
      <w:marBottom w:val="0"/>
      <w:divBdr>
        <w:top w:val="none" w:sz="0" w:space="0" w:color="auto"/>
        <w:left w:val="none" w:sz="0" w:space="0" w:color="auto"/>
        <w:bottom w:val="none" w:sz="0" w:space="0" w:color="auto"/>
        <w:right w:val="none" w:sz="0" w:space="0" w:color="auto"/>
      </w:divBdr>
    </w:div>
    <w:div w:id="731465498">
      <w:bodyDiv w:val="1"/>
      <w:marLeft w:val="0"/>
      <w:marRight w:val="0"/>
      <w:marTop w:val="0"/>
      <w:marBottom w:val="0"/>
      <w:divBdr>
        <w:top w:val="none" w:sz="0" w:space="0" w:color="auto"/>
        <w:left w:val="none" w:sz="0" w:space="0" w:color="auto"/>
        <w:bottom w:val="none" w:sz="0" w:space="0" w:color="auto"/>
        <w:right w:val="none" w:sz="0" w:space="0" w:color="auto"/>
      </w:divBdr>
    </w:div>
    <w:div w:id="74195177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93017812">
      <w:bodyDiv w:val="1"/>
      <w:marLeft w:val="0"/>
      <w:marRight w:val="0"/>
      <w:marTop w:val="0"/>
      <w:marBottom w:val="0"/>
      <w:divBdr>
        <w:top w:val="none" w:sz="0" w:space="0" w:color="auto"/>
        <w:left w:val="none" w:sz="0" w:space="0" w:color="auto"/>
        <w:bottom w:val="none" w:sz="0" w:space="0" w:color="auto"/>
        <w:right w:val="none" w:sz="0" w:space="0" w:color="auto"/>
      </w:divBdr>
    </w:div>
    <w:div w:id="814680918">
      <w:bodyDiv w:val="1"/>
      <w:marLeft w:val="0"/>
      <w:marRight w:val="0"/>
      <w:marTop w:val="0"/>
      <w:marBottom w:val="0"/>
      <w:divBdr>
        <w:top w:val="none" w:sz="0" w:space="0" w:color="auto"/>
        <w:left w:val="none" w:sz="0" w:space="0" w:color="auto"/>
        <w:bottom w:val="none" w:sz="0" w:space="0" w:color="auto"/>
        <w:right w:val="none" w:sz="0" w:space="0" w:color="auto"/>
      </w:divBdr>
    </w:div>
    <w:div w:id="839808704">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1430328">
      <w:bodyDiv w:val="1"/>
      <w:marLeft w:val="0"/>
      <w:marRight w:val="0"/>
      <w:marTop w:val="0"/>
      <w:marBottom w:val="0"/>
      <w:divBdr>
        <w:top w:val="none" w:sz="0" w:space="0" w:color="auto"/>
        <w:left w:val="none" w:sz="0" w:space="0" w:color="auto"/>
        <w:bottom w:val="none" w:sz="0" w:space="0" w:color="auto"/>
        <w:right w:val="none" w:sz="0" w:space="0" w:color="auto"/>
      </w:divBdr>
    </w:div>
    <w:div w:id="916017800">
      <w:bodyDiv w:val="1"/>
      <w:marLeft w:val="0"/>
      <w:marRight w:val="0"/>
      <w:marTop w:val="0"/>
      <w:marBottom w:val="0"/>
      <w:divBdr>
        <w:top w:val="none" w:sz="0" w:space="0" w:color="auto"/>
        <w:left w:val="none" w:sz="0" w:space="0" w:color="auto"/>
        <w:bottom w:val="none" w:sz="0" w:space="0" w:color="auto"/>
        <w:right w:val="none" w:sz="0" w:space="0" w:color="auto"/>
      </w:divBdr>
    </w:div>
    <w:div w:id="940332172">
      <w:bodyDiv w:val="1"/>
      <w:marLeft w:val="0"/>
      <w:marRight w:val="0"/>
      <w:marTop w:val="0"/>
      <w:marBottom w:val="0"/>
      <w:divBdr>
        <w:top w:val="none" w:sz="0" w:space="0" w:color="auto"/>
        <w:left w:val="none" w:sz="0" w:space="0" w:color="auto"/>
        <w:bottom w:val="none" w:sz="0" w:space="0" w:color="auto"/>
        <w:right w:val="none" w:sz="0" w:space="0" w:color="auto"/>
      </w:divBdr>
    </w:div>
    <w:div w:id="980422160">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5954999">
      <w:bodyDiv w:val="1"/>
      <w:marLeft w:val="0"/>
      <w:marRight w:val="0"/>
      <w:marTop w:val="0"/>
      <w:marBottom w:val="0"/>
      <w:divBdr>
        <w:top w:val="none" w:sz="0" w:space="0" w:color="auto"/>
        <w:left w:val="none" w:sz="0" w:space="0" w:color="auto"/>
        <w:bottom w:val="none" w:sz="0" w:space="0" w:color="auto"/>
        <w:right w:val="none" w:sz="0" w:space="0" w:color="auto"/>
      </w:divBdr>
    </w:div>
    <w:div w:id="1085803581">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097943829">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792315">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40334540">
      <w:bodyDiv w:val="1"/>
      <w:marLeft w:val="0"/>
      <w:marRight w:val="0"/>
      <w:marTop w:val="0"/>
      <w:marBottom w:val="0"/>
      <w:divBdr>
        <w:top w:val="none" w:sz="0" w:space="0" w:color="auto"/>
        <w:left w:val="none" w:sz="0" w:space="0" w:color="auto"/>
        <w:bottom w:val="none" w:sz="0" w:space="0" w:color="auto"/>
        <w:right w:val="none" w:sz="0" w:space="0" w:color="auto"/>
      </w:divBdr>
    </w:div>
    <w:div w:id="1261641051">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0570682">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1395770">
      <w:bodyDiv w:val="1"/>
      <w:marLeft w:val="0"/>
      <w:marRight w:val="0"/>
      <w:marTop w:val="0"/>
      <w:marBottom w:val="0"/>
      <w:divBdr>
        <w:top w:val="none" w:sz="0" w:space="0" w:color="auto"/>
        <w:left w:val="none" w:sz="0" w:space="0" w:color="auto"/>
        <w:bottom w:val="none" w:sz="0" w:space="0" w:color="auto"/>
        <w:right w:val="none" w:sz="0" w:space="0" w:color="auto"/>
      </w:divBdr>
    </w:div>
    <w:div w:id="1361468585">
      <w:bodyDiv w:val="1"/>
      <w:marLeft w:val="0"/>
      <w:marRight w:val="0"/>
      <w:marTop w:val="0"/>
      <w:marBottom w:val="0"/>
      <w:divBdr>
        <w:top w:val="none" w:sz="0" w:space="0" w:color="auto"/>
        <w:left w:val="none" w:sz="0" w:space="0" w:color="auto"/>
        <w:bottom w:val="none" w:sz="0" w:space="0" w:color="auto"/>
        <w:right w:val="none" w:sz="0" w:space="0" w:color="auto"/>
      </w:divBdr>
    </w:div>
    <w:div w:id="1363701209">
      <w:bodyDiv w:val="1"/>
      <w:marLeft w:val="0"/>
      <w:marRight w:val="0"/>
      <w:marTop w:val="0"/>
      <w:marBottom w:val="0"/>
      <w:divBdr>
        <w:top w:val="none" w:sz="0" w:space="0" w:color="auto"/>
        <w:left w:val="none" w:sz="0" w:space="0" w:color="auto"/>
        <w:bottom w:val="none" w:sz="0" w:space="0" w:color="auto"/>
        <w:right w:val="none" w:sz="0" w:space="0" w:color="auto"/>
      </w:divBdr>
    </w:div>
    <w:div w:id="1381200599">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413430427">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332645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2136485">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0653626">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47658170">
      <w:bodyDiv w:val="1"/>
      <w:marLeft w:val="0"/>
      <w:marRight w:val="0"/>
      <w:marTop w:val="0"/>
      <w:marBottom w:val="0"/>
      <w:divBdr>
        <w:top w:val="none" w:sz="0" w:space="0" w:color="auto"/>
        <w:left w:val="none" w:sz="0" w:space="0" w:color="auto"/>
        <w:bottom w:val="none" w:sz="0" w:space="0" w:color="auto"/>
        <w:right w:val="none" w:sz="0" w:space="0" w:color="auto"/>
      </w:divBdr>
    </w:div>
    <w:div w:id="1648630949">
      <w:bodyDiv w:val="1"/>
      <w:marLeft w:val="0"/>
      <w:marRight w:val="0"/>
      <w:marTop w:val="0"/>
      <w:marBottom w:val="0"/>
      <w:divBdr>
        <w:top w:val="none" w:sz="0" w:space="0" w:color="auto"/>
        <w:left w:val="none" w:sz="0" w:space="0" w:color="auto"/>
        <w:bottom w:val="none" w:sz="0" w:space="0" w:color="auto"/>
        <w:right w:val="none" w:sz="0" w:space="0" w:color="auto"/>
      </w:divBdr>
    </w:div>
    <w:div w:id="1656644802">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704943902">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9019660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27476351">
      <w:bodyDiv w:val="1"/>
      <w:marLeft w:val="0"/>
      <w:marRight w:val="0"/>
      <w:marTop w:val="0"/>
      <w:marBottom w:val="0"/>
      <w:divBdr>
        <w:top w:val="none" w:sz="0" w:space="0" w:color="auto"/>
        <w:left w:val="none" w:sz="0" w:space="0" w:color="auto"/>
        <w:bottom w:val="none" w:sz="0" w:space="0" w:color="auto"/>
        <w:right w:val="none" w:sz="0" w:space="0" w:color="auto"/>
      </w:divBdr>
    </w:div>
    <w:div w:id="1893736015">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150155">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52278711">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1052940">
      <w:bodyDiv w:val="1"/>
      <w:marLeft w:val="0"/>
      <w:marRight w:val="0"/>
      <w:marTop w:val="0"/>
      <w:marBottom w:val="0"/>
      <w:divBdr>
        <w:top w:val="none" w:sz="0" w:space="0" w:color="auto"/>
        <w:left w:val="none" w:sz="0" w:space="0" w:color="auto"/>
        <w:bottom w:val="none" w:sz="0" w:space="0" w:color="auto"/>
        <w:right w:val="none" w:sz="0" w:space="0" w:color="auto"/>
      </w:divBdr>
    </w:div>
    <w:div w:id="1999459517">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28215192">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3139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cisions.scc-csc.ca/scc-csc/fr/nav.do" TargetMode="External"/><Relationship Id="rId13" Type="http://schemas.openxmlformats.org/officeDocument/2006/relationships/hyperlink" Target="https://www.scc-csc.ca/case-dossier/info/sum-som-eng.aspx?cas=388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cisions.scc-csc.ca/scc-csc/en/nav.do" TargetMode="External"/><Relationship Id="rId12" Type="http://schemas.openxmlformats.org/officeDocument/2006/relationships/hyperlink" Target="https://www.scc-csc.ca/case-dossier/info/sum-som-eng.aspx?cas=387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c-csc.ca/case-dossier/info/sum-som-eng.aspx?cas=38774" TargetMode="External"/><Relationship Id="rId5" Type="http://schemas.openxmlformats.org/officeDocument/2006/relationships/footnotes" Target="footnotes.xml"/><Relationship Id="rId15" Type="http://schemas.openxmlformats.org/officeDocument/2006/relationships/hyperlink" Target="mailto:comments-commentaires@scc-csc.ca" TargetMode="External"/><Relationship Id="rId10" Type="http://schemas.openxmlformats.org/officeDocument/2006/relationships/hyperlink" Target="https://www.scc-csc.ca/case-dossier/info/sum-som-fra.aspx?cas=38766" TargetMode="External"/><Relationship Id="rId4" Type="http://schemas.openxmlformats.org/officeDocument/2006/relationships/webSettings" Target="webSettings.xml"/><Relationship Id="rId9" Type="http://schemas.openxmlformats.org/officeDocument/2006/relationships/hyperlink" Target="https://www.scc-csc.ca/case-dossier/info/sum-som-eng.aspx?cas=38694" TargetMode="External"/><Relationship Id="rId14" Type="http://schemas.openxmlformats.org/officeDocument/2006/relationships/hyperlink" Target="https://www.scc-csc.ca/case-dossier/info/sum-som-eng.aspx?cas=38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12766</CharactersWithSpaces>
  <SharedDoc>false</SharedDoc>
  <HLinks>
    <vt:vector size="42" baseType="variant">
      <vt:variant>
        <vt:i4>524364</vt:i4>
      </vt:variant>
      <vt:variant>
        <vt:i4>24</vt:i4>
      </vt:variant>
      <vt:variant>
        <vt:i4>0</vt:i4>
      </vt:variant>
      <vt:variant>
        <vt:i4>5</vt:i4>
      </vt:variant>
      <vt:variant>
        <vt:lpwstr>http://www.scc-csc.gc.ca/news-nouv/rel-com/subs-abon-fra.aspx</vt:lpwstr>
      </vt:variant>
      <vt:variant>
        <vt:lpwstr/>
      </vt:variant>
      <vt:variant>
        <vt:i4>852048</vt:i4>
      </vt:variant>
      <vt:variant>
        <vt:i4>21</vt:i4>
      </vt:variant>
      <vt:variant>
        <vt:i4>0</vt:i4>
      </vt:variant>
      <vt:variant>
        <vt:i4>5</vt:i4>
      </vt:variant>
      <vt:variant>
        <vt:lpwstr>http://www.scc-csc.gc.ca/news-nouv/rel-com/subs-abon-eng.aspx</vt:lpwstr>
      </vt:variant>
      <vt:variant>
        <vt:lpwstr/>
      </vt:variant>
      <vt:variant>
        <vt:i4>3080213</vt:i4>
      </vt:variant>
      <vt:variant>
        <vt:i4>18</vt:i4>
      </vt:variant>
      <vt:variant>
        <vt:i4>0</vt:i4>
      </vt:variant>
      <vt:variant>
        <vt:i4>5</vt:i4>
      </vt:variant>
      <vt:variant>
        <vt:lpwstr>mailto:comments-commentaires@scc-csc.ca</vt:lpwstr>
      </vt:variant>
      <vt:variant>
        <vt:lpwstr/>
      </vt:variant>
      <vt:variant>
        <vt:i4>2359356</vt:i4>
      </vt:variant>
      <vt:variant>
        <vt:i4>15</vt:i4>
      </vt:variant>
      <vt:variant>
        <vt:i4>0</vt:i4>
      </vt:variant>
      <vt:variant>
        <vt:i4>5</vt:i4>
      </vt:variant>
      <vt:variant>
        <vt:lpwstr>http://scc-csc.lexum.com/scc-csc/news/fr/item/4927/index.do</vt:lpwstr>
      </vt:variant>
      <vt:variant>
        <vt:lpwstr/>
      </vt:variant>
      <vt:variant>
        <vt:i4>3670079</vt:i4>
      </vt:variant>
      <vt:variant>
        <vt:i4>12</vt:i4>
      </vt:variant>
      <vt:variant>
        <vt:i4>0</vt:i4>
      </vt:variant>
      <vt:variant>
        <vt:i4>5</vt:i4>
      </vt:variant>
      <vt:variant>
        <vt:lpwstr>http://scc-csc.lexum.com/scc-csc/news/en/item/4927/index.do</vt:lpwstr>
      </vt:variant>
      <vt:variant>
        <vt:lpwstr/>
      </vt:variant>
      <vt:variant>
        <vt:i4>3473528</vt:i4>
      </vt:variant>
      <vt:variant>
        <vt:i4>5</vt:i4>
      </vt:variant>
      <vt:variant>
        <vt:i4>0</vt:i4>
      </vt:variant>
      <vt:variant>
        <vt:i4>5</vt:i4>
      </vt:variant>
      <vt:variant>
        <vt:lpwstr>http://scc-csc.lexum.com/scc-csc/fr/nav.do</vt:lpwstr>
      </vt:variant>
      <vt:variant>
        <vt:lpwstr/>
      </vt:variant>
      <vt:variant>
        <vt:i4>3539044</vt:i4>
      </vt:variant>
      <vt:variant>
        <vt:i4>2</vt:i4>
      </vt:variant>
      <vt:variant>
        <vt:i4>0</vt:i4>
      </vt:variant>
      <vt:variant>
        <vt:i4>5</vt:i4>
      </vt:variant>
      <vt:variant>
        <vt:lpwstr>http://scc-csc.lexum.com/scc-csc/en/nav.do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2019-12-09T18:27:00Z</dcterms:created>
  <dcterms:modified xsi:type="dcterms:W3CDTF">2019-12-18T16:34:00Z</dcterms:modified>
</cp:coreProperties>
</file>