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F579FF" w:rsidRDefault="000E391F" w:rsidP="000E391F">
      <w:pPr>
        <w:pStyle w:val="Header"/>
        <w:jc w:val="center"/>
        <w:rPr>
          <w:b/>
          <w:sz w:val="32"/>
        </w:rPr>
      </w:pPr>
      <w:r w:rsidRPr="00F579FF">
        <w:rPr>
          <w:b/>
          <w:sz w:val="32"/>
        </w:rPr>
        <w:t>Supreme Court of Canada / Cour suprême du Canada</w:t>
      </w:r>
    </w:p>
    <w:p w:rsidR="000E391F" w:rsidRPr="00F579FF" w:rsidRDefault="000E391F" w:rsidP="000E391F">
      <w:pPr>
        <w:widowControl w:val="0"/>
        <w:rPr>
          <w:i/>
        </w:rPr>
      </w:pPr>
    </w:p>
    <w:p w:rsidR="000E391F" w:rsidRPr="00F579FF" w:rsidRDefault="000E391F" w:rsidP="000E391F">
      <w:pPr>
        <w:widowControl w:val="0"/>
        <w:rPr>
          <w:i/>
        </w:rPr>
      </w:pPr>
    </w:p>
    <w:p w:rsidR="006F2579" w:rsidRPr="00F579FF" w:rsidRDefault="006F2579" w:rsidP="006F2579">
      <w:pPr>
        <w:widowControl w:val="0"/>
        <w:rPr>
          <w:i/>
          <w:sz w:val="20"/>
        </w:rPr>
      </w:pPr>
      <w:r w:rsidRPr="00F579FF">
        <w:rPr>
          <w:i/>
          <w:sz w:val="20"/>
        </w:rPr>
        <w:t>(</w:t>
      </w:r>
      <w:r w:rsidR="003240B6" w:rsidRPr="00F579FF">
        <w:rPr>
          <w:i/>
          <w:sz w:val="20"/>
        </w:rPr>
        <w:t>L</w:t>
      </w:r>
      <w:r w:rsidRPr="00F579FF">
        <w:rPr>
          <w:i/>
          <w:sz w:val="20"/>
        </w:rPr>
        <w:t>e français suit)</w:t>
      </w:r>
    </w:p>
    <w:p w:rsidR="006F2579" w:rsidRPr="00F579FF" w:rsidRDefault="006F2579" w:rsidP="006F2579">
      <w:pPr>
        <w:widowControl w:val="0"/>
      </w:pPr>
    </w:p>
    <w:p w:rsidR="006F2579" w:rsidRPr="00F579FF" w:rsidRDefault="00B07908" w:rsidP="006F2579">
      <w:pPr>
        <w:widowControl w:val="0"/>
        <w:jc w:val="center"/>
        <w:rPr>
          <w:b/>
        </w:rPr>
      </w:pPr>
      <w:r w:rsidRPr="00F579FF">
        <w:fldChar w:fldCharType="begin"/>
      </w:r>
      <w:r w:rsidR="006F2579" w:rsidRPr="00F579FF">
        <w:instrText xml:space="preserve"> SEQ CHAPTER \h \r 1</w:instrText>
      </w:r>
      <w:r w:rsidRPr="00F579FF">
        <w:fldChar w:fldCharType="end"/>
      </w:r>
      <w:r w:rsidR="006F2579" w:rsidRPr="00F579FF">
        <w:rPr>
          <w:b/>
        </w:rPr>
        <w:t>JUDGMENT</w:t>
      </w:r>
      <w:r w:rsidR="00B17AAC" w:rsidRPr="00F579FF">
        <w:rPr>
          <w:b/>
        </w:rPr>
        <w:t>S</w:t>
      </w:r>
      <w:r w:rsidR="006F2579" w:rsidRPr="00F579FF">
        <w:rPr>
          <w:b/>
        </w:rPr>
        <w:t xml:space="preserve"> TO B</w:t>
      </w:r>
      <w:r w:rsidR="00001846" w:rsidRPr="00F579FF">
        <w:rPr>
          <w:b/>
        </w:rPr>
        <w:t>E RENDERED IN LE</w:t>
      </w:r>
      <w:r w:rsidR="00A0288A" w:rsidRPr="00F579FF">
        <w:rPr>
          <w:b/>
        </w:rPr>
        <w:t>A</w:t>
      </w:r>
      <w:r w:rsidR="00001846" w:rsidRPr="00F579FF">
        <w:rPr>
          <w:b/>
        </w:rPr>
        <w:t>VE APPLICATION</w:t>
      </w:r>
      <w:r w:rsidR="00E94FDF" w:rsidRPr="00F579FF">
        <w:rPr>
          <w:b/>
        </w:rPr>
        <w:t>S</w:t>
      </w:r>
    </w:p>
    <w:p w:rsidR="006F2579" w:rsidRPr="00F579FF" w:rsidRDefault="006F2579" w:rsidP="006F2579">
      <w:pPr>
        <w:widowControl w:val="0"/>
      </w:pPr>
    </w:p>
    <w:p w:rsidR="006F2579" w:rsidRPr="00F579FF" w:rsidRDefault="002012D7" w:rsidP="006F2579">
      <w:pPr>
        <w:widowControl w:val="0"/>
      </w:pPr>
      <w:r>
        <w:rPr>
          <w:b/>
        </w:rPr>
        <w:t>February</w:t>
      </w:r>
      <w:r w:rsidR="00A15B66" w:rsidRPr="00F579FF">
        <w:rPr>
          <w:b/>
        </w:rPr>
        <w:t xml:space="preserve"> </w:t>
      </w:r>
      <w:r>
        <w:rPr>
          <w:b/>
        </w:rPr>
        <w:t>3</w:t>
      </w:r>
      <w:r w:rsidR="004441C7" w:rsidRPr="00F579FF">
        <w:rPr>
          <w:b/>
        </w:rPr>
        <w:t>,</w:t>
      </w:r>
      <w:r w:rsidR="006F2579" w:rsidRPr="00F579FF">
        <w:rPr>
          <w:b/>
        </w:rPr>
        <w:t xml:space="preserve"> </w:t>
      </w:r>
      <w:r w:rsidR="0054689F" w:rsidRPr="00F579FF">
        <w:rPr>
          <w:b/>
        </w:rPr>
        <w:t>20</w:t>
      </w:r>
      <w:r w:rsidR="00526754" w:rsidRPr="00F579FF">
        <w:rPr>
          <w:b/>
        </w:rPr>
        <w:t>20</w:t>
      </w:r>
    </w:p>
    <w:p w:rsidR="006F2579" w:rsidRPr="00F579FF" w:rsidRDefault="00674F39" w:rsidP="006F2579">
      <w:pPr>
        <w:widowControl w:val="0"/>
        <w:rPr>
          <w:b/>
        </w:rPr>
      </w:pPr>
      <w:r w:rsidRPr="00F579FF">
        <w:rPr>
          <w:b/>
        </w:rPr>
        <w:t>For immediate release</w:t>
      </w:r>
    </w:p>
    <w:p w:rsidR="006F2579" w:rsidRPr="00F579FF" w:rsidRDefault="006F2579" w:rsidP="006F2579">
      <w:pPr>
        <w:widowControl w:val="0"/>
      </w:pPr>
    </w:p>
    <w:p w:rsidR="006F2579" w:rsidRPr="00F579FF" w:rsidRDefault="006F2579" w:rsidP="006F2579">
      <w:pPr>
        <w:widowControl w:val="0"/>
        <w:rPr>
          <w:lang w:val="fr-CA"/>
        </w:rPr>
      </w:pPr>
      <w:r w:rsidRPr="00F579FF">
        <w:rPr>
          <w:b/>
        </w:rPr>
        <w:t>OTTAWA</w:t>
      </w:r>
      <w:r w:rsidRPr="00F579FF">
        <w:t xml:space="preserve"> – The Supreme Court of Canad</w:t>
      </w:r>
      <w:r w:rsidR="006246E4" w:rsidRPr="00F579FF">
        <w:t>a</w:t>
      </w:r>
      <w:r w:rsidRPr="00F579FF">
        <w:t xml:space="preserve"> announced today that judgment in the following </w:t>
      </w:r>
      <w:r w:rsidR="00DB6199" w:rsidRPr="00F579FF">
        <w:t xml:space="preserve">leave applications </w:t>
      </w:r>
      <w:r w:rsidRPr="00F579FF">
        <w:t xml:space="preserve">will be delivered at 9:45 a.m. </w:t>
      </w:r>
      <w:r w:rsidR="00E05816" w:rsidRPr="00F579FF">
        <w:t>E</w:t>
      </w:r>
      <w:r w:rsidR="000E391F" w:rsidRPr="00F579FF">
        <w:t>S</w:t>
      </w:r>
      <w:r w:rsidR="00E05816" w:rsidRPr="00F579FF">
        <w:t>T</w:t>
      </w:r>
      <w:r w:rsidRPr="00F579FF">
        <w:t xml:space="preserve"> on Thursday, </w:t>
      </w:r>
      <w:r w:rsidR="002012D7">
        <w:t>February</w:t>
      </w:r>
      <w:r w:rsidR="00455912" w:rsidRPr="00F579FF">
        <w:t xml:space="preserve"> </w:t>
      </w:r>
      <w:r w:rsidR="002012D7">
        <w:t>6</w:t>
      </w:r>
      <w:r w:rsidR="007E112F" w:rsidRPr="00F579FF">
        <w:t>,</w:t>
      </w:r>
      <w:r w:rsidR="002F38D7" w:rsidRPr="00F579FF">
        <w:t xml:space="preserve"> </w:t>
      </w:r>
      <w:r w:rsidR="006648D1" w:rsidRPr="00F579FF">
        <w:t>20</w:t>
      </w:r>
      <w:r w:rsidR="00526754" w:rsidRPr="00F579FF">
        <w:t>20</w:t>
      </w:r>
      <w:r w:rsidRPr="00F579FF">
        <w:t xml:space="preserve">. </w:t>
      </w:r>
      <w:r w:rsidRPr="00F579FF">
        <w:rPr>
          <w:lang w:val="fr-CA"/>
        </w:rPr>
        <w:t>This list is subject to chang</w:t>
      </w:r>
      <w:r w:rsidR="00192F7F" w:rsidRPr="00F579FF">
        <w:rPr>
          <w:lang w:val="fr-CA"/>
        </w:rPr>
        <w:t>e</w:t>
      </w:r>
      <w:r w:rsidRPr="00F579FF">
        <w:rPr>
          <w:lang w:val="fr-CA"/>
        </w:rPr>
        <w:t>.</w:t>
      </w:r>
    </w:p>
    <w:p w:rsidR="00FF5AA4" w:rsidRPr="00F579FF" w:rsidRDefault="00FF5AA4" w:rsidP="006F2579">
      <w:pPr>
        <w:widowControl w:val="0"/>
        <w:rPr>
          <w:lang w:val="fr-CA"/>
        </w:rPr>
      </w:pPr>
    </w:p>
    <w:p w:rsidR="00B43418" w:rsidRPr="00F579FF" w:rsidRDefault="00B43418" w:rsidP="006F2579">
      <w:pPr>
        <w:widowControl w:val="0"/>
        <w:rPr>
          <w:lang w:val="fr-CA"/>
        </w:rPr>
      </w:pPr>
    </w:p>
    <w:p w:rsidR="006F2579" w:rsidRPr="00F579FF" w:rsidRDefault="006F2579" w:rsidP="006F2579">
      <w:pPr>
        <w:widowControl w:val="0"/>
        <w:jc w:val="center"/>
        <w:rPr>
          <w:lang w:val="fr-CA"/>
        </w:rPr>
      </w:pPr>
      <w:r w:rsidRPr="00F579FF">
        <w:rPr>
          <w:b/>
          <w:lang w:val="fr-CA"/>
        </w:rPr>
        <w:t>PROCHAIN</w:t>
      </w:r>
      <w:r w:rsidR="00B17AAC" w:rsidRPr="00F579FF">
        <w:rPr>
          <w:b/>
          <w:lang w:val="fr-CA"/>
        </w:rPr>
        <w:t>S</w:t>
      </w:r>
      <w:r w:rsidRPr="00F579FF">
        <w:rPr>
          <w:b/>
          <w:lang w:val="fr-CA"/>
        </w:rPr>
        <w:t xml:space="preserve"> JUGEMENT</w:t>
      </w:r>
      <w:r w:rsidR="00B17AAC" w:rsidRPr="00F579FF">
        <w:rPr>
          <w:b/>
          <w:lang w:val="fr-CA"/>
        </w:rPr>
        <w:t>S</w:t>
      </w:r>
      <w:r w:rsidR="00001846" w:rsidRPr="00F579FF">
        <w:rPr>
          <w:b/>
          <w:lang w:val="fr-CA"/>
        </w:rPr>
        <w:t xml:space="preserve"> SUR DEMANDE</w:t>
      </w:r>
      <w:r w:rsidR="00B17AAC" w:rsidRPr="00F579FF">
        <w:rPr>
          <w:b/>
          <w:lang w:val="fr-CA"/>
        </w:rPr>
        <w:t>S</w:t>
      </w:r>
      <w:r w:rsidRPr="00F579FF">
        <w:rPr>
          <w:b/>
          <w:lang w:val="fr-CA"/>
        </w:rPr>
        <w:t xml:space="preserve"> D’AUTORISATION</w:t>
      </w:r>
    </w:p>
    <w:p w:rsidR="006F2579" w:rsidRPr="00F579FF" w:rsidRDefault="006F2579" w:rsidP="006F2579">
      <w:pPr>
        <w:widowControl w:val="0"/>
        <w:rPr>
          <w:lang w:val="fr-CA"/>
        </w:rPr>
      </w:pPr>
    </w:p>
    <w:p w:rsidR="006F2579" w:rsidRPr="00F579FF" w:rsidRDefault="006F2579" w:rsidP="006F2579">
      <w:pPr>
        <w:widowControl w:val="0"/>
        <w:rPr>
          <w:lang w:val="fr-CA"/>
        </w:rPr>
      </w:pPr>
      <w:r w:rsidRPr="00F579FF">
        <w:rPr>
          <w:b/>
          <w:lang w:val="fr-CA"/>
        </w:rPr>
        <w:t>Le</w:t>
      </w:r>
      <w:r w:rsidR="00957A76" w:rsidRPr="00F579FF">
        <w:rPr>
          <w:b/>
          <w:lang w:val="fr-CA"/>
        </w:rPr>
        <w:t xml:space="preserve"> </w:t>
      </w:r>
      <w:r w:rsidR="002012D7">
        <w:rPr>
          <w:b/>
          <w:lang w:val="fr-CA"/>
        </w:rPr>
        <w:t>3</w:t>
      </w:r>
      <w:r w:rsidR="00A15B66" w:rsidRPr="00F579FF">
        <w:rPr>
          <w:b/>
          <w:lang w:val="fr-CA"/>
        </w:rPr>
        <w:t xml:space="preserve"> </w:t>
      </w:r>
      <w:r w:rsidR="002012D7">
        <w:rPr>
          <w:b/>
          <w:lang w:val="fr-CA"/>
        </w:rPr>
        <w:t>fé</w:t>
      </w:r>
      <w:r w:rsidR="00526754" w:rsidRPr="00F579FF">
        <w:rPr>
          <w:b/>
          <w:lang w:val="fr-CA"/>
        </w:rPr>
        <w:t>v</w:t>
      </w:r>
      <w:r w:rsidR="002012D7">
        <w:rPr>
          <w:b/>
          <w:lang w:val="fr-CA"/>
        </w:rPr>
        <w:t>r</w:t>
      </w:r>
      <w:r w:rsidR="00526754" w:rsidRPr="00F579FF">
        <w:rPr>
          <w:b/>
          <w:lang w:val="fr-CA"/>
        </w:rPr>
        <w:t>ier</w:t>
      </w:r>
      <w:r w:rsidR="00A151D1" w:rsidRPr="00F579FF">
        <w:rPr>
          <w:b/>
          <w:lang w:val="fr-CA"/>
        </w:rPr>
        <w:t xml:space="preserve"> 20</w:t>
      </w:r>
      <w:r w:rsidR="00526754" w:rsidRPr="00F579FF">
        <w:rPr>
          <w:b/>
          <w:lang w:val="fr-CA"/>
        </w:rPr>
        <w:t>20</w:t>
      </w:r>
    </w:p>
    <w:p w:rsidR="006F2579" w:rsidRPr="00F579FF" w:rsidRDefault="006F2579" w:rsidP="006F2579">
      <w:pPr>
        <w:widowControl w:val="0"/>
        <w:rPr>
          <w:b/>
          <w:lang w:val="fr-CA"/>
        </w:rPr>
      </w:pPr>
      <w:r w:rsidRPr="00F579FF">
        <w:rPr>
          <w:b/>
          <w:lang w:val="fr-CA"/>
        </w:rPr>
        <w:t>Pour diffusion immédiate</w:t>
      </w:r>
    </w:p>
    <w:p w:rsidR="006F2579" w:rsidRPr="00F579FF" w:rsidRDefault="006F2579" w:rsidP="006F2579">
      <w:pPr>
        <w:widowControl w:val="0"/>
        <w:rPr>
          <w:lang w:val="fr-CA"/>
        </w:rPr>
      </w:pPr>
    </w:p>
    <w:p w:rsidR="006F2579" w:rsidRPr="00F579FF" w:rsidRDefault="006F2579" w:rsidP="006F2579">
      <w:pPr>
        <w:widowControl w:val="0"/>
        <w:rPr>
          <w:lang w:val="fr-CA"/>
        </w:rPr>
      </w:pPr>
      <w:r w:rsidRPr="00F579FF">
        <w:rPr>
          <w:b/>
          <w:lang w:val="fr-CA"/>
        </w:rPr>
        <w:t>OTTAWA</w:t>
      </w:r>
      <w:r w:rsidRPr="00F579FF">
        <w:rPr>
          <w:lang w:val="fr-CA"/>
        </w:rPr>
        <w:t xml:space="preserve"> – La Cour suprême du Canada annonce que jugement ser</w:t>
      </w:r>
      <w:r w:rsidR="004259F9" w:rsidRPr="00F579FF">
        <w:rPr>
          <w:lang w:val="fr-CA"/>
        </w:rPr>
        <w:t>a</w:t>
      </w:r>
      <w:r w:rsidRPr="00F579FF">
        <w:rPr>
          <w:lang w:val="fr-CA"/>
        </w:rPr>
        <w:t xml:space="preserve"> rendu dans l</w:t>
      </w:r>
      <w:r w:rsidR="008600ED" w:rsidRPr="00F579FF">
        <w:rPr>
          <w:lang w:val="fr-CA"/>
        </w:rPr>
        <w:t>es</w:t>
      </w:r>
      <w:r w:rsidRPr="00F579FF">
        <w:rPr>
          <w:lang w:val="fr-CA"/>
        </w:rPr>
        <w:t xml:space="preserve"> demande</w:t>
      </w:r>
      <w:r w:rsidR="008600ED" w:rsidRPr="00F579FF">
        <w:rPr>
          <w:lang w:val="fr-CA"/>
        </w:rPr>
        <w:t>s</w:t>
      </w:r>
      <w:r w:rsidRPr="00F579FF">
        <w:rPr>
          <w:lang w:val="fr-CA"/>
        </w:rPr>
        <w:t xml:space="preserve"> d</w:t>
      </w:r>
      <w:r w:rsidR="00001846" w:rsidRPr="00F579FF">
        <w:rPr>
          <w:lang w:val="fr-CA"/>
        </w:rPr>
        <w:t>’autorisation suivante</w:t>
      </w:r>
      <w:r w:rsidR="008600ED" w:rsidRPr="00F579FF">
        <w:rPr>
          <w:lang w:val="fr-CA"/>
        </w:rPr>
        <w:t>s</w:t>
      </w:r>
      <w:r w:rsidRPr="00F579FF">
        <w:rPr>
          <w:lang w:val="fr-CA"/>
        </w:rPr>
        <w:t xml:space="preserve"> le jeudi </w:t>
      </w:r>
      <w:r w:rsidR="002012D7">
        <w:rPr>
          <w:lang w:val="fr-CA"/>
        </w:rPr>
        <w:t>6</w:t>
      </w:r>
      <w:r w:rsidR="00780317" w:rsidRPr="00F579FF">
        <w:rPr>
          <w:lang w:val="fr-CA"/>
        </w:rPr>
        <w:t xml:space="preserve"> </w:t>
      </w:r>
      <w:r w:rsidR="002012D7">
        <w:rPr>
          <w:lang w:val="fr-CA"/>
        </w:rPr>
        <w:t>février</w:t>
      </w:r>
      <w:r w:rsidR="00694391" w:rsidRPr="00F579FF">
        <w:rPr>
          <w:lang w:val="fr-CA"/>
        </w:rPr>
        <w:t xml:space="preserve"> 2</w:t>
      </w:r>
      <w:r w:rsidR="006648D1" w:rsidRPr="00F579FF">
        <w:rPr>
          <w:lang w:val="fr-CA"/>
        </w:rPr>
        <w:t>0</w:t>
      </w:r>
      <w:r w:rsidR="00526754" w:rsidRPr="00F579FF">
        <w:rPr>
          <w:lang w:val="fr-CA"/>
        </w:rPr>
        <w:t>20</w:t>
      </w:r>
      <w:r w:rsidRPr="00F579FF">
        <w:rPr>
          <w:lang w:val="fr-CA"/>
        </w:rPr>
        <w:t xml:space="preserve">, à 9 h 45 </w:t>
      </w:r>
      <w:r w:rsidR="000627A2" w:rsidRPr="00F579FF">
        <w:rPr>
          <w:lang w:val="fr-CA"/>
        </w:rPr>
        <w:t>H</w:t>
      </w:r>
      <w:r w:rsidR="000E391F" w:rsidRPr="00F579FF">
        <w:rPr>
          <w:lang w:val="fr-CA"/>
        </w:rPr>
        <w:t>N</w:t>
      </w:r>
      <w:r w:rsidRPr="00F579FF">
        <w:rPr>
          <w:lang w:val="fr-CA"/>
        </w:rPr>
        <w:t>E. Cette liste est sujette à modifications.</w:t>
      </w:r>
    </w:p>
    <w:p w:rsidR="0080556B" w:rsidRDefault="0080556B" w:rsidP="009B14F4">
      <w:pPr>
        <w:widowControl w:val="0"/>
        <w:jc w:val="both"/>
        <w:rPr>
          <w:sz w:val="20"/>
          <w:lang w:val="fr-CA"/>
        </w:rPr>
      </w:pPr>
    </w:p>
    <w:p w:rsidR="00867C61" w:rsidRPr="00851D79" w:rsidRDefault="00851D79" w:rsidP="009B14F4">
      <w:pPr>
        <w:widowControl w:val="0"/>
        <w:jc w:val="both"/>
        <w:rPr>
          <w:sz w:val="20"/>
          <w:lang w:val="fr-CA"/>
        </w:rPr>
      </w:pPr>
      <w:r w:rsidRPr="00851D79">
        <w:rPr>
          <w:sz w:val="20"/>
        </w:rPr>
        <w:pict>
          <v:rect id="_x0000_i1025" style="width:2in;height:1pt" o:hrpct="0" o:hralign="center" o:hrstd="t" o:hrnoshade="t" o:hr="t" fillcolor="black [3213]" stroked="f"/>
        </w:pict>
      </w:r>
    </w:p>
    <w:p w:rsidR="00774C10" w:rsidRPr="00851D79" w:rsidRDefault="00774C10" w:rsidP="009B14F4">
      <w:pPr>
        <w:widowControl w:val="0"/>
        <w:jc w:val="both"/>
        <w:rPr>
          <w:sz w:val="20"/>
          <w:lang w:val="fr-CA"/>
        </w:rPr>
      </w:pPr>
    </w:p>
    <w:p w:rsidR="0012000C" w:rsidRPr="00851D79" w:rsidRDefault="0012000C" w:rsidP="00CF4357">
      <w:pPr>
        <w:pStyle w:val="ListParagraph"/>
        <w:numPr>
          <w:ilvl w:val="0"/>
          <w:numId w:val="28"/>
        </w:numPr>
        <w:ind w:left="357" w:hanging="357"/>
        <w:rPr>
          <w:sz w:val="20"/>
        </w:rPr>
      </w:pPr>
      <w:r w:rsidRPr="00851D79">
        <w:rPr>
          <w:i/>
          <w:sz w:val="20"/>
        </w:rPr>
        <w:t>Derek Choong v. College of Veterinarians of Ontario</w:t>
      </w:r>
      <w:r w:rsidRPr="00851D79">
        <w:rPr>
          <w:sz w:val="20"/>
        </w:rPr>
        <w:t xml:space="preserve"> </w:t>
      </w:r>
      <w:r w:rsidR="00D8028D" w:rsidRPr="00851D79">
        <w:rPr>
          <w:sz w:val="20"/>
        </w:rPr>
        <w:t>(Ont.) (Civil) (By Leave)</w:t>
      </w:r>
      <w:r w:rsidRPr="00851D79">
        <w:rPr>
          <w:sz w:val="20"/>
        </w:rPr>
        <w:t xml:space="preserve"> (</w:t>
      </w:r>
      <w:hyperlink r:id="rId8" w:history="1">
        <w:r w:rsidRPr="00851D79">
          <w:rPr>
            <w:rStyle w:val="Hyperlink"/>
            <w:sz w:val="20"/>
            <w:szCs w:val="20"/>
          </w:rPr>
          <w:t>388</w:t>
        </w:r>
        <w:r w:rsidR="00D8028D" w:rsidRPr="00851D79">
          <w:rPr>
            <w:rStyle w:val="Hyperlink"/>
            <w:sz w:val="20"/>
            <w:szCs w:val="20"/>
          </w:rPr>
          <w:t>18</w:t>
        </w:r>
      </w:hyperlink>
      <w:r w:rsidRPr="00851D79">
        <w:rPr>
          <w:sz w:val="20"/>
        </w:rPr>
        <w:t>)</w:t>
      </w:r>
    </w:p>
    <w:p w:rsidR="0012000C" w:rsidRPr="00851D79" w:rsidRDefault="0012000C" w:rsidP="00CF4357">
      <w:pPr>
        <w:ind w:left="357" w:hanging="357"/>
        <w:contextualSpacing/>
        <w:rPr>
          <w:sz w:val="20"/>
        </w:rPr>
      </w:pPr>
    </w:p>
    <w:p w:rsidR="0012000C" w:rsidRPr="00851D79" w:rsidRDefault="0012000C" w:rsidP="00CF4357">
      <w:pPr>
        <w:pStyle w:val="ListParagraph"/>
        <w:numPr>
          <w:ilvl w:val="0"/>
          <w:numId w:val="28"/>
        </w:numPr>
        <w:ind w:left="357" w:hanging="357"/>
        <w:rPr>
          <w:sz w:val="20"/>
        </w:rPr>
      </w:pPr>
      <w:r w:rsidRPr="00851D79">
        <w:rPr>
          <w:i/>
          <w:sz w:val="20"/>
        </w:rPr>
        <w:t>Her Majesty the Queen v. R.V</w:t>
      </w:r>
      <w:r w:rsidRPr="00851D79">
        <w:rPr>
          <w:sz w:val="20"/>
        </w:rPr>
        <w:t>. (Ont.) (Criminal) (By Leave/As of</w:t>
      </w:r>
      <w:r w:rsidR="00794320" w:rsidRPr="00851D79">
        <w:rPr>
          <w:sz w:val="20"/>
        </w:rPr>
        <w:t xml:space="preserve"> Right) </w:t>
      </w:r>
      <w:r w:rsidRPr="00851D79">
        <w:rPr>
          <w:sz w:val="20"/>
        </w:rPr>
        <w:t>(</w:t>
      </w:r>
      <w:hyperlink r:id="rId9" w:history="1">
        <w:r w:rsidRPr="00851D79">
          <w:rPr>
            <w:rStyle w:val="Hyperlink"/>
            <w:sz w:val="20"/>
            <w:szCs w:val="20"/>
          </w:rPr>
          <w:t>388</w:t>
        </w:r>
        <w:r w:rsidR="00794320" w:rsidRPr="00851D79">
          <w:rPr>
            <w:rStyle w:val="Hyperlink"/>
            <w:sz w:val="20"/>
            <w:szCs w:val="20"/>
          </w:rPr>
          <w:t>5</w:t>
        </w:r>
        <w:r w:rsidRPr="00851D79">
          <w:rPr>
            <w:rStyle w:val="Hyperlink"/>
            <w:sz w:val="20"/>
            <w:szCs w:val="20"/>
          </w:rPr>
          <w:t>4</w:t>
        </w:r>
      </w:hyperlink>
      <w:r w:rsidRPr="00851D79">
        <w:rPr>
          <w:sz w:val="20"/>
        </w:rPr>
        <w:t>)</w:t>
      </w:r>
    </w:p>
    <w:p w:rsidR="0012000C" w:rsidRPr="00851D79" w:rsidRDefault="0012000C" w:rsidP="00CF4357">
      <w:pPr>
        <w:ind w:left="357" w:hanging="357"/>
        <w:rPr>
          <w:sz w:val="20"/>
        </w:rPr>
      </w:pPr>
    </w:p>
    <w:p w:rsidR="0012000C" w:rsidRPr="00851D79" w:rsidRDefault="0012000C" w:rsidP="00CF4357">
      <w:pPr>
        <w:pStyle w:val="ListParagraph"/>
        <w:numPr>
          <w:ilvl w:val="0"/>
          <w:numId w:val="28"/>
        </w:numPr>
        <w:ind w:left="357" w:hanging="357"/>
        <w:rPr>
          <w:sz w:val="20"/>
          <w:lang w:val="fr-FR"/>
        </w:rPr>
      </w:pPr>
      <w:r w:rsidRPr="00851D79">
        <w:rPr>
          <w:i/>
          <w:sz w:val="20"/>
          <w:lang w:val="fr-FR"/>
        </w:rPr>
        <w:t>Gescoro inc. c. Francis-Pierre Rémillard, et al.</w:t>
      </w:r>
      <w:r w:rsidRPr="00851D79">
        <w:rPr>
          <w:sz w:val="20"/>
          <w:lang w:val="fr-FR"/>
        </w:rPr>
        <w:t xml:space="preserve"> (Qc) (Civile) (Autorisation) </w:t>
      </w:r>
      <w:r w:rsidRPr="00851D79">
        <w:rPr>
          <w:sz w:val="20"/>
          <w:lang w:val="fr-CA"/>
        </w:rPr>
        <w:t>(</w:t>
      </w:r>
      <w:hyperlink r:id="rId10" w:history="1">
        <w:r w:rsidRPr="00851D79">
          <w:rPr>
            <w:rStyle w:val="Hyperlink"/>
            <w:sz w:val="20"/>
            <w:szCs w:val="20"/>
            <w:lang w:val="fr-CA"/>
          </w:rPr>
          <w:t>387</w:t>
        </w:r>
        <w:r w:rsidR="00FB6695" w:rsidRPr="00851D79">
          <w:rPr>
            <w:rStyle w:val="Hyperlink"/>
            <w:sz w:val="20"/>
            <w:szCs w:val="20"/>
            <w:lang w:val="fr-CA"/>
          </w:rPr>
          <w:t>90</w:t>
        </w:r>
      </w:hyperlink>
      <w:r w:rsidRPr="00851D79">
        <w:rPr>
          <w:sz w:val="20"/>
          <w:lang w:val="fr-CA"/>
        </w:rPr>
        <w:t>)</w:t>
      </w:r>
    </w:p>
    <w:p w:rsidR="0012000C" w:rsidRPr="00851D79" w:rsidRDefault="0012000C" w:rsidP="00CF4357">
      <w:pPr>
        <w:ind w:left="357" w:hanging="357"/>
        <w:rPr>
          <w:sz w:val="20"/>
          <w:lang w:val="fr-FR"/>
        </w:rPr>
      </w:pPr>
    </w:p>
    <w:p w:rsidR="0012000C" w:rsidRPr="00851D79" w:rsidRDefault="0012000C" w:rsidP="00CF4357">
      <w:pPr>
        <w:pStyle w:val="ListParagraph"/>
        <w:numPr>
          <w:ilvl w:val="0"/>
          <w:numId w:val="28"/>
        </w:numPr>
        <w:ind w:left="357" w:hanging="357"/>
        <w:rPr>
          <w:sz w:val="20"/>
          <w:lang w:val="fr-FR"/>
        </w:rPr>
      </w:pPr>
      <w:r w:rsidRPr="00851D79">
        <w:rPr>
          <w:i/>
          <w:sz w:val="20"/>
          <w:lang w:val="fr-FR"/>
        </w:rPr>
        <w:t xml:space="preserve">Transport en commun </w:t>
      </w:r>
      <w:r w:rsidR="00F04655" w:rsidRPr="00851D79">
        <w:rPr>
          <w:i/>
          <w:sz w:val="20"/>
          <w:lang w:val="fr-FR"/>
        </w:rPr>
        <w:t>L</w:t>
      </w:r>
      <w:r w:rsidRPr="00851D79">
        <w:rPr>
          <w:i/>
          <w:sz w:val="20"/>
          <w:lang w:val="fr-FR"/>
        </w:rPr>
        <w:t xml:space="preserve">a Québécoise inc. c. Réseau de transport métropolitain, et al. </w:t>
      </w:r>
      <w:r w:rsidRPr="00851D79">
        <w:rPr>
          <w:sz w:val="20"/>
          <w:lang w:val="fr-FR"/>
        </w:rPr>
        <w:t xml:space="preserve">(Qc) (Civile) (Autorisation) </w:t>
      </w:r>
      <w:r w:rsidRPr="00851D79">
        <w:rPr>
          <w:sz w:val="20"/>
          <w:lang w:val="fr-CA"/>
        </w:rPr>
        <w:t>(</w:t>
      </w:r>
      <w:hyperlink r:id="rId11" w:history="1">
        <w:r w:rsidRPr="00851D79">
          <w:rPr>
            <w:rStyle w:val="Hyperlink"/>
            <w:sz w:val="20"/>
            <w:szCs w:val="20"/>
            <w:lang w:val="fr-CA"/>
          </w:rPr>
          <w:t>387</w:t>
        </w:r>
        <w:r w:rsidR="00B22B7D" w:rsidRPr="00851D79">
          <w:rPr>
            <w:rStyle w:val="Hyperlink"/>
            <w:sz w:val="20"/>
            <w:szCs w:val="20"/>
            <w:lang w:val="fr-CA"/>
          </w:rPr>
          <w:t>0</w:t>
        </w:r>
        <w:r w:rsidRPr="00851D79">
          <w:rPr>
            <w:rStyle w:val="Hyperlink"/>
            <w:sz w:val="20"/>
            <w:szCs w:val="20"/>
            <w:lang w:val="fr-CA"/>
          </w:rPr>
          <w:t>9</w:t>
        </w:r>
      </w:hyperlink>
      <w:r w:rsidRPr="00851D79">
        <w:rPr>
          <w:sz w:val="20"/>
          <w:lang w:val="fr-CA"/>
        </w:rPr>
        <w:t>)</w:t>
      </w:r>
    </w:p>
    <w:p w:rsidR="00CA1087" w:rsidRPr="00851D79" w:rsidRDefault="00CA1087" w:rsidP="00CF4357">
      <w:pPr>
        <w:widowControl w:val="0"/>
        <w:ind w:left="357" w:hanging="357"/>
        <w:rPr>
          <w:sz w:val="20"/>
          <w:lang w:val="fr-CA"/>
        </w:rPr>
      </w:pPr>
    </w:p>
    <w:p w:rsidR="003E4957" w:rsidRPr="00851D79" w:rsidRDefault="003E4957" w:rsidP="00CF4357">
      <w:pPr>
        <w:pStyle w:val="SCCAppellantInfoAppellantInfo"/>
        <w:numPr>
          <w:ilvl w:val="0"/>
          <w:numId w:val="28"/>
        </w:numPr>
        <w:ind w:left="357" w:hanging="357"/>
        <w:rPr>
          <w:sz w:val="20"/>
          <w:szCs w:val="20"/>
        </w:rPr>
      </w:pPr>
      <w:r w:rsidRPr="00851D79">
        <w:rPr>
          <w:i/>
          <w:sz w:val="20"/>
          <w:szCs w:val="20"/>
        </w:rPr>
        <w:t>F.J.N. v. J.K.</w:t>
      </w:r>
      <w:r w:rsidRPr="00851D79">
        <w:rPr>
          <w:sz w:val="20"/>
          <w:szCs w:val="20"/>
        </w:rPr>
        <w:t xml:space="preserve"> (Alta.) (Civil) (By Leave) </w:t>
      </w:r>
      <w:r w:rsidRPr="00851D79">
        <w:rPr>
          <w:sz w:val="20"/>
        </w:rPr>
        <w:t>(</w:t>
      </w:r>
      <w:hyperlink r:id="rId12" w:history="1">
        <w:r w:rsidRPr="00851D79">
          <w:rPr>
            <w:rStyle w:val="Hyperlink"/>
            <w:sz w:val="20"/>
            <w:szCs w:val="20"/>
          </w:rPr>
          <w:t>38859</w:t>
        </w:r>
      </w:hyperlink>
      <w:r w:rsidRPr="00851D79">
        <w:rPr>
          <w:sz w:val="20"/>
        </w:rPr>
        <w:t>)</w:t>
      </w:r>
    </w:p>
    <w:p w:rsidR="003E4957" w:rsidRPr="00851D79" w:rsidRDefault="003E4957" w:rsidP="009B14F4">
      <w:pPr>
        <w:widowControl w:val="0"/>
        <w:jc w:val="both"/>
        <w:rPr>
          <w:sz w:val="20"/>
        </w:rPr>
      </w:pPr>
    </w:p>
    <w:p w:rsidR="00867C61" w:rsidRPr="00F579FF" w:rsidRDefault="00851D79" w:rsidP="006A22CA">
      <w:pPr>
        <w:ind w:left="142" w:hanging="142"/>
        <w:jc w:val="both"/>
        <w:rPr>
          <w:sz w:val="20"/>
        </w:rPr>
      </w:pPr>
      <w:r w:rsidRPr="00851D79">
        <w:rPr>
          <w:sz w:val="20"/>
        </w:rPr>
        <w:pict>
          <v:rect id="_x0000_i1026" style="width:2in;height:1pt" o:hrpct="0" o:hralign="center" o:hrstd="t" o:hrnoshade="t" o:hr="t" fillcolor="black [3213]" stroked="f"/>
        </w:pict>
      </w:r>
      <w:bookmarkStart w:id="0" w:name="_GoBack"/>
      <w:bookmarkEnd w:id="0"/>
    </w:p>
    <w:p w:rsidR="00CC10A8" w:rsidRPr="00E85588" w:rsidRDefault="00CC10A8" w:rsidP="00E85588">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5588" w:rsidRPr="00E85588" w:rsidTr="00E95A6A">
        <w:tc>
          <w:tcPr>
            <w:tcW w:w="543" w:type="pct"/>
          </w:tcPr>
          <w:p w:rsidR="00E85588" w:rsidRPr="00E85588" w:rsidRDefault="00E85588" w:rsidP="00E85588">
            <w:pPr>
              <w:jc w:val="both"/>
              <w:rPr>
                <w:sz w:val="20"/>
              </w:rPr>
            </w:pPr>
            <w:r w:rsidRPr="00E85588">
              <w:rPr>
                <w:rStyle w:val="SCCFileNumberChar"/>
                <w:sz w:val="20"/>
                <w:szCs w:val="20"/>
              </w:rPr>
              <w:t>38818</w:t>
            </w:r>
          </w:p>
        </w:tc>
        <w:tc>
          <w:tcPr>
            <w:tcW w:w="4457" w:type="pct"/>
            <w:gridSpan w:val="3"/>
          </w:tcPr>
          <w:p w:rsidR="00E85588" w:rsidRPr="00C57B64" w:rsidRDefault="00E85588" w:rsidP="00E85588">
            <w:pPr>
              <w:pStyle w:val="SCCLsocParty"/>
              <w:jc w:val="both"/>
              <w:rPr>
                <w:b/>
                <w:sz w:val="20"/>
                <w:szCs w:val="20"/>
                <w:lang w:val="en-US"/>
              </w:rPr>
            </w:pPr>
            <w:r w:rsidRPr="00C57B64">
              <w:rPr>
                <w:b/>
                <w:sz w:val="20"/>
                <w:szCs w:val="20"/>
                <w:lang w:val="en-US"/>
              </w:rPr>
              <w:t>Derek Choong v. College of Veterinarians of Ontario</w:t>
            </w:r>
          </w:p>
          <w:p w:rsidR="00E85588" w:rsidRPr="00E85588" w:rsidRDefault="00E85588" w:rsidP="00E85588">
            <w:pPr>
              <w:jc w:val="both"/>
              <w:rPr>
                <w:sz w:val="20"/>
              </w:rPr>
            </w:pPr>
            <w:r w:rsidRPr="00E85588">
              <w:rPr>
                <w:sz w:val="20"/>
              </w:rPr>
              <w:t>(Ont.) (Civil) (By Leave)</w:t>
            </w:r>
          </w:p>
        </w:tc>
      </w:tr>
      <w:tr w:rsidR="00E85588" w:rsidRPr="00E85588" w:rsidTr="00E95A6A">
        <w:tc>
          <w:tcPr>
            <w:tcW w:w="5000" w:type="pct"/>
            <w:gridSpan w:val="4"/>
          </w:tcPr>
          <w:p w:rsidR="00E85588" w:rsidRPr="00E85588" w:rsidRDefault="00E85588" w:rsidP="00E85588">
            <w:pPr>
              <w:jc w:val="both"/>
              <w:rPr>
                <w:sz w:val="20"/>
              </w:rPr>
            </w:pPr>
            <w:r w:rsidRPr="00E85588">
              <w:rPr>
                <w:i/>
                <w:sz w:val="20"/>
              </w:rPr>
              <w:t>Charter of Rights</w:t>
            </w:r>
            <w:r w:rsidRPr="00E85588">
              <w:rPr>
                <w:sz w:val="20"/>
              </w:rPr>
              <w:t xml:space="preserve"> — Remedy — Administrative law — Appeal — Standard of review — Review of decision of the Discipline Committee of the College of Veterinarians of Ontario — </w:t>
            </w:r>
            <w:r w:rsidRPr="00E85588">
              <w:rPr>
                <w:sz w:val="20"/>
                <w:lang w:val="en"/>
              </w:rPr>
              <w:t xml:space="preserve">Whether evidence should be excluded from the disciplinary proceeding under s. 24(2) of the </w:t>
            </w:r>
            <w:r w:rsidRPr="00E85588">
              <w:rPr>
                <w:i/>
                <w:iCs/>
                <w:sz w:val="20"/>
                <w:lang w:val="en"/>
              </w:rPr>
              <w:t>Charter</w:t>
            </w:r>
            <w:r w:rsidRPr="00E85588">
              <w:rPr>
                <w:iCs/>
                <w:sz w:val="20"/>
                <w:lang w:val="en"/>
              </w:rPr>
              <w:t xml:space="preserve"> </w:t>
            </w:r>
            <w:r w:rsidRPr="00E85588">
              <w:rPr>
                <w:sz w:val="20"/>
              </w:rPr>
              <w:t xml:space="preserve">— </w:t>
            </w:r>
            <w:r w:rsidRPr="00E85588">
              <w:rPr>
                <w:spacing w:val="-2"/>
                <w:sz w:val="20"/>
              </w:rPr>
              <w:t xml:space="preserve">Where police suspect an IP address of involvement with criminal activity, does the account holder information associated with that account provide police with sufficient grounds on its own such that they can obtain a warrant to search the account holder’s electronic devices located at his residence </w:t>
            </w:r>
            <w:r w:rsidRPr="00E85588">
              <w:rPr>
                <w:sz w:val="20"/>
              </w:rPr>
              <w:t xml:space="preserve">— </w:t>
            </w:r>
            <w:r w:rsidRPr="00E85588">
              <w:rPr>
                <w:spacing w:val="-2"/>
                <w:sz w:val="20"/>
              </w:rPr>
              <w:t>W</w:t>
            </w:r>
            <w:r w:rsidRPr="00E85588">
              <w:rPr>
                <w:sz w:val="20"/>
              </w:rPr>
              <w:t xml:space="preserve">hat is the appropriate standard of review when a court reviews a tribunal’s determination of whether police conduct violates the </w:t>
            </w:r>
            <w:r w:rsidRPr="00E85588">
              <w:rPr>
                <w:i/>
                <w:sz w:val="20"/>
              </w:rPr>
              <w:t xml:space="preserve">Charter </w:t>
            </w:r>
            <w:r w:rsidRPr="00E85588">
              <w:rPr>
                <w:sz w:val="20"/>
              </w:rPr>
              <w:t xml:space="preserve">and whether the evidence obtained should be excluded — s. 24(2) of the </w:t>
            </w:r>
            <w:r w:rsidRPr="00E85588">
              <w:rPr>
                <w:i/>
                <w:sz w:val="20"/>
              </w:rPr>
              <w:t>Canadian Charter of Rights and Freedoms</w:t>
            </w:r>
            <w:r w:rsidRPr="00E85588">
              <w:rPr>
                <w:sz w:val="20"/>
              </w:rPr>
              <w:t>.</w:t>
            </w:r>
          </w:p>
          <w:p w:rsidR="00E85588" w:rsidRPr="00E85588" w:rsidRDefault="00E85588" w:rsidP="00E85588">
            <w:pPr>
              <w:jc w:val="both"/>
              <w:rPr>
                <w:sz w:val="20"/>
              </w:rPr>
            </w:pPr>
          </w:p>
        </w:tc>
      </w:tr>
      <w:tr w:rsidR="00E85588" w:rsidRPr="00E85588" w:rsidTr="00E95A6A">
        <w:tc>
          <w:tcPr>
            <w:tcW w:w="5000" w:type="pct"/>
            <w:gridSpan w:val="4"/>
          </w:tcPr>
          <w:p w:rsidR="00E85588" w:rsidRPr="00E85588" w:rsidRDefault="00E85588" w:rsidP="00C57B64">
            <w:pPr>
              <w:pStyle w:val="mainparagraph1"/>
              <w:shd w:val="clear" w:color="auto" w:fill="FFFFFF"/>
              <w:ind w:left="0" w:firstLine="0"/>
              <w:rPr>
                <w:sz w:val="20"/>
                <w:szCs w:val="20"/>
                <w:lang w:val="en"/>
              </w:rPr>
            </w:pPr>
            <w:r w:rsidRPr="00E85588">
              <w:rPr>
                <w:sz w:val="20"/>
                <w:szCs w:val="20"/>
                <w:lang w:val="en"/>
              </w:rPr>
              <w:t xml:space="preserve">During an investigation the police collected evidence supporting an allegation that the applicant accessed, possessed, made available and/or distributed child pornography. The evidence led to criminal charges against the applicant. The </w:t>
            </w:r>
            <w:r w:rsidRPr="00E85588">
              <w:rPr>
                <w:sz w:val="20"/>
                <w:szCs w:val="20"/>
                <w:lang w:val="en"/>
              </w:rPr>
              <w:lastRenderedPageBreak/>
              <w:t xml:space="preserve">charges were eventually withdrawn because the Crown concluded that the applicant’s rights under s. 8 of the </w:t>
            </w:r>
            <w:r w:rsidRPr="00E85588">
              <w:rPr>
                <w:i/>
                <w:iCs/>
                <w:sz w:val="20"/>
                <w:szCs w:val="20"/>
                <w:lang w:val="en"/>
              </w:rPr>
              <w:t>Charter</w:t>
            </w:r>
            <w:r w:rsidRPr="00E85588">
              <w:rPr>
                <w:sz w:val="20"/>
                <w:szCs w:val="20"/>
                <w:lang w:val="en"/>
              </w:rPr>
              <w:t xml:space="preserve"> had been violated and the evidence would not be admissible. The respondent College subsequently commenced disciplinary proceedings against the applicant and sought to rely on the evidence that the police had collected.</w:t>
            </w:r>
          </w:p>
          <w:p w:rsidR="00E85588" w:rsidRPr="00E85588" w:rsidRDefault="00E85588" w:rsidP="00E85588">
            <w:pPr>
              <w:jc w:val="both"/>
              <w:rPr>
                <w:sz w:val="20"/>
                <w:lang w:val="en"/>
              </w:rPr>
            </w:pPr>
            <w:r w:rsidRPr="00E85588">
              <w:rPr>
                <w:sz w:val="20"/>
                <w:lang w:val="en"/>
              </w:rPr>
              <w:t xml:space="preserve">The applicant brought a motion before the </w:t>
            </w:r>
            <w:r w:rsidRPr="00E85588">
              <w:rPr>
                <w:sz w:val="20"/>
              </w:rPr>
              <w:t xml:space="preserve">Discipline Committee of the College </w:t>
            </w:r>
            <w:r w:rsidRPr="00E85588">
              <w:rPr>
                <w:sz w:val="20"/>
                <w:lang w:val="en"/>
              </w:rPr>
              <w:t xml:space="preserve">to exclude the evidence. It was agreed that the police had violated the applicant’s s. 8 </w:t>
            </w:r>
            <w:r w:rsidRPr="00E85588">
              <w:rPr>
                <w:i/>
                <w:sz w:val="20"/>
                <w:lang w:val="en"/>
              </w:rPr>
              <w:t>Charter</w:t>
            </w:r>
            <w:r w:rsidRPr="00E85588">
              <w:rPr>
                <w:sz w:val="20"/>
                <w:lang w:val="en"/>
              </w:rPr>
              <w:t xml:space="preserve"> rights to be secure against unreasonable search and seizure. The sole issue before the Discipline Committee was whether the evidence should be excluded from the disciplinary proceeding under s. 24(2) of the </w:t>
            </w:r>
            <w:r w:rsidRPr="00E85588">
              <w:rPr>
                <w:i/>
                <w:iCs/>
                <w:sz w:val="20"/>
                <w:lang w:val="en"/>
              </w:rPr>
              <w:t>Charter</w:t>
            </w:r>
            <w:r w:rsidRPr="00E85588">
              <w:rPr>
                <w:sz w:val="20"/>
                <w:lang w:val="en"/>
              </w:rPr>
              <w:t>. The majority of the Discipline Committee held that the evidence was inadmissible and dismissed the allegations of professional misconduct, since without the evidence the College had no basis to discipline the applicant.</w:t>
            </w:r>
            <w:r w:rsidRPr="00E85588">
              <w:rPr>
                <w:sz w:val="20"/>
              </w:rPr>
              <w:t xml:space="preserve"> The Divisional Court allowed t</w:t>
            </w:r>
            <w:r w:rsidRPr="00E85588">
              <w:rPr>
                <w:sz w:val="20"/>
                <w:lang w:val="en"/>
              </w:rPr>
              <w:t xml:space="preserve">he appeal, and set aside the decision of the Discipline Committee and returned the matter to the College for a new hearing before a different Discipline Committee panel, for the purpose of conducting the </w:t>
            </w:r>
            <w:r w:rsidRPr="00E85588">
              <w:rPr>
                <w:i/>
                <w:iCs/>
                <w:sz w:val="20"/>
                <w:lang w:val="en"/>
              </w:rPr>
              <w:t>R. v. Grant</w:t>
            </w:r>
            <w:r w:rsidRPr="00E85588">
              <w:rPr>
                <w:sz w:val="20"/>
                <w:lang w:val="en"/>
              </w:rPr>
              <w:t xml:space="preserve">, </w:t>
            </w:r>
            <w:r w:rsidRPr="00E85588">
              <w:rPr>
                <w:rStyle w:val="reflex3-block"/>
                <w:sz w:val="20"/>
                <w:lang w:val="en"/>
              </w:rPr>
              <w:t xml:space="preserve">2009 SCC 32, </w:t>
            </w:r>
            <w:r w:rsidRPr="00E85588">
              <w:rPr>
                <w:rStyle w:val="reflex3-alt"/>
                <w:rFonts w:eastAsiaTheme="minorHAnsi"/>
                <w:sz w:val="20"/>
                <w:lang w:val="en"/>
              </w:rPr>
              <w:t>[2009] 2 S.C.R. 353</w:t>
            </w:r>
            <w:r w:rsidRPr="00E85588">
              <w:rPr>
                <w:sz w:val="20"/>
                <w:lang w:val="en"/>
              </w:rPr>
              <w:t xml:space="preserve"> </w:t>
            </w:r>
            <w:r w:rsidRPr="00E85588">
              <w:rPr>
                <w:rStyle w:val="reflex"/>
                <w:sz w:val="20"/>
                <w:lang w:val="en"/>
              </w:rPr>
              <w:t xml:space="preserve">analysis </w:t>
            </w:r>
            <w:r w:rsidRPr="00E85588">
              <w:rPr>
                <w:sz w:val="20"/>
                <w:lang w:val="en"/>
              </w:rPr>
              <w:t xml:space="preserve">and deciding the applicant’s motion to exclude the evidence. </w:t>
            </w:r>
            <w:r w:rsidRPr="00E85588">
              <w:rPr>
                <w:sz w:val="20"/>
              </w:rPr>
              <w:t>The Court of Appeal dismissed the applicant’s motion for leave to appeal.</w:t>
            </w:r>
          </w:p>
        </w:tc>
      </w:tr>
      <w:tr w:rsidR="00E85588" w:rsidRPr="00E85588" w:rsidTr="00E95A6A">
        <w:tc>
          <w:tcPr>
            <w:tcW w:w="5000" w:type="pct"/>
            <w:gridSpan w:val="4"/>
          </w:tcPr>
          <w:p w:rsidR="00E85588" w:rsidRPr="00E85588" w:rsidRDefault="00E85588" w:rsidP="00E85588">
            <w:pPr>
              <w:jc w:val="both"/>
              <w:rPr>
                <w:sz w:val="20"/>
              </w:rPr>
            </w:pPr>
          </w:p>
        </w:tc>
      </w:tr>
      <w:tr w:rsidR="00E85588" w:rsidRPr="00E85588" w:rsidTr="00E95A6A">
        <w:tc>
          <w:tcPr>
            <w:tcW w:w="2427" w:type="pct"/>
            <w:gridSpan w:val="2"/>
          </w:tcPr>
          <w:p w:rsidR="00E85588" w:rsidRPr="00E85588" w:rsidRDefault="00E85588" w:rsidP="00E85588">
            <w:pPr>
              <w:jc w:val="both"/>
              <w:rPr>
                <w:sz w:val="20"/>
              </w:rPr>
            </w:pPr>
            <w:r w:rsidRPr="00E85588">
              <w:rPr>
                <w:sz w:val="20"/>
              </w:rPr>
              <w:t>February 20, 2019</w:t>
            </w:r>
          </w:p>
          <w:p w:rsidR="00E85588" w:rsidRPr="00E85588" w:rsidRDefault="00E85588" w:rsidP="00E85588">
            <w:pPr>
              <w:jc w:val="both"/>
              <w:rPr>
                <w:sz w:val="20"/>
              </w:rPr>
            </w:pPr>
            <w:r w:rsidRPr="00E85588">
              <w:rPr>
                <w:sz w:val="20"/>
              </w:rPr>
              <w:t>Ontario Superior Court of Justice</w:t>
            </w:r>
          </w:p>
          <w:p w:rsidR="00E85588" w:rsidRPr="00E85588" w:rsidRDefault="00E85588" w:rsidP="00E85588">
            <w:pPr>
              <w:jc w:val="both"/>
              <w:rPr>
                <w:sz w:val="20"/>
              </w:rPr>
            </w:pPr>
            <w:r w:rsidRPr="00E85588">
              <w:rPr>
                <w:sz w:val="20"/>
              </w:rPr>
              <w:t>(Divisional Court)</w:t>
            </w:r>
          </w:p>
          <w:p w:rsidR="00E85588" w:rsidRPr="00E85588" w:rsidRDefault="00E85588" w:rsidP="00E85588">
            <w:pPr>
              <w:jc w:val="both"/>
              <w:rPr>
                <w:sz w:val="20"/>
              </w:rPr>
            </w:pPr>
            <w:r w:rsidRPr="00E85588">
              <w:rPr>
                <w:sz w:val="20"/>
              </w:rPr>
              <w:t>(Morawetz R.S.J., Horkins and Matheson JJ.)</w:t>
            </w:r>
          </w:p>
          <w:p w:rsidR="00E85588" w:rsidRPr="00E85588" w:rsidRDefault="00851D79" w:rsidP="00E85588">
            <w:pPr>
              <w:jc w:val="both"/>
              <w:rPr>
                <w:sz w:val="20"/>
              </w:rPr>
            </w:pPr>
            <w:hyperlink r:id="rId13" w:history="1">
              <w:r w:rsidR="00E85588" w:rsidRPr="00E85588">
                <w:rPr>
                  <w:rStyle w:val="Hyperlink"/>
                  <w:sz w:val="20"/>
                </w:rPr>
                <w:t>2019 ONSC 946</w:t>
              </w:r>
            </w:hyperlink>
          </w:p>
          <w:p w:rsidR="00E85588" w:rsidRPr="00E85588" w:rsidRDefault="00E85588" w:rsidP="00E85588">
            <w:pPr>
              <w:jc w:val="both"/>
              <w:rPr>
                <w:sz w:val="20"/>
              </w:rPr>
            </w:pPr>
            <w:r w:rsidRPr="00E85588">
              <w:rPr>
                <w:sz w:val="20"/>
              </w:rPr>
              <w:t>306/18</w:t>
            </w:r>
          </w:p>
          <w:p w:rsidR="00E85588" w:rsidRPr="00E85588" w:rsidRDefault="00E85588" w:rsidP="00E85588">
            <w:pPr>
              <w:jc w:val="both"/>
              <w:rPr>
                <w:sz w:val="20"/>
              </w:rPr>
            </w:pPr>
          </w:p>
        </w:tc>
        <w:tc>
          <w:tcPr>
            <w:tcW w:w="243" w:type="pct"/>
          </w:tcPr>
          <w:p w:rsidR="00E85588" w:rsidRPr="00E85588" w:rsidRDefault="00E85588" w:rsidP="00E85588">
            <w:pPr>
              <w:jc w:val="both"/>
              <w:rPr>
                <w:sz w:val="20"/>
              </w:rPr>
            </w:pPr>
          </w:p>
        </w:tc>
        <w:tc>
          <w:tcPr>
            <w:tcW w:w="2330" w:type="pct"/>
          </w:tcPr>
          <w:p w:rsidR="00E85588" w:rsidRPr="00E85588" w:rsidRDefault="00E85588" w:rsidP="00E85588">
            <w:pPr>
              <w:jc w:val="both"/>
              <w:rPr>
                <w:sz w:val="20"/>
              </w:rPr>
            </w:pPr>
            <w:r w:rsidRPr="00E85588">
              <w:rPr>
                <w:sz w:val="20"/>
              </w:rPr>
              <w:t>Applicant’s appeal from the order of the Discipline Committee of the College of Veterinarians of Ontario allowed; decision set aside; new hearing ordered without costs</w:t>
            </w:r>
          </w:p>
          <w:p w:rsidR="00E85588" w:rsidRPr="00E85588" w:rsidRDefault="00E85588" w:rsidP="00E85588">
            <w:pPr>
              <w:jc w:val="both"/>
              <w:rPr>
                <w:sz w:val="20"/>
              </w:rPr>
            </w:pPr>
          </w:p>
        </w:tc>
      </w:tr>
      <w:tr w:rsidR="00E85588" w:rsidRPr="00E85588" w:rsidTr="00E95A6A">
        <w:tc>
          <w:tcPr>
            <w:tcW w:w="2427" w:type="pct"/>
            <w:gridSpan w:val="2"/>
          </w:tcPr>
          <w:p w:rsidR="00E85588" w:rsidRPr="00E85588" w:rsidRDefault="00E85588" w:rsidP="00E85588">
            <w:pPr>
              <w:jc w:val="both"/>
              <w:rPr>
                <w:sz w:val="20"/>
              </w:rPr>
            </w:pPr>
            <w:r w:rsidRPr="00E85588">
              <w:rPr>
                <w:sz w:val="20"/>
              </w:rPr>
              <w:t>May 29, 2019</w:t>
            </w:r>
          </w:p>
          <w:p w:rsidR="00E85588" w:rsidRPr="00E85588" w:rsidRDefault="00E85588" w:rsidP="00E85588">
            <w:pPr>
              <w:jc w:val="both"/>
              <w:rPr>
                <w:sz w:val="20"/>
              </w:rPr>
            </w:pPr>
            <w:r w:rsidRPr="00E85588">
              <w:rPr>
                <w:sz w:val="20"/>
              </w:rPr>
              <w:t>Court of Appeal for Ontario</w:t>
            </w:r>
          </w:p>
          <w:p w:rsidR="00E85588" w:rsidRPr="00E85588" w:rsidRDefault="00E85588" w:rsidP="00E85588">
            <w:pPr>
              <w:jc w:val="both"/>
              <w:rPr>
                <w:sz w:val="20"/>
              </w:rPr>
            </w:pPr>
            <w:r w:rsidRPr="00E85588">
              <w:rPr>
                <w:sz w:val="20"/>
              </w:rPr>
              <w:t>(Feldman, MacPherson, Simmons JJ.A.)</w:t>
            </w:r>
          </w:p>
          <w:p w:rsidR="00E85588" w:rsidRPr="00E85588" w:rsidRDefault="00E85588" w:rsidP="00E85588">
            <w:pPr>
              <w:jc w:val="both"/>
              <w:rPr>
                <w:sz w:val="20"/>
              </w:rPr>
            </w:pPr>
            <w:r w:rsidRPr="00E85588">
              <w:rPr>
                <w:sz w:val="20"/>
              </w:rPr>
              <w:t>M50223</w:t>
            </w:r>
          </w:p>
          <w:p w:rsidR="00E85588" w:rsidRPr="00E85588" w:rsidRDefault="00E85588" w:rsidP="00E85588">
            <w:pPr>
              <w:jc w:val="both"/>
              <w:rPr>
                <w:sz w:val="20"/>
              </w:rPr>
            </w:pPr>
            <w:r w:rsidRPr="00E85588">
              <w:rPr>
                <w:sz w:val="20"/>
              </w:rPr>
              <w:t>(unreported)</w:t>
            </w:r>
          </w:p>
          <w:p w:rsidR="00E85588" w:rsidRPr="00E85588" w:rsidRDefault="00E85588" w:rsidP="00E85588">
            <w:pPr>
              <w:jc w:val="both"/>
              <w:rPr>
                <w:sz w:val="20"/>
              </w:rPr>
            </w:pPr>
          </w:p>
        </w:tc>
        <w:tc>
          <w:tcPr>
            <w:tcW w:w="243" w:type="pct"/>
          </w:tcPr>
          <w:p w:rsidR="00E85588" w:rsidRPr="00E85588" w:rsidRDefault="00E85588" w:rsidP="00E85588">
            <w:pPr>
              <w:jc w:val="both"/>
              <w:rPr>
                <w:sz w:val="20"/>
              </w:rPr>
            </w:pPr>
          </w:p>
        </w:tc>
        <w:tc>
          <w:tcPr>
            <w:tcW w:w="2330" w:type="pct"/>
          </w:tcPr>
          <w:p w:rsidR="00E85588" w:rsidRPr="00E85588" w:rsidRDefault="00E85588" w:rsidP="00E85588">
            <w:pPr>
              <w:jc w:val="both"/>
              <w:rPr>
                <w:sz w:val="20"/>
              </w:rPr>
            </w:pPr>
            <w:r w:rsidRPr="00E85588">
              <w:rPr>
                <w:sz w:val="20"/>
              </w:rPr>
              <w:t>Applicant’s motion for leave to appeal dismissed with costs fixed at $500</w:t>
            </w:r>
          </w:p>
          <w:p w:rsidR="00E85588" w:rsidRPr="00E85588" w:rsidRDefault="00E85588" w:rsidP="00E85588">
            <w:pPr>
              <w:jc w:val="both"/>
              <w:rPr>
                <w:sz w:val="20"/>
              </w:rPr>
            </w:pPr>
          </w:p>
        </w:tc>
      </w:tr>
      <w:tr w:rsidR="00E85588" w:rsidRPr="00E85588" w:rsidTr="00E95A6A">
        <w:tc>
          <w:tcPr>
            <w:tcW w:w="2427" w:type="pct"/>
            <w:gridSpan w:val="2"/>
          </w:tcPr>
          <w:p w:rsidR="00E85588" w:rsidRPr="00E85588" w:rsidRDefault="00E85588" w:rsidP="00E85588">
            <w:pPr>
              <w:jc w:val="both"/>
              <w:rPr>
                <w:sz w:val="20"/>
              </w:rPr>
            </w:pPr>
            <w:r w:rsidRPr="00E85588">
              <w:rPr>
                <w:sz w:val="20"/>
              </w:rPr>
              <w:t>August 28, 2019</w:t>
            </w:r>
          </w:p>
          <w:p w:rsidR="00E85588" w:rsidRPr="00E85588" w:rsidRDefault="00E85588" w:rsidP="00E85588">
            <w:pPr>
              <w:jc w:val="both"/>
              <w:rPr>
                <w:sz w:val="20"/>
              </w:rPr>
            </w:pPr>
            <w:r w:rsidRPr="00E85588">
              <w:rPr>
                <w:sz w:val="20"/>
              </w:rPr>
              <w:t>Supreme Court of Canada</w:t>
            </w:r>
          </w:p>
        </w:tc>
        <w:tc>
          <w:tcPr>
            <w:tcW w:w="243" w:type="pct"/>
          </w:tcPr>
          <w:p w:rsidR="00E85588" w:rsidRPr="00E85588" w:rsidRDefault="00E85588" w:rsidP="00E85588">
            <w:pPr>
              <w:jc w:val="both"/>
              <w:rPr>
                <w:sz w:val="20"/>
              </w:rPr>
            </w:pPr>
          </w:p>
        </w:tc>
        <w:tc>
          <w:tcPr>
            <w:tcW w:w="2330" w:type="pct"/>
          </w:tcPr>
          <w:p w:rsidR="00E85588" w:rsidRPr="00E85588" w:rsidRDefault="00E85588" w:rsidP="00E85588">
            <w:pPr>
              <w:jc w:val="both"/>
              <w:rPr>
                <w:sz w:val="20"/>
              </w:rPr>
            </w:pPr>
            <w:r w:rsidRPr="00E85588">
              <w:rPr>
                <w:sz w:val="20"/>
              </w:rPr>
              <w:t>Application for leave to appeal filed</w:t>
            </w:r>
          </w:p>
          <w:p w:rsidR="00E85588" w:rsidRPr="00E85588" w:rsidRDefault="00E85588" w:rsidP="00E85588">
            <w:pPr>
              <w:jc w:val="both"/>
              <w:rPr>
                <w:sz w:val="20"/>
              </w:rPr>
            </w:pPr>
          </w:p>
        </w:tc>
      </w:tr>
    </w:tbl>
    <w:p w:rsidR="00E85588" w:rsidRPr="00E85588" w:rsidRDefault="00E85588" w:rsidP="00E85588">
      <w:pPr>
        <w:jc w:val="both"/>
        <w:rPr>
          <w:sz w:val="20"/>
        </w:rPr>
      </w:pPr>
    </w:p>
    <w:p w:rsidR="00E85588" w:rsidRPr="00E85588" w:rsidRDefault="00851D79" w:rsidP="00E85588">
      <w:pPr>
        <w:jc w:val="both"/>
        <w:rPr>
          <w:sz w:val="20"/>
        </w:rPr>
      </w:pPr>
      <w:r>
        <w:rPr>
          <w:sz w:val="20"/>
        </w:rPr>
        <w:pict>
          <v:rect id="_x0000_i1027" style="width:2in;height:1pt" o:hrpct="0" o:hralign="center" o:hrstd="t" o:hrnoshade="t" o:hr="t" fillcolor="black [3213]" stroked="f"/>
        </w:pict>
      </w:r>
    </w:p>
    <w:p w:rsidR="00E85588" w:rsidRPr="00E85588" w:rsidRDefault="00E85588" w:rsidP="00E8558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5588" w:rsidRPr="00E85588" w:rsidTr="00E95A6A">
        <w:tc>
          <w:tcPr>
            <w:tcW w:w="543" w:type="pct"/>
          </w:tcPr>
          <w:p w:rsidR="00E85588" w:rsidRPr="00E85588" w:rsidRDefault="00E85588" w:rsidP="00E85588">
            <w:pPr>
              <w:jc w:val="both"/>
              <w:rPr>
                <w:sz w:val="20"/>
                <w:lang w:val="fr-CA"/>
              </w:rPr>
            </w:pPr>
            <w:r w:rsidRPr="00E85588">
              <w:rPr>
                <w:rStyle w:val="SCCFileNumberChar"/>
                <w:sz w:val="20"/>
                <w:szCs w:val="20"/>
                <w:lang w:val="fr-CA"/>
              </w:rPr>
              <w:t>38818</w:t>
            </w:r>
          </w:p>
        </w:tc>
        <w:tc>
          <w:tcPr>
            <w:tcW w:w="4457" w:type="pct"/>
            <w:gridSpan w:val="3"/>
          </w:tcPr>
          <w:p w:rsidR="00E85588" w:rsidRPr="00C57B64" w:rsidRDefault="00E85588" w:rsidP="00E85588">
            <w:pPr>
              <w:pStyle w:val="SCCLsocParty"/>
              <w:jc w:val="both"/>
              <w:rPr>
                <w:b/>
                <w:sz w:val="20"/>
                <w:szCs w:val="20"/>
              </w:rPr>
            </w:pPr>
            <w:r w:rsidRPr="00C57B64">
              <w:rPr>
                <w:b/>
                <w:sz w:val="20"/>
                <w:szCs w:val="20"/>
              </w:rPr>
              <w:t>Derek Choong c. Ordre des vétérinaires de l’Ontario</w:t>
            </w:r>
          </w:p>
          <w:p w:rsidR="00E85588" w:rsidRPr="00E85588" w:rsidRDefault="00E85588" w:rsidP="00E85588">
            <w:pPr>
              <w:jc w:val="both"/>
              <w:rPr>
                <w:sz w:val="20"/>
                <w:lang w:val="fr-CA"/>
              </w:rPr>
            </w:pPr>
            <w:r w:rsidRPr="00E85588">
              <w:rPr>
                <w:sz w:val="20"/>
                <w:lang w:val="fr-CA"/>
              </w:rPr>
              <w:t>(Ont.) (Civile) (Autorisation)</w:t>
            </w:r>
          </w:p>
        </w:tc>
      </w:tr>
      <w:tr w:rsidR="00E85588" w:rsidRPr="0084608C" w:rsidTr="00E95A6A">
        <w:tc>
          <w:tcPr>
            <w:tcW w:w="5000" w:type="pct"/>
            <w:gridSpan w:val="4"/>
          </w:tcPr>
          <w:p w:rsidR="00E85588" w:rsidRPr="00E85588" w:rsidRDefault="00E85588" w:rsidP="00E85588">
            <w:pPr>
              <w:jc w:val="both"/>
              <w:rPr>
                <w:sz w:val="20"/>
                <w:lang w:val="fr-CA"/>
              </w:rPr>
            </w:pPr>
            <w:r w:rsidRPr="00E85588">
              <w:rPr>
                <w:i/>
                <w:sz w:val="20"/>
                <w:lang w:val="fr-CA"/>
              </w:rPr>
              <w:t>Charte des droits</w:t>
            </w:r>
            <w:r w:rsidRPr="00E85588">
              <w:rPr>
                <w:sz w:val="20"/>
                <w:lang w:val="fr-CA"/>
              </w:rPr>
              <w:t xml:space="preserve"> — Réparation — Droit administratif — Appel — Norme de contrôle — Contrôle de la décision du comité de discipline de l’Ordre des vétérinaires de l’Ontario — Y a</w:t>
            </w:r>
            <w:r w:rsidRPr="00E85588">
              <w:rPr>
                <w:sz w:val="20"/>
                <w:lang w:val="fr-CA"/>
              </w:rPr>
              <w:noBreakHyphen/>
              <w:t>t</w:t>
            </w:r>
            <w:r w:rsidRPr="00E85588">
              <w:rPr>
                <w:sz w:val="20"/>
                <w:lang w:val="fr-CA"/>
              </w:rPr>
              <w:noBreakHyphen/>
              <w:t xml:space="preserve">il lieu d’exclure des éléments preuve du recours disciplinaire en application du par. 24(2) de la </w:t>
            </w:r>
            <w:r w:rsidRPr="00E85588">
              <w:rPr>
                <w:i/>
                <w:iCs/>
                <w:sz w:val="20"/>
                <w:lang w:val="fr-CA"/>
              </w:rPr>
              <w:t>Charte</w:t>
            </w:r>
            <w:r w:rsidRPr="00E85588">
              <w:rPr>
                <w:iCs/>
                <w:sz w:val="20"/>
                <w:lang w:val="fr-CA"/>
              </w:rPr>
              <w:t xml:space="preserve">? </w:t>
            </w:r>
            <w:r w:rsidRPr="00E85588">
              <w:rPr>
                <w:sz w:val="20"/>
                <w:lang w:val="fr-CA"/>
              </w:rPr>
              <w:t xml:space="preserve">— </w:t>
            </w:r>
            <w:r w:rsidRPr="00E85588">
              <w:rPr>
                <w:spacing w:val="-2"/>
                <w:sz w:val="20"/>
                <w:lang w:val="fr-CA"/>
              </w:rPr>
              <w:t>Lorsque les policiers soupçonnent qu'une adresse IP est impliquée dans une activité criminelle, les renseignements du titulaire du compte liés à ce compte donnent</w:t>
            </w:r>
            <w:r w:rsidRPr="00E85588">
              <w:rPr>
                <w:spacing w:val="-2"/>
                <w:sz w:val="20"/>
                <w:lang w:val="fr-CA"/>
              </w:rPr>
              <w:noBreakHyphen/>
              <w:t xml:space="preserve">ils à eux seuls aux policiers des motifs suffisants leur permettant d’obtenir un mandat pour fouiller les appareils électroniques du titulaire du compte qui se trouvent chez lui? </w:t>
            </w:r>
            <w:r w:rsidRPr="00E85588">
              <w:rPr>
                <w:sz w:val="20"/>
                <w:lang w:val="fr-CA"/>
              </w:rPr>
              <w:t xml:space="preserve">— </w:t>
            </w:r>
            <w:r w:rsidRPr="00E85588">
              <w:rPr>
                <w:spacing w:val="-2"/>
                <w:sz w:val="20"/>
                <w:lang w:val="fr-CA"/>
              </w:rPr>
              <w:t>Quelle est la norme de contrôle appropriée lorsqu’un tribunal judiciaire contrôle la décision du tribunal administratif quant à savoir si la conduite des policiers viole la</w:t>
            </w:r>
            <w:r w:rsidRPr="00E85588">
              <w:rPr>
                <w:sz w:val="20"/>
                <w:lang w:val="fr-CA"/>
              </w:rPr>
              <w:t xml:space="preserve"> </w:t>
            </w:r>
            <w:r w:rsidRPr="00E85588">
              <w:rPr>
                <w:i/>
                <w:sz w:val="20"/>
                <w:lang w:val="fr-CA"/>
              </w:rPr>
              <w:t xml:space="preserve">Charte </w:t>
            </w:r>
            <w:r w:rsidRPr="00E85588">
              <w:rPr>
                <w:sz w:val="20"/>
                <w:lang w:val="fr-CA"/>
              </w:rPr>
              <w:t xml:space="preserve">et s’il y a lieu d’exclure les éléments de preuve obtenus? — Par. 24(2) de la </w:t>
            </w:r>
            <w:r w:rsidRPr="00E85588">
              <w:rPr>
                <w:i/>
                <w:sz w:val="20"/>
                <w:lang w:val="fr-CA"/>
              </w:rPr>
              <w:t>Charte canadienne des droits et libertés</w:t>
            </w:r>
            <w:r w:rsidRPr="00E85588">
              <w:rPr>
                <w:sz w:val="20"/>
                <w:lang w:val="fr-CA"/>
              </w:rPr>
              <w:t>.</w:t>
            </w:r>
          </w:p>
          <w:p w:rsidR="00E85588" w:rsidRPr="00E85588" w:rsidRDefault="00E85588" w:rsidP="00E85588">
            <w:pPr>
              <w:jc w:val="both"/>
              <w:rPr>
                <w:sz w:val="20"/>
                <w:lang w:val="fr-CA"/>
              </w:rPr>
            </w:pPr>
          </w:p>
        </w:tc>
      </w:tr>
      <w:tr w:rsidR="00E85588" w:rsidRPr="0084608C" w:rsidTr="00E95A6A">
        <w:tc>
          <w:tcPr>
            <w:tcW w:w="5000" w:type="pct"/>
            <w:gridSpan w:val="4"/>
          </w:tcPr>
          <w:p w:rsidR="00E85588" w:rsidRPr="00E85588" w:rsidRDefault="00E85588" w:rsidP="00C57B64">
            <w:pPr>
              <w:pStyle w:val="mainparagraph1"/>
              <w:shd w:val="clear" w:color="auto" w:fill="FFFFFF"/>
              <w:ind w:left="0" w:firstLine="0"/>
              <w:rPr>
                <w:sz w:val="20"/>
                <w:szCs w:val="20"/>
                <w:lang w:val="fr-CA"/>
              </w:rPr>
            </w:pPr>
            <w:r w:rsidRPr="00E85588">
              <w:rPr>
                <w:sz w:val="20"/>
                <w:szCs w:val="20"/>
                <w:lang w:val="fr-CA"/>
              </w:rPr>
              <w:t xml:space="preserve">Au cours d’une enquête, les policiers ont recueilli des éléments de preuve au soutien d’une allégation selon laquelle le demandeur a possédé ou distribué de la pornographie juvénile, y a eu accès ou l’a rendue disponible. Les éléments de preuve ont entraîné le dépôt d’accusations criminelles contre le demandeur. Les accusations ont fini par être retirées, le ministère public ayant conclu que les droits que l’art. 8 de la </w:t>
            </w:r>
            <w:r w:rsidRPr="00E85588">
              <w:rPr>
                <w:i/>
                <w:iCs/>
                <w:sz w:val="20"/>
                <w:szCs w:val="20"/>
                <w:lang w:val="fr-CA"/>
              </w:rPr>
              <w:t>Charte</w:t>
            </w:r>
            <w:r w:rsidRPr="00E85588">
              <w:rPr>
                <w:sz w:val="20"/>
                <w:szCs w:val="20"/>
                <w:lang w:val="fr-CA"/>
              </w:rPr>
              <w:t xml:space="preserve"> garantit au demandeur avaient été violés et que ces éléments de preuve ne seraient pas admissibles. L’Ordre intimé a entamé subséquemment un recours disciplinaire contre le demandeur et a voulu s’appuyer sur les éléments de preuve que les policiers avaient recueillis.</w:t>
            </w:r>
          </w:p>
          <w:p w:rsidR="00E85588" w:rsidRPr="00E85588" w:rsidRDefault="00E85588" w:rsidP="00E85588">
            <w:pPr>
              <w:jc w:val="both"/>
              <w:rPr>
                <w:sz w:val="20"/>
                <w:lang w:val="fr-CA"/>
              </w:rPr>
            </w:pPr>
            <w:r w:rsidRPr="00E85588">
              <w:rPr>
                <w:sz w:val="20"/>
                <w:lang w:val="fr-CA"/>
              </w:rPr>
              <w:t xml:space="preserve">Le demandeur a déposé une motion devant le comité de discipline de l’Ordre en vue d’exclure les éléments de preuve. On a convenu que les policiers avaient violé le droit que l’art. 8 de la </w:t>
            </w:r>
            <w:r w:rsidRPr="00E85588">
              <w:rPr>
                <w:i/>
                <w:sz w:val="20"/>
                <w:lang w:val="fr-CA"/>
              </w:rPr>
              <w:t>Charte</w:t>
            </w:r>
            <w:r w:rsidRPr="00E85588">
              <w:rPr>
                <w:sz w:val="20"/>
                <w:lang w:val="fr-CA"/>
              </w:rPr>
              <w:t xml:space="preserve"> garantit au demandeur à la protection contre les fouilles, les perquisitions et les saisies abusives. La seule question litigieuse devant le comité de discipline était de savoir s’il fallait exclure les éléments de preuve du recours disciplinaire en application du par. 24(2) de la </w:t>
            </w:r>
            <w:r w:rsidRPr="00E85588">
              <w:rPr>
                <w:i/>
                <w:iCs/>
                <w:sz w:val="20"/>
                <w:lang w:val="fr-CA"/>
              </w:rPr>
              <w:lastRenderedPageBreak/>
              <w:t>Charte</w:t>
            </w:r>
            <w:r w:rsidRPr="00E85588">
              <w:rPr>
                <w:sz w:val="20"/>
                <w:lang w:val="fr-CA"/>
              </w:rPr>
              <w:t xml:space="preserve">. Les membres majoritaires du comité de discipline ont statué que les éléments de preuve étaient inadmissibles et ont rejeté les allégations de conduite non professionnelle, puisque sans ces éléments de preuve, l’Ordre n’avait aucun motif d’infliger une sanction disciplinaire au demandeur. La Cour divisionnaire a accueilli l’appel, annulé la décision du comité de discipline et renvoyé l’affaire à l’Ordre pour que l’affaire soit entendue de nouveau devant une autre formation du comité de discipline dans le but de faire l’analyse fondée sur l’arrêt </w:t>
            </w:r>
            <w:r w:rsidRPr="00E85588">
              <w:rPr>
                <w:i/>
                <w:iCs/>
                <w:sz w:val="20"/>
                <w:lang w:val="fr-CA"/>
              </w:rPr>
              <w:t>R. c. Grant</w:t>
            </w:r>
            <w:r w:rsidRPr="00E85588">
              <w:rPr>
                <w:sz w:val="20"/>
                <w:lang w:val="fr-CA"/>
              </w:rPr>
              <w:t xml:space="preserve">, </w:t>
            </w:r>
            <w:r w:rsidRPr="00E85588">
              <w:rPr>
                <w:rStyle w:val="reflex3-block"/>
                <w:sz w:val="20"/>
                <w:lang w:val="fr-CA"/>
              </w:rPr>
              <w:t xml:space="preserve">2009 CSC 32, </w:t>
            </w:r>
            <w:r w:rsidRPr="00E85588">
              <w:rPr>
                <w:rStyle w:val="reflex3-alt"/>
                <w:rFonts w:eastAsiaTheme="minorHAnsi"/>
                <w:sz w:val="20"/>
                <w:lang w:val="fr-CA"/>
              </w:rPr>
              <w:t>[2009] 2 R.C.S. 353</w:t>
            </w:r>
            <w:r w:rsidRPr="00E85588">
              <w:rPr>
                <w:sz w:val="20"/>
                <w:lang w:val="fr-CA"/>
              </w:rPr>
              <w:t xml:space="preserve"> </w:t>
            </w:r>
            <w:r w:rsidRPr="00E85588">
              <w:rPr>
                <w:rStyle w:val="reflex"/>
                <w:sz w:val="20"/>
                <w:lang w:val="fr-CA"/>
              </w:rPr>
              <w:t>et de trancher la motion du demandeur en exclusion de la preuve</w:t>
            </w:r>
            <w:r w:rsidRPr="00E85588">
              <w:rPr>
                <w:sz w:val="20"/>
                <w:lang w:val="fr-CA"/>
              </w:rPr>
              <w:t>. La Cour d’appel a rejeté la motion du demandeur en autorisation d’interjeter appel.</w:t>
            </w:r>
          </w:p>
        </w:tc>
      </w:tr>
      <w:tr w:rsidR="00E85588" w:rsidRPr="0084608C" w:rsidTr="00E95A6A">
        <w:tc>
          <w:tcPr>
            <w:tcW w:w="5000" w:type="pct"/>
            <w:gridSpan w:val="4"/>
          </w:tcPr>
          <w:p w:rsidR="00E85588" w:rsidRPr="00E85588" w:rsidRDefault="00E85588" w:rsidP="00E85588">
            <w:pPr>
              <w:jc w:val="both"/>
              <w:rPr>
                <w:sz w:val="20"/>
                <w:lang w:val="fr-CA"/>
              </w:rPr>
            </w:pPr>
          </w:p>
        </w:tc>
      </w:tr>
      <w:tr w:rsidR="00E85588" w:rsidRPr="0084608C" w:rsidTr="00E95A6A">
        <w:tc>
          <w:tcPr>
            <w:tcW w:w="2427" w:type="pct"/>
            <w:gridSpan w:val="2"/>
          </w:tcPr>
          <w:p w:rsidR="00E85588" w:rsidRPr="00E85588" w:rsidRDefault="00E85588" w:rsidP="00E85588">
            <w:pPr>
              <w:jc w:val="both"/>
              <w:rPr>
                <w:sz w:val="20"/>
                <w:lang w:val="fr-CA"/>
              </w:rPr>
            </w:pPr>
            <w:r w:rsidRPr="00E85588">
              <w:rPr>
                <w:sz w:val="20"/>
                <w:lang w:val="fr-CA"/>
              </w:rPr>
              <w:t>20 février 2019</w:t>
            </w:r>
          </w:p>
          <w:p w:rsidR="00E85588" w:rsidRPr="00E85588" w:rsidRDefault="00E85588" w:rsidP="00E85588">
            <w:pPr>
              <w:jc w:val="both"/>
              <w:rPr>
                <w:sz w:val="20"/>
                <w:lang w:val="fr-CA"/>
              </w:rPr>
            </w:pPr>
            <w:r w:rsidRPr="00E85588">
              <w:rPr>
                <w:sz w:val="20"/>
                <w:lang w:val="fr-CA"/>
              </w:rPr>
              <w:t>Cour supérieure de justice de l’Ontario</w:t>
            </w:r>
          </w:p>
          <w:p w:rsidR="00E85588" w:rsidRPr="00E85588" w:rsidRDefault="00E85588" w:rsidP="00E85588">
            <w:pPr>
              <w:jc w:val="both"/>
              <w:rPr>
                <w:sz w:val="20"/>
                <w:lang w:val="fr-CA"/>
              </w:rPr>
            </w:pPr>
            <w:r w:rsidRPr="00E85588">
              <w:rPr>
                <w:sz w:val="20"/>
                <w:lang w:val="fr-CA"/>
              </w:rPr>
              <w:t>(Cour divisionnaire)</w:t>
            </w:r>
          </w:p>
          <w:p w:rsidR="00E85588" w:rsidRPr="00E85588" w:rsidRDefault="00E85588" w:rsidP="00E85588">
            <w:pPr>
              <w:jc w:val="both"/>
              <w:rPr>
                <w:sz w:val="20"/>
                <w:lang w:val="fr-CA"/>
              </w:rPr>
            </w:pPr>
            <w:r w:rsidRPr="00E85588">
              <w:rPr>
                <w:sz w:val="20"/>
                <w:lang w:val="fr-CA"/>
              </w:rPr>
              <w:t xml:space="preserve">(Juge principal régional </w:t>
            </w:r>
            <w:proofErr w:type="spellStart"/>
            <w:r w:rsidRPr="00E85588">
              <w:rPr>
                <w:sz w:val="20"/>
                <w:lang w:val="fr-CA"/>
              </w:rPr>
              <w:t>Morawetz</w:t>
            </w:r>
            <w:proofErr w:type="spellEnd"/>
            <w:r w:rsidRPr="00E85588">
              <w:rPr>
                <w:sz w:val="20"/>
                <w:lang w:val="fr-CA"/>
              </w:rPr>
              <w:t xml:space="preserve">, juges </w:t>
            </w:r>
            <w:proofErr w:type="spellStart"/>
            <w:r w:rsidRPr="00E85588">
              <w:rPr>
                <w:sz w:val="20"/>
                <w:lang w:val="fr-CA"/>
              </w:rPr>
              <w:t>Horkins</w:t>
            </w:r>
            <w:proofErr w:type="spellEnd"/>
            <w:r w:rsidRPr="00E85588">
              <w:rPr>
                <w:sz w:val="20"/>
                <w:lang w:val="fr-CA"/>
              </w:rPr>
              <w:t xml:space="preserve"> et Matheson)</w:t>
            </w:r>
          </w:p>
          <w:p w:rsidR="00E85588" w:rsidRPr="00E85588" w:rsidRDefault="00851D79" w:rsidP="00E85588">
            <w:pPr>
              <w:jc w:val="both"/>
              <w:rPr>
                <w:sz w:val="20"/>
                <w:lang w:val="fr-CA"/>
              </w:rPr>
            </w:pPr>
            <w:hyperlink r:id="rId14" w:history="1">
              <w:r w:rsidR="00E85588" w:rsidRPr="00E85588">
                <w:rPr>
                  <w:rStyle w:val="Hyperlink"/>
                  <w:sz w:val="20"/>
                  <w:lang w:val="fr-CA"/>
                </w:rPr>
                <w:t>2019 ONSC 946</w:t>
              </w:r>
            </w:hyperlink>
          </w:p>
          <w:p w:rsidR="00E85588" w:rsidRPr="00E85588" w:rsidRDefault="00E85588" w:rsidP="00E85588">
            <w:pPr>
              <w:jc w:val="both"/>
              <w:rPr>
                <w:sz w:val="20"/>
                <w:lang w:val="fr-CA"/>
              </w:rPr>
            </w:pPr>
            <w:r w:rsidRPr="00E85588">
              <w:rPr>
                <w:sz w:val="20"/>
                <w:lang w:val="fr-CA"/>
              </w:rPr>
              <w:t>306/18</w:t>
            </w:r>
          </w:p>
          <w:p w:rsidR="00E85588" w:rsidRPr="00E85588" w:rsidRDefault="00E85588" w:rsidP="00E85588">
            <w:pPr>
              <w:jc w:val="both"/>
              <w:rPr>
                <w:sz w:val="20"/>
                <w:lang w:val="fr-CA"/>
              </w:rPr>
            </w:pPr>
          </w:p>
        </w:tc>
        <w:tc>
          <w:tcPr>
            <w:tcW w:w="243" w:type="pct"/>
          </w:tcPr>
          <w:p w:rsidR="00E85588" w:rsidRPr="00E85588" w:rsidRDefault="00E85588" w:rsidP="00E85588">
            <w:pPr>
              <w:jc w:val="both"/>
              <w:rPr>
                <w:sz w:val="20"/>
                <w:lang w:val="fr-CA"/>
              </w:rPr>
            </w:pPr>
          </w:p>
        </w:tc>
        <w:tc>
          <w:tcPr>
            <w:tcW w:w="2330" w:type="pct"/>
          </w:tcPr>
          <w:p w:rsidR="00E85588" w:rsidRPr="00E85588" w:rsidRDefault="00E85588" w:rsidP="00E85588">
            <w:pPr>
              <w:jc w:val="both"/>
              <w:rPr>
                <w:sz w:val="20"/>
                <w:lang w:val="fr-CA"/>
              </w:rPr>
            </w:pPr>
            <w:r w:rsidRPr="00E85588">
              <w:rPr>
                <w:sz w:val="20"/>
                <w:lang w:val="fr-CA"/>
              </w:rPr>
              <w:t>Jugement accueillant l’appel interjeté par le demandeur de l’ordonnance du comité de discipline de l’Ordre des vétérinaires de l’Ontario, annulant la décision et ordonnant la tenue d’une nouvelle audience, sans frais</w:t>
            </w:r>
          </w:p>
          <w:p w:rsidR="00E85588" w:rsidRPr="00E85588" w:rsidRDefault="00E85588" w:rsidP="00E85588">
            <w:pPr>
              <w:jc w:val="both"/>
              <w:rPr>
                <w:sz w:val="20"/>
                <w:lang w:val="fr-CA"/>
              </w:rPr>
            </w:pPr>
          </w:p>
        </w:tc>
      </w:tr>
      <w:tr w:rsidR="00E85588" w:rsidRPr="0084608C" w:rsidTr="00E95A6A">
        <w:tc>
          <w:tcPr>
            <w:tcW w:w="2427" w:type="pct"/>
            <w:gridSpan w:val="2"/>
          </w:tcPr>
          <w:p w:rsidR="00E85588" w:rsidRPr="00E85588" w:rsidRDefault="00E85588" w:rsidP="00E85588">
            <w:pPr>
              <w:jc w:val="both"/>
              <w:rPr>
                <w:sz w:val="20"/>
                <w:lang w:val="fr-CA"/>
              </w:rPr>
            </w:pPr>
            <w:r w:rsidRPr="00E85588">
              <w:rPr>
                <w:sz w:val="20"/>
                <w:lang w:val="fr-CA"/>
              </w:rPr>
              <w:t>29 mai 2019</w:t>
            </w:r>
          </w:p>
          <w:p w:rsidR="00E85588" w:rsidRPr="00E85588" w:rsidRDefault="00E85588" w:rsidP="00E85588">
            <w:pPr>
              <w:jc w:val="both"/>
              <w:rPr>
                <w:sz w:val="20"/>
                <w:lang w:val="fr-CA"/>
              </w:rPr>
            </w:pPr>
            <w:r w:rsidRPr="00E85588">
              <w:rPr>
                <w:sz w:val="20"/>
                <w:lang w:val="fr-CA"/>
              </w:rPr>
              <w:t>Cour d’appel de l’Ontario</w:t>
            </w:r>
          </w:p>
          <w:p w:rsidR="00E85588" w:rsidRPr="00E85588" w:rsidRDefault="00E85588" w:rsidP="00E85588">
            <w:pPr>
              <w:jc w:val="both"/>
              <w:rPr>
                <w:sz w:val="20"/>
                <w:lang w:val="fr-CA"/>
              </w:rPr>
            </w:pPr>
            <w:r w:rsidRPr="00E85588">
              <w:rPr>
                <w:sz w:val="20"/>
                <w:lang w:val="fr-CA"/>
              </w:rPr>
              <w:t xml:space="preserve">(Juges </w:t>
            </w:r>
            <w:proofErr w:type="spellStart"/>
            <w:r w:rsidRPr="00E85588">
              <w:rPr>
                <w:sz w:val="20"/>
                <w:lang w:val="fr-CA"/>
              </w:rPr>
              <w:t>Feldman</w:t>
            </w:r>
            <w:proofErr w:type="spellEnd"/>
            <w:r w:rsidRPr="00E85588">
              <w:rPr>
                <w:sz w:val="20"/>
                <w:lang w:val="fr-CA"/>
              </w:rPr>
              <w:t xml:space="preserve">, </w:t>
            </w:r>
            <w:proofErr w:type="spellStart"/>
            <w:r w:rsidRPr="00E85588">
              <w:rPr>
                <w:sz w:val="20"/>
                <w:lang w:val="fr-CA"/>
              </w:rPr>
              <w:t>MacPherson</w:t>
            </w:r>
            <w:proofErr w:type="spellEnd"/>
            <w:r w:rsidRPr="00E85588">
              <w:rPr>
                <w:sz w:val="20"/>
                <w:lang w:val="fr-CA"/>
              </w:rPr>
              <w:t xml:space="preserve"> et Simmons)</w:t>
            </w:r>
          </w:p>
          <w:p w:rsidR="00E85588" w:rsidRPr="00E85588" w:rsidRDefault="00E85588" w:rsidP="00E85588">
            <w:pPr>
              <w:jc w:val="both"/>
              <w:rPr>
                <w:sz w:val="20"/>
                <w:lang w:val="fr-CA"/>
              </w:rPr>
            </w:pPr>
            <w:r w:rsidRPr="00E85588">
              <w:rPr>
                <w:sz w:val="20"/>
                <w:lang w:val="fr-CA"/>
              </w:rPr>
              <w:t>M50223</w:t>
            </w:r>
          </w:p>
          <w:p w:rsidR="00E85588" w:rsidRPr="00E85588" w:rsidRDefault="00E85588" w:rsidP="00E85588">
            <w:pPr>
              <w:jc w:val="both"/>
              <w:rPr>
                <w:sz w:val="20"/>
                <w:lang w:val="fr-CA"/>
              </w:rPr>
            </w:pPr>
            <w:r w:rsidRPr="00E85588">
              <w:rPr>
                <w:sz w:val="20"/>
                <w:lang w:val="fr-CA"/>
              </w:rPr>
              <w:t>(non publié)</w:t>
            </w:r>
          </w:p>
          <w:p w:rsidR="00E85588" w:rsidRPr="00E85588" w:rsidRDefault="00E85588" w:rsidP="00E85588">
            <w:pPr>
              <w:jc w:val="both"/>
              <w:rPr>
                <w:sz w:val="20"/>
                <w:lang w:val="fr-CA"/>
              </w:rPr>
            </w:pPr>
          </w:p>
        </w:tc>
        <w:tc>
          <w:tcPr>
            <w:tcW w:w="243" w:type="pct"/>
          </w:tcPr>
          <w:p w:rsidR="00E85588" w:rsidRPr="00E85588" w:rsidRDefault="00E85588" w:rsidP="00E85588">
            <w:pPr>
              <w:jc w:val="both"/>
              <w:rPr>
                <w:sz w:val="20"/>
                <w:lang w:val="fr-CA"/>
              </w:rPr>
            </w:pPr>
          </w:p>
        </w:tc>
        <w:tc>
          <w:tcPr>
            <w:tcW w:w="2330" w:type="pct"/>
          </w:tcPr>
          <w:p w:rsidR="00E85588" w:rsidRPr="00E85588" w:rsidRDefault="00E85588" w:rsidP="00E85588">
            <w:pPr>
              <w:jc w:val="both"/>
              <w:rPr>
                <w:sz w:val="20"/>
                <w:lang w:val="fr-CA"/>
              </w:rPr>
            </w:pPr>
            <w:r w:rsidRPr="00E85588">
              <w:rPr>
                <w:sz w:val="20"/>
                <w:lang w:val="fr-CA"/>
              </w:rPr>
              <w:t>Rejet de la motion du demandeur en autorisation d’interjeter appel avec dépens fixés à 500 $</w:t>
            </w:r>
          </w:p>
          <w:p w:rsidR="00E85588" w:rsidRPr="00E85588" w:rsidRDefault="00E85588" w:rsidP="00E85588">
            <w:pPr>
              <w:jc w:val="both"/>
              <w:rPr>
                <w:sz w:val="20"/>
                <w:lang w:val="fr-CA"/>
              </w:rPr>
            </w:pPr>
          </w:p>
        </w:tc>
      </w:tr>
      <w:tr w:rsidR="00E85588" w:rsidRPr="0084608C" w:rsidTr="00E95A6A">
        <w:tc>
          <w:tcPr>
            <w:tcW w:w="2427" w:type="pct"/>
            <w:gridSpan w:val="2"/>
          </w:tcPr>
          <w:p w:rsidR="00E85588" w:rsidRPr="00E85588" w:rsidRDefault="00E85588" w:rsidP="00E85588">
            <w:pPr>
              <w:jc w:val="both"/>
              <w:rPr>
                <w:sz w:val="20"/>
                <w:lang w:val="fr-CA"/>
              </w:rPr>
            </w:pPr>
            <w:r w:rsidRPr="00E85588">
              <w:rPr>
                <w:sz w:val="20"/>
                <w:lang w:val="fr-CA"/>
              </w:rPr>
              <w:t>28 août 2019</w:t>
            </w:r>
          </w:p>
          <w:p w:rsidR="00E85588" w:rsidRPr="00E85588" w:rsidRDefault="00E85588" w:rsidP="00E85588">
            <w:pPr>
              <w:jc w:val="both"/>
              <w:rPr>
                <w:sz w:val="20"/>
                <w:lang w:val="fr-CA"/>
              </w:rPr>
            </w:pPr>
            <w:r w:rsidRPr="00E85588">
              <w:rPr>
                <w:sz w:val="20"/>
                <w:lang w:val="fr-CA"/>
              </w:rPr>
              <w:t>Cour suprême du Canada</w:t>
            </w:r>
          </w:p>
        </w:tc>
        <w:tc>
          <w:tcPr>
            <w:tcW w:w="243" w:type="pct"/>
          </w:tcPr>
          <w:p w:rsidR="00E85588" w:rsidRPr="00E85588" w:rsidRDefault="00E85588" w:rsidP="00E85588">
            <w:pPr>
              <w:jc w:val="both"/>
              <w:rPr>
                <w:sz w:val="20"/>
                <w:lang w:val="fr-CA"/>
              </w:rPr>
            </w:pPr>
          </w:p>
        </w:tc>
        <w:tc>
          <w:tcPr>
            <w:tcW w:w="2330" w:type="pct"/>
          </w:tcPr>
          <w:p w:rsidR="00E85588" w:rsidRPr="00E85588" w:rsidRDefault="00E85588" w:rsidP="00E85588">
            <w:pPr>
              <w:jc w:val="both"/>
              <w:rPr>
                <w:sz w:val="20"/>
                <w:lang w:val="fr-CA"/>
              </w:rPr>
            </w:pPr>
            <w:r w:rsidRPr="00E85588">
              <w:rPr>
                <w:sz w:val="20"/>
                <w:lang w:val="fr-CA"/>
              </w:rPr>
              <w:t>Dépôt de la demande d’autorisation d’appel</w:t>
            </w:r>
          </w:p>
          <w:p w:rsidR="00E85588" w:rsidRPr="00E85588" w:rsidRDefault="00E85588" w:rsidP="00E85588">
            <w:pPr>
              <w:jc w:val="both"/>
              <w:rPr>
                <w:sz w:val="20"/>
                <w:lang w:val="fr-CA"/>
              </w:rPr>
            </w:pPr>
          </w:p>
        </w:tc>
      </w:tr>
    </w:tbl>
    <w:p w:rsidR="00E85588" w:rsidRPr="00E85588" w:rsidRDefault="00E85588" w:rsidP="00E85588">
      <w:pPr>
        <w:jc w:val="both"/>
        <w:rPr>
          <w:sz w:val="20"/>
        </w:rPr>
      </w:pPr>
    </w:p>
    <w:p w:rsidR="00E85588" w:rsidRPr="00E85588" w:rsidRDefault="00851D79" w:rsidP="00E85588">
      <w:pPr>
        <w:jc w:val="both"/>
        <w:rPr>
          <w:sz w:val="20"/>
        </w:rPr>
      </w:pPr>
      <w:r>
        <w:rPr>
          <w:sz w:val="20"/>
        </w:rPr>
        <w:pict>
          <v:rect id="_x0000_i1029" style="width:2in;height:1pt" o:hrpct="0" o:hralign="center" o:hrstd="t" o:hrnoshade="t" o:hr="t" fillcolor="black [3213]" stroked="f"/>
        </w:pict>
      </w:r>
    </w:p>
    <w:p w:rsidR="00E85588" w:rsidRPr="00E85588" w:rsidRDefault="00E85588" w:rsidP="00E8558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5588" w:rsidRPr="00E85588" w:rsidTr="00E95A6A">
        <w:tc>
          <w:tcPr>
            <w:tcW w:w="543" w:type="pct"/>
          </w:tcPr>
          <w:p w:rsidR="00E85588" w:rsidRPr="00E85588" w:rsidRDefault="00E85588" w:rsidP="00E85588">
            <w:pPr>
              <w:jc w:val="both"/>
              <w:rPr>
                <w:sz w:val="20"/>
              </w:rPr>
            </w:pPr>
            <w:r w:rsidRPr="00E85588">
              <w:rPr>
                <w:rStyle w:val="SCCFileNumberChar"/>
                <w:sz w:val="20"/>
                <w:szCs w:val="20"/>
              </w:rPr>
              <w:t>38854</w:t>
            </w:r>
          </w:p>
        </w:tc>
        <w:tc>
          <w:tcPr>
            <w:tcW w:w="4457" w:type="pct"/>
            <w:gridSpan w:val="3"/>
          </w:tcPr>
          <w:p w:rsidR="00E85588" w:rsidRPr="00C57B64" w:rsidRDefault="00E85588" w:rsidP="00E85588">
            <w:pPr>
              <w:pStyle w:val="SCCLsocParty"/>
              <w:jc w:val="both"/>
              <w:rPr>
                <w:b/>
                <w:sz w:val="20"/>
                <w:szCs w:val="20"/>
                <w:lang w:val="en-US"/>
              </w:rPr>
            </w:pPr>
            <w:r w:rsidRPr="00C57B64">
              <w:rPr>
                <w:b/>
                <w:sz w:val="20"/>
                <w:szCs w:val="20"/>
                <w:lang w:val="en-US"/>
              </w:rPr>
              <w:t>Her Majesty the Queen v. R.V.</w:t>
            </w:r>
          </w:p>
          <w:p w:rsidR="00E85588" w:rsidRPr="00E85588" w:rsidRDefault="00E85588" w:rsidP="00E85588">
            <w:pPr>
              <w:jc w:val="both"/>
              <w:rPr>
                <w:sz w:val="20"/>
              </w:rPr>
            </w:pPr>
            <w:r w:rsidRPr="00E85588">
              <w:rPr>
                <w:sz w:val="20"/>
              </w:rPr>
              <w:t>(Ont.) (Criminal) (As of Right / By Leave)</w:t>
            </w:r>
          </w:p>
        </w:tc>
      </w:tr>
      <w:tr w:rsidR="00E85588" w:rsidRPr="00E85588" w:rsidTr="00E95A6A">
        <w:tc>
          <w:tcPr>
            <w:tcW w:w="5000" w:type="pct"/>
            <w:gridSpan w:val="4"/>
          </w:tcPr>
          <w:p w:rsidR="00E85588" w:rsidRPr="00E85588" w:rsidRDefault="00E85588" w:rsidP="00E85588">
            <w:pPr>
              <w:jc w:val="both"/>
              <w:rPr>
                <w:smallCaps/>
                <w:sz w:val="20"/>
              </w:rPr>
            </w:pPr>
            <w:r w:rsidRPr="00E85588">
              <w:rPr>
                <w:smallCaps/>
                <w:sz w:val="20"/>
              </w:rPr>
              <w:t>(Publication ban in case) (Publication ban on party)</w:t>
            </w:r>
          </w:p>
          <w:p w:rsidR="00E85588" w:rsidRPr="00E85588" w:rsidRDefault="00E85588" w:rsidP="00E85588">
            <w:pPr>
              <w:jc w:val="both"/>
              <w:rPr>
                <w:sz w:val="20"/>
              </w:rPr>
            </w:pPr>
          </w:p>
          <w:p w:rsidR="00E85588" w:rsidRPr="00E85588" w:rsidRDefault="00E85588" w:rsidP="00E85588">
            <w:pPr>
              <w:jc w:val="both"/>
              <w:rPr>
                <w:sz w:val="20"/>
              </w:rPr>
            </w:pPr>
            <w:r w:rsidRPr="00E85588">
              <w:rPr>
                <w:sz w:val="20"/>
              </w:rPr>
              <w:t>Criminal law — Appeal — Verdict — Unreasonable verdict — Inconsistent verdict — Instructions to jury — Accused convicted by jury of sexual interference and invitation to sexual touching but acquitted of sexual assault — Offences arising on same evidence — Accused appealing convictions — Crown cross</w:t>
            </w:r>
            <w:r w:rsidRPr="00E85588">
              <w:rPr>
                <w:sz w:val="20"/>
              </w:rPr>
              <w:noBreakHyphen/>
              <w:t>appealing acquittal — On an appeal against conviction alleging inconsistent verdicts, can the Crown rely on defective jury instructions to explain the inconsistency; or must the Crown bring a cross</w:t>
            </w:r>
            <w:r w:rsidRPr="00E85588">
              <w:rPr>
                <w:sz w:val="20"/>
              </w:rPr>
              <w:noBreakHyphen/>
              <w:t>appeal before the acquittal can be impugned on this basis? — If a Crown appeal is necessary, what are the implications of a successful Crown appeal against the acquittal in terms of the appropriate disposition for both appeals?</w:t>
            </w:r>
          </w:p>
        </w:tc>
      </w:tr>
      <w:tr w:rsidR="00E85588" w:rsidRPr="00E85588" w:rsidTr="00E95A6A">
        <w:tc>
          <w:tcPr>
            <w:tcW w:w="5000" w:type="pct"/>
            <w:gridSpan w:val="4"/>
          </w:tcPr>
          <w:p w:rsidR="00E85588" w:rsidRPr="00E85588" w:rsidRDefault="00E85588" w:rsidP="00E85588">
            <w:pPr>
              <w:jc w:val="both"/>
              <w:rPr>
                <w:sz w:val="20"/>
              </w:rPr>
            </w:pPr>
          </w:p>
          <w:p w:rsidR="00E85588" w:rsidRPr="00E85588" w:rsidRDefault="00E85588" w:rsidP="00E85588">
            <w:pPr>
              <w:widowControl w:val="0"/>
              <w:jc w:val="both"/>
              <w:rPr>
                <w:sz w:val="20"/>
              </w:rPr>
            </w:pPr>
            <w:r w:rsidRPr="00E85588">
              <w:rPr>
                <w:sz w:val="20"/>
              </w:rPr>
              <w:t>At trial before judge and jury, the respondent, R.V., was convicted of sexual interference and invitation to sexual touching but acquitted on a charge of sexual assault based on the very same evidence. R.V. appealed the two convictions asserting that they were inconsistent with the acquittal, that the convictions were therefore unreasonable, and that acquittals should have been entered instead. The applicant Crown then cross</w:t>
            </w:r>
            <w:r w:rsidRPr="00E85588">
              <w:rPr>
                <w:sz w:val="20"/>
              </w:rPr>
              <w:noBreakHyphen/>
              <w:t>appealed the acquittal contending that the inconsistency in the verdicts could be reconciled by confusing jury instructions, which led the jury to believe the force required for sexual assault was different than the touching required for sexual interference and invitation to sexual touching. A majority of a panel of five judges at the Court of Appeal allowed R.V.’s appeal, quashed the two guilty verdicts and directed that verdicts of acquittal be entered because the confusing instruction to the jury on sexual assault could not reconcile the verdicts and they therefore had to be set aside. The majority also dismissed the Crown’s cross</w:t>
            </w:r>
            <w:r w:rsidRPr="00E85588">
              <w:rPr>
                <w:sz w:val="20"/>
              </w:rPr>
              <w:noBreakHyphen/>
              <w:t>appeal on the acquittal. In dissent, Rouleau J.A. (with Miller J.A. concurring), would have allowed R.V.’s appeal and the Crown’s cross</w:t>
            </w:r>
            <w:r w:rsidRPr="00E85588">
              <w:rPr>
                <w:sz w:val="20"/>
              </w:rPr>
              <w:noBreakHyphen/>
              <w:t xml:space="preserve">appeal and ordered a new trial on all three charges. The dissent found there was an error of law in the jury instructions and explained that where both the conviction and acquittal are appealed and the inconsistent verdicts are properly explained by a confusing charge that in fact confused the jury, a new trial is the appropriate disposition. </w:t>
            </w:r>
          </w:p>
        </w:tc>
      </w:tr>
      <w:tr w:rsidR="00E85588" w:rsidRPr="00E85588" w:rsidTr="00E95A6A">
        <w:tc>
          <w:tcPr>
            <w:tcW w:w="5000" w:type="pct"/>
            <w:gridSpan w:val="4"/>
          </w:tcPr>
          <w:p w:rsidR="00E85588" w:rsidRPr="00E85588" w:rsidRDefault="00E85588" w:rsidP="00E85588">
            <w:pPr>
              <w:jc w:val="both"/>
              <w:rPr>
                <w:sz w:val="20"/>
              </w:rPr>
            </w:pPr>
          </w:p>
        </w:tc>
      </w:tr>
      <w:tr w:rsidR="00E85588" w:rsidRPr="00E85588" w:rsidTr="00E95A6A">
        <w:tc>
          <w:tcPr>
            <w:tcW w:w="2427" w:type="pct"/>
            <w:gridSpan w:val="2"/>
          </w:tcPr>
          <w:p w:rsidR="00E85588" w:rsidRPr="00E85588" w:rsidRDefault="00E85588" w:rsidP="00E85588">
            <w:pPr>
              <w:jc w:val="both"/>
              <w:rPr>
                <w:sz w:val="20"/>
              </w:rPr>
            </w:pPr>
            <w:r w:rsidRPr="00E85588">
              <w:rPr>
                <w:sz w:val="20"/>
              </w:rPr>
              <w:lastRenderedPageBreak/>
              <w:t>January 29, 2016</w:t>
            </w:r>
          </w:p>
          <w:p w:rsidR="00E85588" w:rsidRPr="00E85588" w:rsidRDefault="00E85588" w:rsidP="00E85588">
            <w:pPr>
              <w:jc w:val="both"/>
              <w:rPr>
                <w:sz w:val="20"/>
              </w:rPr>
            </w:pPr>
            <w:r w:rsidRPr="00E85588">
              <w:rPr>
                <w:sz w:val="20"/>
              </w:rPr>
              <w:t>Ontario Superior Court of Justice</w:t>
            </w:r>
          </w:p>
          <w:p w:rsidR="00E85588" w:rsidRPr="00E85588" w:rsidRDefault="00E85588" w:rsidP="00E85588">
            <w:pPr>
              <w:jc w:val="both"/>
              <w:rPr>
                <w:sz w:val="20"/>
              </w:rPr>
            </w:pPr>
            <w:r w:rsidRPr="00E85588">
              <w:rPr>
                <w:sz w:val="20"/>
              </w:rPr>
              <w:t>(Vallee J.)</w:t>
            </w:r>
          </w:p>
          <w:p w:rsidR="00E85588" w:rsidRPr="00E85588" w:rsidRDefault="00E85588" w:rsidP="00E85588">
            <w:pPr>
              <w:jc w:val="both"/>
              <w:rPr>
                <w:sz w:val="20"/>
              </w:rPr>
            </w:pPr>
          </w:p>
        </w:tc>
        <w:tc>
          <w:tcPr>
            <w:tcW w:w="243" w:type="pct"/>
          </w:tcPr>
          <w:p w:rsidR="00E85588" w:rsidRPr="00E85588" w:rsidRDefault="00E85588" w:rsidP="00E85588">
            <w:pPr>
              <w:jc w:val="both"/>
              <w:rPr>
                <w:sz w:val="20"/>
              </w:rPr>
            </w:pPr>
          </w:p>
        </w:tc>
        <w:tc>
          <w:tcPr>
            <w:tcW w:w="2330" w:type="pct"/>
          </w:tcPr>
          <w:p w:rsidR="00E85588" w:rsidRPr="00E85588" w:rsidRDefault="00E85588" w:rsidP="00E85588">
            <w:pPr>
              <w:jc w:val="both"/>
              <w:rPr>
                <w:sz w:val="20"/>
              </w:rPr>
            </w:pPr>
            <w:r w:rsidRPr="00E85588">
              <w:rPr>
                <w:sz w:val="20"/>
              </w:rPr>
              <w:t>Respondent convicted by jury of sexual interference and invitation to sexual touching. Applicant acquitted of sexual assault.</w:t>
            </w:r>
          </w:p>
          <w:p w:rsidR="00E85588" w:rsidRPr="00E85588" w:rsidRDefault="00E85588" w:rsidP="00E85588">
            <w:pPr>
              <w:jc w:val="both"/>
              <w:rPr>
                <w:sz w:val="20"/>
              </w:rPr>
            </w:pPr>
          </w:p>
        </w:tc>
      </w:tr>
      <w:tr w:rsidR="00E85588" w:rsidRPr="00E85588" w:rsidTr="00E95A6A">
        <w:tc>
          <w:tcPr>
            <w:tcW w:w="2427" w:type="pct"/>
            <w:gridSpan w:val="2"/>
          </w:tcPr>
          <w:p w:rsidR="00E85588" w:rsidRPr="00E85588" w:rsidRDefault="00E85588" w:rsidP="00E85588">
            <w:pPr>
              <w:jc w:val="both"/>
              <w:rPr>
                <w:sz w:val="20"/>
              </w:rPr>
            </w:pPr>
            <w:r w:rsidRPr="00E85588">
              <w:rPr>
                <w:sz w:val="20"/>
              </w:rPr>
              <w:t>August 26, 2019</w:t>
            </w:r>
          </w:p>
          <w:p w:rsidR="00E85588" w:rsidRPr="00E85588" w:rsidRDefault="00E85588" w:rsidP="00E85588">
            <w:pPr>
              <w:jc w:val="both"/>
              <w:rPr>
                <w:sz w:val="20"/>
              </w:rPr>
            </w:pPr>
            <w:r w:rsidRPr="00E85588">
              <w:rPr>
                <w:sz w:val="20"/>
              </w:rPr>
              <w:t>Court of Appeal for Ontario</w:t>
            </w:r>
          </w:p>
          <w:p w:rsidR="00E85588" w:rsidRPr="00E85588" w:rsidRDefault="00E85588" w:rsidP="00E85588">
            <w:pPr>
              <w:jc w:val="both"/>
              <w:rPr>
                <w:sz w:val="20"/>
              </w:rPr>
            </w:pPr>
            <w:r w:rsidRPr="00E85588">
              <w:rPr>
                <w:sz w:val="20"/>
              </w:rPr>
              <w:t xml:space="preserve">(Strathy C.J.O. and Rouleau, Pardu, Miller and </w:t>
            </w:r>
          </w:p>
          <w:p w:rsidR="00E85588" w:rsidRPr="00E85588" w:rsidRDefault="00E85588" w:rsidP="00E85588">
            <w:pPr>
              <w:jc w:val="both"/>
              <w:rPr>
                <w:sz w:val="20"/>
              </w:rPr>
            </w:pPr>
            <w:r w:rsidRPr="00E85588">
              <w:rPr>
                <w:sz w:val="20"/>
              </w:rPr>
              <w:t>Trotter JJ.A.)</w:t>
            </w:r>
          </w:p>
          <w:p w:rsidR="00E85588" w:rsidRPr="00E85588" w:rsidRDefault="00851D79" w:rsidP="00E85588">
            <w:pPr>
              <w:jc w:val="both"/>
              <w:rPr>
                <w:sz w:val="20"/>
              </w:rPr>
            </w:pPr>
            <w:hyperlink r:id="rId15" w:history="1">
              <w:r w:rsidR="00E85588" w:rsidRPr="00E85588">
                <w:rPr>
                  <w:rStyle w:val="Hyperlink"/>
                  <w:sz w:val="20"/>
                </w:rPr>
                <w:t>2019 ONCA 664</w:t>
              </w:r>
            </w:hyperlink>
          </w:p>
          <w:p w:rsidR="00E85588" w:rsidRPr="00E85588" w:rsidRDefault="00E85588" w:rsidP="00E85588">
            <w:pPr>
              <w:jc w:val="both"/>
              <w:rPr>
                <w:sz w:val="20"/>
              </w:rPr>
            </w:pPr>
          </w:p>
        </w:tc>
        <w:tc>
          <w:tcPr>
            <w:tcW w:w="243" w:type="pct"/>
          </w:tcPr>
          <w:p w:rsidR="00E85588" w:rsidRPr="00E85588" w:rsidRDefault="00E85588" w:rsidP="00E85588">
            <w:pPr>
              <w:jc w:val="both"/>
              <w:rPr>
                <w:sz w:val="20"/>
              </w:rPr>
            </w:pPr>
          </w:p>
        </w:tc>
        <w:tc>
          <w:tcPr>
            <w:tcW w:w="2330" w:type="pct"/>
          </w:tcPr>
          <w:p w:rsidR="00E85588" w:rsidRPr="00E85588" w:rsidRDefault="00E85588" w:rsidP="00E85588">
            <w:pPr>
              <w:jc w:val="both"/>
              <w:rPr>
                <w:sz w:val="20"/>
              </w:rPr>
            </w:pPr>
            <w:r w:rsidRPr="00E85588">
              <w:rPr>
                <w:sz w:val="20"/>
              </w:rPr>
              <w:t xml:space="preserve">Respondent’s appeal allowed: guilty verdicts quashed and verdicts of acquittal entered for </w:t>
            </w:r>
            <w:r w:rsidRPr="00E85588">
              <w:rPr>
                <w:sz w:val="20"/>
                <w:lang w:val="en"/>
              </w:rPr>
              <w:t>sexual interference and invitation to sexual touching</w:t>
            </w:r>
            <w:r w:rsidRPr="00E85588">
              <w:rPr>
                <w:sz w:val="20"/>
              </w:rPr>
              <w:t>. Crown’s extension of time to bring cross</w:t>
            </w:r>
            <w:r w:rsidRPr="00E85588">
              <w:rPr>
                <w:sz w:val="20"/>
              </w:rPr>
              <w:noBreakHyphen/>
              <w:t>appeal granted; cross</w:t>
            </w:r>
            <w:r w:rsidRPr="00E85588">
              <w:rPr>
                <w:sz w:val="20"/>
              </w:rPr>
              <w:noBreakHyphen/>
              <w:t>appeal on acquittal dismissed.</w:t>
            </w:r>
          </w:p>
          <w:p w:rsidR="00E85588" w:rsidRPr="00E85588" w:rsidRDefault="00E85588" w:rsidP="00E85588">
            <w:pPr>
              <w:jc w:val="both"/>
              <w:rPr>
                <w:sz w:val="20"/>
              </w:rPr>
            </w:pPr>
          </w:p>
        </w:tc>
      </w:tr>
      <w:tr w:rsidR="00E85588" w:rsidRPr="00E85588" w:rsidTr="00E95A6A">
        <w:tc>
          <w:tcPr>
            <w:tcW w:w="2427" w:type="pct"/>
            <w:gridSpan w:val="2"/>
          </w:tcPr>
          <w:p w:rsidR="00E85588" w:rsidRPr="00E85588" w:rsidRDefault="00E85588" w:rsidP="00E85588">
            <w:pPr>
              <w:jc w:val="both"/>
              <w:rPr>
                <w:sz w:val="20"/>
              </w:rPr>
            </w:pPr>
            <w:r w:rsidRPr="00E85588">
              <w:rPr>
                <w:sz w:val="20"/>
              </w:rPr>
              <w:t>October 17, 2019</w:t>
            </w:r>
          </w:p>
          <w:p w:rsidR="00E85588" w:rsidRPr="00E85588" w:rsidRDefault="00E85588" w:rsidP="00E85588">
            <w:pPr>
              <w:jc w:val="both"/>
              <w:rPr>
                <w:sz w:val="20"/>
              </w:rPr>
            </w:pPr>
            <w:r w:rsidRPr="00E85588">
              <w:rPr>
                <w:sz w:val="20"/>
              </w:rPr>
              <w:t>Supreme Court of Canada</w:t>
            </w:r>
          </w:p>
          <w:p w:rsidR="00E85588" w:rsidRPr="00E85588" w:rsidRDefault="00E85588" w:rsidP="00E85588">
            <w:pPr>
              <w:jc w:val="both"/>
              <w:rPr>
                <w:sz w:val="20"/>
              </w:rPr>
            </w:pPr>
          </w:p>
        </w:tc>
        <w:tc>
          <w:tcPr>
            <w:tcW w:w="243" w:type="pct"/>
          </w:tcPr>
          <w:p w:rsidR="00E85588" w:rsidRPr="00E85588" w:rsidRDefault="00E85588" w:rsidP="00E85588">
            <w:pPr>
              <w:jc w:val="both"/>
              <w:rPr>
                <w:sz w:val="20"/>
              </w:rPr>
            </w:pPr>
          </w:p>
        </w:tc>
        <w:tc>
          <w:tcPr>
            <w:tcW w:w="2330" w:type="pct"/>
          </w:tcPr>
          <w:p w:rsidR="00E85588" w:rsidRPr="00E85588" w:rsidRDefault="00E85588" w:rsidP="00E85588">
            <w:pPr>
              <w:jc w:val="both"/>
              <w:rPr>
                <w:sz w:val="20"/>
              </w:rPr>
            </w:pPr>
            <w:r w:rsidRPr="00E85588">
              <w:rPr>
                <w:sz w:val="20"/>
              </w:rPr>
              <w:t>Notice of appeal filed.</w:t>
            </w:r>
          </w:p>
          <w:p w:rsidR="00E85588" w:rsidRPr="00E85588" w:rsidRDefault="00E85588" w:rsidP="00E85588">
            <w:pPr>
              <w:jc w:val="both"/>
              <w:rPr>
                <w:sz w:val="20"/>
              </w:rPr>
            </w:pPr>
          </w:p>
        </w:tc>
      </w:tr>
      <w:tr w:rsidR="00E85588" w:rsidRPr="00E85588" w:rsidTr="00E95A6A">
        <w:tc>
          <w:tcPr>
            <w:tcW w:w="2427" w:type="pct"/>
            <w:gridSpan w:val="2"/>
          </w:tcPr>
          <w:p w:rsidR="00E85588" w:rsidRPr="00E85588" w:rsidRDefault="00E85588" w:rsidP="00E85588">
            <w:pPr>
              <w:jc w:val="both"/>
              <w:rPr>
                <w:sz w:val="20"/>
              </w:rPr>
            </w:pPr>
            <w:r w:rsidRPr="00E85588">
              <w:rPr>
                <w:sz w:val="20"/>
              </w:rPr>
              <w:t>October 25, 2019</w:t>
            </w:r>
          </w:p>
          <w:p w:rsidR="00E85588" w:rsidRPr="00E85588" w:rsidRDefault="00E85588" w:rsidP="00E85588">
            <w:pPr>
              <w:jc w:val="both"/>
              <w:rPr>
                <w:sz w:val="20"/>
              </w:rPr>
            </w:pPr>
            <w:r w:rsidRPr="00E85588">
              <w:rPr>
                <w:sz w:val="20"/>
              </w:rPr>
              <w:t>Supreme Court of Canada</w:t>
            </w:r>
          </w:p>
        </w:tc>
        <w:tc>
          <w:tcPr>
            <w:tcW w:w="243" w:type="pct"/>
          </w:tcPr>
          <w:p w:rsidR="00E85588" w:rsidRPr="00E85588" w:rsidRDefault="00E85588" w:rsidP="00E85588">
            <w:pPr>
              <w:jc w:val="both"/>
              <w:rPr>
                <w:sz w:val="20"/>
              </w:rPr>
            </w:pPr>
          </w:p>
        </w:tc>
        <w:tc>
          <w:tcPr>
            <w:tcW w:w="2330" w:type="pct"/>
          </w:tcPr>
          <w:p w:rsidR="00E85588" w:rsidRPr="00E85588" w:rsidRDefault="00E85588" w:rsidP="00E85588">
            <w:pPr>
              <w:jc w:val="both"/>
              <w:rPr>
                <w:sz w:val="20"/>
              </w:rPr>
            </w:pPr>
            <w:r w:rsidRPr="00E85588">
              <w:rPr>
                <w:sz w:val="20"/>
              </w:rPr>
              <w:t>Application for leave to appeal filed</w:t>
            </w:r>
          </w:p>
          <w:p w:rsidR="00E85588" w:rsidRPr="00E85588" w:rsidRDefault="00E85588" w:rsidP="00E85588">
            <w:pPr>
              <w:jc w:val="both"/>
              <w:rPr>
                <w:sz w:val="20"/>
              </w:rPr>
            </w:pPr>
          </w:p>
        </w:tc>
      </w:tr>
    </w:tbl>
    <w:p w:rsidR="00E85588" w:rsidRPr="00E85588" w:rsidRDefault="00E85588" w:rsidP="00E85588">
      <w:pPr>
        <w:jc w:val="both"/>
        <w:rPr>
          <w:sz w:val="20"/>
        </w:rPr>
      </w:pPr>
    </w:p>
    <w:p w:rsidR="00E85588" w:rsidRPr="00E85588" w:rsidRDefault="00851D79" w:rsidP="00E85588">
      <w:pPr>
        <w:jc w:val="both"/>
        <w:rPr>
          <w:sz w:val="20"/>
        </w:rPr>
      </w:pPr>
      <w:r>
        <w:rPr>
          <w:sz w:val="20"/>
        </w:rPr>
        <w:pict>
          <v:rect id="_x0000_i1031" style="width:2in;height:1pt" o:hrpct="0" o:hralign="center" o:hrstd="t" o:hrnoshade="t" o:hr="t" fillcolor="black [3213]" stroked="f"/>
        </w:pict>
      </w:r>
    </w:p>
    <w:p w:rsidR="00E85588" w:rsidRPr="00E85588" w:rsidRDefault="00E85588" w:rsidP="00E8558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5588" w:rsidRPr="0084608C" w:rsidTr="00E95A6A">
        <w:tc>
          <w:tcPr>
            <w:tcW w:w="543" w:type="pct"/>
          </w:tcPr>
          <w:p w:rsidR="00E85588" w:rsidRPr="00E85588" w:rsidRDefault="00E85588" w:rsidP="00E85588">
            <w:pPr>
              <w:jc w:val="both"/>
              <w:rPr>
                <w:sz w:val="20"/>
                <w:lang w:val="fr-CA"/>
              </w:rPr>
            </w:pPr>
            <w:r w:rsidRPr="00E85588">
              <w:rPr>
                <w:rStyle w:val="SCCFileNumberChar"/>
                <w:sz w:val="20"/>
                <w:szCs w:val="20"/>
                <w:lang w:val="fr-CA"/>
              </w:rPr>
              <w:t>38854</w:t>
            </w:r>
          </w:p>
        </w:tc>
        <w:tc>
          <w:tcPr>
            <w:tcW w:w="4457" w:type="pct"/>
            <w:gridSpan w:val="3"/>
          </w:tcPr>
          <w:p w:rsidR="00E85588" w:rsidRPr="00C57B64" w:rsidRDefault="00E85588" w:rsidP="00E85588">
            <w:pPr>
              <w:pStyle w:val="SCCLsocParty"/>
              <w:jc w:val="both"/>
              <w:rPr>
                <w:b/>
                <w:sz w:val="20"/>
                <w:szCs w:val="20"/>
              </w:rPr>
            </w:pPr>
            <w:r w:rsidRPr="00C57B64">
              <w:rPr>
                <w:b/>
                <w:sz w:val="20"/>
                <w:szCs w:val="20"/>
              </w:rPr>
              <w:t>Sa Majesté la Reine c. R.V.</w:t>
            </w:r>
          </w:p>
          <w:p w:rsidR="00E85588" w:rsidRPr="00E85588" w:rsidRDefault="00E85588" w:rsidP="00E85588">
            <w:pPr>
              <w:jc w:val="both"/>
              <w:rPr>
                <w:sz w:val="20"/>
                <w:lang w:val="fr-CA"/>
              </w:rPr>
            </w:pPr>
            <w:r w:rsidRPr="00E85588">
              <w:rPr>
                <w:sz w:val="20"/>
                <w:lang w:val="fr-CA"/>
              </w:rPr>
              <w:t>(Ont.) (Criminelle) (De plein droit / Autorisation)</w:t>
            </w:r>
          </w:p>
        </w:tc>
      </w:tr>
      <w:tr w:rsidR="00E85588" w:rsidRPr="0084608C" w:rsidTr="00E95A6A">
        <w:tc>
          <w:tcPr>
            <w:tcW w:w="5000" w:type="pct"/>
            <w:gridSpan w:val="4"/>
          </w:tcPr>
          <w:p w:rsidR="00E85588" w:rsidRPr="00E85588" w:rsidRDefault="00E85588" w:rsidP="00E85588">
            <w:pPr>
              <w:jc w:val="both"/>
              <w:rPr>
                <w:smallCaps/>
                <w:sz w:val="20"/>
                <w:lang w:val="fr-CA"/>
              </w:rPr>
            </w:pPr>
            <w:r w:rsidRPr="00E85588">
              <w:rPr>
                <w:smallCaps/>
                <w:sz w:val="20"/>
                <w:lang w:val="fr-CA"/>
              </w:rPr>
              <w:t>(Ordonnance de non</w:t>
            </w:r>
            <w:r w:rsidRPr="00E85588">
              <w:rPr>
                <w:smallCaps/>
                <w:sz w:val="20"/>
                <w:lang w:val="fr-CA"/>
              </w:rPr>
              <w:noBreakHyphen/>
              <w:t>publication dans le dossier) (Ordonnance de non-publication visant une partie)</w:t>
            </w:r>
          </w:p>
          <w:p w:rsidR="00E85588" w:rsidRPr="00E85588" w:rsidRDefault="00E85588" w:rsidP="00E85588">
            <w:pPr>
              <w:jc w:val="both"/>
              <w:rPr>
                <w:sz w:val="20"/>
                <w:lang w:val="fr-CA"/>
              </w:rPr>
            </w:pPr>
          </w:p>
          <w:p w:rsidR="00E85588" w:rsidRPr="00E85588" w:rsidRDefault="00E85588" w:rsidP="00E85588">
            <w:pPr>
              <w:jc w:val="both"/>
              <w:rPr>
                <w:sz w:val="20"/>
                <w:lang w:val="fr-CA"/>
              </w:rPr>
            </w:pPr>
            <w:r w:rsidRPr="00E85588">
              <w:rPr>
                <w:sz w:val="20"/>
                <w:lang w:val="fr-CA"/>
              </w:rPr>
              <w:t>Droit criminel — Appel — Verdict — Verdict déraisonnable — Verdict incompatible — Directives au jury — L’accusé a été déclaré coupable par un jury de contacts sexuels et d’incitation à des contacts sexuels, mais acquitté quant à une accusation d’agression sexuelle — Les infractions découlaient des mêmes éléments de preuve — L’accusé a interjeté appel des déclarations de culpabilité — Le ministère public a interjeté un appel incident de l’acquittement — Dans un appel de la déclaration de culpabilité alléguant des verdicts incompatibles, le ministère public peut</w:t>
            </w:r>
            <w:r w:rsidRPr="00E85588">
              <w:rPr>
                <w:sz w:val="20"/>
                <w:lang w:val="fr-CA"/>
              </w:rPr>
              <w:noBreakHyphen/>
              <w:t>il s’appuyer sur des directives erronées au jury pour expliquer l’incompatibilité ou le ministère public doit</w:t>
            </w:r>
            <w:r w:rsidRPr="00E85588">
              <w:rPr>
                <w:sz w:val="20"/>
                <w:lang w:val="fr-CA"/>
              </w:rPr>
              <w:noBreakHyphen/>
              <w:t>il plutôt interjeter un appel incident avant que l’acquittement puisse être attaqué sur ce fondement? — Si un appel du ministère public est nécessaire, et si le ministère public a gain de cause dans son appel de l’acquittement, comment convient</w:t>
            </w:r>
            <w:r w:rsidRPr="00E85588">
              <w:rPr>
                <w:sz w:val="20"/>
                <w:lang w:val="fr-CA"/>
              </w:rPr>
              <w:noBreakHyphen/>
              <w:t>il de trancher les deux appels?</w:t>
            </w:r>
          </w:p>
        </w:tc>
      </w:tr>
      <w:tr w:rsidR="00E85588" w:rsidRPr="0084608C" w:rsidTr="00E95A6A">
        <w:tc>
          <w:tcPr>
            <w:tcW w:w="5000" w:type="pct"/>
            <w:gridSpan w:val="4"/>
          </w:tcPr>
          <w:p w:rsidR="00E85588" w:rsidRPr="00E85588" w:rsidRDefault="00E85588" w:rsidP="00E85588">
            <w:pPr>
              <w:jc w:val="both"/>
              <w:rPr>
                <w:sz w:val="20"/>
                <w:lang w:val="fr-CA"/>
              </w:rPr>
            </w:pPr>
          </w:p>
          <w:p w:rsidR="00E85588" w:rsidRPr="00E85588" w:rsidRDefault="00E85588" w:rsidP="00E85588">
            <w:pPr>
              <w:widowControl w:val="0"/>
              <w:jc w:val="both"/>
              <w:rPr>
                <w:sz w:val="20"/>
                <w:lang w:val="fr-CA"/>
              </w:rPr>
            </w:pPr>
            <w:r w:rsidRPr="00E85588">
              <w:rPr>
                <w:sz w:val="20"/>
                <w:lang w:val="fr-CA"/>
              </w:rPr>
              <w:t>Au procès devant juge et jury, l’intimé, R.V., a été déclaré coupable de contacts sexuels et d’incitation à des contacts sexuels, mais acquitté quant à une accusation d’agression sexuelle sur le fondement des mêmes éléments de preuve. L’intimé a interjeté appel des deux déclarations de culpabilité, plaidant qu’elles étaient incompatibles avec l’acquittement, que les déclarations de culpabilité étaient déraisonnables en conséquence et qu’il aurait fallu plutôt inscrire des acquittements. Le ministère public, appelant, a ensuite interjeté un appel incident de l’acquittement, faisant valoir que les incompatibilités dans les verdicts pouvaient être conciliées par des directives au jury portant à confusion, ce qui a amené le jury à croire que la force nécessaire en ce qui concerne l’agression sexuelle était différente des contacts nécessaires en ce qui concerne les contacts sexuels et l’incitation à des contacts sexuels. Les juges majoritaires d’une formation de cinq juges ont accueilli l’appel de R.V., annulé les deux verdicts de culpabilité et imposé l’inscription de verdicts d’acquittement parce que la directive au jury portant à confusion sur l’agression sexuelle ne pouvait concilier les verdicts, si bien que ces derniers devaient être annulés.  Les juges majoritaires ont en outre rejeté l’appel incident du ministère public quant à l’acquittement. Dissident, le juge Rouleau (avec l’assentiment du juge Miller) était d’avis d’accueillir l’appel de R.V. et l’appel incident du ministère public et d’ordonner la tenue d’un nouveau procès relativement aux trois accusations. Les juges dissidents ont conclu qu’une erreur de droit entachait les directives au jury et ils ont expliqué que dans les cas où il y a appel à la fois de la déclaration de la culpabilité et de l’acquittement et où les verdicts incompatibles s’expliquent convenablement par un exposé portant à confusion et qui a, de fait, créé de la confusion chez les jurés, il convient d’ordonner la tenue d’un nouveau procès.</w:t>
            </w:r>
          </w:p>
        </w:tc>
      </w:tr>
      <w:tr w:rsidR="00E85588" w:rsidRPr="0084608C" w:rsidTr="00E95A6A">
        <w:tc>
          <w:tcPr>
            <w:tcW w:w="5000" w:type="pct"/>
            <w:gridSpan w:val="4"/>
          </w:tcPr>
          <w:p w:rsidR="00E85588" w:rsidRPr="00E85588" w:rsidRDefault="00E85588" w:rsidP="00E85588">
            <w:pPr>
              <w:jc w:val="both"/>
              <w:rPr>
                <w:sz w:val="20"/>
                <w:lang w:val="fr-CA"/>
              </w:rPr>
            </w:pPr>
          </w:p>
        </w:tc>
      </w:tr>
      <w:tr w:rsidR="00E85588" w:rsidRPr="00E85588" w:rsidTr="00E95A6A">
        <w:tc>
          <w:tcPr>
            <w:tcW w:w="2427" w:type="pct"/>
            <w:gridSpan w:val="2"/>
          </w:tcPr>
          <w:p w:rsidR="00E85588" w:rsidRPr="00E85588" w:rsidRDefault="00E85588" w:rsidP="00E85588">
            <w:pPr>
              <w:jc w:val="both"/>
              <w:rPr>
                <w:sz w:val="20"/>
                <w:lang w:val="fr-CA"/>
              </w:rPr>
            </w:pPr>
            <w:r w:rsidRPr="00E85588">
              <w:rPr>
                <w:sz w:val="20"/>
                <w:lang w:val="fr-CA"/>
              </w:rPr>
              <w:t>29 janvier 2016</w:t>
            </w:r>
          </w:p>
          <w:p w:rsidR="00E85588" w:rsidRPr="00E85588" w:rsidRDefault="00E85588" w:rsidP="00E85588">
            <w:pPr>
              <w:jc w:val="both"/>
              <w:rPr>
                <w:sz w:val="20"/>
                <w:lang w:val="fr-CA"/>
              </w:rPr>
            </w:pPr>
            <w:r w:rsidRPr="00E85588">
              <w:rPr>
                <w:sz w:val="20"/>
                <w:lang w:val="fr-CA"/>
              </w:rPr>
              <w:t>Cour supérieure de justice de l’Ontario</w:t>
            </w:r>
          </w:p>
          <w:p w:rsidR="00E85588" w:rsidRPr="00E85588" w:rsidRDefault="00E85588" w:rsidP="00E85588">
            <w:pPr>
              <w:jc w:val="both"/>
              <w:rPr>
                <w:sz w:val="20"/>
                <w:lang w:val="fr-CA"/>
              </w:rPr>
            </w:pPr>
            <w:r w:rsidRPr="00E85588">
              <w:rPr>
                <w:sz w:val="20"/>
                <w:lang w:val="fr-CA"/>
              </w:rPr>
              <w:t xml:space="preserve">(Juge </w:t>
            </w:r>
            <w:proofErr w:type="spellStart"/>
            <w:r w:rsidRPr="00E85588">
              <w:rPr>
                <w:sz w:val="20"/>
                <w:lang w:val="fr-CA"/>
              </w:rPr>
              <w:t>Vallee</w:t>
            </w:r>
            <w:proofErr w:type="spellEnd"/>
            <w:r w:rsidRPr="00E85588">
              <w:rPr>
                <w:sz w:val="20"/>
                <w:lang w:val="fr-CA"/>
              </w:rPr>
              <w:t>)</w:t>
            </w:r>
          </w:p>
          <w:p w:rsidR="00E85588" w:rsidRPr="00E85588" w:rsidRDefault="00E85588" w:rsidP="00E85588">
            <w:pPr>
              <w:jc w:val="both"/>
              <w:rPr>
                <w:sz w:val="20"/>
                <w:lang w:val="fr-CA"/>
              </w:rPr>
            </w:pPr>
          </w:p>
        </w:tc>
        <w:tc>
          <w:tcPr>
            <w:tcW w:w="243" w:type="pct"/>
          </w:tcPr>
          <w:p w:rsidR="00E85588" w:rsidRPr="00E85588" w:rsidRDefault="00E85588" w:rsidP="00E85588">
            <w:pPr>
              <w:jc w:val="both"/>
              <w:rPr>
                <w:sz w:val="20"/>
                <w:lang w:val="fr-CA"/>
              </w:rPr>
            </w:pPr>
          </w:p>
        </w:tc>
        <w:tc>
          <w:tcPr>
            <w:tcW w:w="2330" w:type="pct"/>
          </w:tcPr>
          <w:p w:rsidR="00E85588" w:rsidRPr="00E85588" w:rsidRDefault="00E85588" w:rsidP="00E85588">
            <w:pPr>
              <w:jc w:val="both"/>
              <w:rPr>
                <w:sz w:val="20"/>
                <w:lang w:val="fr-CA"/>
              </w:rPr>
            </w:pPr>
            <w:r w:rsidRPr="00E85588">
              <w:rPr>
                <w:sz w:val="20"/>
                <w:lang w:val="fr-CA"/>
              </w:rPr>
              <w:t>Déclaration de culpabilité de l’intimé par un jury de contacts sexuels et d’incitation à des contacts sexuels. Acquittement de l’intimé quant à une accusation d’agression sexuelle.</w:t>
            </w:r>
          </w:p>
          <w:p w:rsidR="00E85588" w:rsidRPr="00E85588" w:rsidRDefault="00E85588" w:rsidP="00E85588">
            <w:pPr>
              <w:jc w:val="both"/>
              <w:rPr>
                <w:sz w:val="20"/>
                <w:lang w:val="fr-CA"/>
              </w:rPr>
            </w:pPr>
          </w:p>
        </w:tc>
      </w:tr>
      <w:tr w:rsidR="00E85588" w:rsidRPr="0084608C" w:rsidTr="00E95A6A">
        <w:tc>
          <w:tcPr>
            <w:tcW w:w="2427" w:type="pct"/>
            <w:gridSpan w:val="2"/>
          </w:tcPr>
          <w:p w:rsidR="00E85588" w:rsidRPr="00E85588" w:rsidRDefault="00E85588" w:rsidP="00E85588">
            <w:pPr>
              <w:jc w:val="both"/>
              <w:rPr>
                <w:sz w:val="20"/>
                <w:lang w:val="fr-CA"/>
              </w:rPr>
            </w:pPr>
            <w:r w:rsidRPr="00E85588">
              <w:rPr>
                <w:sz w:val="20"/>
                <w:lang w:val="fr-CA"/>
              </w:rPr>
              <w:lastRenderedPageBreak/>
              <w:t>26 août 2019</w:t>
            </w:r>
          </w:p>
          <w:p w:rsidR="00E85588" w:rsidRPr="00E85588" w:rsidRDefault="00E85588" w:rsidP="00E85588">
            <w:pPr>
              <w:jc w:val="both"/>
              <w:rPr>
                <w:sz w:val="20"/>
                <w:lang w:val="fr-CA"/>
              </w:rPr>
            </w:pPr>
            <w:r w:rsidRPr="00E85588">
              <w:rPr>
                <w:sz w:val="20"/>
                <w:lang w:val="fr-CA"/>
              </w:rPr>
              <w:t>Cour d’appel de l’Ontario</w:t>
            </w:r>
          </w:p>
          <w:p w:rsidR="00E85588" w:rsidRPr="00E85588" w:rsidRDefault="00E85588" w:rsidP="00E85588">
            <w:pPr>
              <w:jc w:val="both"/>
              <w:rPr>
                <w:sz w:val="20"/>
                <w:lang w:val="fr-CA"/>
              </w:rPr>
            </w:pPr>
            <w:r w:rsidRPr="00E85588">
              <w:rPr>
                <w:sz w:val="20"/>
                <w:lang w:val="fr-CA"/>
              </w:rPr>
              <w:t xml:space="preserve">(Juge en chef </w:t>
            </w:r>
            <w:proofErr w:type="spellStart"/>
            <w:r w:rsidRPr="00E85588">
              <w:rPr>
                <w:sz w:val="20"/>
                <w:lang w:val="fr-CA"/>
              </w:rPr>
              <w:t>Strathy</w:t>
            </w:r>
            <w:proofErr w:type="spellEnd"/>
            <w:r w:rsidRPr="00E85588">
              <w:rPr>
                <w:sz w:val="20"/>
                <w:lang w:val="fr-CA"/>
              </w:rPr>
              <w:t>, juges Rouleau, Pardu, Miller et Trotter)</w:t>
            </w:r>
          </w:p>
          <w:p w:rsidR="00E85588" w:rsidRPr="00E85588" w:rsidRDefault="00851D79" w:rsidP="00E85588">
            <w:pPr>
              <w:jc w:val="both"/>
              <w:rPr>
                <w:sz w:val="20"/>
                <w:lang w:val="fr-CA"/>
              </w:rPr>
            </w:pPr>
            <w:hyperlink r:id="rId16" w:history="1">
              <w:r w:rsidR="00E85588" w:rsidRPr="00E85588">
                <w:rPr>
                  <w:rStyle w:val="Hyperlink"/>
                  <w:sz w:val="20"/>
                  <w:lang w:val="fr-CA"/>
                </w:rPr>
                <w:t>2019 ONCA 664</w:t>
              </w:r>
            </w:hyperlink>
          </w:p>
          <w:p w:rsidR="00E85588" w:rsidRPr="00E85588" w:rsidRDefault="00E85588" w:rsidP="00E85588">
            <w:pPr>
              <w:jc w:val="both"/>
              <w:rPr>
                <w:sz w:val="20"/>
                <w:lang w:val="fr-CA"/>
              </w:rPr>
            </w:pPr>
          </w:p>
        </w:tc>
        <w:tc>
          <w:tcPr>
            <w:tcW w:w="243" w:type="pct"/>
          </w:tcPr>
          <w:p w:rsidR="00E85588" w:rsidRPr="00E85588" w:rsidRDefault="00E85588" w:rsidP="00E85588">
            <w:pPr>
              <w:jc w:val="both"/>
              <w:rPr>
                <w:sz w:val="20"/>
                <w:lang w:val="fr-CA"/>
              </w:rPr>
            </w:pPr>
          </w:p>
        </w:tc>
        <w:tc>
          <w:tcPr>
            <w:tcW w:w="2330" w:type="pct"/>
          </w:tcPr>
          <w:p w:rsidR="00E85588" w:rsidRPr="00E85588" w:rsidRDefault="00E85588" w:rsidP="00E85588">
            <w:pPr>
              <w:jc w:val="both"/>
              <w:rPr>
                <w:sz w:val="20"/>
                <w:lang w:val="fr-CA"/>
              </w:rPr>
            </w:pPr>
            <w:r w:rsidRPr="00E85588">
              <w:rPr>
                <w:sz w:val="20"/>
                <w:lang w:val="fr-CA"/>
              </w:rPr>
              <w:t>Arrêt accueillant l’appel de l’intimé, annulant les verdicts de culpabilité, inscrivant des verdicts d’acquittement quant aux accusations de contacts sexuels et d’incitation à des contacts sexuels, accueillant la requête du ministère public en prorogation du délai de dépôt de l’appel incident et rejetant l’appel incident de l’acquittement.</w:t>
            </w:r>
          </w:p>
          <w:p w:rsidR="00E85588" w:rsidRPr="00E85588" w:rsidRDefault="00E85588" w:rsidP="00E85588">
            <w:pPr>
              <w:jc w:val="both"/>
              <w:rPr>
                <w:sz w:val="20"/>
                <w:lang w:val="fr-CA"/>
              </w:rPr>
            </w:pPr>
          </w:p>
        </w:tc>
      </w:tr>
      <w:tr w:rsidR="00E85588" w:rsidRPr="00E85588" w:rsidTr="00E95A6A">
        <w:tc>
          <w:tcPr>
            <w:tcW w:w="2427" w:type="pct"/>
            <w:gridSpan w:val="2"/>
          </w:tcPr>
          <w:p w:rsidR="00E85588" w:rsidRPr="00E85588" w:rsidRDefault="00E85588" w:rsidP="00E85588">
            <w:pPr>
              <w:jc w:val="both"/>
              <w:rPr>
                <w:sz w:val="20"/>
                <w:lang w:val="fr-CA"/>
              </w:rPr>
            </w:pPr>
            <w:r w:rsidRPr="00E85588">
              <w:rPr>
                <w:sz w:val="20"/>
                <w:lang w:val="fr-CA"/>
              </w:rPr>
              <w:t>17 octobre 2019</w:t>
            </w:r>
          </w:p>
          <w:p w:rsidR="00E85588" w:rsidRPr="00E85588" w:rsidRDefault="00E85588" w:rsidP="00E85588">
            <w:pPr>
              <w:jc w:val="both"/>
              <w:rPr>
                <w:sz w:val="20"/>
                <w:lang w:val="fr-CA"/>
              </w:rPr>
            </w:pPr>
            <w:r w:rsidRPr="00E85588">
              <w:rPr>
                <w:sz w:val="20"/>
                <w:lang w:val="fr-CA"/>
              </w:rPr>
              <w:t>Cour suprême du Canada</w:t>
            </w:r>
          </w:p>
          <w:p w:rsidR="00E85588" w:rsidRPr="00E85588" w:rsidRDefault="00E85588" w:rsidP="00E85588">
            <w:pPr>
              <w:jc w:val="both"/>
              <w:rPr>
                <w:sz w:val="20"/>
                <w:lang w:val="fr-CA"/>
              </w:rPr>
            </w:pPr>
          </w:p>
        </w:tc>
        <w:tc>
          <w:tcPr>
            <w:tcW w:w="243" w:type="pct"/>
          </w:tcPr>
          <w:p w:rsidR="00E85588" w:rsidRPr="00E85588" w:rsidRDefault="00E85588" w:rsidP="00E85588">
            <w:pPr>
              <w:jc w:val="both"/>
              <w:rPr>
                <w:sz w:val="20"/>
                <w:lang w:val="fr-CA"/>
              </w:rPr>
            </w:pPr>
          </w:p>
        </w:tc>
        <w:tc>
          <w:tcPr>
            <w:tcW w:w="2330" w:type="pct"/>
          </w:tcPr>
          <w:p w:rsidR="00E85588" w:rsidRPr="00E85588" w:rsidRDefault="00E85588" w:rsidP="00E85588">
            <w:pPr>
              <w:jc w:val="both"/>
              <w:rPr>
                <w:sz w:val="20"/>
                <w:lang w:val="fr-CA"/>
              </w:rPr>
            </w:pPr>
            <w:r w:rsidRPr="00E85588">
              <w:rPr>
                <w:sz w:val="20"/>
                <w:lang w:val="fr-CA"/>
              </w:rPr>
              <w:t>Dépôt de l’avis d’appel.</w:t>
            </w:r>
          </w:p>
          <w:p w:rsidR="00E85588" w:rsidRPr="00E85588" w:rsidRDefault="00E85588" w:rsidP="00E85588">
            <w:pPr>
              <w:jc w:val="both"/>
              <w:rPr>
                <w:sz w:val="20"/>
                <w:lang w:val="fr-CA"/>
              </w:rPr>
            </w:pPr>
          </w:p>
        </w:tc>
      </w:tr>
      <w:tr w:rsidR="00E85588" w:rsidRPr="0084608C" w:rsidTr="00E95A6A">
        <w:tc>
          <w:tcPr>
            <w:tcW w:w="2427" w:type="pct"/>
            <w:gridSpan w:val="2"/>
          </w:tcPr>
          <w:p w:rsidR="00E85588" w:rsidRPr="00E85588" w:rsidRDefault="00E85588" w:rsidP="00E85588">
            <w:pPr>
              <w:jc w:val="both"/>
              <w:rPr>
                <w:sz w:val="20"/>
                <w:lang w:val="fr-CA"/>
              </w:rPr>
            </w:pPr>
            <w:r w:rsidRPr="00E85588">
              <w:rPr>
                <w:sz w:val="20"/>
                <w:lang w:val="fr-CA"/>
              </w:rPr>
              <w:t>25 octobre 2019</w:t>
            </w:r>
          </w:p>
          <w:p w:rsidR="00E85588" w:rsidRPr="00E85588" w:rsidRDefault="00E85588" w:rsidP="00E85588">
            <w:pPr>
              <w:jc w:val="both"/>
              <w:rPr>
                <w:sz w:val="20"/>
                <w:lang w:val="fr-CA"/>
              </w:rPr>
            </w:pPr>
            <w:r w:rsidRPr="00E85588">
              <w:rPr>
                <w:sz w:val="20"/>
                <w:lang w:val="fr-CA"/>
              </w:rPr>
              <w:t>Cour suprême du Canada</w:t>
            </w:r>
          </w:p>
        </w:tc>
        <w:tc>
          <w:tcPr>
            <w:tcW w:w="243" w:type="pct"/>
          </w:tcPr>
          <w:p w:rsidR="00E85588" w:rsidRPr="00E85588" w:rsidRDefault="00E85588" w:rsidP="00E85588">
            <w:pPr>
              <w:jc w:val="both"/>
              <w:rPr>
                <w:sz w:val="20"/>
                <w:lang w:val="fr-CA"/>
              </w:rPr>
            </w:pPr>
          </w:p>
        </w:tc>
        <w:tc>
          <w:tcPr>
            <w:tcW w:w="2330" w:type="pct"/>
          </w:tcPr>
          <w:p w:rsidR="00E85588" w:rsidRPr="00E85588" w:rsidRDefault="00E85588" w:rsidP="00E85588">
            <w:pPr>
              <w:jc w:val="both"/>
              <w:rPr>
                <w:sz w:val="20"/>
                <w:lang w:val="fr-CA"/>
              </w:rPr>
            </w:pPr>
            <w:r w:rsidRPr="00E85588">
              <w:rPr>
                <w:sz w:val="20"/>
                <w:lang w:val="fr-CA"/>
              </w:rPr>
              <w:t>Dépôt de la demande d’autorisation d’appel</w:t>
            </w:r>
          </w:p>
          <w:p w:rsidR="00E85588" w:rsidRPr="00E85588" w:rsidRDefault="00E85588" w:rsidP="00E85588">
            <w:pPr>
              <w:jc w:val="both"/>
              <w:rPr>
                <w:sz w:val="20"/>
                <w:lang w:val="fr-CA"/>
              </w:rPr>
            </w:pPr>
          </w:p>
        </w:tc>
      </w:tr>
    </w:tbl>
    <w:p w:rsidR="00E85588" w:rsidRPr="00E85588" w:rsidRDefault="00E85588" w:rsidP="00E85588">
      <w:pPr>
        <w:jc w:val="both"/>
        <w:rPr>
          <w:sz w:val="20"/>
          <w:lang w:val="fr-CA"/>
        </w:rPr>
      </w:pPr>
    </w:p>
    <w:p w:rsidR="00C04812" w:rsidRPr="00E85588" w:rsidRDefault="00851D79" w:rsidP="00E85588">
      <w:pPr>
        <w:ind w:left="142" w:hanging="142"/>
        <w:jc w:val="both"/>
        <w:rPr>
          <w:sz w:val="20"/>
          <w:lang w:val="fr-CA"/>
        </w:rPr>
      </w:pPr>
      <w:r>
        <w:rPr>
          <w:sz w:val="20"/>
        </w:rPr>
        <w:pict>
          <v:rect id="_x0000_i1032" style="width:2in;height:1pt" o:hrpct="0" o:hralign="center" o:hrstd="t" o:hrnoshade="t" o:hr="t" fillcolor="black [3213]" stroked="f"/>
        </w:pict>
      </w:r>
    </w:p>
    <w:p w:rsidR="00E85588" w:rsidRPr="00E85588" w:rsidRDefault="00E85588" w:rsidP="00E8558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5588" w:rsidRPr="00E85588" w:rsidTr="00E95A6A">
        <w:tc>
          <w:tcPr>
            <w:tcW w:w="543" w:type="pct"/>
          </w:tcPr>
          <w:p w:rsidR="00E85588" w:rsidRPr="00E85588" w:rsidRDefault="00E85588" w:rsidP="00E85588">
            <w:pPr>
              <w:jc w:val="both"/>
              <w:rPr>
                <w:sz w:val="20"/>
                <w:lang w:val="en-CA"/>
              </w:rPr>
            </w:pPr>
            <w:r w:rsidRPr="00E85588">
              <w:rPr>
                <w:rStyle w:val="SCCFileNumberChar"/>
                <w:sz w:val="20"/>
                <w:szCs w:val="20"/>
              </w:rPr>
              <w:t>38790</w:t>
            </w:r>
          </w:p>
        </w:tc>
        <w:tc>
          <w:tcPr>
            <w:tcW w:w="4457" w:type="pct"/>
            <w:gridSpan w:val="3"/>
          </w:tcPr>
          <w:p w:rsidR="00E85588" w:rsidRPr="00C57B64" w:rsidRDefault="00E85588" w:rsidP="00E85588">
            <w:pPr>
              <w:pStyle w:val="SCCLsocParty"/>
              <w:jc w:val="both"/>
              <w:rPr>
                <w:b/>
                <w:sz w:val="20"/>
                <w:szCs w:val="20"/>
                <w:lang w:val="en-CA"/>
              </w:rPr>
            </w:pPr>
            <w:r w:rsidRPr="00C57B64">
              <w:rPr>
                <w:b/>
                <w:sz w:val="20"/>
                <w:szCs w:val="20"/>
                <w:lang w:val="en-CA"/>
              </w:rPr>
              <w:t>Gescoro inc. v. Francis-Pierre Rémillard and Stewart Title Guaranty Company</w:t>
            </w:r>
          </w:p>
          <w:p w:rsidR="00E85588" w:rsidRPr="00E85588" w:rsidRDefault="00E85588" w:rsidP="00E85588">
            <w:pPr>
              <w:jc w:val="both"/>
              <w:rPr>
                <w:sz w:val="20"/>
                <w:lang w:val="en-CA"/>
              </w:rPr>
            </w:pPr>
            <w:r w:rsidRPr="00E85588">
              <w:rPr>
                <w:sz w:val="20"/>
                <w:lang w:val="en-CA"/>
              </w:rPr>
              <w:t>(Que.) (Civil) (By Leave)</w:t>
            </w:r>
          </w:p>
        </w:tc>
      </w:tr>
      <w:tr w:rsidR="00E85588" w:rsidRPr="00E85588" w:rsidTr="00E95A6A">
        <w:tc>
          <w:tcPr>
            <w:tcW w:w="5000" w:type="pct"/>
            <w:gridSpan w:val="4"/>
          </w:tcPr>
          <w:p w:rsidR="00E85588" w:rsidRPr="00E85588" w:rsidRDefault="00E85588" w:rsidP="00E85588">
            <w:pPr>
              <w:jc w:val="both"/>
              <w:rPr>
                <w:sz w:val="20"/>
                <w:lang w:val="en-CA"/>
              </w:rPr>
            </w:pPr>
            <w:r w:rsidRPr="00E85588">
              <w:rPr>
                <w:sz w:val="20"/>
                <w:lang w:val="en-CA"/>
              </w:rPr>
              <w:t xml:space="preserve">Commercial law — Bills of exchange — Fraudulent cheque — Whether Quebec Court of Appeal erred in holding that endorsement was fraudulent or that signature was forged even though issuance of cheque was authorized, recipient/payee negotiated proceeds with holder in due course and cheque was not stolen — Whether Quebec Court of Appeal erred in applying </w:t>
            </w:r>
            <w:r w:rsidRPr="00E85588">
              <w:rPr>
                <w:i/>
                <w:sz w:val="20"/>
                <w:lang w:val="en-CA"/>
              </w:rPr>
              <w:t>Teva Canada Ltd. v. TD Canada Trust</w:t>
            </w:r>
            <w:r w:rsidRPr="00E85588">
              <w:rPr>
                <w:sz w:val="20"/>
                <w:lang w:val="en-CA"/>
              </w:rPr>
              <w:t xml:space="preserve">, [2017] 2 S.C.R. 317, to this case by extension, and in determining that cheque was payable to order — Whether Quebec Court of Appeal erred in applying s. 48(1) of </w:t>
            </w:r>
            <w:r w:rsidRPr="00E85588">
              <w:rPr>
                <w:i/>
                <w:sz w:val="20"/>
                <w:lang w:val="en-CA"/>
              </w:rPr>
              <w:t>Bills of Exchange Act</w:t>
            </w:r>
            <w:r w:rsidRPr="00E85588">
              <w:rPr>
                <w:sz w:val="20"/>
                <w:lang w:val="en-CA"/>
              </w:rPr>
              <w:t xml:space="preserve"> — Whether business uncertainty resulting from Quebec Court of Appeal’s decision justifies intervention by this Court — </w:t>
            </w:r>
            <w:r w:rsidRPr="00E85588">
              <w:rPr>
                <w:i/>
                <w:sz w:val="20"/>
                <w:lang w:val="en-CA"/>
              </w:rPr>
              <w:t>Bills of Exchange Act</w:t>
            </w:r>
            <w:r w:rsidRPr="00E85588">
              <w:rPr>
                <w:sz w:val="20"/>
                <w:lang w:val="en-CA"/>
              </w:rPr>
              <w:t>, R.S.C. 1985, c. B</w:t>
            </w:r>
            <w:r w:rsidRPr="00E85588">
              <w:rPr>
                <w:sz w:val="20"/>
                <w:lang w:val="en-CA"/>
              </w:rPr>
              <w:noBreakHyphen/>
              <w:t>4, ss. 20, 48, 55 and 59.</w:t>
            </w:r>
          </w:p>
        </w:tc>
      </w:tr>
      <w:tr w:rsidR="00E85588" w:rsidRPr="00E85588" w:rsidTr="00E95A6A">
        <w:tc>
          <w:tcPr>
            <w:tcW w:w="5000" w:type="pct"/>
            <w:gridSpan w:val="4"/>
          </w:tcPr>
          <w:p w:rsidR="00E85588" w:rsidRPr="00E85588" w:rsidRDefault="00E85588" w:rsidP="00E85588">
            <w:pPr>
              <w:jc w:val="both"/>
              <w:rPr>
                <w:sz w:val="20"/>
                <w:lang w:val="en-CA"/>
              </w:rPr>
            </w:pPr>
          </w:p>
        </w:tc>
      </w:tr>
      <w:tr w:rsidR="00E85588" w:rsidRPr="00E85588" w:rsidTr="00E95A6A">
        <w:tc>
          <w:tcPr>
            <w:tcW w:w="5000" w:type="pct"/>
            <w:gridSpan w:val="4"/>
          </w:tcPr>
          <w:p w:rsidR="00E85588" w:rsidRPr="00E85588" w:rsidRDefault="00E85588" w:rsidP="00E85588">
            <w:pPr>
              <w:jc w:val="both"/>
              <w:rPr>
                <w:sz w:val="20"/>
                <w:lang w:val="en-CA"/>
              </w:rPr>
            </w:pPr>
            <w:r w:rsidRPr="00E85588">
              <w:rPr>
                <w:sz w:val="20"/>
                <w:lang w:val="en-CA"/>
              </w:rPr>
              <w:t>In December 2011, the respondent notary Francis</w:t>
            </w:r>
            <w:r w:rsidRPr="00E85588">
              <w:rPr>
                <w:sz w:val="20"/>
                <w:lang w:val="en-CA"/>
              </w:rPr>
              <w:noBreakHyphen/>
              <w:t xml:space="preserve">Pierre Rémillard was retained by Paul Turcot in relation to the purchase of property in Montréal belonging to Tanja Schudel. Mr. Rémillard prepared the act of sale and the act of hypothec that would secure a loan granted by the First National Financial Corporation, and these </w:t>
            </w:r>
            <w:proofErr w:type="gramStart"/>
            <w:r w:rsidRPr="00E85588">
              <w:rPr>
                <w:sz w:val="20"/>
                <w:lang w:val="en-CA"/>
              </w:rPr>
              <w:t>were signed</w:t>
            </w:r>
            <w:proofErr w:type="gramEnd"/>
            <w:r w:rsidRPr="00E85588">
              <w:rPr>
                <w:sz w:val="20"/>
                <w:lang w:val="en-CA"/>
              </w:rPr>
              <w:t xml:space="preserve"> on December 8, 2011. At that time, the amount of the loan </w:t>
            </w:r>
            <w:proofErr w:type="gramStart"/>
            <w:r w:rsidRPr="00E85588">
              <w:rPr>
                <w:sz w:val="20"/>
                <w:lang w:val="en-CA"/>
              </w:rPr>
              <w:t>was remitted</w:t>
            </w:r>
            <w:proofErr w:type="gramEnd"/>
            <w:r w:rsidRPr="00E85588">
              <w:rPr>
                <w:sz w:val="20"/>
                <w:lang w:val="en-CA"/>
              </w:rPr>
              <w:t xml:space="preserve"> to Mr. Rémillard, who issued a cheque to Ms. Schudel out of his trust account at the Bank of Montreal (BMO). On December 9, 2011, Ms. Schudel went to the BMO, had the cheque certified and then went to an outlet of the applicant, Gescoro inc., to cash it. Before proceeding to cash the cheque, Gescoro contacted Mr. Rémillard on December 12, 2011, and he confirmed the authenticity of the cheque and the identity of Ms. Schudel. Gescoro then accepted the cheque endorsed by </w:t>
            </w:r>
            <w:proofErr w:type="spellStart"/>
            <w:r w:rsidRPr="00E85588">
              <w:rPr>
                <w:sz w:val="20"/>
                <w:lang w:val="en-CA"/>
              </w:rPr>
              <w:t>Ms</w:t>
            </w:r>
            <w:proofErr w:type="spellEnd"/>
            <w:r w:rsidRPr="00E85588">
              <w:rPr>
                <w:sz w:val="20"/>
                <w:lang w:val="en-CA"/>
              </w:rPr>
              <w:t> Schudel and made three cash payments to her between December 13 and 15, 2011. On or about December 15, 2011, Mr. Rémillard learned that the transaction was fraudulent, because the real Mr. </w:t>
            </w:r>
            <w:proofErr w:type="spellStart"/>
            <w:r w:rsidRPr="00E85588">
              <w:rPr>
                <w:sz w:val="20"/>
                <w:lang w:val="en-CA"/>
              </w:rPr>
              <w:t>Turcot</w:t>
            </w:r>
            <w:proofErr w:type="spellEnd"/>
            <w:r w:rsidRPr="00E85588">
              <w:rPr>
                <w:sz w:val="20"/>
                <w:lang w:val="en-CA"/>
              </w:rPr>
              <w:t xml:space="preserve"> and Ms. Schudel had been victims of identity theft. The money Gescoro had paid to the false Ms. Schudel </w:t>
            </w:r>
            <w:proofErr w:type="gramStart"/>
            <w:r w:rsidRPr="00E85588">
              <w:rPr>
                <w:sz w:val="20"/>
                <w:lang w:val="en-CA"/>
              </w:rPr>
              <w:t>would not be recovered</w:t>
            </w:r>
            <w:proofErr w:type="gramEnd"/>
            <w:r w:rsidRPr="00E85588">
              <w:rPr>
                <w:sz w:val="20"/>
                <w:lang w:val="en-CA"/>
              </w:rPr>
              <w:t xml:space="preserve">. The respondent Stewart Title Guaranty Company then </w:t>
            </w:r>
            <w:proofErr w:type="gramStart"/>
            <w:r w:rsidRPr="00E85588">
              <w:rPr>
                <w:sz w:val="20"/>
                <w:lang w:val="en-CA"/>
              </w:rPr>
              <w:t>indemnified</w:t>
            </w:r>
            <w:proofErr w:type="gramEnd"/>
            <w:r w:rsidRPr="00E85588">
              <w:rPr>
                <w:sz w:val="20"/>
                <w:lang w:val="en-CA"/>
              </w:rPr>
              <w:t xml:space="preserve"> the First National Financial Corporation, was subrogated to its rights, and required that Mr. Rémillard repay the amount of the cheque. Mr. Rémillard then asked that BMO return the cheque to Gescoro’s bank, which accepted it. The amount </w:t>
            </w:r>
            <w:proofErr w:type="gramStart"/>
            <w:r w:rsidRPr="00E85588">
              <w:rPr>
                <w:sz w:val="20"/>
                <w:lang w:val="en-CA"/>
              </w:rPr>
              <w:t>was remitted</w:t>
            </w:r>
            <w:proofErr w:type="gramEnd"/>
            <w:r w:rsidRPr="00E85588">
              <w:rPr>
                <w:sz w:val="20"/>
                <w:lang w:val="en-CA"/>
              </w:rPr>
              <w:t xml:space="preserve"> to BMO, which deposited it in Mr. </w:t>
            </w:r>
            <w:proofErr w:type="spellStart"/>
            <w:r w:rsidRPr="00E85588">
              <w:rPr>
                <w:sz w:val="20"/>
                <w:lang w:val="en-CA"/>
              </w:rPr>
              <w:t>Rémillard’s</w:t>
            </w:r>
            <w:proofErr w:type="spellEnd"/>
            <w:r w:rsidRPr="00E85588">
              <w:rPr>
                <w:sz w:val="20"/>
                <w:lang w:val="en-CA"/>
              </w:rPr>
              <w:t xml:space="preserve"> trust account. On February 13, 2014, the amount of the cheque </w:t>
            </w:r>
            <w:proofErr w:type="gramStart"/>
            <w:r w:rsidRPr="00E85588">
              <w:rPr>
                <w:sz w:val="20"/>
                <w:lang w:val="en-CA"/>
              </w:rPr>
              <w:t>was withdrawn</w:t>
            </w:r>
            <w:proofErr w:type="gramEnd"/>
            <w:r w:rsidRPr="00E85588">
              <w:rPr>
                <w:sz w:val="20"/>
                <w:lang w:val="en-CA"/>
              </w:rPr>
              <w:t xml:space="preserve"> from Gescoro’s account with the note [</w:t>
            </w:r>
            <w:r w:rsidRPr="00E85588">
              <w:rPr>
                <w:smallCaps/>
                <w:sz w:val="20"/>
                <w:lang w:val="en-CA"/>
              </w:rPr>
              <w:t>translation</w:t>
            </w:r>
            <w:r w:rsidRPr="00E85588">
              <w:rPr>
                <w:rFonts w:asciiTheme="minorBidi" w:hAnsiTheme="minorBidi"/>
                <w:sz w:val="20"/>
                <w:lang w:val="en-CA"/>
              </w:rPr>
              <w:t>]</w:t>
            </w:r>
            <w:r w:rsidRPr="00E85588">
              <w:rPr>
                <w:sz w:val="20"/>
                <w:lang w:val="en-CA"/>
              </w:rPr>
              <w:t xml:space="preserve"> “returned cheque”. On March 27, 2014, Gescoro instituted an action against Mr. Rémillard to recover the value of the cheque. The Superior Court dismissed the action for a claim, and the Court of Appeal dismissed the appeal.</w:t>
            </w:r>
          </w:p>
          <w:p w:rsidR="00E85588" w:rsidRPr="00E85588" w:rsidRDefault="00E85588" w:rsidP="00E85588">
            <w:pPr>
              <w:jc w:val="both"/>
              <w:rPr>
                <w:sz w:val="20"/>
                <w:lang w:val="en-CA"/>
              </w:rPr>
            </w:pPr>
          </w:p>
        </w:tc>
      </w:tr>
      <w:tr w:rsidR="00E85588" w:rsidRPr="00E85588" w:rsidTr="00E95A6A">
        <w:tc>
          <w:tcPr>
            <w:tcW w:w="2427" w:type="pct"/>
            <w:gridSpan w:val="2"/>
          </w:tcPr>
          <w:p w:rsidR="00E85588" w:rsidRPr="00E85588" w:rsidRDefault="00E85588" w:rsidP="00E85588">
            <w:pPr>
              <w:jc w:val="both"/>
              <w:rPr>
                <w:sz w:val="20"/>
                <w:lang w:val="en-CA"/>
              </w:rPr>
            </w:pPr>
            <w:r w:rsidRPr="00E85588">
              <w:rPr>
                <w:sz w:val="20"/>
                <w:lang w:val="en-CA"/>
              </w:rPr>
              <w:t>October 18, 2016</w:t>
            </w:r>
          </w:p>
          <w:p w:rsidR="00E85588" w:rsidRPr="00E85588" w:rsidRDefault="00E85588" w:rsidP="00E85588">
            <w:pPr>
              <w:jc w:val="both"/>
              <w:rPr>
                <w:sz w:val="20"/>
                <w:lang w:val="en-CA"/>
              </w:rPr>
            </w:pPr>
            <w:r w:rsidRPr="00E85588">
              <w:rPr>
                <w:sz w:val="20"/>
                <w:lang w:val="en-CA"/>
              </w:rPr>
              <w:t>Quebec Superior Court</w:t>
            </w:r>
          </w:p>
          <w:p w:rsidR="00E85588" w:rsidRPr="00E85588" w:rsidRDefault="00E85588" w:rsidP="00E85588">
            <w:pPr>
              <w:jc w:val="both"/>
              <w:rPr>
                <w:sz w:val="20"/>
                <w:lang w:val="en-CA"/>
              </w:rPr>
            </w:pPr>
            <w:r w:rsidRPr="00E85588">
              <w:rPr>
                <w:sz w:val="20"/>
                <w:lang w:val="en-CA"/>
              </w:rPr>
              <w:t>(Corriveau J.)</w:t>
            </w:r>
          </w:p>
          <w:p w:rsidR="00E85588" w:rsidRPr="00E85588" w:rsidRDefault="00851D79" w:rsidP="00E85588">
            <w:pPr>
              <w:jc w:val="both"/>
              <w:rPr>
                <w:sz w:val="20"/>
                <w:lang w:val="en-CA"/>
              </w:rPr>
            </w:pPr>
            <w:hyperlink r:id="rId17" w:history="1">
              <w:r w:rsidR="00E85588" w:rsidRPr="00E85588">
                <w:rPr>
                  <w:rStyle w:val="Hyperlink"/>
                  <w:sz w:val="20"/>
                  <w:lang w:val="en-CA"/>
                </w:rPr>
                <w:t>2016 QCCS 5077</w:t>
              </w:r>
            </w:hyperlink>
          </w:p>
          <w:p w:rsidR="00E85588" w:rsidRPr="00E85588" w:rsidRDefault="00E85588" w:rsidP="00E85588">
            <w:pPr>
              <w:jc w:val="both"/>
              <w:rPr>
                <w:sz w:val="20"/>
                <w:lang w:val="en-CA"/>
              </w:rPr>
            </w:pPr>
          </w:p>
        </w:tc>
        <w:tc>
          <w:tcPr>
            <w:tcW w:w="243" w:type="pct"/>
          </w:tcPr>
          <w:p w:rsidR="00E85588" w:rsidRPr="00E85588" w:rsidRDefault="00E85588" w:rsidP="00E85588">
            <w:pPr>
              <w:jc w:val="both"/>
              <w:rPr>
                <w:sz w:val="20"/>
                <w:lang w:val="en-CA"/>
              </w:rPr>
            </w:pPr>
          </w:p>
        </w:tc>
        <w:tc>
          <w:tcPr>
            <w:tcW w:w="2330" w:type="pct"/>
          </w:tcPr>
          <w:p w:rsidR="00E85588" w:rsidRPr="00E85588" w:rsidRDefault="00E85588" w:rsidP="00E85588">
            <w:pPr>
              <w:jc w:val="both"/>
              <w:rPr>
                <w:sz w:val="20"/>
                <w:lang w:val="en-CA"/>
              </w:rPr>
            </w:pPr>
            <w:r w:rsidRPr="00E85588">
              <w:rPr>
                <w:sz w:val="20"/>
                <w:lang w:val="en-CA"/>
              </w:rPr>
              <w:t>Action for claim dismissed.</w:t>
            </w:r>
          </w:p>
          <w:p w:rsidR="00E85588" w:rsidRPr="00E85588" w:rsidRDefault="00E85588" w:rsidP="00E85588">
            <w:pPr>
              <w:jc w:val="both"/>
              <w:rPr>
                <w:sz w:val="20"/>
                <w:lang w:val="en-CA"/>
              </w:rPr>
            </w:pPr>
          </w:p>
        </w:tc>
      </w:tr>
      <w:tr w:rsidR="00E85588" w:rsidRPr="00E85588" w:rsidTr="00E95A6A">
        <w:tc>
          <w:tcPr>
            <w:tcW w:w="2427" w:type="pct"/>
            <w:gridSpan w:val="2"/>
          </w:tcPr>
          <w:p w:rsidR="00E85588" w:rsidRPr="00E85588" w:rsidRDefault="00E85588" w:rsidP="00E85588">
            <w:pPr>
              <w:jc w:val="both"/>
              <w:rPr>
                <w:sz w:val="20"/>
                <w:lang w:val="en-CA"/>
              </w:rPr>
            </w:pPr>
            <w:r w:rsidRPr="00E85588">
              <w:rPr>
                <w:sz w:val="20"/>
                <w:lang w:val="en-CA"/>
              </w:rPr>
              <w:t>June 3, 2019</w:t>
            </w:r>
          </w:p>
          <w:p w:rsidR="00E85588" w:rsidRPr="00E85588" w:rsidRDefault="00E85588" w:rsidP="00E85588">
            <w:pPr>
              <w:jc w:val="both"/>
              <w:rPr>
                <w:sz w:val="20"/>
                <w:lang w:val="en-CA"/>
              </w:rPr>
            </w:pPr>
            <w:r w:rsidRPr="00E85588">
              <w:rPr>
                <w:sz w:val="20"/>
                <w:lang w:val="en-CA"/>
              </w:rPr>
              <w:t>Quebec Court of Appeal (Montréal)</w:t>
            </w:r>
          </w:p>
          <w:p w:rsidR="00E85588" w:rsidRPr="00E85588" w:rsidRDefault="00E85588" w:rsidP="00E85588">
            <w:pPr>
              <w:jc w:val="both"/>
              <w:rPr>
                <w:sz w:val="20"/>
                <w:lang w:val="en-CA"/>
              </w:rPr>
            </w:pPr>
            <w:r w:rsidRPr="00E85588">
              <w:rPr>
                <w:sz w:val="20"/>
                <w:lang w:val="en-CA"/>
              </w:rPr>
              <w:t>(Schrager, Ruel and Hamilton JJ.A.)</w:t>
            </w:r>
          </w:p>
          <w:p w:rsidR="00E85588" w:rsidRPr="00E85588" w:rsidRDefault="00851D79" w:rsidP="00E85588">
            <w:pPr>
              <w:jc w:val="both"/>
              <w:rPr>
                <w:sz w:val="20"/>
                <w:lang w:val="en-CA"/>
              </w:rPr>
            </w:pPr>
            <w:hyperlink r:id="rId18" w:history="1">
              <w:r w:rsidR="00E85588" w:rsidRPr="00E85588">
                <w:rPr>
                  <w:rStyle w:val="Hyperlink"/>
                  <w:sz w:val="20"/>
                  <w:lang w:val="en-CA"/>
                </w:rPr>
                <w:t>2019 QCCA 973</w:t>
              </w:r>
            </w:hyperlink>
          </w:p>
          <w:p w:rsidR="00E85588" w:rsidRPr="00E85588" w:rsidRDefault="00E85588" w:rsidP="00E85588">
            <w:pPr>
              <w:jc w:val="both"/>
              <w:rPr>
                <w:sz w:val="20"/>
                <w:lang w:val="en-CA"/>
              </w:rPr>
            </w:pPr>
          </w:p>
        </w:tc>
        <w:tc>
          <w:tcPr>
            <w:tcW w:w="243" w:type="pct"/>
          </w:tcPr>
          <w:p w:rsidR="00E85588" w:rsidRPr="00E85588" w:rsidRDefault="00E85588" w:rsidP="00E85588">
            <w:pPr>
              <w:jc w:val="both"/>
              <w:rPr>
                <w:sz w:val="20"/>
                <w:lang w:val="en-CA"/>
              </w:rPr>
            </w:pPr>
          </w:p>
        </w:tc>
        <w:tc>
          <w:tcPr>
            <w:tcW w:w="2330" w:type="pct"/>
          </w:tcPr>
          <w:p w:rsidR="00E85588" w:rsidRPr="00E85588" w:rsidRDefault="00E85588" w:rsidP="00E85588">
            <w:pPr>
              <w:jc w:val="both"/>
              <w:rPr>
                <w:sz w:val="20"/>
                <w:lang w:val="en-CA"/>
              </w:rPr>
            </w:pPr>
            <w:r w:rsidRPr="00E85588">
              <w:rPr>
                <w:sz w:val="20"/>
                <w:lang w:val="en-CA"/>
              </w:rPr>
              <w:t>Appeal dismissed.</w:t>
            </w:r>
          </w:p>
          <w:p w:rsidR="00E85588" w:rsidRPr="00E85588" w:rsidRDefault="00E85588" w:rsidP="00E85588">
            <w:pPr>
              <w:jc w:val="both"/>
              <w:rPr>
                <w:sz w:val="20"/>
                <w:lang w:val="en-CA"/>
              </w:rPr>
            </w:pPr>
          </w:p>
        </w:tc>
      </w:tr>
      <w:tr w:rsidR="00E85588" w:rsidRPr="00E85588" w:rsidTr="00E95A6A">
        <w:tc>
          <w:tcPr>
            <w:tcW w:w="2427" w:type="pct"/>
            <w:gridSpan w:val="2"/>
          </w:tcPr>
          <w:p w:rsidR="00E85588" w:rsidRPr="00E85588" w:rsidRDefault="00E85588" w:rsidP="00E85588">
            <w:pPr>
              <w:jc w:val="both"/>
              <w:rPr>
                <w:sz w:val="20"/>
                <w:lang w:val="en-CA"/>
              </w:rPr>
            </w:pPr>
            <w:r w:rsidRPr="00E85588">
              <w:rPr>
                <w:sz w:val="20"/>
                <w:lang w:val="en-CA"/>
              </w:rPr>
              <w:lastRenderedPageBreak/>
              <w:t>September 3, 2019</w:t>
            </w:r>
          </w:p>
          <w:p w:rsidR="00E85588" w:rsidRPr="00E85588" w:rsidRDefault="00E85588" w:rsidP="00E85588">
            <w:pPr>
              <w:jc w:val="both"/>
              <w:rPr>
                <w:sz w:val="20"/>
                <w:lang w:val="en-CA"/>
              </w:rPr>
            </w:pPr>
            <w:r w:rsidRPr="00E85588">
              <w:rPr>
                <w:sz w:val="20"/>
                <w:lang w:val="en-CA"/>
              </w:rPr>
              <w:t>Supreme Court of Canada</w:t>
            </w:r>
          </w:p>
        </w:tc>
        <w:tc>
          <w:tcPr>
            <w:tcW w:w="243" w:type="pct"/>
          </w:tcPr>
          <w:p w:rsidR="00E85588" w:rsidRPr="00E85588" w:rsidRDefault="00E85588" w:rsidP="00E85588">
            <w:pPr>
              <w:jc w:val="both"/>
              <w:rPr>
                <w:sz w:val="20"/>
                <w:lang w:val="en-CA"/>
              </w:rPr>
            </w:pPr>
          </w:p>
        </w:tc>
        <w:tc>
          <w:tcPr>
            <w:tcW w:w="2330" w:type="pct"/>
          </w:tcPr>
          <w:p w:rsidR="00E85588" w:rsidRPr="00E85588" w:rsidRDefault="00E85588" w:rsidP="00E85588">
            <w:pPr>
              <w:jc w:val="both"/>
              <w:rPr>
                <w:sz w:val="20"/>
                <w:lang w:val="en-CA"/>
              </w:rPr>
            </w:pPr>
            <w:r w:rsidRPr="00E85588">
              <w:rPr>
                <w:sz w:val="20"/>
                <w:lang w:val="en-CA"/>
              </w:rPr>
              <w:t>Application for leave to appeal filed.</w:t>
            </w:r>
          </w:p>
          <w:p w:rsidR="00E85588" w:rsidRPr="00E85588" w:rsidRDefault="00E85588" w:rsidP="00E85588">
            <w:pPr>
              <w:jc w:val="both"/>
              <w:rPr>
                <w:sz w:val="20"/>
                <w:lang w:val="en-CA"/>
              </w:rPr>
            </w:pPr>
          </w:p>
        </w:tc>
      </w:tr>
    </w:tbl>
    <w:p w:rsidR="00E85588" w:rsidRPr="00E85588" w:rsidRDefault="00E85588" w:rsidP="00E85588">
      <w:pPr>
        <w:jc w:val="both"/>
        <w:rPr>
          <w:sz w:val="20"/>
          <w:lang w:val="en-CA"/>
        </w:rPr>
      </w:pPr>
    </w:p>
    <w:p w:rsidR="00E85588" w:rsidRPr="00E85588" w:rsidRDefault="00851D79" w:rsidP="00E85588">
      <w:pPr>
        <w:jc w:val="both"/>
        <w:rPr>
          <w:sz w:val="20"/>
          <w:lang w:val="en-CA"/>
        </w:rPr>
      </w:pPr>
      <w:r>
        <w:rPr>
          <w:sz w:val="20"/>
        </w:rPr>
        <w:pict>
          <v:rect id="_x0000_i1033" style="width:2in;height:1pt" o:hrpct="0" o:hralign="center" o:hrstd="t" o:hrnoshade="t" o:hr="t" fillcolor="black [3213]" stroked="f"/>
        </w:pict>
      </w:r>
    </w:p>
    <w:p w:rsidR="00E85588" w:rsidRPr="00E85588" w:rsidRDefault="00E85588" w:rsidP="00E8558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5588" w:rsidRPr="00E85588" w:rsidTr="00E95A6A">
        <w:tc>
          <w:tcPr>
            <w:tcW w:w="543" w:type="pct"/>
          </w:tcPr>
          <w:p w:rsidR="00E85588" w:rsidRPr="00E85588" w:rsidRDefault="00E85588" w:rsidP="00E85588">
            <w:pPr>
              <w:jc w:val="both"/>
              <w:rPr>
                <w:sz w:val="20"/>
              </w:rPr>
            </w:pPr>
            <w:r w:rsidRPr="00E85588">
              <w:rPr>
                <w:rStyle w:val="SCCFileNumberChar"/>
                <w:sz w:val="20"/>
                <w:szCs w:val="20"/>
              </w:rPr>
              <w:t>38790</w:t>
            </w:r>
          </w:p>
        </w:tc>
        <w:tc>
          <w:tcPr>
            <w:tcW w:w="4457" w:type="pct"/>
            <w:gridSpan w:val="3"/>
          </w:tcPr>
          <w:p w:rsidR="00E85588" w:rsidRPr="00C57B64" w:rsidRDefault="00E85588" w:rsidP="00E85588">
            <w:pPr>
              <w:pStyle w:val="SCCLsocParty"/>
              <w:jc w:val="both"/>
              <w:rPr>
                <w:b/>
                <w:sz w:val="20"/>
                <w:szCs w:val="20"/>
                <w:lang w:val="en-US"/>
              </w:rPr>
            </w:pPr>
            <w:r w:rsidRPr="00C57B64">
              <w:rPr>
                <w:b/>
                <w:sz w:val="20"/>
                <w:szCs w:val="20"/>
                <w:lang w:val="en-US"/>
              </w:rPr>
              <w:t>Gescoro inc. c. Francis-Pierre Rémillard et Stewart Title Guaranty Company</w:t>
            </w:r>
          </w:p>
          <w:p w:rsidR="00E85588" w:rsidRPr="00E85588" w:rsidRDefault="00E85588" w:rsidP="00E85588">
            <w:pPr>
              <w:jc w:val="both"/>
              <w:rPr>
                <w:sz w:val="20"/>
              </w:rPr>
            </w:pPr>
            <w:r w:rsidRPr="00E85588">
              <w:rPr>
                <w:sz w:val="20"/>
              </w:rPr>
              <w:t>(Qc) (Civile) (Autorisation)</w:t>
            </w:r>
          </w:p>
        </w:tc>
      </w:tr>
      <w:tr w:rsidR="00E85588" w:rsidRPr="0084608C" w:rsidTr="00E95A6A">
        <w:tc>
          <w:tcPr>
            <w:tcW w:w="5000" w:type="pct"/>
            <w:gridSpan w:val="4"/>
          </w:tcPr>
          <w:p w:rsidR="00E85588" w:rsidRPr="00E85588" w:rsidRDefault="00E85588" w:rsidP="00E85588">
            <w:pPr>
              <w:jc w:val="both"/>
              <w:rPr>
                <w:sz w:val="20"/>
                <w:lang w:val="fr-CA"/>
              </w:rPr>
            </w:pPr>
            <w:r w:rsidRPr="00E85588">
              <w:rPr>
                <w:sz w:val="20"/>
                <w:lang w:val="fr-CA"/>
              </w:rPr>
              <w:t>Droit commercial — Lettres de change — Chèque frauduleux — La Cour d’appel du Québec a</w:t>
            </w:r>
            <w:r w:rsidRPr="00E85588">
              <w:rPr>
                <w:sz w:val="20"/>
                <w:lang w:val="fr-CA"/>
              </w:rPr>
              <w:noBreakHyphen/>
              <w:t>t</w:t>
            </w:r>
            <w:r w:rsidRPr="00E85588">
              <w:rPr>
                <w:sz w:val="20"/>
                <w:lang w:val="fr-CA"/>
              </w:rPr>
              <w:noBreakHyphen/>
              <w:t>elle erré lorsqu’elle a jugé que l’endossement était frauduleux ou que la signature était contrefaite, alors que l’émission du chèque était autorisée, que le bénéficiaire/preneur a négocié le produit avec un détenteur régulier et en l’absence de vol du chèque? — La Cour d’appel du Québec a</w:t>
            </w:r>
            <w:r w:rsidRPr="00E85588">
              <w:rPr>
                <w:sz w:val="20"/>
                <w:lang w:val="fr-CA"/>
              </w:rPr>
              <w:noBreakHyphen/>
              <w:t>t</w:t>
            </w:r>
            <w:r w:rsidRPr="00E85588">
              <w:rPr>
                <w:sz w:val="20"/>
                <w:lang w:val="fr-CA"/>
              </w:rPr>
              <w:noBreakHyphen/>
              <w:t xml:space="preserve">elle erré en appliquant par extension l’arrêt </w:t>
            </w:r>
            <w:r w:rsidRPr="00E85588">
              <w:rPr>
                <w:i/>
                <w:sz w:val="20"/>
                <w:lang w:val="fr-CA"/>
              </w:rPr>
              <w:t>Teva Canada Ltée c. TD Canada Trust</w:t>
            </w:r>
            <w:r w:rsidRPr="00E85588">
              <w:rPr>
                <w:sz w:val="20"/>
                <w:lang w:val="fr-CA"/>
              </w:rPr>
              <w:t>, [2017] 2 R.C.S. 317 au cas d’espèce et en déterminant que le Chèque est à ordre? — La Cour d’appel du Québec a</w:t>
            </w:r>
            <w:r w:rsidRPr="00E85588">
              <w:rPr>
                <w:sz w:val="20"/>
                <w:lang w:val="fr-CA"/>
              </w:rPr>
              <w:noBreakHyphen/>
              <w:t>t</w:t>
            </w:r>
            <w:r w:rsidRPr="00E85588">
              <w:rPr>
                <w:sz w:val="20"/>
                <w:lang w:val="fr-CA"/>
              </w:rPr>
              <w:noBreakHyphen/>
              <w:t xml:space="preserve">elle erré en appliquant l’art. 48(1) </w:t>
            </w:r>
            <w:r w:rsidRPr="00E85588">
              <w:rPr>
                <w:i/>
                <w:sz w:val="20"/>
                <w:lang w:val="fr-CA"/>
              </w:rPr>
              <w:t>Loi sur les lettres de change</w:t>
            </w:r>
            <w:r w:rsidRPr="00E85588">
              <w:rPr>
                <w:sz w:val="20"/>
                <w:lang w:val="fr-CA"/>
              </w:rPr>
              <w:t>? — Les incertitudes commerciales résultant de la décision de la Cour d’appel du Québec, justifient</w:t>
            </w:r>
            <w:r w:rsidRPr="00E85588">
              <w:rPr>
                <w:sz w:val="20"/>
                <w:lang w:val="fr-CA"/>
              </w:rPr>
              <w:noBreakHyphen/>
              <w:t xml:space="preserve">elles l’intervention de cette Cour? — </w:t>
            </w:r>
            <w:r w:rsidRPr="00E85588">
              <w:rPr>
                <w:i/>
                <w:sz w:val="20"/>
                <w:lang w:val="fr-CA"/>
              </w:rPr>
              <w:t>Loi sur les lettres de change</w:t>
            </w:r>
            <w:r w:rsidRPr="00E85588">
              <w:rPr>
                <w:sz w:val="20"/>
                <w:lang w:val="fr-CA"/>
              </w:rPr>
              <w:t>, L.R.C. 1985, c B</w:t>
            </w:r>
            <w:r w:rsidRPr="00E85588">
              <w:rPr>
                <w:sz w:val="20"/>
                <w:lang w:val="fr-CA"/>
              </w:rPr>
              <w:noBreakHyphen/>
              <w:t>4, art. 20, 48, 55 et 59.</w:t>
            </w:r>
          </w:p>
        </w:tc>
      </w:tr>
      <w:tr w:rsidR="00E85588" w:rsidRPr="0084608C" w:rsidTr="00E95A6A">
        <w:tc>
          <w:tcPr>
            <w:tcW w:w="5000" w:type="pct"/>
            <w:gridSpan w:val="4"/>
          </w:tcPr>
          <w:p w:rsidR="00E85588" w:rsidRPr="00E85588" w:rsidRDefault="00E85588" w:rsidP="00E85588">
            <w:pPr>
              <w:jc w:val="both"/>
              <w:rPr>
                <w:sz w:val="20"/>
                <w:lang w:val="fr-CA"/>
              </w:rPr>
            </w:pPr>
          </w:p>
        </w:tc>
      </w:tr>
      <w:tr w:rsidR="00E85588" w:rsidRPr="0084608C" w:rsidTr="00E95A6A">
        <w:tc>
          <w:tcPr>
            <w:tcW w:w="5000" w:type="pct"/>
            <w:gridSpan w:val="4"/>
          </w:tcPr>
          <w:p w:rsidR="00E85588" w:rsidRPr="00E85588" w:rsidRDefault="00E85588" w:rsidP="00E85588">
            <w:pPr>
              <w:jc w:val="both"/>
              <w:rPr>
                <w:sz w:val="20"/>
                <w:lang w:val="fr-CA"/>
              </w:rPr>
            </w:pPr>
            <w:r w:rsidRPr="00E85588">
              <w:rPr>
                <w:sz w:val="20"/>
                <w:lang w:val="fr-CA"/>
              </w:rPr>
              <w:t>En décembre 2011, les services de l’intimé Me Francis</w:t>
            </w:r>
            <w:r w:rsidRPr="00E85588">
              <w:rPr>
                <w:sz w:val="20"/>
                <w:lang w:val="fr-CA"/>
              </w:rPr>
              <w:noBreakHyphen/>
              <w:t xml:space="preserve">Pierre Rémillard, notaire, sont retenus par M. Paul </w:t>
            </w:r>
            <w:proofErr w:type="spellStart"/>
            <w:r w:rsidRPr="00E85588">
              <w:rPr>
                <w:sz w:val="20"/>
                <w:lang w:val="fr-CA"/>
              </w:rPr>
              <w:t>Turcot</w:t>
            </w:r>
            <w:proofErr w:type="spellEnd"/>
            <w:r w:rsidRPr="00E85588">
              <w:rPr>
                <w:sz w:val="20"/>
                <w:lang w:val="fr-CA"/>
              </w:rPr>
              <w:t xml:space="preserve"> dans le cadre de l’achat d’un immeuble, propriété de Mme Tanja Schudel, situé à Montréal. Me Rémillard procède à la préparation de l’acte de vente et de l’acte d’hypothèque visant à garantir le prêt consenti par Société Financière First National qui seront signés le 8 décembre 2011. À ce moment, la somme prêtée est remise à Me Rémillard qui émet un chèque à Mme Schudel à partir de son compte en fidéicommis à la Banque de Montréal (BMO). Le 9 décembre 2011, Mme Schudel se présente à la BMO, fait certifier le chèque et se rend ensuite à une succursale de la demanderesse, Gescoro inc. afin d’encaisser le chèque. Avant de procéder à l’encaissement, Gescoro effectue le 12 décembre 2011 des vérifications auprès de Me Rémillard qui confirme l’authenticité du chèque et l’identité de Mme Schudel. Gescoro accepte alors le chèque endossé par Mme Schudel et effectue trois versements en argent comptant à cette dernière entre les 13 et 15 décembre 2011. Vers le 15 décembre 2011, Me Rémillard apprend que cette transaction s’avère frauduleuse puisque les véritables M. </w:t>
            </w:r>
            <w:proofErr w:type="spellStart"/>
            <w:r w:rsidRPr="00E85588">
              <w:rPr>
                <w:sz w:val="20"/>
                <w:lang w:val="fr-CA"/>
              </w:rPr>
              <w:t>Turcot</w:t>
            </w:r>
            <w:proofErr w:type="spellEnd"/>
            <w:r w:rsidRPr="00E85588">
              <w:rPr>
                <w:sz w:val="20"/>
                <w:lang w:val="fr-CA"/>
              </w:rPr>
              <w:t xml:space="preserve"> et Mme Schudel ont été victimes d’un vol d’identité. Les sommes d’argent remises à la fausse Mme Schudel par Gescoro ne seront pas récupérées. L’intimée, Stewart Title Guaranty Company indemnise alors la Société Financière First National, se fait subroger dans ses droits, et exige de Me Rémillard le remboursement du chèque. Me Rémillard demande à alors à la BMO de retourner le chèque à la banque de Gescoro qui l’accepte. Le montant est remis à la BMO qui le dépose dans le compte en fidéicommis de Me Rémillard. Au 13 février 2014, Gescoro se fait retirer de son compte le montant du chèque  avec la mention « chèque retourné ». Le 27 mars 2014, Gescoro entreprend alors une action contre Me Rémillard en recouvrement pour la valeur du chèque. La Cour supérieure rejette l’action en réclamation et la Cour d’appel rejette l’appel.</w:t>
            </w:r>
          </w:p>
          <w:p w:rsidR="00E85588" w:rsidRPr="00E85588" w:rsidRDefault="00E85588" w:rsidP="00E85588">
            <w:pPr>
              <w:jc w:val="both"/>
              <w:rPr>
                <w:sz w:val="20"/>
                <w:lang w:val="fr-CA"/>
              </w:rPr>
            </w:pPr>
          </w:p>
        </w:tc>
      </w:tr>
      <w:tr w:rsidR="00E85588" w:rsidRPr="00E85588" w:rsidTr="00E95A6A">
        <w:tc>
          <w:tcPr>
            <w:tcW w:w="2427" w:type="pct"/>
            <w:gridSpan w:val="2"/>
          </w:tcPr>
          <w:p w:rsidR="00E85588" w:rsidRPr="00E85588" w:rsidRDefault="00E85588" w:rsidP="00E85588">
            <w:pPr>
              <w:jc w:val="both"/>
              <w:rPr>
                <w:sz w:val="20"/>
                <w:lang w:val="fr-CA"/>
              </w:rPr>
            </w:pPr>
            <w:r w:rsidRPr="00E85588">
              <w:rPr>
                <w:sz w:val="20"/>
                <w:lang w:val="fr-CA"/>
              </w:rPr>
              <w:t>Le 18 octobre 2016</w:t>
            </w:r>
          </w:p>
          <w:p w:rsidR="00E85588" w:rsidRPr="00E85588" w:rsidRDefault="00E85588" w:rsidP="00E85588">
            <w:pPr>
              <w:jc w:val="both"/>
              <w:rPr>
                <w:sz w:val="20"/>
                <w:lang w:val="fr-CA"/>
              </w:rPr>
            </w:pPr>
            <w:r w:rsidRPr="00E85588">
              <w:rPr>
                <w:sz w:val="20"/>
                <w:lang w:val="fr-CA"/>
              </w:rPr>
              <w:t>Cour supérieure du Québec</w:t>
            </w:r>
          </w:p>
          <w:p w:rsidR="00E85588" w:rsidRPr="00E85588" w:rsidRDefault="00E85588" w:rsidP="00E85588">
            <w:pPr>
              <w:jc w:val="both"/>
              <w:rPr>
                <w:sz w:val="20"/>
              </w:rPr>
            </w:pPr>
            <w:r w:rsidRPr="00E85588">
              <w:rPr>
                <w:sz w:val="20"/>
              </w:rPr>
              <w:t xml:space="preserve">(La juge </w:t>
            </w:r>
            <w:proofErr w:type="spellStart"/>
            <w:r w:rsidRPr="00E85588">
              <w:rPr>
                <w:sz w:val="20"/>
              </w:rPr>
              <w:t>Corriveau</w:t>
            </w:r>
            <w:proofErr w:type="spellEnd"/>
            <w:r w:rsidRPr="00E85588">
              <w:rPr>
                <w:sz w:val="20"/>
              </w:rPr>
              <w:t>)</w:t>
            </w:r>
          </w:p>
          <w:p w:rsidR="00E85588" w:rsidRPr="00E85588" w:rsidRDefault="00851D79" w:rsidP="00E85588">
            <w:pPr>
              <w:jc w:val="both"/>
              <w:rPr>
                <w:sz w:val="20"/>
              </w:rPr>
            </w:pPr>
            <w:hyperlink r:id="rId19" w:history="1">
              <w:r w:rsidR="00E85588" w:rsidRPr="00E85588">
                <w:rPr>
                  <w:rStyle w:val="Hyperlink"/>
                  <w:sz w:val="20"/>
                </w:rPr>
                <w:t>2016 QCCS 5077</w:t>
              </w:r>
            </w:hyperlink>
          </w:p>
          <w:p w:rsidR="00E85588" w:rsidRPr="00E85588" w:rsidRDefault="00E85588" w:rsidP="00E85588">
            <w:pPr>
              <w:jc w:val="both"/>
              <w:rPr>
                <w:sz w:val="20"/>
              </w:rPr>
            </w:pPr>
          </w:p>
        </w:tc>
        <w:tc>
          <w:tcPr>
            <w:tcW w:w="243" w:type="pct"/>
          </w:tcPr>
          <w:p w:rsidR="00E85588" w:rsidRPr="00E85588" w:rsidRDefault="00E85588" w:rsidP="00E85588">
            <w:pPr>
              <w:jc w:val="both"/>
              <w:rPr>
                <w:sz w:val="20"/>
              </w:rPr>
            </w:pPr>
          </w:p>
        </w:tc>
        <w:tc>
          <w:tcPr>
            <w:tcW w:w="2330" w:type="pct"/>
          </w:tcPr>
          <w:p w:rsidR="00E85588" w:rsidRPr="00E85588" w:rsidRDefault="00E85588" w:rsidP="00E85588">
            <w:pPr>
              <w:jc w:val="both"/>
              <w:rPr>
                <w:sz w:val="20"/>
              </w:rPr>
            </w:pPr>
            <w:r w:rsidRPr="00E85588">
              <w:rPr>
                <w:sz w:val="20"/>
              </w:rPr>
              <w:t>Action en réclamation rejetée.</w:t>
            </w:r>
          </w:p>
          <w:p w:rsidR="00E85588" w:rsidRPr="00E85588" w:rsidRDefault="00E85588" w:rsidP="00E85588">
            <w:pPr>
              <w:jc w:val="both"/>
              <w:rPr>
                <w:sz w:val="20"/>
              </w:rPr>
            </w:pPr>
          </w:p>
        </w:tc>
      </w:tr>
      <w:tr w:rsidR="00E85588" w:rsidRPr="00E85588" w:rsidTr="00E95A6A">
        <w:tc>
          <w:tcPr>
            <w:tcW w:w="2427" w:type="pct"/>
            <w:gridSpan w:val="2"/>
          </w:tcPr>
          <w:p w:rsidR="00E85588" w:rsidRPr="00E85588" w:rsidRDefault="00E85588" w:rsidP="00E85588">
            <w:pPr>
              <w:jc w:val="both"/>
              <w:rPr>
                <w:sz w:val="20"/>
                <w:lang w:val="fr-CA"/>
              </w:rPr>
            </w:pPr>
            <w:r w:rsidRPr="00E85588">
              <w:rPr>
                <w:sz w:val="20"/>
                <w:lang w:val="fr-CA"/>
              </w:rPr>
              <w:t>Le 3 juin 2019</w:t>
            </w:r>
          </w:p>
          <w:p w:rsidR="00E85588" w:rsidRPr="00E85588" w:rsidRDefault="00E85588" w:rsidP="00E85588">
            <w:pPr>
              <w:jc w:val="both"/>
              <w:rPr>
                <w:sz w:val="20"/>
                <w:lang w:val="fr-CA"/>
              </w:rPr>
            </w:pPr>
            <w:r w:rsidRPr="00E85588">
              <w:rPr>
                <w:sz w:val="20"/>
                <w:lang w:val="fr-CA"/>
              </w:rPr>
              <w:t>Cour d’appel du Québec (Montréal)</w:t>
            </w:r>
          </w:p>
          <w:p w:rsidR="00E85588" w:rsidRPr="00E85588" w:rsidRDefault="00E85588" w:rsidP="00E85588">
            <w:pPr>
              <w:jc w:val="both"/>
              <w:rPr>
                <w:sz w:val="20"/>
                <w:lang w:val="fr-CA"/>
              </w:rPr>
            </w:pPr>
            <w:r w:rsidRPr="00E85588">
              <w:rPr>
                <w:sz w:val="20"/>
                <w:lang w:val="fr-CA"/>
              </w:rPr>
              <w:t xml:space="preserve">(Les juges </w:t>
            </w:r>
            <w:proofErr w:type="spellStart"/>
            <w:r w:rsidRPr="00E85588">
              <w:rPr>
                <w:sz w:val="20"/>
                <w:lang w:val="fr-CA"/>
              </w:rPr>
              <w:t>Schrager</w:t>
            </w:r>
            <w:proofErr w:type="spellEnd"/>
            <w:r w:rsidRPr="00E85588">
              <w:rPr>
                <w:sz w:val="20"/>
                <w:lang w:val="fr-CA"/>
              </w:rPr>
              <w:t>, Ruel et Hamilton)</w:t>
            </w:r>
          </w:p>
          <w:p w:rsidR="00E85588" w:rsidRPr="00E85588" w:rsidRDefault="00851D79" w:rsidP="00E85588">
            <w:pPr>
              <w:jc w:val="both"/>
              <w:rPr>
                <w:sz w:val="20"/>
              </w:rPr>
            </w:pPr>
            <w:hyperlink r:id="rId20" w:history="1">
              <w:r w:rsidR="00E85588" w:rsidRPr="00E85588">
                <w:rPr>
                  <w:rStyle w:val="Hyperlink"/>
                  <w:sz w:val="20"/>
                </w:rPr>
                <w:t>2019 QCCA 973</w:t>
              </w:r>
            </w:hyperlink>
          </w:p>
          <w:p w:rsidR="00E85588" w:rsidRPr="00E85588" w:rsidRDefault="00E85588" w:rsidP="00E85588">
            <w:pPr>
              <w:jc w:val="both"/>
              <w:rPr>
                <w:sz w:val="20"/>
              </w:rPr>
            </w:pPr>
          </w:p>
        </w:tc>
        <w:tc>
          <w:tcPr>
            <w:tcW w:w="243" w:type="pct"/>
          </w:tcPr>
          <w:p w:rsidR="00E85588" w:rsidRPr="00E85588" w:rsidRDefault="00E85588" w:rsidP="00E85588">
            <w:pPr>
              <w:jc w:val="both"/>
              <w:rPr>
                <w:sz w:val="20"/>
              </w:rPr>
            </w:pPr>
          </w:p>
        </w:tc>
        <w:tc>
          <w:tcPr>
            <w:tcW w:w="2330" w:type="pct"/>
          </w:tcPr>
          <w:p w:rsidR="00E85588" w:rsidRPr="00E85588" w:rsidRDefault="00E85588" w:rsidP="00E85588">
            <w:pPr>
              <w:jc w:val="both"/>
              <w:rPr>
                <w:sz w:val="20"/>
              </w:rPr>
            </w:pPr>
            <w:r w:rsidRPr="00E85588">
              <w:rPr>
                <w:sz w:val="20"/>
              </w:rPr>
              <w:t>Appel rejeté.</w:t>
            </w:r>
          </w:p>
          <w:p w:rsidR="00E85588" w:rsidRPr="00E85588" w:rsidRDefault="00E85588" w:rsidP="00E85588">
            <w:pPr>
              <w:jc w:val="both"/>
              <w:rPr>
                <w:sz w:val="20"/>
              </w:rPr>
            </w:pPr>
          </w:p>
        </w:tc>
      </w:tr>
      <w:tr w:rsidR="00E85588" w:rsidRPr="00E85588" w:rsidTr="00E95A6A">
        <w:tc>
          <w:tcPr>
            <w:tcW w:w="2427" w:type="pct"/>
            <w:gridSpan w:val="2"/>
          </w:tcPr>
          <w:p w:rsidR="00E85588" w:rsidRPr="00E85588" w:rsidRDefault="00E85588" w:rsidP="00E85588">
            <w:pPr>
              <w:jc w:val="both"/>
              <w:rPr>
                <w:sz w:val="20"/>
                <w:lang w:val="fr-CA"/>
              </w:rPr>
            </w:pPr>
            <w:r w:rsidRPr="00E85588">
              <w:rPr>
                <w:sz w:val="20"/>
                <w:lang w:val="fr-CA"/>
              </w:rPr>
              <w:t>Le 3 septembre 2019</w:t>
            </w:r>
          </w:p>
          <w:p w:rsidR="00E85588" w:rsidRPr="00E85588" w:rsidRDefault="00E85588" w:rsidP="00E85588">
            <w:pPr>
              <w:jc w:val="both"/>
              <w:rPr>
                <w:sz w:val="20"/>
                <w:lang w:val="fr-CA"/>
              </w:rPr>
            </w:pPr>
            <w:r w:rsidRPr="00E85588">
              <w:rPr>
                <w:sz w:val="20"/>
                <w:lang w:val="fr-CA"/>
              </w:rPr>
              <w:t>Cour suprême du Canada</w:t>
            </w:r>
          </w:p>
        </w:tc>
        <w:tc>
          <w:tcPr>
            <w:tcW w:w="243" w:type="pct"/>
          </w:tcPr>
          <w:p w:rsidR="00E85588" w:rsidRPr="00E85588" w:rsidRDefault="00E85588" w:rsidP="00E85588">
            <w:pPr>
              <w:jc w:val="both"/>
              <w:rPr>
                <w:sz w:val="20"/>
                <w:lang w:val="fr-CA"/>
              </w:rPr>
            </w:pPr>
          </w:p>
        </w:tc>
        <w:tc>
          <w:tcPr>
            <w:tcW w:w="2330" w:type="pct"/>
          </w:tcPr>
          <w:p w:rsidR="00E85588" w:rsidRPr="00E85588" w:rsidRDefault="00E85588" w:rsidP="00E85588">
            <w:pPr>
              <w:jc w:val="both"/>
              <w:rPr>
                <w:sz w:val="20"/>
              </w:rPr>
            </w:pPr>
            <w:r w:rsidRPr="00E85588">
              <w:rPr>
                <w:sz w:val="20"/>
              </w:rPr>
              <w:t>Demande d'autorisation d'appel déposée.</w:t>
            </w:r>
          </w:p>
          <w:p w:rsidR="00E85588" w:rsidRPr="00E85588" w:rsidRDefault="00E85588" w:rsidP="00E85588">
            <w:pPr>
              <w:jc w:val="both"/>
              <w:rPr>
                <w:sz w:val="20"/>
              </w:rPr>
            </w:pPr>
          </w:p>
        </w:tc>
      </w:tr>
    </w:tbl>
    <w:p w:rsidR="00E85588" w:rsidRPr="00E85588" w:rsidRDefault="00E85588" w:rsidP="00E85588">
      <w:pPr>
        <w:jc w:val="both"/>
        <w:rPr>
          <w:sz w:val="20"/>
        </w:rPr>
      </w:pPr>
    </w:p>
    <w:p w:rsidR="00E85588" w:rsidRPr="00E85588" w:rsidRDefault="00851D79" w:rsidP="00E85588">
      <w:pPr>
        <w:ind w:left="142" w:hanging="142"/>
        <w:jc w:val="both"/>
        <w:rPr>
          <w:sz w:val="20"/>
          <w:lang w:val="fr-CA"/>
        </w:rPr>
      </w:pPr>
      <w:r>
        <w:rPr>
          <w:sz w:val="20"/>
        </w:rPr>
        <w:pict>
          <v:rect id="_x0000_i1034" style="width:2in;height:1pt" o:hrpct="0" o:hralign="center" o:hrstd="t" o:hrnoshade="t" o:hr="t" fillcolor="black [3213]" stroked="f"/>
        </w:pict>
      </w:r>
    </w:p>
    <w:p w:rsidR="00E85588" w:rsidRPr="00E85588" w:rsidRDefault="00E85588" w:rsidP="00E8558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5588" w:rsidRPr="00E85588" w:rsidTr="00E95A6A">
        <w:tc>
          <w:tcPr>
            <w:tcW w:w="543" w:type="pct"/>
          </w:tcPr>
          <w:p w:rsidR="00E85588" w:rsidRPr="00E85588" w:rsidRDefault="00E85588" w:rsidP="00E85588">
            <w:pPr>
              <w:jc w:val="both"/>
              <w:rPr>
                <w:sz w:val="20"/>
                <w:lang w:val="en-CA"/>
              </w:rPr>
            </w:pPr>
            <w:r w:rsidRPr="00E85588">
              <w:rPr>
                <w:rStyle w:val="SCCFileNumberChar"/>
                <w:sz w:val="20"/>
                <w:szCs w:val="20"/>
              </w:rPr>
              <w:t>38709</w:t>
            </w:r>
          </w:p>
        </w:tc>
        <w:tc>
          <w:tcPr>
            <w:tcW w:w="4457" w:type="pct"/>
            <w:gridSpan w:val="3"/>
          </w:tcPr>
          <w:p w:rsidR="00E85588" w:rsidRPr="00C57B64" w:rsidRDefault="00E85588" w:rsidP="00E85588">
            <w:pPr>
              <w:pStyle w:val="SCCLsocParty"/>
              <w:jc w:val="both"/>
              <w:rPr>
                <w:b/>
                <w:sz w:val="20"/>
                <w:szCs w:val="20"/>
              </w:rPr>
            </w:pPr>
            <w:r w:rsidRPr="00C57B64">
              <w:rPr>
                <w:b/>
                <w:sz w:val="20"/>
                <w:szCs w:val="20"/>
              </w:rPr>
              <w:t xml:space="preserve">Transport en commun </w:t>
            </w:r>
            <w:r w:rsidR="004C1C4F">
              <w:rPr>
                <w:b/>
                <w:sz w:val="20"/>
                <w:szCs w:val="20"/>
              </w:rPr>
              <w:t>L</w:t>
            </w:r>
            <w:r w:rsidRPr="00C57B64">
              <w:rPr>
                <w:b/>
                <w:sz w:val="20"/>
                <w:szCs w:val="20"/>
              </w:rPr>
              <w:t>a Québécoise inc. v. Réseau de transport métropolitain, Transdev Québec inc. and Pascal Charbonneau</w:t>
            </w:r>
          </w:p>
          <w:p w:rsidR="00E85588" w:rsidRPr="00E85588" w:rsidRDefault="00E85588" w:rsidP="00E85588">
            <w:pPr>
              <w:jc w:val="both"/>
              <w:rPr>
                <w:sz w:val="20"/>
                <w:lang w:val="en-CA"/>
              </w:rPr>
            </w:pPr>
            <w:r w:rsidRPr="00E85588">
              <w:rPr>
                <w:sz w:val="20"/>
                <w:lang w:val="en-CA"/>
              </w:rPr>
              <w:lastRenderedPageBreak/>
              <w:t>(Que.) (Civil) (By Leave)</w:t>
            </w:r>
          </w:p>
        </w:tc>
      </w:tr>
      <w:tr w:rsidR="00E85588" w:rsidRPr="00E85588" w:rsidTr="00E95A6A">
        <w:tc>
          <w:tcPr>
            <w:tcW w:w="5000" w:type="pct"/>
            <w:gridSpan w:val="4"/>
          </w:tcPr>
          <w:p w:rsidR="00E85588" w:rsidRPr="00E85588" w:rsidRDefault="00E85588" w:rsidP="00E85588">
            <w:pPr>
              <w:jc w:val="both"/>
              <w:rPr>
                <w:sz w:val="20"/>
                <w:lang w:val="en-CA"/>
              </w:rPr>
            </w:pPr>
            <w:r w:rsidRPr="00E85588">
              <w:rPr>
                <w:sz w:val="20"/>
                <w:lang w:val="en-CA"/>
              </w:rPr>
              <w:lastRenderedPageBreak/>
              <w:t xml:space="preserve">Civil procedure — Appeal — Appeal with leave or as of right — True purpose of proceedings — Contract awarded following call for tenders by legal person established in public interest — Action in nullity — Whether call for tenders of Réseau de transport métropolitain is contract and, if so, whether private law rules apply to it — Whether Superior Court judgments on annulment of contract to which public authority is party can be appealed as of right under art. 30 para. 1 of </w:t>
            </w:r>
            <w:r w:rsidRPr="00E85588">
              <w:rPr>
                <w:i/>
                <w:sz w:val="20"/>
                <w:lang w:val="en-CA"/>
              </w:rPr>
              <w:t>Code of Civil Procedure</w:t>
            </w:r>
            <w:r w:rsidRPr="00E85588">
              <w:rPr>
                <w:rFonts w:ascii="inherit" w:hAnsi="inherit"/>
                <w:color w:val="212529"/>
                <w:sz w:val="20"/>
                <w:lang w:val="en-CA"/>
              </w:rPr>
              <w:t xml:space="preserve"> </w:t>
            </w:r>
            <w:r w:rsidRPr="00E85588">
              <w:rPr>
                <w:sz w:val="20"/>
                <w:lang w:val="en-CA"/>
              </w:rPr>
              <w:t xml:space="preserve">— </w:t>
            </w:r>
            <w:r w:rsidRPr="00E85588">
              <w:rPr>
                <w:i/>
                <w:sz w:val="20"/>
                <w:lang w:val="en-CA"/>
              </w:rPr>
              <w:t>Code of Civil Procedure</w:t>
            </w:r>
            <w:r w:rsidRPr="00E85588">
              <w:rPr>
                <w:sz w:val="20"/>
                <w:lang w:val="en-CA"/>
              </w:rPr>
              <w:t>, CQ</w:t>
            </w:r>
            <w:r w:rsidRPr="00E85588">
              <w:rPr>
                <w:rFonts w:ascii="inherit" w:hAnsi="inherit"/>
                <w:color w:val="212529"/>
                <w:sz w:val="20"/>
                <w:lang w:val="en-CA"/>
              </w:rPr>
              <w:t>LR, c. C</w:t>
            </w:r>
            <w:r w:rsidRPr="00E85588">
              <w:rPr>
                <w:rFonts w:ascii="inherit" w:hAnsi="inherit"/>
                <w:color w:val="212529"/>
                <w:sz w:val="20"/>
                <w:lang w:val="en-CA"/>
              </w:rPr>
              <w:noBreakHyphen/>
              <w:t xml:space="preserve">25.01, </w:t>
            </w:r>
            <w:r w:rsidRPr="00E85588">
              <w:rPr>
                <w:sz w:val="20"/>
                <w:lang w:val="en-CA"/>
              </w:rPr>
              <w:t>arts. 30, 34 and 529.</w:t>
            </w:r>
          </w:p>
        </w:tc>
      </w:tr>
      <w:tr w:rsidR="00E85588" w:rsidRPr="00E85588" w:rsidTr="00E95A6A">
        <w:tc>
          <w:tcPr>
            <w:tcW w:w="5000" w:type="pct"/>
            <w:gridSpan w:val="4"/>
          </w:tcPr>
          <w:p w:rsidR="00E85588" w:rsidRPr="00E85588" w:rsidRDefault="00E85588" w:rsidP="00E85588">
            <w:pPr>
              <w:jc w:val="both"/>
              <w:rPr>
                <w:sz w:val="20"/>
                <w:lang w:val="en-CA"/>
              </w:rPr>
            </w:pPr>
          </w:p>
        </w:tc>
      </w:tr>
      <w:tr w:rsidR="00E85588" w:rsidRPr="00E85588" w:rsidTr="00E95A6A">
        <w:tc>
          <w:tcPr>
            <w:tcW w:w="5000" w:type="pct"/>
            <w:gridSpan w:val="4"/>
          </w:tcPr>
          <w:p w:rsidR="00E85588" w:rsidRPr="00E85588" w:rsidRDefault="00E85588" w:rsidP="00E85588">
            <w:pPr>
              <w:jc w:val="both"/>
              <w:rPr>
                <w:sz w:val="20"/>
                <w:lang w:val="en-CA"/>
              </w:rPr>
            </w:pPr>
            <w:r w:rsidRPr="00E85588">
              <w:rPr>
                <w:sz w:val="20"/>
                <w:lang w:val="en-CA"/>
              </w:rPr>
              <w:t xml:space="preserve">On March 23, 2018, the respondent Réseau de transport métropolitain (RTM), a legal person established in the public interest that </w:t>
            </w:r>
            <w:r w:rsidRPr="00E85588">
              <w:rPr>
                <w:sz w:val="20"/>
                <w:lang w:val="en"/>
              </w:rPr>
              <w:t xml:space="preserve">provides shared transportation services in the territory of the municipalities of greater </w:t>
            </w:r>
            <w:r w:rsidRPr="00E85588">
              <w:rPr>
                <w:sz w:val="20"/>
                <w:lang w:val="en-CA"/>
              </w:rPr>
              <w:t xml:space="preserve">Montréal, issued a public call for tenders. Its purpose in doing so was to identify a </w:t>
            </w:r>
            <w:proofErr w:type="gramStart"/>
            <w:r w:rsidRPr="00E85588">
              <w:rPr>
                <w:sz w:val="20"/>
                <w:lang w:val="en-CA"/>
              </w:rPr>
              <w:t>bus transportation service provider</w:t>
            </w:r>
            <w:proofErr w:type="gramEnd"/>
            <w:r w:rsidRPr="00E85588">
              <w:rPr>
                <w:sz w:val="20"/>
                <w:lang w:val="en-CA"/>
              </w:rPr>
              <w:t xml:space="preserve"> for the Le Richelain sector to serve the municipalities of Candiac, La Prairie and Saint</w:t>
            </w:r>
            <w:r w:rsidRPr="00E85588">
              <w:rPr>
                <w:sz w:val="20"/>
                <w:lang w:val="en-CA"/>
              </w:rPr>
              <w:noBreakHyphen/>
              <w:t xml:space="preserve">Philippe. </w:t>
            </w:r>
            <w:r w:rsidRPr="00E85588">
              <w:rPr>
                <w:sz w:val="20"/>
                <w:lang w:val="fr-CA"/>
              </w:rPr>
              <w:t xml:space="preserve">The applicant, Transport en commun La Québécoise inc. (La Québécoise), submitted a </w:t>
            </w:r>
            <w:proofErr w:type="spellStart"/>
            <w:r w:rsidRPr="00E85588">
              <w:rPr>
                <w:sz w:val="20"/>
                <w:lang w:val="fr-CA"/>
              </w:rPr>
              <w:t>bid</w:t>
            </w:r>
            <w:proofErr w:type="spellEnd"/>
            <w:r w:rsidRPr="00E85588">
              <w:rPr>
                <w:sz w:val="20"/>
                <w:lang w:val="fr-CA"/>
              </w:rPr>
              <w:t xml:space="preserve"> on May 18, 2018. </w:t>
            </w:r>
            <w:r w:rsidRPr="00E85588">
              <w:rPr>
                <w:sz w:val="20"/>
                <w:lang w:val="en-CA"/>
              </w:rPr>
              <w:t xml:space="preserve">On May 24, 2018, the RTM issued a notice to the effect that the bid of the respondent Transdev Québec inc. (Transdev) had been accepted because it had the lowest price. On June 21, 2018, the RTM’s board of directors passed a resolution authorizing the RTM to enter into the contract with Transdev on the condition that, within seven days of the date of the award, it receive a vehicle use plan that satisfied the requirements of the tender documents as amended on April 9, 2018. On July 4, 2018, the RTM sent the award notice to Transdev, and Transdev submitted its vehicle use plan on July 10 and 11, 2018. On July 23, 2018, the RTM issued a notice of technical compliance for Transdev’s bid. The contract </w:t>
            </w:r>
            <w:proofErr w:type="gramStart"/>
            <w:r w:rsidRPr="00E85588">
              <w:rPr>
                <w:sz w:val="20"/>
                <w:lang w:val="en-CA"/>
              </w:rPr>
              <w:t>was awarded</w:t>
            </w:r>
            <w:proofErr w:type="gramEnd"/>
            <w:r w:rsidRPr="00E85588">
              <w:rPr>
                <w:sz w:val="20"/>
                <w:lang w:val="en-CA"/>
              </w:rPr>
              <w:t xml:space="preserve"> to Transdev on October 22, 2018 and took effect on January 1, 2019. In parallel with these events, in June 2018, La Québécoise filed an application — subsequently re</w:t>
            </w:r>
            <w:r w:rsidRPr="00E85588">
              <w:rPr>
                <w:sz w:val="20"/>
                <w:lang w:val="en-CA"/>
              </w:rPr>
              <w:noBreakHyphen/>
              <w:t>amended — in the Superior Court for a declaration that the call for tenders was null and an order annulling every resolution passed by RTM concerning the call for tenders and awarding the contract to Transdev. The Superior Court dismissed La Québécoise’s application. The Court of Appeal granted motions by Transdev and RTM to dismiss the appeal on the basis that La Québécoise should have applied for leave to appeal the Superior Court’s decision, and it dismissed La Québécoise’s appeal.</w:t>
            </w:r>
          </w:p>
          <w:p w:rsidR="00E85588" w:rsidRPr="00E85588" w:rsidRDefault="00E85588" w:rsidP="00E85588">
            <w:pPr>
              <w:jc w:val="both"/>
              <w:rPr>
                <w:sz w:val="20"/>
                <w:lang w:val="en-CA"/>
              </w:rPr>
            </w:pPr>
          </w:p>
        </w:tc>
      </w:tr>
      <w:tr w:rsidR="00E85588" w:rsidRPr="00E85588" w:rsidTr="00E95A6A">
        <w:tc>
          <w:tcPr>
            <w:tcW w:w="2427" w:type="pct"/>
            <w:gridSpan w:val="2"/>
          </w:tcPr>
          <w:p w:rsidR="00E85588" w:rsidRPr="00E85588" w:rsidRDefault="00E85588" w:rsidP="00E85588">
            <w:pPr>
              <w:jc w:val="both"/>
              <w:rPr>
                <w:sz w:val="20"/>
                <w:lang w:val="en-CA"/>
              </w:rPr>
            </w:pPr>
            <w:r w:rsidRPr="00E85588">
              <w:rPr>
                <w:sz w:val="20"/>
                <w:lang w:val="en-CA"/>
              </w:rPr>
              <w:t>December 21, 2018</w:t>
            </w:r>
          </w:p>
          <w:p w:rsidR="00E85588" w:rsidRPr="00E85588" w:rsidRDefault="00E85588" w:rsidP="00E85588">
            <w:pPr>
              <w:jc w:val="both"/>
              <w:rPr>
                <w:sz w:val="20"/>
                <w:lang w:val="en-CA"/>
              </w:rPr>
            </w:pPr>
            <w:r w:rsidRPr="00E85588">
              <w:rPr>
                <w:sz w:val="20"/>
                <w:lang w:val="en-CA"/>
              </w:rPr>
              <w:t>Quebec Superior Court</w:t>
            </w:r>
          </w:p>
          <w:p w:rsidR="00E85588" w:rsidRPr="00E85588" w:rsidRDefault="00E85588" w:rsidP="00E85588">
            <w:pPr>
              <w:jc w:val="both"/>
              <w:rPr>
                <w:sz w:val="20"/>
                <w:lang w:val="en-CA"/>
              </w:rPr>
            </w:pPr>
            <w:r w:rsidRPr="00E85588">
              <w:rPr>
                <w:sz w:val="20"/>
                <w:lang w:val="en-CA"/>
              </w:rPr>
              <w:t>(Bisson J.)</w:t>
            </w:r>
          </w:p>
          <w:p w:rsidR="00E85588" w:rsidRPr="00E85588" w:rsidRDefault="00851D79" w:rsidP="00E85588">
            <w:pPr>
              <w:jc w:val="both"/>
              <w:rPr>
                <w:sz w:val="20"/>
                <w:lang w:val="en-CA"/>
              </w:rPr>
            </w:pPr>
            <w:hyperlink r:id="rId21" w:history="1">
              <w:r w:rsidR="00E85588" w:rsidRPr="00E85588">
                <w:rPr>
                  <w:rStyle w:val="Hyperlink"/>
                  <w:sz w:val="20"/>
                  <w:lang w:val="en-CA"/>
                </w:rPr>
                <w:t>2018 QCCS 5545</w:t>
              </w:r>
            </w:hyperlink>
          </w:p>
          <w:p w:rsidR="00E85588" w:rsidRPr="00E85588" w:rsidRDefault="00E85588" w:rsidP="00E85588">
            <w:pPr>
              <w:jc w:val="both"/>
              <w:rPr>
                <w:sz w:val="20"/>
                <w:lang w:val="en-CA"/>
              </w:rPr>
            </w:pPr>
          </w:p>
        </w:tc>
        <w:tc>
          <w:tcPr>
            <w:tcW w:w="243" w:type="pct"/>
          </w:tcPr>
          <w:p w:rsidR="00E85588" w:rsidRPr="00E85588" w:rsidRDefault="00E85588" w:rsidP="00E85588">
            <w:pPr>
              <w:jc w:val="both"/>
              <w:rPr>
                <w:sz w:val="20"/>
                <w:lang w:val="en-CA"/>
              </w:rPr>
            </w:pPr>
          </w:p>
        </w:tc>
        <w:tc>
          <w:tcPr>
            <w:tcW w:w="2330" w:type="pct"/>
          </w:tcPr>
          <w:p w:rsidR="00E85588" w:rsidRPr="00E85588" w:rsidRDefault="00E85588" w:rsidP="00E85588">
            <w:pPr>
              <w:jc w:val="both"/>
              <w:rPr>
                <w:sz w:val="20"/>
                <w:lang w:val="en-CA"/>
              </w:rPr>
            </w:pPr>
            <w:r w:rsidRPr="00E85588">
              <w:rPr>
                <w:sz w:val="20"/>
                <w:lang w:val="en-CA"/>
              </w:rPr>
              <w:t>Re</w:t>
            </w:r>
            <w:r w:rsidRPr="00E85588">
              <w:rPr>
                <w:sz w:val="20"/>
                <w:lang w:val="en-CA"/>
              </w:rPr>
              <w:noBreakHyphen/>
              <w:t>amended originating application dismissed.</w:t>
            </w:r>
          </w:p>
          <w:p w:rsidR="00E85588" w:rsidRPr="00E85588" w:rsidRDefault="00E85588" w:rsidP="00E85588">
            <w:pPr>
              <w:jc w:val="both"/>
              <w:rPr>
                <w:sz w:val="20"/>
                <w:lang w:val="en-CA"/>
              </w:rPr>
            </w:pPr>
          </w:p>
        </w:tc>
      </w:tr>
      <w:tr w:rsidR="00E85588" w:rsidRPr="00E85588" w:rsidTr="00E95A6A">
        <w:tc>
          <w:tcPr>
            <w:tcW w:w="2427" w:type="pct"/>
            <w:gridSpan w:val="2"/>
          </w:tcPr>
          <w:p w:rsidR="00E85588" w:rsidRPr="00E85588" w:rsidRDefault="00E85588" w:rsidP="00E85588">
            <w:pPr>
              <w:jc w:val="both"/>
              <w:rPr>
                <w:sz w:val="20"/>
                <w:lang w:val="en-CA"/>
              </w:rPr>
            </w:pPr>
            <w:r w:rsidRPr="00E85588">
              <w:rPr>
                <w:sz w:val="20"/>
                <w:lang w:val="en-CA"/>
              </w:rPr>
              <w:t>April 29, 2019</w:t>
            </w:r>
          </w:p>
          <w:p w:rsidR="00E85588" w:rsidRPr="00E85588" w:rsidRDefault="00E85588" w:rsidP="00E85588">
            <w:pPr>
              <w:jc w:val="both"/>
              <w:rPr>
                <w:sz w:val="20"/>
                <w:lang w:val="en-CA"/>
              </w:rPr>
            </w:pPr>
            <w:r w:rsidRPr="00E85588">
              <w:rPr>
                <w:sz w:val="20"/>
                <w:lang w:val="en-CA"/>
              </w:rPr>
              <w:t>Quebec Court of Appeal (Montréal)</w:t>
            </w:r>
          </w:p>
          <w:p w:rsidR="00E85588" w:rsidRPr="00E85588" w:rsidRDefault="00E85588" w:rsidP="00E85588">
            <w:pPr>
              <w:jc w:val="both"/>
              <w:rPr>
                <w:sz w:val="20"/>
                <w:lang w:val="en-CA"/>
              </w:rPr>
            </w:pPr>
            <w:r w:rsidRPr="00E85588">
              <w:rPr>
                <w:sz w:val="20"/>
                <w:lang w:val="en-CA"/>
              </w:rPr>
              <w:t>(Chamberland, Gagné and Hamilton JJ.A.)</w:t>
            </w:r>
          </w:p>
          <w:p w:rsidR="00E85588" w:rsidRPr="00E85588" w:rsidRDefault="00851D79" w:rsidP="00E85588">
            <w:pPr>
              <w:jc w:val="both"/>
              <w:rPr>
                <w:rStyle w:val="Hyperlink"/>
                <w:sz w:val="20"/>
                <w:lang w:val="en-CA"/>
              </w:rPr>
            </w:pPr>
            <w:hyperlink r:id="rId22" w:history="1">
              <w:r w:rsidR="00E85588" w:rsidRPr="00E85588">
                <w:rPr>
                  <w:rStyle w:val="Hyperlink"/>
                  <w:sz w:val="20"/>
                  <w:lang w:val="en-CA"/>
                </w:rPr>
                <w:t>2019 QCCA 752</w:t>
              </w:r>
            </w:hyperlink>
          </w:p>
          <w:p w:rsidR="00E85588" w:rsidRPr="00E85588" w:rsidRDefault="00E85588" w:rsidP="00E85588">
            <w:pPr>
              <w:jc w:val="both"/>
              <w:rPr>
                <w:sz w:val="20"/>
                <w:lang w:val="en-CA"/>
              </w:rPr>
            </w:pPr>
          </w:p>
        </w:tc>
        <w:tc>
          <w:tcPr>
            <w:tcW w:w="243" w:type="pct"/>
          </w:tcPr>
          <w:p w:rsidR="00E85588" w:rsidRPr="00E85588" w:rsidRDefault="00E85588" w:rsidP="00E85588">
            <w:pPr>
              <w:jc w:val="both"/>
              <w:rPr>
                <w:sz w:val="20"/>
                <w:lang w:val="en-CA"/>
              </w:rPr>
            </w:pPr>
          </w:p>
        </w:tc>
        <w:tc>
          <w:tcPr>
            <w:tcW w:w="2330" w:type="pct"/>
          </w:tcPr>
          <w:p w:rsidR="00E85588" w:rsidRPr="00E85588" w:rsidRDefault="00E85588" w:rsidP="00E85588">
            <w:pPr>
              <w:jc w:val="both"/>
              <w:rPr>
                <w:sz w:val="20"/>
                <w:lang w:val="en-CA"/>
              </w:rPr>
            </w:pPr>
            <w:r w:rsidRPr="00E85588">
              <w:rPr>
                <w:sz w:val="20"/>
                <w:lang w:val="en-CA"/>
              </w:rPr>
              <w:t>Motions to dismiss appeal granted, and appeal dismissed.</w:t>
            </w:r>
          </w:p>
          <w:p w:rsidR="00E85588" w:rsidRPr="00E85588" w:rsidRDefault="00E85588" w:rsidP="00E85588">
            <w:pPr>
              <w:jc w:val="both"/>
              <w:rPr>
                <w:sz w:val="20"/>
                <w:lang w:val="en-CA"/>
              </w:rPr>
            </w:pPr>
          </w:p>
        </w:tc>
      </w:tr>
      <w:tr w:rsidR="00E85588" w:rsidRPr="00E85588" w:rsidTr="00E95A6A">
        <w:tc>
          <w:tcPr>
            <w:tcW w:w="2427" w:type="pct"/>
            <w:gridSpan w:val="2"/>
          </w:tcPr>
          <w:p w:rsidR="00E85588" w:rsidRPr="00E85588" w:rsidRDefault="00E85588" w:rsidP="00E85588">
            <w:pPr>
              <w:jc w:val="both"/>
              <w:rPr>
                <w:sz w:val="20"/>
                <w:lang w:val="en-CA"/>
              </w:rPr>
            </w:pPr>
            <w:r w:rsidRPr="00E85588">
              <w:rPr>
                <w:sz w:val="20"/>
                <w:lang w:val="en-CA"/>
              </w:rPr>
              <w:t>June 28, 2019</w:t>
            </w:r>
          </w:p>
          <w:p w:rsidR="00E85588" w:rsidRPr="00E85588" w:rsidRDefault="00E85588" w:rsidP="00E85588">
            <w:pPr>
              <w:jc w:val="both"/>
              <w:rPr>
                <w:sz w:val="20"/>
                <w:lang w:val="en-CA"/>
              </w:rPr>
            </w:pPr>
            <w:r w:rsidRPr="00E85588">
              <w:rPr>
                <w:sz w:val="20"/>
                <w:lang w:val="en-CA"/>
              </w:rPr>
              <w:t>Supreme Court of Canada</w:t>
            </w:r>
          </w:p>
        </w:tc>
        <w:tc>
          <w:tcPr>
            <w:tcW w:w="243" w:type="pct"/>
          </w:tcPr>
          <w:p w:rsidR="00E85588" w:rsidRPr="00E85588" w:rsidRDefault="00E85588" w:rsidP="00E85588">
            <w:pPr>
              <w:jc w:val="both"/>
              <w:rPr>
                <w:sz w:val="20"/>
                <w:lang w:val="en-CA"/>
              </w:rPr>
            </w:pPr>
          </w:p>
        </w:tc>
        <w:tc>
          <w:tcPr>
            <w:tcW w:w="2330" w:type="pct"/>
          </w:tcPr>
          <w:p w:rsidR="00E85588" w:rsidRPr="00E85588" w:rsidRDefault="00E85588" w:rsidP="00E85588">
            <w:pPr>
              <w:jc w:val="both"/>
              <w:rPr>
                <w:sz w:val="20"/>
                <w:lang w:val="en-CA"/>
              </w:rPr>
            </w:pPr>
            <w:r w:rsidRPr="00E85588">
              <w:rPr>
                <w:sz w:val="20"/>
                <w:lang w:val="en-CA"/>
              </w:rPr>
              <w:t>Application for leave to appeal filed.</w:t>
            </w:r>
          </w:p>
          <w:p w:rsidR="00E85588" w:rsidRPr="00E85588" w:rsidRDefault="00E85588" w:rsidP="00E85588">
            <w:pPr>
              <w:jc w:val="both"/>
              <w:rPr>
                <w:sz w:val="20"/>
                <w:lang w:val="en-CA"/>
              </w:rPr>
            </w:pPr>
          </w:p>
        </w:tc>
      </w:tr>
    </w:tbl>
    <w:p w:rsidR="00E85588" w:rsidRPr="00E85588" w:rsidRDefault="00E85588" w:rsidP="00E85588">
      <w:pPr>
        <w:jc w:val="both"/>
        <w:rPr>
          <w:sz w:val="20"/>
          <w:lang w:val="en-CA"/>
        </w:rPr>
      </w:pPr>
    </w:p>
    <w:p w:rsidR="00E85588" w:rsidRPr="00E85588" w:rsidRDefault="00851D79" w:rsidP="00E85588">
      <w:pPr>
        <w:jc w:val="both"/>
        <w:rPr>
          <w:sz w:val="20"/>
          <w:lang w:val="en-CA"/>
        </w:rPr>
      </w:pPr>
      <w:r>
        <w:rPr>
          <w:sz w:val="20"/>
        </w:rPr>
        <w:pict>
          <v:rect id="_x0000_i1035" style="width:2in;height:1pt" o:hrpct="0" o:hralign="center" o:hrstd="t" o:hrnoshade="t" o:hr="t" fillcolor="black [3213]" stroked="f"/>
        </w:pict>
      </w:r>
    </w:p>
    <w:p w:rsidR="00E85588" w:rsidRPr="00E85588" w:rsidRDefault="00E85588" w:rsidP="00E8558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5588" w:rsidRPr="00E85588" w:rsidTr="00E95A6A">
        <w:tc>
          <w:tcPr>
            <w:tcW w:w="543" w:type="pct"/>
          </w:tcPr>
          <w:p w:rsidR="00E85588" w:rsidRPr="00E85588" w:rsidRDefault="00E85588" w:rsidP="00E85588">
            <w:pPr>
              <w:jc w:val="both"/>
              <w:rPr>
                <w:sz w:val="20"/>
              </w:rPr>
            </w:pPr>
            <w:r w:rsidRPr="00E85588">
              <w:rPr>
                <w:rStyle w:val="SCCFileNumberChar"/>
                <w:sz w:val="20"/>
                <w:szCs w:val="20"/>
              </w:rPr>
              <w:t>38709</w:t>
            </w:r>
          </w:p>
        </w:tc>
        <w:tc>
          <w:tcPr>
            <w:tcW w:w="4457" w:type="pct"/>
            <w:gridSpan w:val="3"/>
          </w:tcPr>
          <w:p w:rsidR="00E85588" w:rsidRPr="00E85588" w:rsidRDefault="00E85588" w:rsidP="00E85588">
            <w:pPr>
              <w:pStyle w:val="SCCLsocParty"/>
              <w:jc w:val="both"/>
              <w:rPr>
                <w:b/>
                <w:sz w:val="20"/>
                <w:szCs w:val="20"/>
              </w:rPr>
            </w:pPr>
            <w:r w:rsidRPr="00E85588">
              <w:rPr>
                <w:b/>
                <w:sz w:val="20"/>
                <w:szCs w:val="20"/>
              </w:rPr>
              <w:t xml:space="preserve">Transport en commun </w:t>
            </w:r>
            <w:r w:rsidR="001B776A">
              <w:rPr>
                <w:b/>
                <w:sz w:val="20"/>
                <w:szCs w:val="20"/>
              </w:rPr>
              <w:t>L</w:t>
            </w:r>
            <w:r w:rsidRPr="00E85588">
              <w:rPr>
                <w:b/>
                <w:sz w:val="20"/>
                <w:szCs w:val="20"/>
              </w:rPr>
              <w:t>a Québécoise inc. c. Réseau de transport métropolitain, Transdev Québec inc. et Pascal Charbonneau</w:t>
            </w:r>
          </w:p>
          <w:p w:rsidR="00E85588" w:rsidRPr="00E85588" w:rsidRDefault="00E85588" w:rsidP="00E85588">
            <w:pPr>
              <w:jc w:val="both"/>
              <w:rPr>
                <w:sz w:val="20"/>
              </w:rPr>
            </w:pPr>
            <w:r w:rsidRPr="00E85588">
              <w:rPr>
                <w:sz w:val="20"/>
              </w:rPr>
              <w:t>(Qc) (Civile) (Autorisation)</w:t>
            </w:r>
          </w:p>
        </w:tc>
      </w:tr>
      <w:tr w:rsidR="00E85588" w:rsidRPr="0084608C" w:rsidTr="00E95A6A">
        <w:tc>
          <w:tcPr>
            <w:tcW w:w="5000" w:type="pct"/>
            <w:gridSpan w:val="4"/>
          </w:tcPr>
          <w:p w:rsidR="00E85588" w:rsidRPr="00E85588" w:rsidRDefault="00E85588" w:rsidP="00E85588">
            <w:pPr>
              <w:jc w:val="both"/>
              <w:rPr>
                <w:sz w:val="20"/>
                <w:lang w:val="fr-CA"/>
              </w:rPr>
            </w:pPr>
            <w:r w:rsidRPr="00E85588">
              <w:rPr>
                <w:sz w:val="20"/>
                <w:lang w:val="fr-CA"/>
              </w:rPr>
              <w:t>Procédure civile — Appel — Appel sur permission ou de plein droit — Objet véritable du recours intenté — Octroi d’un contrat au terme d’un processus d’appel d’offres par une personne morale de droit public — Demande en nullité — L’appel d’offres du Réseau de transport métropolitain est</w:t>
            </w:r>
            <w:r w:rsidRPr="00E85588">
              <w:rPr>
                <w:sz w:val="20"/>
                <w:lang w:val="fr-CA"/>
              </w:rPr>
              <w:noBreakHyphen/>
              <w:t>il un contrat et, dans l’affirmative, les règles qui s’y appliquent sont</w:t>
            </w:r>
            <w:r w:rsidRPr="00E85588">
              <w:rPr>
                <w:sz w:val="20"/>
                <w:lang w:val="fr-CA"/>
              </w:rPr>
              <w:noBreakHyphen/>
              <w:t>elles celles du droit privé? — Les jugements de la Cour supérieure portant sur l’annulation d’un contrat auquel une autorité publique est partie sont</w:t>
            </w:r>
            <w:r w:rsidRPr="00E85588">
              <w:rPr>
                <w:sz w:val="20"/>
                <w:lang w:val="fr-CA"/>
              </w:rPr>
              <w:noBreakHyphen/>
              <w:t xml:space="preserve">ils sujets à un appel de plein droit en vertu de l’art. 30 al. 1 du </w:t>
            </w:r>
            <w:r w:rsidRPr="00E85588">
              <w:rPr>
                <w:i/>
                <w:sz w:val="20"/>
                <w:lang w:val="fr-CA"/>
              </w:rPr>
              <w:t>Code de procédure civile</w:t>
            </w:r>
            <w:r w:rsidRPr="00E85588">
              <w:rPr>
                <w:rFonts w:ascii="inherit" w:hAnsi="inherit"/>
                <w:color w:val="212529"/>
                <w:sz w:val="20"/>
                <w:lang w:val="fr-FR"/>
              </w:rPr>
              <w:t xml:space="preserve">? </w:t>
            </w:r>
            <w:r w:rsidRPr="00E85588">
              <w:rPr>
                <w:sz w:val="20"/>
                <w:lang w:val="fr-CA"/>
              </w:rPr>
              <w:t xml:space="preserve">— </w:t>
            </w:r>
            <w:r w:rsidRPr="00E85588">
              <w:rPr>
                <w:i/>
                <w:sz w:val="20"/>
                <w:lang w:val="fr-CA"/>
              </w:rPr>
              <w:t>Code de procédure civile</w:t>
            </w:r>
            <w:r w:rsidRPr="00E85588">
              <w:rPr>
                <w:sz w:val="20"/>
                <w:lang w:val="fr-CA"/>
              </w:rPr>
              <w:t xml:space="preserve">, </w:t>
            </w:r>
            <w:r w:rsidRPr="00E85588">
              <w:rPr>
                <w:rFonts w:ascii="inherit" w:hAnsi="inherit"/>
                <w:color w:val="212529"/>
                <w:sz w:val="20"/>
                <w:lang w:val="fr-FR"/>
              </w:rPr>
              <w:t>RLRQ c. C</w:t>
            </w:r>
            <w:r w:rsidRPr="00E85588">
              <w:rPr>
                <w:rFonts w:ascii="inherit" w:hAnsi="inherit"/>
                <w:color w:val="212529"/>
                <w:sz w:val="20"/>
                <w:lang w:val="fr-FR"/>
              </w:rPr>
              <w:noBreakHyphen/>
              <w:t xml:space="preserve">25.01, </w:t>
            </w:r>
            <w:r w:rsidRPr="00E85588">
              <w:rPr>
                <w:sz w:val="20"/>
                <w:lang w:val="fr-CA"/>
              </w:rPr>
              <w:t>art. 30, 34 et 529.</w:t>
            </w:r>
          </w:p>
        </w:tc>
      </w:tr>
      <w:tr w:rsidR="00E85588" w:rsidRPr="0084608C" w:rsidTr="00E95A6A">
        <w:tc>
          <w:tcPr>
            <w:tcW w:w="5000" w:type="pct"/>
            <w:gridSpan w:val="4"/>
          </w:tcPr>
          <w:p w:rsidR="00E85588" w:rsidRPr="00E85588" w:rsidRDefault="00E85588" w:rsidP="00E85588">
            <w:pPr>
              <w:jc w:val="both"/>
              <w:rPr>
                <w:sz w:val="20"/>
                <w:lang w:val="fr-CA"/>
              </w:rPr>
            </w:pPr>
          </w:p>
        </w:tc>
      </w:tr>
      <w:tr w:rsidR="00E85588" w:rsidRPr="0084608C" w:rsidTr="00E95A6A">
        <w:tc>
          <w:tcPr>
            <w:tcW w:w="5000" w:type="pct"/>
            <w:gridSpan w:val="4"/>
          </w:tcPr>
          <w:p w:rsidR="00E85588" w:rsidRPr="00E85588" w:rsidRDefault="00E85588" w:rsidP="00E85588">
            <w:pPr>
              <w:jc w:val="both"/>
              <w:rPr>
                <w:sz w:val="20"/>
                <w:lang w:val="fr-CA"/>
              </w:rPr>
            </w:pPr>
            <w:r w:rsidRPr="00E85588">
              <w:rPr>
                <w:sz w:val="20"/>
                <w:lang w:val="fr-CA"/>
              </w:rPr>
              <w:t xml:space="preserve">Le 23 mars 2018, l’intimé, le Réseau de transport métropolitain (RTM) une personne morale de droit public qui exploite les services de transport collectif sur les territoires des municipalités de la grande région de Montréal lance un appel d’offres publiques. Cet appel d’offres vise à identifier un fournisseur de services de transport par autobus pour le secteur Le </w:t>
            </w:r>
            <w:proofErr w:type="spellStart"/>
            <w:r w:rsidRPr="00E85588">
              <w:rPr>
                <w:sz w:val="20"/>
                <w:lang w:val="fr-CA"/>
              </w:rPr>
              <w:t>Richelain</w:t>
            </w:r>
            <w:proofErr w:type="spellEnd"/>
            <w:r w:rsidRPr="00E85588">
              <w:rPr>
                <w:sz w:val="20"/>
                <w:lang w:val="fr-CA"/>
              </w:rPr>
              <w:t xml:space="preserve"> qui dessert les municipalités de Candiac, La Prairie et Saint</w:t>
            </w:r>
            <w:r w:rsidRPr="00E85588">
              <w:rPr>
                <w:sz w:val="20"/>
                <w:lang w:val="fr-CA"/>
              </w:rPr>
              <w:noBreakHyphen/>
              <w:t xml:space="preserve">Philippe. La demanderesse, </w:t>
            </w:r>
            <w:r w:rsidRPr="00E85588">
              <w:rPr>
                <w:sz w:val="20"/>
                <w:lang w:val="fr-CA"/>
              </w:rPr>
              <w:lastRenderedPageBreak/>
              <w:t>Transport en commun La Québécoise inc. (La Québécoise) dépose sa soumission le 18 mai 2018. Le 24 mai 2018, le RTM émet un avis indiquant que la soumission déposée par l’intimée Transdev Québec inc. (Transdev) est retenue puisqu’elle comporte le prix le plus bas. Le 21 juin 2018, le conseil d’administration du RTM adopte une résolution autorisant le RTM à conclure avec Transdev le contrat conditionnellement à la réception dans les sept jours de la date de l’avis d’adjudication d’un plan d’affectation des véhicules conforme aux exigences des documents de l’appel d’offres qui ont été modifiés le 9 avril 2018. Le 4 juillet 2018, le RTM transmet à Transdev l’avis d’adjudication et Transdev dépose son plan d’affectation des véhicules les 10 et 11 juillet 2018. Le 23 juillet 2018, le RTM émet un avis confirmant que la soumission de Transdev est conforme sur le plan technique. Le contrat est octroyé à Transdev le 22 octobre 2018 pour entrer en vigueur le 1</w:t>
            </w:r>
            <w:r w:rsidRPr="00E85588">
              <w:rPr>
                <w:sz w:val="20"/>
                <w:vertAlign w:val="superscript"/>
                <w:lang w:val="fr-CA"/>
              </w:rPr>
              <w:t xml:space="preserve">er </w:t>
            </w:r>
            <w:r w:rsidRPr="00E85588">
              <w:rPr>
                <w:sz w:val="20"/>
                <w:lang w:val="fr-CA"/>
              </w:rPr>
              <w:t>janvier 2019. Parallèlement à ces événements, en juin 2018, La Québécoise a saisi la Cour supérieure d’une demande qui sera éventuellement remodifiée afin de faire déclarer nul l’appel d’offres et d’obtenir la nullité de toute résolution adoptée par le RTM en relation avec l’appel d’offres et accordant le contrat de Transdev. La Cour supérieure a rejeté la demande de La Québécoise. La Cour d’appel a accueilli les requêtes en rejet d’appel déposées par Transdev et RTM au motif que La Québécoise aurait dû demander la permission d’en appeler de la décision de la Cour supérieure et a rejeté l’appel de La Québécoise.</w:t>
            </w:r>
          </w:p>
          <w:p w:rsidR="00E85588" w:rsidRPr="00E85588" w:rsidRDefault="00E85588" w:rsidP="00E85588">
            <w:pPr>
              <w:jc w:val="both"/>
              <w:rPr>
                <w:sz w:val="20"/>
                <w:lang w:val="fr-CA"/>
              </w:rPr>
            </w:pPr>
          </w:p>
        </w:tc>
      </w:tr>
      <w:tr w:rsidR="00E85588" w:rsidRPr="0084608C" w:rsidTr="00E95A6A">
        <w:tc>
          <w:tcPr>
            <w:tcW w:w="2427" w:type="pct"/>
            <w:gridSpan w:val="2"/>
          </w:tcPr>
          <w:p w:rsidR="00E85588" w:rsidRPr="00E85588" w:rsidRDefault="00E85588" w:rsidP="00E85588">
            <w:pPr>
              <w:jc w:val="both"/>
              <w:rPr>
                <w:sz w:val="20"/>
                <w:lang w:val="fr-CA"/>
              </w:rPr>
            </w:pPr>
            <w:r w:rsidRPr="00E85588">
              <w:rPr>
                <w:sz w:val="20"/>
                <w:lang w:val="fr-CA"/>
              </w:rPr>
              <w:lastRenderedPageBreak/>
              <w:t>Le 21 décembre 2018</w:t>
            </w:r>
          </w:p>
          <w:p w:rsidR="00E85588" w:rsidRPr="00E85588" w:rsidRDefault="00E85588" w:rsidP="00E85588">
            <w:pPr>
              <w:jc w:val="both"/>
              <w:rPr>
                <w:sz w:val="20"/>
                <w:lang w:val="fr-CA"/>
              </w:rPr>
            </w:pPr>
            <w:r w:rsidRPr="00E85588">
              <w:rPr>
                <w:sz w:val="20"/>
                <w:lang w:val="fr-CA"/>
              </w:rPr>
              <w:t>Cour supérieure du Québec</w:t>
            </w:r>
          </w:p>
          <w:p w:rsidR="00E85588" w:rsidRPr="00E85588" w:rsidRDefault="00E85588" w:rsidP="00E85588">
            <w:pPr>
              <w:jc w:val="both"/>
              <w:rPr>
                <w:sz w:val="20"/>
              </w:rPr>
            </w:pPr>
            <w:r w:rsidRPr="00E85588">
              <w:rPr>
                <w:sz w:val="20"/>
              </w:rPr>
              <w:t>(Le juge Bisson)</w:t>
            </w:r>
          </w:p>
          <w:p w:rsidR="00E85588" w:rsidRPr="00E85588" w:rsidRDefault="00851D79" w:rsidP="00E85588">
            <w:pPr>
              <w:jc w:val="both"/>
              <w:rPr>
                <w:sz w:val="20"/>
              </w:rPr>
            </w:pPr>
            <w:hyperlink r:id="rId23" w:history="1">
              <w:r w:rsidR="00E85588" w:rsidRPr="00E85588">
                <w:rPr>
                  <w:rStyle w:val="Hyperlink"/>
                  <w:sz w:val="20"/>
                </w:rPr>
                <w:t>2018 QCCS 5545</w:t>
              </w:r>
            </w:hyperlink>
          </w:p>
          <w:p w:rsidR="00E85588" w:rsidRPr="00E85588" w:rsidRDefault="00E85588" w:rsidP="00E85588">
            <w:pPr>
              <w:jc w:val="both"/>
              <w:rPr>
                <w:sz w:val="20"/>
              </w:rPr>
            </w:pPr>
          </w:p>
        </w:tc>
        <w:tc>
          <w:tcPr>
            <w:tcW w:w="243" w:type="pct"/>
          </w:tcPr>
          <w:p w:rsidR="00E85588" w:rsidRPr="00E85588" w:rsidRDefault="00E85588" w:rsidP="00E85588">
            <w:pPr>
              <w:jc w:val="both"/>
              <w:rPr>
                <w:sz w:val="20"/>
              </w:rPr>
            </w:pPr>
          </w:p>
        </w:tc>
        <w:tc>
          <w:tcPr>
            <w:tcW w:w="2330" w:type="pct"/>
          </w:tcPr>
          <w:p w:rsidR="00E85588" w:rsidRPr="00E85588" w:rsidRDefault="00E85588" w:rsidP="00E85588">
            <w:pPr>
              <w:jc w:val="both"/>
              <w:rPr>
                <w:sz w:val="20"/>
                <w:lang w:val="fr-CA"/>
              </w:rPr>
            </w:pPr>
            <w:r w:rsidRPr="00E85588">
              <w:rPr>
                <w:sz w:val="20"/>
                <w:lang w:val="fr-CA"/>
              </w:rPr>
              <w:t>Demande introductive d’instance remodifiée rejetée.</w:t>
            </w:r>
          </w:p>
          <w:p w:rsidR="00E85588" w:rsidRPr="00E85588" w:rsidRDefault="00E85588" w:rsidP="00E85588">
            <w:pPr>
              <w:jc w:val="both"/>
              <w:rPr>
                <w:sz w:val="20"/>
                <w:lang w:val="fr-CA"/>
              </w:rPr>
            </w:pPr>
          </w:p>
        </w:tc>
      </w:tr>
      <w:tr w:rsidR="00E85588" w:rsidRPr="0084608C" w:rsidTr="00E95A6A">
        <w:tc>
          <w:tcPr>
            <w:tcW w:w="2427" w:type="pct"/>
            <w:gridSpan w:val="2"/>
          </w:tcPr>
          <w:p w:rsidR="00E85588" w:rsidRPr="00E85588" w:rsidRDefault="00E85588" w:rsidP="00E85588">
            <w:pPr>
              <w:jc w:val="both"/>
              <w:rPr>
                <w:sz w:val="20"/>
                <w:lang w:val="fr-CA"/>
              </w:rPr>
            </w:pPr>
            <w:r w:rsidRPr="00E85588">
              <w:rPr>
                <w:sz w:val="20"/>
                <w:lang w:val="fr-CA"/>
              </w:rPr>
              <w:t>Le 29 avril 2019</w:t>
            </w:r>
          </w:p>
          <w:p w:rsidR="00E85588" w:rsidRPr="00E85588" w:rsidRDefault="00E85588" w:rsidP="00E85588">
            <w:pPr>
              <w:jc w:val="both"/>
              <w:rPr>
                <w:sz w:val="20"/>
                <w:lang w:val="fr-CA"/>
              </w:rPr>
            </w:pPr>
            <w:r w:rsidRPr="00E85588">
              <w:rPr>
                <w:sz w:val="20"/>
                <w:lang w:val="fr-CA"/>
              </w:rPr>
              <w:t>Cour d’appel du Québec (Montréal)</w:t>
            </w:r>
          </w:p>
          <w:p w:rsidR="00E85588" w:rsidRPr="00E85588" w:rsidRDefault="00E85588" w:rsidP="00E85588">
            <w:pPr>
              <w:jc w:val="both"/>
              <w:rPr>
                <w:sz w:val="20"/>
                <w:lang w:val="fr-CA"/>
              </w:rPr>
            </w:pPr>
            <w:r w:rsidRPr="00E85588">
              <w:rPr>
                <w:sz w:val="20"/>
                <w:lang w:val="fr-CA"/>
              </w:rPr>
              <w:t>(Les juges Chamberland, Gagné et Hamilton)</w:t>
            </w:r>
          </w:p>
          <w:p w:rsidR="00E85588" w:rsidRPr="00E85588" w:rsidRDefault="00851D79" w:rsidP="00E85588">
            <w:pPr>
              <w:jc w:val="both"/>
              <w:rPr>
                <w:rStyle w:val="Hyperlink"/>
                <w:sz w:val="20"/>
              </w:rPr>
            </w:pPr>
            <w:hyperlink r:id="rId24" w:history="1">
              <w:r w:rsidR="00E85588" w:rsidRPr="00E85588">
                <w:rPr>
                  <w:rStyle w:val="Hyperlink"/>
                  <w:sz w:val="20"/>
                </w:rPr>
                <w:t>2019 QCCA 752</w:t>
              </w:r>
            </w:hyperlink>
          </w:p>
          <w:p w:rsidR="00E85588" w:rsidRPr="00E85588" w:rsidRDefault="00E85588" w:rsidP="00E85588">
            <w:pPr>
              <w:jc w:val="both"/>
              <w:rPr>
                <w:sz w:val="20"/>
              </w:rPr>
            </w:pPr>
          </w:p>
        </w:tc>
        <w:tc>
          <w:tcPr>
            <w:tcW w:w="243" w:type="pct"/>
          </w:tcPr>
          <w:p w:rsidR="00E85588" w:rsidRPr="00E85588" w:rsidRDefault="00E85588" w:rsidP="00E85588">
            <w:pPr>
              <w:jc w:val="both"/>
              <w:rPr>
                <w:sz w:val="20"/>
              </w:rPr>
            </w:pPr>
          </w:p>
        </w:tc>
        <w:tc>
          <w:tcPr>
            <w:tcW w:w="2330" w:type="pct"/>
          </w:tcPr>
          <w:p w:rsidR="00E85588" w:rsidRPr="00E85588" w:rsidRDefault="00E85588" w:rsidP="00E85588">
            <w:pPr>
              <w:jc w:val="both"/>
              <w:rPr>
                <w:sz w:val="20"/>
                <w:lang w:val="fr-CA"/>
              </w:rPr>
            </w:pPr>
            <w:r w:rsidRPr="00E85588">
              <w:rPr>
                <w:sz w:val="20"/>
                <w:lang w:val="fr-CA"/>
              </w:rPr>
              <w:t>Requêtes en rejet d’appel accueillies et appel rejeté.</w:t>
            </w:r>
          </w:p>
          <w:p w:rsidR="00E85588" w:rsidRPr="00E85588" w:rsidRDefault="00E85588" w:rsidP="00E85588">
            <w:pPr>
              <w:jc w:val="both"/>
              <w:rPr>
                <w:sz w:val="20"/>
                <w:lang w:val="fr-CA"/>
              </w:rPr>
            </w:pPr>
          </w:p>
        </w:tc>
      </w:tr>
      <w:tr w:rsidR="00E85588" w:rsidRPr="00E85588" w:rsidTr="00E95A6A">
        <w:tc>
          <w:tcPr>
            <w:tcW w:w="2427" w:type="pct"/>
            <w:gridSpan w:val="2"/>
          </w:tcPr>
          <w:p w:rsidR="00E85588" w:rsidRPr="00E85588" w:rsidRDefault="00E85588" w:rsidP="00E85588">
            <w:pPr>
              <w:jc w:val="both"/>
              <w:rPr>
                <w:sz w:val="20"/>
                <w:lang w:val="fr-CA"/>
              </w:rPr>
            </w:pPr>
            <w:r w:rsidRPr="00E85588">
              <w:rPr>
                <w:sz w:val="20"/>
                <w:lang w:val="fr-CA"/>
              </w:rPr>
              <w:t>Le 28 juin 2019</w:t>
            </w:r>
          </w:p>
          <w:p w:rsidR="00E85588" w:rsidRPr="00E85588" w:rsidRDefault="00E85588" w:rsidP="00E85588">
            <w:pPr>
              <w:jc w:val="both"/>
              <w:rPr>
                <w:sz w:val="20"/>
                <w:lang w:val="fr-CA"/>
              </w:rPr>
            </w:pPr>
            <w:r w:rsidRPr="00E85588">
              <w:rPr>
                <w:sz w:val="20"/>
                <w:lang w:val="fr-CA"/>
              </w:rPr>
              <w:t>Cour suprême du Canada</w:t>
            </w:r>
          </w:p>
        </w:tc>
        <w:tc>
          <w:tcPr>
            <w:tcW w:w="243" w:type="pct"/>
          </w:tcPr>
          <w:p w:rsidR="00E85588" w:rsidRPr="00E85588" w:rsidRDefault="00E85588" w:rsidP="00E85588">
            <w:pPr>
              <w:jc w:val="both"/>
              <w:rPr>
                <w:sz w:val="20"/>
                <w:lang w:val="fr-CA"/>
              </w:rPr>
            </w:pPr>
          </w:p>
        </w:tc>
        <w:tc>
          <w:tcPr>
            <w:tcW w:w="2330" w:type="pct"/>
          </w:tcPr>
          <w:p w:rsidR="00E85588" w:rsidRPr="00E85588" w:rsidRDefault="00E85588" w:rsidP="00E85588">
            <w:pPr>
              <w:jc w:val="both"/>
              <w:rPr>
                <w:sz w:val="20"/>
              </w:rPr>
            </w:pPr>
            <w:r w:rsidRPr="00E85588">
              <w:rPr>
                <w:sz w:val="20"/>
              </w:rPr>
              <w:t>Demande d'autorisation d'appel déposée.</w:t>
            </w:r>
          </w:p>
          <w:p w:rsidR="00E85588" w:rsidRPr="00E85588" w:rsidRDefault="00E85588" w:rsidP="00E85588">
            <w:pPr>
              <w:jc w:val="both"/>
              <w:rPr>
                <w:sz w:val="20"/>
              </w:rPr>
            </w:pPr>
          </w:p>
        </w:tc>
      </w:tr>
    </w:tbl>
    <w:p w:rsidR="00E85588" w:rsidRPr="00E85588" w:rsidRDefault="00E85588" w:rsidP="00E85588">
      <w:pPr>
        <w:ind w:left="142" w:hanging="142"/>
        <w:jc w:val="both"/>
        <w:rPr>
          <w:sz w:val="20"/>
          <w:lang w:val="fr-CA"/>
        </w:rPr>
      </w:pPr>
    </w:p>
    <w:p w:rsidR="00E85588" w:rsidRPr="00E85588" w:rsidRDefault="00851D79" w:rsidP="00E85588">
      <w:pPr>
        <w:ind w:left="142" w:hanging="142"/>
        <w:jc w:val="both"/>
        <w:rPr>
          <w:sz w:val="20"/>
          <w:lang w:val="fr-CA"/>
        </w:rPr>
      </w:pPr>
      <w:r>
        <w:rPr>
          <w:sz w:val="20"/>
        </w:rPr>
        <w:pict>
          <v:rect id="_x0000_i1036" style="width:2in;height:1pt" o:hrpct="0" o:hralign="center" o:hrstd="t" o:hrnoshade="t" o:hr="t" fillcolor="black [3213]" stroked="f"/>
        </w:pict>
      </w:r>
    </w:p>
    <w:p w:rsidR="00E85588" w:rsidRPr="00E85588" w:rsidRDefault="00E85588" w:rsidP="00E8558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5588" w:rsidRPr="00E85588" w:rsidTr="00E95A6A">
        <w:tc>
          <w:tcPr>
            <w:tcW w:w="543" w:type="pct"/>
          </w:tcPr>
          <w:p w:rsidR="00E85588" w:rsidRPr="00E85588" w:rsidRDefault="00E85588" w:rsidP="00E85588">
            <w:pPr>
              <w:jc w:val="both"/>
              <w:rPr>
                <w:sz w:val="20"/>
              </w:rPr>
            </w:pPr>
            <w:r w:rsidRPr="00E85588">
              <w:rPr>
                <w:rStyle w:val="SCCFileNumberChar"/>
                <w:sz w:val="20"/>
                <w:szCs w:val="20"/>
              </w:rPr>
              <w:t>38859</w:t>
            </w:r>
          </w:p>
        </w:tc>
        <w:tc>
          <w:tcPr>
            <w:tcW w:w="4457" w:type="pct"/>
            <w:gridSpan w:val="3"/>
          </w:tcPr>
          <w:p w:rsidR="00E85588" w:rsidRPr="00E85588" w:rsidRDefault="00E85588" w:rsidP="00E85588">
            <w:pPr>
              <w:pStyle w:val="SCCLsocParty"/>
              <w:jc w:val="both"/>
              <w:rPr>
                <w:b/>
                <w:sz w:val="20"/>
                <w:szCs w:val="20"/>
                <w:lang w:val="en-US"/>
              </w:rPr>
            </w:pPr>
            <w:r w:rsidRPr="00E85588">
              <w:rPr>
                <w:b/>
                <w:sz w:val="20"/>
                <w:szCs w:val="20"/>
                <w:lang w:val="en-US"/>
              </w:rPr>
              <w:t>F.J.N. v. J.K.</w:t>
            </w:r>
          </w:p>
          <w:p w:rsidR="00E85588" w:rsidRPr="00E85588" w:rsidRDefault="00E85588" w:rsidP="00E85588">
            <w:pPr>
              <w:jc w:val="both"/>
              <w:rPr>
                <w:sz w:val="20"/>
              </w:rPr>
            </w:pPr>
            <w:r w:rsidRPr="00E85588">
              <w:rPr>
                <w:sz w:val="20"/>
              </w:rPr>
              <w:t>(Alta.) (Civil) (By Leave)</w:t>
            </w:r>
          </w:p>
        </w:tc>
      </w:tr>
      <w:tr w:rsidR="00E85588" w:rsidRPr="00E85588" w:rsidTr="00E95A6A">
        <w:tc>
          <w:tcPr>
            <w:tcW w:w="5000" w:type="pct"/>
            <w:gridSpan w:val="4"/>
          </w:tcPr>
          <w:p w:rsidR="00E85588" w:rsidRPr="00E85588" w:rsidRDefault="00E85588" w:rsidP="00E85588">
            <w:pPr>
              <w:pStyle w:val="SCCBanSummary"/>
              <w:rPr>
                <w:sz w:val="20"/>
                <w:szCs w:val="20"/>
              </w:rPr>
            </w:pPr>
            <w:r w:rsidRPr="00E85588">
              <w:rPr>
                <w:sz w:val="20"/>
                <w:szCs w:val="20"/>
              </w:rPr>
              <w:t>(Publication ban in case) (Publication ban on party)</w:t>
            </w:r>
          </w:p>
          <w:p w:rsidR="00E85588" w:rsidRPr="00E85588" w:rsidRDefault="00E85588" w:rsidP="00E85588">
            <w:pPr>
              <w:jc w:val="both"/>
              <w:rPr>
                <w:sz w:val="20"/>
              </w:rPr>
            </w:pPr>
          </w:p>
          <w:p w:rsidR="00E85588" w:rsidRPr="00E85588" w:rsidRDefault="00E85588" w:rsidP="00E85588">
            <w:pPr>
              <w:jc w:val="both"/>
              <w:rPr>
                <w:sz w:val="20"/>
              </w:rPr>
            </w:pPr>
            <w:r w:rsidRPr="00E85588">
              <w:rPr>
                <w:sz w:val="20"/>
              </w:rPr>
              <w:t>Family law — Support — Child support — Extraordinary expenses — Court of Appeal disallowing several claims for extraordinary expenses for special-needs child — How can real needs of significantly handicapped children including those who will never live independently be protected and secured under the child support guidelines, both federal and provincial?</w:t>
            </w:r>
          </w:p>
          <w:p w:rsidR="00E85588" w:rsidRPr="00E85588" w:rsidRDefault="00E85588" w:rsidP="00E85588">
            <w:pPr>
              <w:jc w:val="both"/>
              <w:rPr>
                <w:sz w:val="20"/>
              </w:rPr>
            </w:pPr>
          </w:p>
        </w:tc>
      </w:tr>
      <w:tr w:rsidR="00E85588" w:rsidRPr="00E85588" w:rsidTr="00E95A6A">
        <w:tc>
          <w:tcPr>
            <w:tcW w:w="5000" w:type="pct"/>
            <w:gridSpan w:val="4"/>
          </w:tcPr>
          <w:p w:rsidR="00E85588" w:rsidRPr="00E85588" w:rsidRDefault="00E85588" w:rsidP="00E85588">
            <w:pPr>
              <w:jc w:val="both"/>
              <w:rPr>
                <w:sz w:val="20"/>
              </w:rPr>
            </w:pPr>
            <w:r w:rsidRPr="00E85588">
              <w:rPr>
                <w:sz w:val="20"/>
              </w:rPr>
              <w:t xml:space="preserve">The applicant is the mother of a child born with Down Syndrome in 2010. The respondent father is a medical doctor who was involved with the mother for a short period of time and who denied paternity. The mother is married to another person and together, they have four children of their own. They are raising the child with special needs in their family. Prior to the child support trial in 2018, there were numerous court proceedings on the issues of paternity, financial disclosure by the father and interim child support. At issue at trial were retroactive and ongoing child support, the amount of income to be attributed to the father for child support purposes under the </w:t>
            </w:r>
            <w:r w:rsidRPr="00E85588">
              <w:rPr>
                <w:i/>
                <w:sz w:val="20"/>
              </w:rPr>
              <w:t>Federal Child Support Guidelines</w:t>
            </w:r>
            <w:r w:rsidRPr="00E85588">
              <w:rPr>
                <w:sz w:val="20"/>
              </w:rPr>
              <w:t xml:space="preserve"> from 2010 forward, and allowable section 7 extraordinary expenses for the child with special needs. The trial judge allowed several of the mother’s claims for section 7 expenses. The Court of Appeal disallowed many of those section 7 expenses and remitted other section 7 expenses back to the trial court for reconsideration.</w:t>
            </w:r>
          </w:p>
        </w:tc>
      </w:tr>
      <w:tr w:rsidR="00E85588" w:rsidRPr="00E85588" w:rsidTr="00E95A6A">
        <w:tc>
          <w:tcPr>
            <w:tcW w:w="5000" w:type="pct"/>
            <w:gridSpan w:val="4"/>
          </w:tcPr>
          <w:p w:rsidR="00E85588" w:rsidRPr="00E85588" w:rsidRDefault="00E85588" w:rsidP="00E85588">
            <w:pPr>
              <w:jc w:val="both"/>
              <w:rPr>
                <w:sz w:val="20"/>
              </w:rPr>
            </w:pPr>
          </w:p>
        </w:tc>
      </w:tr>
      <w:tr w:rsidR="00E85588" w:rsidRPr="00E85588" w:rsidTr="00E95A6A">
        <w:tc>
          <w:tcPr>
            <w:tcW w:w="2427" w:type="pct"/>
            <w:gridSpan w:val="2"/>
          </w:tcPr>
          <w:p w:rsidR="00E85588" w:rsidRPr="00E85588" w:rsidRDefault="00E85588" w:rsidP="00E85588">
            <w:pPr>
              <w:jc w:val="both"/>
              <w:rPr>
                <w:sz w:val="20"/>
              </w:rPr>
            </w:pPr>
            <w:r w:rsidRPr="00E85588">
              <w:rPr>
                <w:sz w:val="20"/>
              </w:rPr>
              <w:t>July 20, 2018</w:t>
            </w:r>
          </w:p>
          <w:p w:rsidR="00E85588" w:rsidRPr="00E85588" w:rsidRDefault="00E85588" w:rsidP="00E85588">
            <w:pPr>
              <w:jc w:val="both"/>
              <w:rPr>
                <w:sz w:val="20"/>
              </w:rPr>
            </w:pPr>
            <w:r w:rsidRPr="00E85588">
              <w:rPr>
                <w:sz w:val="20"/>
              </w:rPr>
              <w:t>Court of Queen’s Bench of Alberta</w:t>
            </w:r>
          </w:p>
          <w:p w:rsidR="00E85588" w:rsidRPr="00E85588" w:rsidRDefault="00E85588" w:rsidP="00E85588">
            <w:pPr>
              <w:jc w:val="both"/>
              <w:rPr>
                <w:sz w:val="20"/>
              </w:rPr>
            </w:pPr>
            <w:r w:rsidRPr="00E85588">
              <w:rPr>
                <w:sz w:val="20"/>
              </w:rPr>
              <w:t>(Moen J.)</w:t>
            </w:r>
          </w:p>
          <w:p w:rsidR="00E85588" w:rsidRPr="00E85588" w:rsidRDefault="00851D79" w:rsidP="00E85588">
            <w:pPr>
              <w:jc w:val="both"/>
              <w:rPr>
                <w:sz w:val="20"/>
              </w:rPr>
            </w:pPr>
            <w:hyperlink r:id="rId25" w:history="1">
              <w:r w:rsidR="00E85588" w:rsidRPr="00E85588">
                <w:rPr>
                  <w:rStyle w:val="Hyperlink"/>
                  <w:sz w:val="20"/>
                </w:rPr>
                <w:t>2018 ABQB 552</w:t>
              </w:r>
            </w:hyperlink>
          </w:p>
          <w:p w:rsidR="00E85588" w:rsidRPr="00E85588" w:rsidRDefault="00E85588" w:rsidP="00E85588">
            <w:pPr>
              <w:jc w:val="both"/>
              <w:rPr>
                <w:sz w:val="20"/>
              </w:rPr>
            </w:pPr>
          </w:p>
        </w:tc>
        <w:tc>
          <w:tcPr>
            <w:tcW w:w="243" w:type="pct"/>
          </w:tcPr>
          <w:p w:rsidR="00E85588" w:rsidRPr="00E85588" w:rsidRDefault="00E85588" w:rsidP="00E85588">
            <w:pPr>
              <w:jc w:val="both"/>
              <w:rPr>
                <w:sz w:val="20"/>
              </w:rPr>
            </w:pPr>
          </w:p>
        </w:tc>
        <w:tc>
          <w:tcPr>
            <w:tcW w:w="2330" w:type="pct"/>
          </w:tcPr>
          <w:p w:rsidR="00E85588" w:rsidRPr="00E85588" w:rsidRDefault="00E85588" w:rsidP="00E85588">
            <w:pPr>
              <w:jc w:val="both"/>
              <w:rPr>
                <w:sz w:val="20"/>
              </w:rPr>
            </w:pPr>
            <w:r w:rsidRPr="00E85588">
              <w:rPr>
                <w:sz w:val="20"/>
              </w:rPr>
              <w:t>Declaration that respondent was biological father of child. Mother awarded retroactive, and ongoing child support and extraordinary expenses. Order fixing father’s income for child support purposes</w:t>
            </w:r>
          </w:p>
          <w:p w:rsidR="00E85588" w:rsidRPr="00E85588" w:rsidRDefault="00E85588" w:rsidP="00E85588">
            <w:pPr>
              <w:jc w:val="both"/>
              <w:rPr>
                <w:sz w:val="20"/>
              </w:rPr>
            </w:pPr>
          </w:p>
        </w:tc>
      </w:tr>
      <w:tr w:rsidR="00E85588" w:rsidRPr="00E85588" w:rsidTr="00E95A6A">
        <w:tc>
          <w:tcPr>
            <w:tcW w:w="2427" w:type="pct"/>
            <w:gridSpan w:val="2"/>
          </w:tcPr>
          <w:p w:rsidR="00E85588" w:rsidRPr="00E85588" w:rsidRDefault="00E85588" w:rsidP="00E85588">
            <w:pPr>
              <w:jc w:val="both"/>
              <w:rPr>
                <w:sz w:val="20"/>
              </w:rPr>
            </w:pPr>
            <w:r w:rsidRPr="00E85588">
              <w:rPr>
                <w:sz w:val="20"/>
              </w:rPr>
              <w:lastRenderedPageBreak/>
              <w:t>August 15, 2019</w:t>
            </w:r>
          </w:p>
          <w:p w:rsidR="00E85588" w:rsidRPr="00E85588" w:rsidRDefault="00E85588" w:rsidP="00E85588">
            <w:pPr>
              <w:jc w:val="both"/>
              <w:rPr>
                <w:sz w:val="20"/>
              </w:rPr>
            </w:pPr>
            <w:r w:rsidRPr="00E85588">
              <w:rPr>
                <w:sz w:val="20"/>
              </w:rPr>
              <w:t>Court of Appeal of Alberta (Edmonton)</w:t>
            </w:r>
          </w:p>
          <w:p w:rsidR="00E85588" w:rsidRPr="00E85588" w:rsidRDefault="00E85588" w:rsidP="00E85588">
            <w:pPr>
              <w:jc w:val="both"/>
              <w:rPr>
                <w:sz w:val="20"/>
              </w:rPr>
            </w:pPr>
            <w:r w:rsidRPr="00E85588">
              <w:rPr>
                <w:sz w:val="20"/>
              </w:rPr>
              <w:t>(Watson, Slatter and O'Ferrall B.K.)</w:t>
            </w:r>
          </w:p>
          <w:p w:rsidR="00E85588" w:rsidRPr="00E85588" w:rsidRDefault="00851D79" w:rsidP="00E85588">
            <w:pPr>
              <w:jc w:val="both"/>
              <w:rPr>
                <w:sz w:val="20"/>
              </w:rPr>
            </w:pPr>
            <w:hyperlink r:id="rId26" w:history="1">
              <w:r w:rsidR="00E85588" w:rsidRPr="00E85588">
                <w:rPr>
                  <w:rStyle w:val="Hyperlink"/>
                  <w:sz w:val="20"/>
                </w:rPr>
                <w:t>2019 ABCA 305</w:t>
              </w:r>
            </w:hyperlink>
          </w:p>
          <w:p w:rsidR="00E85588" w:rsidRPr="00E85588" w:rsidRDefault="00E85588" w:rsidP="00E85588">
            <w:pPr>
              <w:jc w:val="both"/>
              <w:rPr>
                <w:sz w:val="20"/>
              </w:rPr>
            </w:pPr>
          </w:p>
        </w:tc>
        <w:tc>
          <w:tcPr>
            <w:tcW w:w="243" w:type="pct"/>
          </w:tcPr>
          <w:p w:rsidR="00E85588" w:rsidRPr="00E85588" w:rsidRDefault="00E85588" w:rsidP="00E85588">
            <w:pPr>
              <w:jc w:val="both"/>
              <w:rPr>
                <w:sz w:val="20"/>
              </w:rPr>
            </w:pPr>
          </w:p>
        </w:tc>
        <w:tc>
          <w:tcPr>
            <w:tcW w:w="2330" w:type="pct"/>
          </w:tcPr>
          <w:p w:rsidR="00E85588" w:rsidRPr="00E85588" w:rsidRDefault="00E85588" w:rsidP="00E85588">
            <w:pPr>
              <w:jc w:val="both"/>
              <w:rPr>
                <w:sz w:val="20"/>
              </w:rPr>
            </w:pPr>
            <w:r w:rsidRPr="00E85588">
              <w:rPr>
                <w:sz w:val="20"/>
              </w:rPr>
              <w:t>Father’s appeal allowed regarding section 7 extraordinary expenses; some section 7 expense issues remitted to trial court for reconsideration; others disallowed</w:t>
            </w:r>
          </w:p>
          <w:p w:rsidR="00E85588" w:rsidRPr="00E85588" w:rsidRDefault="00E85588" w:rsidP="00E85588">
            <w:pPr>
              <w:jc w:val="both"/>
              <w:rPr>
                <w:sz w:val="20"/>
              </w:rPr>
            </w:pPr>
          </w:p>
        </w:tc>
      </w:tr>
      <w:tr w:rsidR="00E85588" w:rsidRPr="00E85588" w:rsidTr="00E95A6A">
        <w:tc>
          <w:tcPr>
            <w:tcW w:w="2427" w:type="pct"/>
            <w:gridSpan w:val="2"/>
          </w:tcPr>
          <w:p w:rsidR="00E85588" w:rsidRPr="00E85588" w:rsidRDefault="00E85588" w:rsidP="00E85588">
            <w:pPr>
              <w:jc w:val="both"/>
              <w:rPr>
                <w:sz w:val="20"/>
              </w:rPr>
            </w:pPr>
            <w:r w:rsidRPr="00E85588">
              <w:rPr>
                <w:sz w:val="20"/>
              </w:rPr>
              <w:t>October 15, 2019</w:t>
            </w:r>
          </w:p>
          <w:p w:rsidR="00E85588" w:rsidRPr="00E85588" w:rsidRDefault="00E85588" w:rsidP="00E85588">
            <w:pPr>
              <w:jc w:val="both"/>
              <w:rPr>
                <w:sz w:val="20"/>
              </w:rPr>
            </w:pPr>
            <w:r w:rsidRPr="00E85588">
              <w:rPr>
                <w:sz w:val="20"/>
              </w:rPr>
              <w:t>Supreme Court of Canada</w:t>
            </w:r>
          </w:p>
        </w:tc>
        <w:tc>
          <w:tcPr>
            <w:tcW w:w="243" w:type="pct"/>
          </w:tcPr>
          <w:p w:rsidR="00E85588" w:rsidRPr="00E85588" w:rsidRDefault="00E85588" w:rsidP="00E85588">
            <w:pPr>
              <w:jc w:val="both"/>
              <w:rPr>
                <w:sz w:val="20"/>
              </w:rPr>
            </w:pPr>
          </w:p>
        </w:tc>
        <w:tc>
          <w:tcPr>
            <w:tcW w:w="2330" w:type="pct"/>
          </w:tcPr>
          <w:p w:rsidR="00E85588" w:rsidRPr="00E85588" w:rsidRDefault="00E85588" w:rsidP="00E85588">
            <w:pPr>
              <w:jc w:val="both"/>
              <w:rPr>
                <w:sz w:val="20"/>
              </w:rPr>
            </w:pPr>
            <w:r w:rsidRPr="00E85588">
              <w:rPr>
                <w:sz w:val="20"/>
              </w:rPr>
              <w:t>Application for leave to appeal filed</w:t>
            </w:r>
          </w:p>
          <w:p w:rsidR="00E85588" w:rsidRPr="00E85588" w:rsidRDefault="00E85588" w:rsidP="00E85588">
            <w:pPr>
              <w:jc w:val="both"/>
              <w:rPr>
                <w:sz w:val="20"/>
              </w:rPr>
            </w:pPr>
          </w:p>
        </w:tc>
      </w:tr>
    </w:tbl>
    <w:p w:rsidR="00E85588" w:rsidRPr="00E85588" w:rsidRDefault="00E85588" w:rsidP="00E85588">
      <w:pPr>
        <w:jc w:val="both"/>
        <w:rPr>
          <w:sz w:val="20"/>
        </w:rPr>
      </w:pPr>
    </w:p>
    <w:p w:rsidR="00E85588" w:rsidRPr="00E85588" w:rsidRDefault="00851D79" w:rsidP="00E85588">
      <w:pPr>
        <w:jc w:val="both"/>
        <w:rPr>
          <w:sz w:val="20"/>
        </w:rPr>
      </w:pPr>
      <w:r>
        <w:rPr>
          <w:sz w:val="20"/>
        </w:rPr>
        <w:pict>
          <v:rect id="_x0000_i1037" style="width:2in;height:1pt" o:hrpct="0" o:hralign="center" o:hrstd="t" o:hrnoshade="t" o:hr="t" fillcolor="black [3213]" stroked="f"/>
        </w:pict>
      </w:r>
    </w:p>
    <w:p w:rsidR="00E85588" w:rsidRPr="00E85588" w:rsidRDefault="00E85588" w:rsidP="00E8558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5588" w:rsidRPr="0084608C" w:rsidTr="00E95A6A">
        <w:tc>
          <w:tcPr>
            <w:tcW w:w="543" w:type="pct"/>
          </w:tcPr>
          <w:p w:rsidR="00E85588" w:rsidRPr="00E85588" w:rsidRDefault="00E85588" w:rsidP="00E85588">
            <w:pPr>
              <w:jc w:val="both"/>
              <w:rPr>
                <w:sz w:val="20"/>
                <w:lang w:val="fr-CA"/>
              </w:rPr>
            </w:pPr>
            <w:r w:rsidRPr="00E85588">
              <w:rPr>
                <w:rStyle w:val="SCCFileNumberChar"/>
                <w:sz w:val="20"/>
                <w:szCs w:val="20"/>
                <w:lang w:val="fr-CA"/>
              </w:rPr>
              <w:t>38859</w:t>
            </w:r>
          </w:p>
        </w:tc>
        <w:tc>
          <w:tcPr>
            <w:tcW w:w="4457" w:type="pct"/>
            <w:gridSpan w:val="3"/>
          </w:tcPr>
          <w:p w:rsidR="00E85588" w:rsidRPr="00E85588" w:rsidRDefault="00E85588" w:rsidP="00E85588">
            <w:pPr>
              <w:pStyle w:val="SCCLsocParty"/>
              <w:jc w:val="both"/>
              <w:rPr>
                <w:b/>
                <w:sz w:val="20"/>
                <w:szCs w:val="20"/>
              </w:rPr>
            </w:pPr>
            <w:r w:rsidRPr="00E85588">
              <w:rPr>
                <w:b/>
                <w:sz w:val="20"/>
                <w:szCs w:val="20"/>
              </w:rPr>
              <w:t>F.J.N. c. J.K.</w:t>
            </w:r>
          </w:p>
          <w:p w:rsidR="00E85588" w:rsidRPr="00E85588" w:rsidRDefault="00E85588" w:rsidP="00E85588">
            <w:pPr>
              <w:jc w:val="both"/>
              <w:rPr>
                <w:sz w:val="20"/>
                <w:lang w:val="fr-CA"/>
              </w:rPr>
            </w:pPr>
            <w:r w:rsidRPr="00E85588">
              <w:rPr>
                <w:sz w:val="20"/>
                <w:lang w:val="fr-CA"/>
              </w:rPr>
              <w:t>(Alb.) (Civile) (Autorisation)</w:t>
            </w:r>
          </w:p>
        </w:tc>
      </w:tr>
      <w:tr w:rsidR="00E85588" w:rsidRPr="0084608C" w:rsidTr="00E95A6A">
        <w:tc>
          <w:tcPr>
            <w:tcW w:w="5000" w:type="pct"/>
            <w:gridSpan w:val="4"/>
          </w:tcPr>
          <w:p w:rsidR="00E85588" w:rsidRPr="00E85588" w:rsidRDefault="00E85588" w:rsidP="00E85588">
            <w:pPr>
              <w:pStyle w:val="SCCBanSummary"/>
              <w:rPr>
                <w:sz w:val="20"/>
                <w:szCs w:val="20"/>
                <w:lang w:val="fr-CA"/>
              </w:rPr>
            </w:pPr>
            <w:r w:rsidRPr="00E85588">
              <w:rPr>
                <w:sz w:val="20"/>
                <w:szCs w:val="20"/>
                <w:lang w:val="fr-CA"/>
              </w:rPr>
              <w:t>(Ordonnance de non</w:t>
            </w:r>
            <w:r w:rsidRPr="00E85588">
              <w:rPr>
                <w:sz w:val="20"/>
                <w:szCs w:val="20"/>
                <w:lang w:val="fr-CA"/>
              </w:rPr>
              <w:noBreakHyphen/>
              <w:t>publication dans le dossier) (Ordonnance de non</w:t>
            </w:r>
            <w:r w:rsidRPr="00E85588">
              <w:rPr>
                <w:sz w:val="20"/>
                <w:szCs w:val="20"/>
                <w:lang w:val="fr-CA"/>
              </w:rPr>
              <w:noBreakHyphen/>
              <w:t>publication visant une partie)</w:t>
            </w:r>
          </w:p>
          <w:p w:rsidR="00E85588" w:rsidRPr="00E85588" w:rsidRDefault="00E85588" w:rsidP="00E85588">
            <w:pPr>
              <w:jc w:val="both"/>
              <w:rPr>
                <w:sz w:val="20"/>
                <w:lang w:val="fr-CA"/>
              </w:rPr>
            </w:pPr>
          </w:p>
          <w:p w:rsidR="00E85588" w:rsidRPr="00E85588" w:rsidRDefault="00E85588" w:rsidP="00E85588">
            <w:pPr>
              <w:jc w:val="both"/>
              <w:rPr>
                <w:sz w:val="20"/>
                <w:lang w:val="fr-CA"/>
              </w:rPr>
            </w:pPr>
            <w:r w:rsidRPr="00E85588">
              <w:rPr>
                <w:sz w:val="20"/>
                <w:lang w:val="fr-CA"/>
              </w:rPr>
              <w:t>Droit de la famille — Aliments — Pension alimentaire pour enfants — Dépenses extraordinaires — La Cour d’appel a rejeté plusieurs demandes de dépenses extraordinaires pour une enfant ayant des besoins spéciaux — Comment les véritables besoins d’enfants lourdement handicapés, y compris ceux qui ne pourront jamais vivre de façon indépendante, peuvent-ils être satisfaits et assurés en application des lignes directrices sur les pensions alimentaires pour enfants, tant fédérales que provinciales?</w:t>
            </w:r>
          </w:p>
          <w:p w:rsidR="00E85588" w:rsidRPr="00E85588" w:rsidRDefault="00E85588" w:rsidP="00E85588">
            <w:pPr>
              <w:jc w:val="both"/>
              <w:rPr>
                <w:sz w:val="20"/>
                <w:lang w:val="fr-CA"/>
              </w:rPr>
            </w:pPr>
          </w:p>
        </w:tc>
      </w:tr>
      <w:tr w:rsidR="00E85588" w:rsidRPr="0084608C" w:rsidTr="00E95A6A">
        <w:tc>
          <w:tcPr>
            <w:tcW w:w="5000" w:type="pct"/>
            <w:gridSpan w:val="4"/>
          </w:tcPr>
          <w:p w:rsidR="00E85588" w:rsidRPr="00E85588" w:rsidRDefault="00E85588" w:rsidP="00E85588">
            <w:pPr>
              <w:jc w:val="both"/>
              <w:rPr>
                <w:sz w:val="20"/>
                <w:lang w:val="fr-CA"/>
              </w:rPr>
            </w:pPr>
            <w:r w:rsidRPr="00E85588">
              <w:rPr>
                <w:sz w:val="20"/>
                <w:lang w:val="fr-CA"/>
              </w:rPr>
              <w:t xml:space="preserve">La demanderesse est la mère d’une enfant née avec le syndrome de Down en 2010. Le père intimé est médecin qui a eu une liaison de courte durée avec la mère et qui a nié la paternité. La mère est mariée à une autre personne et, ensemble, ils ont quatre enfants. Ils élèvent au sein de leur famille l’enfant ayant des besoins spéciaux. Avant le procès de 2018 portant sur la pension alimentaire pour l’enfant, il y a eu de nombreuses procédures judiciaires sur les questions de la paternité, de la divulgation de renseignements financiers du père et de la pension alimentaire provisoire pour l’enfant. Au procès, les questions litigieuses étaient la pension alimentaire pour l’enfant (rétroactive et pour l’avenir), le revenu à imputer au père aux fins du calcul de la pension alimentaire pour enfants en application des </w:t>
            </w:r>
            <w:r w:rsidRPr="00E85588">
              <w:rPr>
                <w:i/>
                <w:sz w:val="20"/>
                <w:lang w:val="fr-CA"/>
              </w:rPr>
              <w:t>Lignes directrices fédérales sur les pensions alimentaires pour enfants</w:t>
            </w:r>
            <w:r w:rsidRPr="00E85588">
              <w:rPr>
                <w:sz w:val="20"/>
                <w:lang w:val="fr-CA"/>
              </w:rPr>
              <w:t xml:space="preserve"> à compter de 2010, et les dépenses extraordinaires admissibles visées à l’art. 7 pour l’enfant ayant des besoins spéciaux. La juge de première instance a accueilli plusieurs demandes de la mère au titre des dépenses visées à l’art. 7. La Cour d’appel a refusé bon nombre de ces dépenses et a renvoyé les autres dépenses visées à l’art. 7 au tribunal de première instance pour un nouvel examen.</w:t>
            </w:r>
          </w:p>
        </w:tc>
      </w:tr>
      <w:tr w:rsidR="00E85588" w:rsidRPr="0084608C" w:rsidTr="00E95A6A">
        <w:tc>
          <w:tcPr>
            <w:tcW w:w="5000" w:type="pct"/>
            <w:gridSpan w:val="4"/>
          </w:tcPr>
          <w:p w:rsidR="00E85588" w:rsidRPr="00E85588" w:rsidRDefault="00E85588" w:rsidP="00E85588">
            <w:pPr>
              <w:jc w:val="both"/>
              <w:rPr>
                <w:sz w:val="20"/>
                <w:lang w:val="fr-CA"/>
              </w:rPr>
            </w:pPr>
          </w:p>
        </w:tc>
      </w:tr>
      <w:tr w:rsidR="00E85588" w:rsidRPr="0084608C" w:rsidTr="00E95A6A">
        <w:tc>
          <w:tcPr>
            <w:tcW w:w="2427" w:type="pct"/>
            <w:gridSpan w:val="2"/>
          </w:tcPr>
          <w:p w:rsidR="00E85588" w:rsidRPr="00E85588" w:rsidRDefault="00E85588" w:rsidP="00E85588">
            <w:pPr>
              <w:jc w:val="both"/>
              <w:rPr>
                <w:sz w:val="20"/>
                <w:lang w:val="fr-CA"/>
              </w:rPr>
            </w:pPr>
            <w:r w:rsidRPr="00E85588">
              <w:rPr>
                <w:sz w:val="20"/>
                <w:lang w:val="fr-CA"/>
              </w:rPr>
              <w:t>20 juillet 2018</w:t>
            </w:r>
          </w:p>
          <w:p w:rsidR="00E85588" w:rsidRPr="00E85588" w:rsidRDefault="00E85588" w:rsidP="00E85588">
            <w:pPr>
              <w:jc w:val="both"/>
              <w:rPr>
                <w:sz w:val="20"/>
                <w:lang w:val="fr-CA"/>
              </w:rPr>
            </w:pPr>
            <w:r w:rsidRPr="00E85588">
              <w:rPr>
                <w:sz w:val="20"/>
                <w:lang w:val="fr-CA"/>
              </w:rPr>
              <w:t>Cour du Banc de la Reine de l’Alberta</w:t>
            </w:r>
          </w:p>
          <w:p w:rsidR="00E85588" w:rsidRPr="00E85588" w:rsidRDefault="00E85588" w:rsidP="00E85588">
            <w:pPr>
              <w:jc w:val="both"/>
              <w:rPr>
                <w:sz w:val="20"/>
                <w:lang w:val="fr-CA"/>
              </w:rPr>
            </w:pPr>
            <w:r w:rsidRPr="00E85588">
              <w:rPr>
                <w:sz w:val="20"/>
                <w:lang w:val="fr-CA"/>
              </w:rPr>
              <w:t>(Juge Moen)</w:t>
            </w:r>
          </w:p>
          <w:p w:rsidR="00E85588" w:rsidRPr="00E85588" w:rsidRDefault="00851D79" w:rsidP="00E85588">
            <w:pPr>
              <w:jc w:val="both"/>
              <w:rPr>
                <w:sz w:val="20"/>
                <w:lang w:val="fr-CA"/>
              </w:rPr>
            </w:pPr>
            <w:hyperlink r:id="rId27" w:history="1">
              <w:r w:rsidR="00E85588" w:rsidRPr="00E85588">
                <w:rPr>
                  <w:rStyle w:val="Hyperlink"/>
                  <w:sz w:val="20"/>
                  <w:lang w:val="fr-CA"/>
                </w:rPr>
                <w:t>2018 ABQB 552</w:t>
              </w:r>
            </w:hyperlink>
          </w:p>
          <w:p w:rsidR="00E85588" w:rsidRPr="00E85588" w:rsidRDefault="00E85588" w:rsidP="00E85588">
            <w:pPr>
              <w:jc w:val="both"/>
              <w:rPr>
                <w:sz w:val="20"/>
                <w:lang w:val="fr-CA"/>
              </w:rPr>
            </w:pPr>
          </w:p>
        </w:tc>
        <w:tc>
          <w:tcPr>
            <w:tcW w:w="243" w:type="pct"/>
          </w:tcPr>
          <w:p w:rsidR="00E85588" w:rsidRPr="00E85588" w:rsidRDefault="00E85588" w:rsidP="00E85588">
            <w:pPr>
              <w:jc w:val="both"/>
              <w:rPr>
                <w:sz w:val="20"/>
                <w:lang w:val="fr-CA"/>
              </w:rPr>
            </w:pPr>
          </w:p>
        </w:tc>
        <w:tc>
          <w:tcPr>
            <w:tcW w:w="2330" w:type="pct"/>
          </w:tcPr>
          <w:p w:rsidR="00E85588" w:rsidRPr="00E85588" w:rsidRDefault="00E85588" w:rsidP="00E85588">
            <w:pPr>
              <w:jc w:val="both"/>
              <w:rPr>
                <w:sz w:val="20"/>
                <w:lang w:val="fr-CA"/>
              </w:rPr>
            </w:pPr>
            <w:r w:rsidRPr="00E85588">
              <w:rPr>
                <w:sz w:val="20"/>
                <w:lang w:val="fr-CA"/>
              </w:rPr>
              <w:t>Jugement déclarant que l’intimé est le père biologique de l’enfant, accordant à la mère une pension alimentaire pour l’enfant et les dépenses extraordinaires (rétroactives et pour l’avenir) et fixant le revenu du père aux fins du calcul de la pension alimentaire pour l’enfant.</w:t>
            </w:r>
          </w:p>
          <w:p w:rsidR="00E85588" w:rsidRPr="00E85588" w:rsidRDefault="00E85588" w:rsidP="00E85588">
            <w:pPr>
              <w:jc w:val="both"/>
              <w:rPr>
                <w:sz w:val="20"/>
                <w:lang w:val="fr-CA"/>
              </w:rPr>
            </w:pPr>
          </w:p>
        </w:tc>
      </w:tr>
      <w:tr w:rsidR="00E85588" w:rsidRPr="0084608C" w:rsidTr="00E95A6A">
        <w:tc>
          <w:tcPr>
            <w:tcW w:w="2427" w:type="pct"/>
            <w:gridSpan w:val="2"/>
          </w:tcPr>
          <w:p w:rsidR="00E85588" w:rsidRPr="00E85588" w:rsidRDefault="00E85588" w:rsidP="00E85588">
            <w:pPr>
              <w:jc w:val="both"/>
              <w:rPr>
                <w:sz w:val="20"/>
                <w:lang w:val="fr-CA"/>
              </w:rPr>
            </w:pPr>
            <w:r w:rsidRPr="00E85588">
              <w:rPr>
                <w:sz w:val="20"/>
                <w:lang w:val="fr-CA"/>
              </w:rPr>
              <w:t>15 août 2019</w:t>
            </w:r>
          </w:p>
          <w:p w:rsidR="00E85588" w:rsidRPr="00E85588" w:rsidRDefault="00E85588" w:rsidP="00E85588">
            <w:pPr>
              <w:jc w:val="both"/>
              <w:rPr>
                <w:sz w:val="20"/>
                <w:lang w:val="fr-CA"/>
              </w:rPr>
            </w:pPr>
            <w:r w:rsidRPr="00E85588">
              <w:rPr>
                <w:sz w:val="20"/>
                <w:lang w:val="fr-CA"/>
              </w:rPr>
              <w:t>Cour d’appel de l’Alberta (Edmonton)</w:t>
            </w:r>
          </w:p>
          <w:p w:rsidR="00E85588" w:rsidRPr="00E85588" w:rsidRDefault="00E85588" w:rsidP="00E85588">
            <w:pPr>
              <w:jc w:val="both"/>
              <w:rPr>
                <w:sz w:val="20"/>
                <w:lang w:val="fr-CA"/>
              </w:rPr>
            </w:pPr>
            <w:r w:rsidRPr="00E85588">
              <w:rPr>
                <w:sz w:val="20"/>
                <w:lang w:val="fr-CA"/>
              </w:rPr>
              <w:t>(Juges Watson, Slatter et O'Ferrall)</w:t>
            </w:r>
          </w:p>
          <w:p w:rsidR="00E85588" w:rsidRPr="00E85588" w:rsidRDefault="00851D79" w:rsidP="00E85588">
            <w:pPr>
              <w:jc w:val="both"/>
              <w:rPr>
                <w:sz w:val="20"/>
                <w:lang w:val="fr-CA"/>
              </w:rPr>
            </w:pPr>
            <w:hyperlink r:id="rId28" w:history="1">
              <w:r w:rsidR="00E85588" w:rsidRPr="00E85588">
                <w:rPr>
                  <w:rStyle w:val="Hyperlink"/>
                  <w:sz w:val="20"/>
                  <w:lang w:val="fr-CA"/>
                </w:rPr>
                <w:t>2019 ABCA 305</w:t>
              </w:r>
            </w:hyperlink>
          </w:p>
          <w:p w:rsidR="00E85588" w:rsidRPr="00E85588" w:rsidRDefault="00E85588" w:rsidP="00E85588">
            <w:pPr>
              <w:jc w:val="both"/>
              <w:rPr>
                <w:sz w:val="20"/>
                <w:lang w:val="fr-CA"/>
              </w:rPr>
            </w:pPr>
          </w:p>
        </w:tc>
        <w:tc>
          <w:tcPr>
            <w:tcW w:w="243" w:type="pct"/>
          </w:tcPr>
          <w:p w:rsidR="00E85588" w:rsidRPr="00E85588" w:rsidRDefault="00E85588" w:rsidP="00E85588">
            <w:pPr>
              <w:jc w:val="both"/>
              <w:rPr>
                <w:sz w:val="20"/>
                <w:lang w:val="fr-CA"/>
              </w:rPr>
            </w:pPr>
          </w:p>
        </w:tc>
        <w:tc>
          <w:tcPr>
            <w:tcW w:w="2330" w:type="pct"/>
          </w:tcPr>
          <w:p w:rsidR="00E85588" w:rsidRPr="00E85588" w:rsidRDefault="00E85588" w:rsidP="00E85588">
            <w:pPr>
              <w:jc w:val="both"/>
              <w:rPr>
                <w:sz w:val="20"/>
                <w:lang w:val="fr-CA"/>
              </w:rPr>
            </w:pPr>
            <w:r w:rsidRPr="00E85588">
              <w:rPr>
                <w:sz w:val="20"/>
                <w:lang w:val="fr-CA"/>
              </w:rPr>
              <w:t>Arrêt accueillant l’appel du père relativement aux dépenses extraordinaires visées à l’art. 7, renvoyant au tribunal de première instance certaines questions touchant les dépenses visées à l’art. 7 pour réexamen et refusant d’autres de ces dépenses</w:t>
            </w:r>
          </w:p>
          <w:p w:rsidR="00E85588" w:rsidRPr="00E85588" w:rsidRDefault="00E85588" w:rsidP="00E85588">
            <w:pPr>
              <w:jc w:val="both"/>
              <w:rPr>
                <w:sz w:val="20"/>
                <w:lang w:val="fr-CA"/>
              </w:rPr>
            </w:pPr>
          </w:p>
        </w:tc>
      </w:tr>
      <w:tr w:rsidR="00E85588" w:rsidRPr="0084608C" w:rsidTr="00E95A6A">
        <w:tc>
          <w:tcPr>
            <w:tcW w:w="2427" w:type="pct"/>
            <w:gridSpan w:val="2"/>
          </w:tcPr>
          <w:p w:rsidR="00E85588" w:rsidRPr="00E85588" w:rsidRDefault="00E85588" w:rsidP="00E85588">
            <w:pPr>
              <w:jc w:val="both"/>
              <w:rPr>
                <w:sz w:val="20"/>
                <w:lang w:val="fr-CA"/>
              </w:rPr>
            </w:pPr>
            <w:r w:rsidRPr="00E85588">
              <w:rPr>
                <w:sz w:val="20"/>
                <w:lang w:val="fr-CA"/>
              </w:rPr>
              <w:t>15 octobre 2019</w:t>
            </w:r>
          </w:p>
          <w:p w:rsidR="00E85588" w:rsidRPr="00E85588" w:rsidRDefault="00E85588" w:rsidP="00E85588">
            <w:pPr>
              <w:jc w:val="both"/>
              <w:rPr>
                <w:sz w:val="20"/>
                <w:lang w:val="fr-CA"/>
              </w:rPr>
            </w:pPr>
            <w:r w:rsidRPr="00E85588">
              <w:rPr>
                <w:sz w:val="20"/>
                <w:lang w:val="fr-CA"/>
              </w:rPr>
              <w:t>Cour suprême du Canada</w:t>
            </w:r>
          </w:p>
        </w:tc>
        <w:tc>
          <w:tcPr>
            <w:tcW w:w="243" w:type="pct"/>
          </w:tcPr>
          <w:p w:rsidR="00E85588" w:rsidRPr="00E85588" w:rsidRDefault="00E85588" w:rsidP="00E85588">
            <w:pPr>
              <w:jc w:val="both"/>
              <w:rPr>
                <w:sz w:val="20"/>
                <w:lang w:val="fr-CA"/>
              </w:rPr>
            </w:pPr>
          </w:p>
        </w:tc>
        <w:tc>
          <w:tcPr>
            <w:tcW w:w="2330" w:type="pct"/>
          </w:tcPr>
          <w:p w:rsidR="00E85588" w:rsidRPr="00E85588" w:rsidRDefault="00E85588" w:rsidP="00E85588">
            <w:pPr>
              <w:jc w:val="both"/>
              <w:rPr>
                <w:sz w:val="20"/>
                <w:lang w:val="fr-CA"/>
              </w:rPr>
            </w:pPr>
            <w:r w:rsidRPr="00E85588">
              <w:rPr>
                <w:sz w:val="20"/>
                <w:lang w:val="fr-CA"/>
              </w:rPr>
              <w:t>Dépôt de la demande d’autorisation d’appel</w:t>
            </w:r>
          </w:p>
          <w:p w:rsidR="00E85588" w:rsidRPr="00E85588" w:rsidRDefault="00E85588" w:rsidP="00E85588">
            <w:pPr>
              <w:jc w:val="both"/>
              <w:rPr>
                <w:sz w:val="20"/>
                <w:lang w:val="fr-CA"/>
              </w:rPr>
            </w:pPr>
          </w:p>
        </w:tc>
      </w:tr>
    </w:tbl>
    <w:p w:rsidR="00CA1087" w:rsidRPr="00E85588" w:rsidRDefault="00CA1087" w:rsidP="00E85588">
      <w:pPr>
        <w:ind w:left="142" w:hanging="142"/>
        <w:jc w:val="both"/>
        <w:rPr>
          <w:sz w:val="20"/>
          <w:lang w:val="fr-CA"/>
        </w:rPr>
      </w:pPr>
    </w:p>
    <w:p w:rsidR="00867C61" w:rsidRDefault="00851D79" w:rsidP="00E85588">
      <w:pPr>
        <w:ind w:left="142" w:hanging="142"/>
        <w:jc w:val="both"/>
        <w:rPr>
          <w:sz w:val="20"/>
        </w:rPr>
      </w:pPr>
      <w:r>
        <w:rPr>
          <w:sz w:val="20"/>
        </w:rPr>
        <w:pict>
          <v:rect id="_x0000_i1038" style="width:2in;height:1pt" o:hrpct="0" o:hralign="center" o:hrstd="t" o:hrnoshade="t" o:hr="t" fillcolor="black [3213]" stroked="f"/>
        </w:pict>
      </w:r>
    </w:p>
    <w:p w:rsidR="005C7161" w:rsidRPr="00F579FF" w:rsidRDefault="005C7161" w:rsidP="006A22CA">
      <w:pPr>
        <w:ind w:left="142" w:hanging="142"/>
        <w:jc w:val="both"/>
        <w:rPr>
          <w:sz w:val="20"/>
          <w:lang w:val="fr-CA"/>
        </w:rPr>
      </w:pPr>
    </w:p>
    <w:p w:rsidR="005C7161" w:rsidRPr="00F579FF" w:rsidRDefault="005C7161" w:rsidP="006A22CA">
      <w:pPr>
        <w:ind w:left="142" w:hanging="142"/>
        <w:jc w:val="both"/>
        <w:rPr>
          <w:sz w:val="20"/>
          <w:lang w:val="fr-CA"/>
        </w:rPr>
      </w:pPr>
    </w:p>
    <w:p w:rsidR="00FD3FA0" w:rsidRPr="00F579FF" w:rsidRDefault="00FD3FA0" w:rsidP="006A22CA">
      <w:pPr>
        <w:ind w:left="142" w:hanging="142"/>
        <w:jc w:val="both"/>
        <w:rPr>
          <w:sz w:val="20"/>
          <w:lang w:val="fr-CA"/>
        </w:rPr>
      </w:pPr>
    </w:p>
    <w:p w:rsidR="00D3344A" w:rsidRPr="00F579FF" w:rsidRDefault="00D3344A" w:rsidP="00D3344A">
      <w:pPr>
        <w:widowControl w:val="0"/>
        <w:outlineLvl w:val="0"/>
      </w:pPr>
      <w:r w:rsidRPr="00F579FF">
        <w:t xml:space="preserve">Supreme Court of Canada / Cour suprême du </w:t>
      </w:r>
      <w:proofErr w:type="gramStart"/>
      <w:r w:rsidRPr="00F579FF">
        <w:t>Canad</w:t>
      </w:r>
      <w:r w:rsidR="00EE289F" w:rsidRPr="00F579FF">
        <w:t>a</w:t>
      </w:r>
      <w:r w:rsidRPr="00F579FF">
        <w:t xml:space="preserve"> :</w:t>
      </w:r>
      <w:proofErr w:type="gramEnd"/>
    </w:p>
    <w:p w:rsidR="00D3344A" w:rsidRPr="00F579FF" w:rsidRDefault="00851D79" w:rsidP="00D3344A">
      <w:pPr>
        <w:widowControl w:val="0"/>
        <w:outlineLvl w:val="0"/>
        <w:rPr>
          <w:u w:val="single"/>
        </w:rPr>
      </w:pPr>
      <w:hyperlink r:id="rId29" w:history="1">
        <w:r w:rsidR="009B7391" w:rsidRPr="00F579FF">
          <w:rPr>
            <w:rStyle w:val="Hyperlink"/>
          </w:rPr>
          <w:t>comments-commentaires@scc-csc.ca</w:t>
        </w:r>
      </w:hyperlink>
    </w:p>
    <w:p w:rsidR="00D3344A" w:rsidRPr="00F579FF" w:rsidRDefault="0065588C" w:rsidP="00D3344A">
      <w:pPr>
        <w:widowControl w:val="0"/>
        <w:outlineLvl w:val="0"/>
      </w:pPr>
      <w:r w:rsidRPr="00F579FF">
        <w:t>613-</w:t>
      </w:r>
      <w:r w:rsidR="00D3344A" w:rsidRPr="00F579FF">
        <w:t>995-4330</w:t>
      </w:r>
    </w:p>
    <w:p w:rsidR="00497B5E" w:rsidRPr="00F579FF" w:rsidRDefault="00497B5E" w:rsidP="00497B5E">
      <w:pPr>
        <w:widowControl w:val="0"/>
        <w:rPr>
          <w:sz w:val="20"/>
        </w:rPr>
      </w:pPr>
    </w:p>
    <w:p w:rsidR="00F6251B" w:rsidRPr="006E558B" w:rsidRDefault="003F43E6" w:rsidP="00F6251B">
      <w:pPr>
        <w:pStyle w:val="Footer"/>
        <w:jc w:val="center"/>
      </w:pPr>
      <w:r w:rsidRPr="00F579FF">
        <w:t>- 30 -</w:t>
      </w:r>
    </w:p>
    <w:sectPr w:rsidR="00F6251B" w:rsidRPr="006E558B" w:rsidSect="006313B9">
      <w:headerReference w:type="even" r:id="rId30"/>
      <w:headerReference w:type="default" r:id="rId31"/>
      <w:footerReference w:type="even" r:id="rId32"/>
      <w:footerReference w:type="default" r:id="rId33"/>
      <w:headerReference w:type="first" r:id="rId34"/>
      <w:footerReference w:type="first" r:id="rId35"/>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4B" w:rsidRDefault="00D2514B" w:rsidP="0034178A">
      <w:r>
        <w:separator/>
      </w:r>
    </w:p>
  </w:endnote>
  <w:endnote w:type="continuationSeparator" w:id="0">
    <w:p w:rsidR="00D2514B" w:rsidRDefault="00D2514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Pr="009F77F0" w:rsidRDefault="00D2514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4B" w:rsidRDefault="00D2514B" w:rsidP="0034178A">
      <w:r>
        <w:separator/>
      </w:r>
    </w:p>
  </w:footnote>
  <w:footnote w:type="continuationSeparator" w:id="0">
    <w:p w:rsidR="00D2514B" w:rsidRDefault="00D2514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5AB2"/>
    <w:multiLevelType w:val="hybridMultilevel"/>
    <w:tmpl w:val="072A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373A5A"/>
    <w:multiLevelType w:val="hybridMultilevel"/>
    <w:tmpl w:val="C5BA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8515E"/>
    <w:multiLevelType w:val="hybridMultilevel"/>
    <w:tmpl w:val="76F4CDAC"/>
    <w:lvl w:ilvl="0" w:tplc="DD6274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A69D2"/>
    <w:multiLevelType w:val="hybridMultilevel"/>
    <w:tmpl w:val="C320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D0341"/>
    <w:multiLevelType w:val="hybridMultilevel"/>
    <w:tmpl w:val="5E2E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1E493D"/>
    <w:multiLevelType w:val="hybridMultilevel"/>
    <w:tmpl w:val="C9A4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26"/>
  </w:num>
  <w:num w:numId="4">
    <w:abstractNumId w:val="24"/>
  </w:num>
  <w:num w:numId="5">
    <w:abstractNumId w:val="3"/>
  </w:num>
  <w:num w:numId="6">
    <w:abstractNumId w:val="25"/>
  </w:num>
  <w:num w:numId="7">
    <w:abstractNumId w:val="19"/>
  </w:num>
  <w:num w:numId="8">
    <w:abstractNumId w:val="18"/>
  </w:num>
  <w:num w:numId="9">
    <w:abstractNumId w:val="17"/>
  </w:num>
  <w:num w:numId="10">
    <w:abstractNumId w:val="16"/>
  </w:num>
  <w:num w:numId="11">
    <w:abstractNumId w:val="27"/>
  </w:num>
  <w:num w:numId="12">
    <w:abstractNumId w:val="1"/>
  </w:num>
  <w:num w:numId="13">
    <w:abstractNumId w:val="13"/>
  </w:num>
  <w:num w:numId="14">
    <w:abstractNumId w:val="5"/>
  </w:num>
  <w:num w:numId="15">
    <w:abstractNumId w:val="7"/>
  </w:num>
  <w:num w:numId="16">
    <w:abstractNumId w:val="15"/>
  </w:num>
  <w:num w:numId="17">
    <w:abstractNumId w:val="14"/>
  </w:num>
  <w:num w:numId="18">
    <w:abstractNumId w:val="0"/>
  </w:num>
  <w:num w:numId="19">
    <w:abstractNumId w:val="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2"/>
  </w:num>
  <w:num w:numId="24">
    <w:abstractNumId w:val="11"/>
  </w:num>
  <w:num w:numId="25">
    <w:abstractNumId w:val="9"/>
  </w:num>
  <w:num w:numId="26">
    <w:abstractNumId w:val="21"/>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08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BDC"/>
    <w:rsid w:val="00096F2F"/>
    <w:rsid w:val="000975EC"/>
    <w:rsid w:val="00097C55"/>
    <w:rsid w:val="000A0444"/>
    <w:rsid w:val="000A0472"/>
    <w:rsid w:val="000A0F64"/>
    <w:rsid w:val="000A152E"/>
    <w:rsid w:val="000A1691"/>
    <w:rsid w:val="000A20B0"/>
    <w:rsid w:val="000A245A"/>
    <w:rsid w:val="000A397A"/>
    <w:rsid w:val="000A4311"/>
    <w:rsid w:val="000A43F5"/>
    <w:rsid w:val="000A4D7E"/>
    <w:rsid w:val="000A50F9"/>
    <w:rsid w:val="000A6C60"/>
    <w:rsid w:val="000A6F64"/>
    <w:rsid w:val="000A76D7"/>
    <w:rsid w:val="000A7798"/>
    <w:rsid w:val="000A78FC"/>
    <w:rsid w:val="000A7978"/>
    <w:rsid w:val="000A7C00"/>
    <w:rsid w:val="000A7E1F"/>
    <w:rsid w:val="000B02A2"/>
    <w:rsid w:val="000B07FB"/>
    <w:rsid w:val="000B10DF"/>
    <w:rsid w:val="000B1297"/>
    <w:rsid w:val="000B163F"/>
    <w:rsid w:val="000B2CB2"/>
    <w:rsid w:val="000B38C9"/>
    <w:rsid w:val="000B46A2"/>
    <w:rsid w:val="000B47C0"/>
    <w:rsid w:val="000B503B"/>
    <w:rsid w:val="000B5E52"/>
    <w:rsid w:val="000B6193"/>
    <w:rsid w:val="000B6AB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791"/>
    <w:rsid w:val="00165EAA"/>
    <w:rsid w:val="001665EA"/>
    <w:rsid w:val="00166949"/>
    <w:rsid w:val="00167721"/>
    <w:rsid w:val="00170788"/>
    <w:rsid w:val="001708BE"/>
    <w:rsid w:val="0017098A"/>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52AE"/>
    <w:rsid w:val="00185355"/>
    <w:rsid w:val="00185483"/>
    <w:rsid w:val="00185D52"/>
    <w:rsid w:val="0018601D"/>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5174"/>
    <w:rsid w:val="00266503"/>
    <w:rsid w:val="00266E0E"/>
    <w:rsid w:val="00266FD4"/>
    <w:rsid w:val="002671CC"/>
    <w:rsid w:val="00267241"/>
    <w:rsid w:val="002676FA"/>
    <w:rsid w:val="00267CA4"/>
    <w:rsid w:val="00270135"/>
    <w:rsid w:val="0027099E"/>
    <w:rsid w:val="002709E7"/>
    <w:rsid w:val="00271222"/>
    <w:rsid w:val="00271B2A"/>
    <w:rsid w:val="002728FA"/>
    <w:rsid w:val="0027369C"/>
    <w:rsid w:val="00273706"/>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235D"/>
    <w:rsid w:val="00292574"/>
    <w:rsid w:val="002926A4"/>
    <w:rsid w:val="00292EA2"/>
    <w:rsid w:val="00292F35"/>
    <w:rsid w:val="00292F9A"/>
    <w:rsid w:val="0029396A"/>
    <w:rsid w:val="00293DE2"/>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532E"/>
    <w:rsid w:val="002B543A"/>
    <w:rsid w:val="002B5525"/>
    <w:rsid w:val="002B5A2E"/>
    <w:rsid w:val="002B5A4B"/>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406"/>
    <w:rsid w:val="002C4DD7"/>
    <w:rsid w:val="002C4E55"/>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62D8"/>
    <w:rsid w:val="0030704A"/>
    <w:rsid w:val="003070B7"/>
    <w:rsid w:val="00307309"/>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4001"/>
    <w:rsid w:val="003658BD"/>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DBC"/>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90D"/>
    <w:rsid w:val="003F4DDB"/>
    <w:rsid w:val="003F5542"/>
    <w:rsid w:val="003F5842"/>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487"/>
    <w:rsid w:val="0048052E"/>
    <w:rsid w:val="00481888"/>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570E"/>
    <w:rsid w:val="004A59B2"/>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1C4F"/>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7DD"/>
    <w:rsid w:val="004F40AB"/>
    <w:rsid w:val="004F47F7"/>
    <w:rsid w:val="004F4C76"/>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1B7D"/>
    <w:rsid w:val="005A1FB5"/>
    <w:rsid w:val="005A21F0"/>
    <w:rsid w:val="005A3592"/>
    <w:rsid w:val="005A4082"/>
    <w:rsid w:val="005A46DD"/>
    <w:rsid w:val="005A64FE"/>
    <w:rsid w:val="005A6C46"/>
    <w:rsid w:val="005B0AAB"/>
    <w:rsid w:val="005B2FB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2DE"/>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62CE"/>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0709"/>
    <w:rsid w:val="00601639"/>
    <w:rsid w:val="006024F3"/>
    <w:rsid w:val="006028B7"/>
    <w:rsid w:val="00603543"/>
    <w:rsid w:val="00603572"/>
    <w:rsid w:val="00604ACB"/>
    <w:rsid w:val="006055FE"/>
    <w:rsid w:val="00605FE7"/>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911"/>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8EF"/>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EE2"/>
    <w:rsid w:val="006E0FAD"/>
    <w:rsid w:val="006E1E87"/>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1C9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7F"/>
    <w:rsid w:val="007A36E5"/>
    <w:rsid w:val="007A4A3D"/>
    <w:rsid w:val="007A4E3F"/>
    <w:rsid w:val="007A5090"/>
    <w:rsid w:val="007A5A11"/>
    <w:rsid w:val="007A5AB8"/>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D91"/>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08C"/>
    <w:rsid w:val="008461B4"/>
    <w:rsid w:val="008465CB"/>
    <w:rsid w:val="00846A62"/>
    <w:rsid w:val="0085127E"/>
    <w:rsid w:val="008515CC"/>
    <w:rsid w:val="008517C6"/>
    <w:rsid w:val="00851D79"/>
    <w:rsid w:val="00852898"/>
    <w:rsid w:val="00852F4F"/>
    <w:rsid w:val="00853308"/>
    <w:rsid w:val="008534CC"/>
    <w:rsid w:val="00853C98"/>
    <w:rsid w:val="00854103"/>
    <w:rsid w:val="00854773"/>
    <w:rsid w:val="008549B1"/>
    <w:rsid w:val="008550BA"/>
    <w:rsid w:val="0085543E"/>
    <w:rsid w:val="00855820"/>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6448"/>
    <w:rsid w:val="008872D7"/>
    <w:rsid w:val="00887E8C"/>
    <w:rsid w:val="00887F03"/>
    <w:rsid w:val="0089055E"/>
    <w:rsid w:val="00891448"/>
    <w:rsid w:val="008914A2"/>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561D"/>
    <w:rsid w:val="008C62EC"/>
    <w:rsid w:val="008C6316"/>
    <w:rsid w:val="008C7911"/>
    <w:rsid w:val="008C7FAF"/>
    <w:rsid w:val="008D0BE4"/>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6FE8"/>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F8"/>
    <w:rsid w:val="00970584"/>
    <w:rsid w:val="00970F04"/>
    <w:rsid w:val="009710FB"/>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73F"/>
    <w:rsid w:val="00981FC9"/>
    <w:rsid w:val="00982327"/>
    <w:rsid w:val="009833CB"/>
    <w:rsid w:val="009836FB"/>
    <w:rsid w:val="009837A3"/>
    <w:rsid w:val="00983F27"/>
    <w:rsid w:val="009843E2"/>
    <w:rsid w:val="0098582B"/>
    <w:rsid w:val="009858DA"/>
    <w:rsid w:val="009861EE"/>
    <w:rsid w:val="00987566"/>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A7E2A"/>
    <w:rsid w:val="009B0602"/>
    <w:rsid w:val="009B0987"/>
    <w:rsid w:val="009B121B"/>
    <w:rsid w:val="009B144A"/>
    <w:rsid w:val="009B14F4"/>
    <w:rsid w:val="009B177F"/>
    <w:rsid w:val="009B17DB"/>
    <w:rsid w:val="009B3199"/>
    <w:rsid w:val="009B38BC"/>
    <w:rsid w:val="009B4EC5"/>
    <w:rsid w:val="009B50CC"/>
    <w:rsid w:val="009B51A4"/>
    <w:rsid w:val="009B5ACD"/>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E01B8"/>
    <w:rsid w:val="009E0843"/>
    <w:rsid w:val="009E0B3D"/>
    <w:rsid w:val="009E18D5"/>
    <w:rsid w:val="009E1B79"/>
    <w:rsid w:val="009E1BC8"/>
    <w:rsid w:val="009E1E84"/>
    <w:rsid w:val="009E38AF"/>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64C7"/>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26F"/>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09A"/>
    <w:rsid w:val="00AF3BF4"/>
    <w:rsid w:val="00AF3F93"/>
    <w:rsid w:val="00AF48C9"/>
    <w:rsid w:val="00AF4BB9"/>
    <w:rsid w:val="00AF50BF"/>
    <w:rsid w:val="00AF5369"/>
    <w:rsid w:val="00AF5612"/>
    <w:rsid w:val="00AF5C96"/>
    <w:rsid w:val="00AF63E5"/>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6BA"/>
    <w:rsid w:val="00B62901"/>
    <w:rsid w:val="00B633AD"/>
    <w:rsid w:val="00B63682"/>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4E7"/>
    <w:rsid w:val="00B827FD"/>
    <w:rsid w:val="00B829D3"/>
    <w:rsid w:val="00B82AA3"/>
    <w:rsid w:val="00B82D29"/>
    <w:rsid w:val="00B83703"/>
    <w:rsid w:val="00B83B7C"/>
    <w:rsid w:val="00B83EBF"/>
    <w:rsid w:val="00B84F90"/>
    <w:rsid w:val="00B85A66"/>
    <w:rsid w:val="00B86E9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73B1"/>
    <w:rsid w:val="00C57B64"/>
    <w:rsid w:val="00C600EE"/>
    <w:rsid w:val="00C60567"/>
    <w:rsid w:val="00C611F9"/>
    <w:rsid w:val="00C6294C"/>
    <w:rsid w:val="00C62B06"/>
    <w:rsid w:val="00C62DF8"/>
    <w:rsid w:val="00C62E03"/>
    <w:rsid w:val="00C64192"/>
    <w:rsid w:val="00C647CB"/>
    <w:rsid w:val="00C64B47"/>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A1E"/>
    <w:rsid w:val="00CF0D83"/>
    <w:rsid w:val="00CF0EF2"/>
    <w:rsid w:val="00CF234B"/>
    <w:rsid w:val="00CF3400"/>
    <w:rsid w:val="00CF3BB6"/>
    <w:rsid w:val="00CF40C5"/>
    <w:rsid w:val="00CF4357"/>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632"/>
    <w:rsid w:val="00D46D5A"/>
    <w:rsid w:val="00D47282"/>
    <w:rsid w:val="00D4779F"/>
    <w:rsid w:val="00D478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6BB"/>
    <w:rsid w:val="00E1305B"/>
    <w:rsid w:val="00E134A9"/>
    <w:rsid w:val="00E135F9"/>
    <w:rsid w:val="00E1364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31DE"/>
    <w:rsid w:val="00E635C2"/>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58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6335"/>
    <w:rsid w:val="00EB722E"/>
    <w:rsid w:val="00EC091F"/>
    <w:rsid w:val="00EC0E72"/>
    <w:rsid w:val="00EC2028"/>
    <w:rsid w:val="00EC2317"/>
    <w:rsid w:val="00EC25BA"/>
    <w:rsid w:val="00EC2990"/>
    <w:rsid w:val="00EC2A4D"/>
    <w:rsid w:val="00EC3301"/>
    <w:rsid w:val="00EC340D"/>
    <w:rsid w:val="00EC348F"/>
    <w:rsid w:val="00EC3CE7"/>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115A"/>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D20"/>
    <w:rsid w:val="00F31E5C"/>
    <w:rsid w:val="00F32084"/>
    <w:rsid w:val="00F32457"/>
    <w:rsid w:val="00F32541"/>
    <w:rsid w:val="00F3254D"/>
    <w:rsid w:val="00F32569"/>
    <w:rsid w:val="00F32D1C"/>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665"/>
    <w:rsid w:val="00F50A23"/>
    <w:rsid w:val="00F50E9F"/>
    <w:rsid w:val="00F51174"/>
    <w:rsid w:val="00F518F3"/>
    <w:rsid w:val="00F5367B"/>
    <w:rsid w:val="00F54B12"/>
    <w:rsid w:val="00F55403"/>
    <w:rsid w:val="00F55934"/>
    <w:rsid w:val="00F5608F"/>
    <w:rsid w:val="00F579FF"/>
    <w:rsid w:val="00F6027C"/>
    <w:rsid w:val="00F60415"/>
    <w:rsid w:val="00F60DAD"/>
    <w:rsid w:val="00F60DE0"/>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7FF"/>
    <w:rsid w:val="00F71C01"/>
    <w:rsid w:val="00F721AC"/>
    <w:rsid w:val="00F7246A"/>
    <w:rsid w:val="00F73A04"/>
    <w:rsid w:val="00F73ECA"/>
    <w:rsid w:val="00F743A3"/>
    <w:rsid w:val="00F74A72"/>
    <w:rsid w:val="00F74DE7"/>
    <w:rsid w:val="00F74E5A"/>
    <w:rsid w:val="00F751B6"/>
    <w:rsid w:val="00F76A83"/>
    <w:rsid w:val="00F774C8"/>
    <w:rsid w:val="00F802C8"/>
    <w:rsid w:val="00F81D96"/>
    <w:rsid w:val="00F826E7"/>
    <w:rsid w:val="00F827AA"/>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5724"/>
    <w:rsid w:val="00F960B1"/>
    <w:rsid w:val="00F962B4"/>
    <w:rsid w:val="00F96CF3"/>
    <w:rsid w:val="00F972B0"/>
    <w:rsid w:val="00FA0210"/>
    <w:rsid w:val="00FA08D8"/>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818" TargetMode="External"/><Relationship Id="rId13" Type="http://schemas.openxmlformats.org/officeDocument/2006/relationships/hyperlink" Target="https://www.canlii.org/en/on/onscdc/doc/2019/2019onsc946/2019onsc946.html?searchUrlHash=AAAAAQANMjAxOSBPTkNBIDk0NgAAAAAB&amp;resultIndex=1" TargetMode="External"/><Relationship Id="rId18" Type="http://schemas.openxmlformats.org/officeDocument/2006/relationships/hyperlink" Target="https://www.canlii.org/en/qc/qcca/doc/2019/2019qcca973/2019qcca973.pdf" TargetMode="External"/><Relationship Id="rId26" Type="http://schemas.openxmlformats.org/officeDocument/2006/relationships/hyperlink" Target="http://canlii.ca/t/j1zgh" TargetMode="External"/><Relationship Id="rId3" Type="http://schemas.openxmlformats.org/officeDocument/2006/relationships/styles" Target="styles.xml"/><Relationship Id="rId21" Type="http://schemas.openxmlformats.org/officeDocument/2006/relationships/hyperlink" Target="file:///C:\Users\baloghs\AppData\Local\Microsoft\Windows\INetCache\Forms\AllDocumentsEn.aspx%3fView=%7b9B1018AF-C1E8-431B-8578-C5364878007E%7d&amp;FilterClear=1"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38859" TargetMode="External"/><Relationship Id="rId17" Type="http://schemas.openxmlformats.org/officeDocument/2006/relationships/hyperlink" Target="https://www.canlii.org/fr/qc/qccs/doc/2016/2016qccs5077/2016qccs5077.pdf" TargetMode="External"/><Relationship Id="rId25" Type="http://schemas.openxmlformats.org/officeDocument/2006/relationships/hyperlink" Target="http://canlii.ca/t/ht382"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anlii.ca/t/j23v5" TargetMode="External"/><Relationship Id="rId20" Type="http://schemas.openxmlformats.org/officeDocument/2006/relationships/hyperlink" Target="https://www.canlii.org/fr/qc/qcca/doc/2019/2019qcca973/2019qcca973.pdf" TargetMode="External"/><Relationship Id="rId29"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8709" TargetMode="External"/><Relationship Id="rId24" Type="http://schemas.openxmlformats.org/officeDocument/2006/relationships/hyperlink" Target="../../Forms/AllDocumentsEn.aspx?View=%7b9B1018AF-C1E8-431B-8578-C5364878007E%7d&amp;FilterClear=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nlii.ca/t/j23v5" TargetMode="External"/><Relationship Id="rId23" Type="http://schemas.openxmlformats.org/officeDocument/2006/relationships/hyperlink" Target="../../Forms/AllDocumentsEn.aspx?View=%7b9B1018AF-C1E8-431B-8578-C5364878007E%7d&amp;FilterClear=1" TargetMode="External"/><Relationship Id="rId28" Type="http://schemas.openxmlformats.org/officeDocument/2006/relationships/hyperlink" Target="http://canlii.ca/t/j1zgh" TargetMode="External"/><Relationship Id="rId36" Type="http://schemas.openxmlformats.org/officeDocument/2006/relationships/fontTable" Target="fontTable.xml"/><Relationship Id="rId10" Type="http://schemas.openxmlformats.org/officeDocument/2006/relationships/hyperlink" Target="https://www.scc-csc.ca/case-dossier/info/sum-som-fra.aspx?cas=38790" TargetMode="External"/><Relationship Id="rId19" Type="http://schemas.openxmlformats.org/officeDocument/2006/relationships/hyperlink" Target="https://www.canlii.org/fr/qc/qccs/doc/2016/2016qccs5077/2016qccs5077.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eng.aspx?cas=38854" TargetMode="External"/><Relationship Id="rId14" Type="http://schemas.openxmlformats.org/officeDocument/2006/relationships/hyperlink" Target="https://www.canlii.org/en/on/onscdc/doc/2019/2019onsc946/2019onsc946.html?searchUrlHash=AAAAAQANMjAxOSBPTkNBIDk0NgAAAAAB&amp;resultIndex=1" TargetMode="External"/><Relationship Id="rId22" Type="http://schemas.openxmlformats.org/officeDocument/2006/relationships/hyperlink" Target="file:///C:\Users\baloghs\AppData\Local\Microsoft\Windows\INetCache\Forms\AllDocumentsEn.aspx%3fView=%7b9B1018AF-C1E8-431B-8578-C5364878007E%7d&amp;FilterClear=1" TargetMode="External"/><Relationship Id="rId27" Type="http://schemas.openxmlformats.org/officeDocument/2006/relationships/hyperlink" Target="http://canlii.ca/t/ht382"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F9B1F-06A7-4C24-BF7D-1C7EB1CE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5165</Words>
  <Characters>29446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34542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2019-12-17T19:10:00Z</dcterms:created>
  <dcterms:modified xsi:type="dcterms:W3CDTF">2020-01-31T15:22:00Z</dcterms:modified>
</cp:coreProperties>
</file>