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C12BA" w:rsidRDefault="000E391F" w:rsidP="000E391F">
      <w:pPr>
        <w:pStyle w:val="Header"/>
        <w:jc w:val="center"/>
        <w:rPr>
          <w:b/>
          <w:sz w:val="32"/>
        </w:rPr>
      </w:pPr>
      <w:r w:rsidRPr="00EC12BA">
        <w:rPr>
          <w:b/>
          <w:sz w:val="32"/>
        </w:rPr>
        <w:t>Supreme Court of Canada / Cour suprême du Canada</w:t>
      </w:r>
    </w:p>
    <w:p w:rsidR="000E391F" w:rsidRPr="009D44AB" w:rsidRDefault="000E391F" w:rsidP="000E391F">
      <w:pPr>
        <w:widowControl w:val="0"/>
        <w:rPr>
          <w:i/>
          <w:sz w:val="20"/>
        </w:rPr>
      </w:pPr>
    </w:p>
    <w:p w:rsidR="000E391F" w:rsidRPr="009D44AB" w:rsidRDefault="000E391F" w:rsidP="000E391F">
      <w:pPr>
        <w:widowControl w:val="0"/>
        <w:rPr>
          <w:i/>
          <w:sz w:val="20"/>
        </w:rPr>
      </w:pPr>
    </w:p>
    <w:p w:rsidR="006F2579" w:rsidRPr="009D44AB" w:rsidRDefault="006F2579" w:rsidP="006F2579">
      <w:pPr>
        <w:widowControl w:val="0"/>
        <w:rPr>
          <w:i/>
          <w:sz w:val="20"/>
        </w:rPr>
      </w:pPr>
      <w:r w:rsidRPr="009D44AB">
        <w:rPr>
          <w:i/>
          <w:sz w:val="20"/>
        </w:rPr>
        <w:t>(</w:t>
      </w:r>
      <w:r w:rsidR="003240B6" w:rsidRPr="009D44AB">
        <w:rPr>
          <w:i/>
          <w:sz w:val="20"/>
        </w:rPr>
        <w:t>L</w:t>
      </w:r>
      <w:r w:rsidRPr="009D44AB">
        <w:rPr>
          <w:i/>
          <w:sz w:val="20"/>
        </w:rPr>
        <w:t>e français suit)</w:t>
      </w:r>
    </w:p>
    <w:p w:rsidR="006F2579" w:rsidRPr="009D44AB" w:rsidRDefault="006F2579" w:rsidP="006F2579">
      <w:pPr>
        <w:widowControl w:val="0"/>
        <w:rPr>
          <w:sz w:val="20"/>
        </w:rPr>
      </w:pPr>
    </w:p>
    <w:p w:rsidR="006F2579" w:rsidRPr="00EC12BA" w:rsidRDefault="00B07908" w:rsidP="006F2579">
      <w:pPr>
        <w:widowControl w:val="0"/>
        <w:jc w:val="center"/>
        <w:rPr>
          <w:b/>
          <w:szCs w:val="22"/>
        </w:rPr>
      </w:pPr>
      <w:r w:rsidRPr="00EC12BA">
        <w:rPr>
          <w:szCs w:val="22"/>
        </w:rPr>
        <w:fldChar w:fldCharType="begin"/>
      </w:r>
      <w:r w:rsidR="006F2579" w:rsidRPr="00EC12BA">
        <w:rPr>
          <w:szCs w:val="22"/>
        </w:rPr>
        <w:instrText xml:space="preserve"> SEQ CHAPTER \h \r 1</w:instrText>
      </w:r>
      <w:r w:rsidRPr="00EC12BA">
        <w:rPr>
          <w:szCs w:val="22"/>
        </w:rPr>
        <w:fldChar w:fldCharType="end"/>
      </w:r>
      <w:r w:rsidR="006F2579" w:rsidRPr="00EC12BA">
        <w:rPr>
          <w:b/>
          <w:szCs w:val="22"/>
        </w:rPr>
        <w:t>JUDGMENT</w:t>
      </w:r>
      <w:r w:rsidR="00B17AAC" w:rsidRPr="00EC12BA">
        <w:rPr>
          <w:b/>
          <w:szCs w:val="22"/>
        </w:rPr>
        <w:t>S</w:t>
      </w:r>
      <w:r w:rsidR="006F2579" w:rsidRPr="00EC12BA">
        <w:rPr>
          <w:b/>
          <w:szCs w:val="22"/>
        </w:rPr>
        <w:t xml:space="preserve"> TO B</w:t>
      </w:r>
      <w:r w:rsidR="00001846" w:rsidRPr="00EC12BA">
        <w:rPr>
          <w:b/>
          <w:szCs w:val="22"/>
        </w:rPr>
        <w:t>E RENDERED IN LE</w:t>
      </w:r>
      <w:r w:rsidR="00A0288A" w:rsidRPr="00EC12BA">
        <w:rPr>
          <w:b/>
          <w:szCs w:val="22"/>
        </w:rPr>
        <w:t>A</w:t>
      </w:r>
      <w:r w:rsidR="00001846" w:rsidRPr="00EC12BA">
        <w:rPr>
          <w:b/>
          <w:szCs w:val="22"/>
        </w:rPr>
        <w:t>VE APPLICATION</w:t>
      </w:r>
      <w:r w:rsidR="00E94FDF" w:rsidRPr="00EC12BA">
        <w:rPr>
          <w:b/>
          <w:szCs w:val="22"/>
        </w:rPr>
        <w:t>S</w:t>
      </w:r>
    </w:p>
    <w:p w:rsidR="006F2579" w:rsidRPr="00EC12BA" w:rsidRDefault="006F2579" w:rsidP="006F2579">
      <w:pPr>
        <w:widowControl w:val="0"/>
        <w:rPr>
          <w:szCs w:val="22"/>
        </w:rPr>
      </w:pPr>
    </w:p>
    <w:p w:rsidR="006F2579" w:rsidRPr="00EC12BA" w:rsidRDefault="002012D7" w:rsidP="006F2579">
      <w:pPr>
        <w:widowControl w:val="0"/>
        <w:rPr>
          <w:szCs w:val="22"/>
        </w:rPr>
      </w:pPr>
      <w:r w:rsidRPr="00EC12BA">
        <w:rPr>
          <w:b/>
          <w:szCs w:val="22"/>
        </w:rPr>
        <w:t>February</w:t>
      </w:r>
      <w:r w:rsidR="00A15B66" w:rsidRPr="00EC12BA">
        <w:rPr>
          <w:b/>
          <w:szCs w:val="22"/>
        </w:rPr>
        <w:t xml:space="preserve"> </w:t>
      </w:r>
      <w:r w:rsidR="00955BA2" w:rsidRPr="00EC12BA">
        <w:rPr>
          <w:b/>
          <w:szCs w:val="22"/>
        </w:rPr>
        <w:t>10</w:t>
      </w:r>
      <w:r w:rsidR="004441C7" w:rsidRPr="00EC12BA">
        <w:rPr>
          <w:b/>
          <w:szCs w:val="22"/>
        </w:rPr>
        <w:t>,</w:t>
      </w:r>
      <w:r w:rsidR="006F2579" w:rsidRPr="00EC12BA">
        <w:rPr>
          <w:b/>
          <w:szCs w:val="22"/>
        </w:rPr>
        <w:t xml:space="preserve"> </w:t>
      </w:r>
      <w:r w:rsidR="0054689F" w:rsidRPr="00EC12BA">
        <w:rPr>
          <w:b/>
          <w:szCs w:val="22"/>
        </w:rPr>
        <w:t>20</w:t>
      </w:r>
      <w:r w:rsidR="00526754" w:rsidRPr="00EC12BA">
        <w:rPr>
          <w:b/>
          <w:szCs w:val="22"/>
        </w:rPr>
        <w:t>20</w:t>
      </w:r>
    </w:p>
    <w:p w:rsidR="006F2579" w:rsidRPr="00EC12BA" w:rsidRDefault="00674F39" w:rsidP="006F2579">
      <w:pPr>
        <w:widowControl w:val="0"/>
        <w:rPr>
          <w:b/>
          <w:szCs w:val="22"/>
        </w:rPr>
      </w:pPr>
      <w:r w:rsidRPr="00EC12BA">
        <w:rPr>
          <w:b/>
          <w:szCs w:val="22"/>
        </w:rPr>
        <w:t>For immediate release</w:t>
      </w:r>
    </w:p>
    <w:p w:rsidR="006F2579" w:rsidRPr="00EC12BA" w:rsidRDefault="006F2579" w:rsidP="006F2579">
      <w:pPr>
        <w:widowControl w:val="0"/>
        <w:rPr>
          <w:szCs w:val="22"/>
        </w:rPr>
      </w:pPr>
    </w:p>
    <w:p w:rsidR="006F2579" w:rsidRPr="00EC12BA" w:rsidRDefault="006F2579" w:rsidP="006F2579">
      <w:pPr>
        <w:widowControl w:val="0"/>
        <w:rPr>
          <w:szCs w:val="22"/>
          <w:lang w:val="fr-CA"/>
        </w:rPr>
      </w:pPr>
      <w:r w:rsidRPr="00EC12BA">
        <w:rPr>
          <w:b/>
          <w:szCs w:val="22"/>
        </w:rPr>
        <w:t>OTTAWA</w:t>
      </w:r>
      <w:r w:rsidRPr="00EC12BA">
        <w:rPr>
          <w:szCs w:val="22"/>
        </w:rPr>
        <w:t xml:space="preserve"> – The Supreme Court of Canad</w:t>
      </w:r>
      <w:r w:rsidR="006246E4" w:rsidRPr="00EC12BA">
        <w:rPr>
          <w:szCs w:val="22"/>
        </w:rPr>
        <w:t>a</w:t>
      </w:r>
      <w:r w:rsidRPr="00EC12BA">
        <w:rPr>
          <w:szCs w:val="22"/>
        </w:rPr>
        <w:t xml:space="preserve"> announced today that judgment in the following </w:t>
      </w:r>
      <w:r w:rsidR="00DB6199" w:rsidRPr="00EC12BA">
        <w:rPr>
          <w:szCs w:val="22"/>
        </w:rPr>
        <w:t xml:space="preserve">leave applications </w:t>
      </w:r>
      <w:r w:rsidRPr="00EC12BA">
        <w:rPr>
          <w:szCs w:val="22"/>
        </w:rPr>
        <w:t xml:space="preserve">will be delivered at 9:45 a.m. </w:t>
      </w:r>
      <w:r w:rsidR="00E05816" w:rsidRPr="00EC12BA">
        <w:rPr>
          <w:szCs w:val="22"/>
        </w:rPr>
        <w:t>E</w:t>
      </w:r>
      <w:r w:rsidR="000E391F" w:rsidRPr="00EC12BA">
        <w:rPr>
          <w:szCs w:val="22"/>
        </w:rPr>
        <w:t>S</w:t>
      </w:r>
      <w:r w:rsidR="00E05816" w:rsidRPr="00EC12BA">
        <w:rPr>
          <w:szCs w:val="22"/>
        </w:rPr>
        <w:t>T</w:t>
      </w:r>
      <w:r w:rsidRPr="00EC12BA">
        <w:rPr>
          <w:szCs w:val="22"/>
        </w:rPr>
        <w:t xml:space="preserve"> on Thursday, </w:t>
      </w:r>
      <w:r w:rsidR="002012D7" w:rsidRPr="00EC12BA">
        <w:rPr>
          <w:szCs w:val="22"/>
        </w:rPr>
        <w:t>February</w:t>
      </w:r>
      <w:r w:rsidR="00455912" w:rsidRPr="00EC12BA">
        <w:rPr>
          <w:szCs w:val="22"/>
        </w:rPr>
        <w:t xml:space="preserve"> </w:t>
      </w:r>
      <w:r w:rsidR="00955BA2" w:rsidRPr="00EC12BA">
        <w:rPr>
          <w:szCs w:val="22"/>
        </w:rPr>
        <w:t>13</w:t>
      </w:r>
      <w:r w:rsidR="007E112F" w:rsidRPr="00EC12BA">
        <w:rPr>
          <w:szCs w:val="22"/>
        </w:rPr>
        <w:t>,</w:t>
      </w:r>
      <w:r w:rsidR="002F38D7" w:rsidRPr="00EC12BA">
        <w:rPr>
          <w:szCs w:val="22"/>
        </w:rPr>
        <w:t xml:space="preserve"> </w:t>
      </w:r>
      <w:r w:rsidR="006648D1" w:rsidRPr="00EC12BA">
        <w:rPr>
          <w:szCs w:val="22"/>
        </w:rPr>
        <w:t>20</w:t>
      </w:r>
      <w:r w:rsidR="00526754" w:rsidRPr="00EC12BA">
        <w:rPr>
          <w:szCs w:val="22"/>
        </w:rPr>
        <w:t>20</w:t>
      </w:r>
      <w:r w:rsidRPr="00EC12BA">
        <w:rPr>
          <w:szCs w:val="22"/>
        </w:rPr>
        <w:t xml:space="preserve">. </w:t>
      </w:r>
      <w:r w:rsidRPr="00EC12BA">
        <w:rPr>
          <w:szCs w:val="22"/>
          <w:lang w:val="fr-CA"/>
        </w:rPr>
        <w:t>This list is subject to chang</w:t>
      </w:r>
      <w:r w:rsidR="00192F7F" w:rsidRPr="00EC12BA">
        <w:rPr>
          <w:szCs w:val="22"/>
          <w:lang w:val="fr-CA"/>
        </w:rPr>
        <w:t>e</w:t>
      </w:r>
      <w:r w:rsidRPr="00EC12BA">
        <w:rPr>
          <w:szCs w:val="22"/>
          <w:lang w:val="fr-CA"/>
        </w:rPr>
        <w:t>.</w:t>
      </w:r>
    </w:p>
    <w:p w:rsidR="00FF5AA4" w:rsidRPr="00EC12BA" w:rsidRDefault="00FF5AA4" w:rsidP="006F2579">
      <w:pPr>
        <w:widowControl w:val="0"/>
        <w:rPr>
          <w:szCs w:val="22"/>
          <w:lang w:val="fr-CA"/>
        </w:rPr>
      </w:pPr>
    </w:p>
    <w:p w:rsidR="00B43418" w:rsidRPr="00EC12BA" w:rsidRDefault="00B43418" w:rsidP="006F2579">
      <w:pPr>
        <w:widowControl w:val="0"/>
        <w:rPr>
          <w:szCs w:val="22"/>
          <w:lang w:val="fr-CA"/>
        </w:rPr>
      </w:pPr>
    </w:p>
    <w:p w:rsidR="006F2579" w:rsidRPr="00EC12BA" w:rsidRDefault="006F2579" w:rsidP="006F2579">
      <w:pPr>
        <w:widowControl w:val="0"/>
        <w:jc w:val="center"/>
        <w:rPr>
          <w:szCs w:val="22"/>
          <w:lang w:val="fr-CA"/>
        </w:rPr>
      </w:pPr>
      <w:r w:rsidRPr="00EC12BA">
        <w:rPr>
          <w:b/>
          <w:szCs w:val="22"/>
          <w:lang w:val="fr-CA"/>
        </w:rPr>
        <w:t>PROCHAIN</w:t>
      </w:r>
      <w:r w:rsidR="00B17AAC" w:rsidRPr="00EC12BA">
        <w:rPr>
          <w:b/>
          <w:szCs w:val="22"/>
          <w:lang w:val="fr-CA"/>
        </w:rPr>
        <w:t>S</w:t>
      </w:r>
      <w:r w:rsidRPr="00EC12BA">
        <w:rPr>
          <w:b/>
          <w:szCs w:val="22"/>
          <w:lang w:val="fr-CA"/>
        </w:rPr>
        <w:t xml:space="preserve"> JUGEMENT</w:t>
      </w:r>
      <w:r w:rsidR="00B17AAC" w:rsidRPr="00EC12BA">
        <w:rPr>
          <w:b/>
          <w:szCs w:val="22"/>
          <w:lang w:val="fr-CA"/>
        </w:rPr>
        <w:t>S</w:t>
      </w:r>
      <w:r w:rsidR="00001846" w:rsidRPr="00EC12BA">
        <w:rPr>
          <w:b/>
          <w:szCs w:val="22"/>
          <w:lang w:val="fr-CA"/>
        </w:rPr>
        <w:t xml:space="preserve"> SUR DEMANDE</w:t>
      </w:r>
      <w:r w:rsidR="00B17AAC" w:rsidRPr="00EC12BA">
        <w:rPr>
          <w:b/>
          <w:szCs w:val="22"/>
          <w:lang w:val="fr-CA"/>
        </w:rPr>
        <w:t>S</w:t>
      </w:r>
      <w:r w:rsidRPr="00EC12BA">
        <w:rPr>
          <w:b/>
          <w:szCs w:val="22"/>
          <w:lang w:val="fr-CA"/>
        </w:rPr>
        <w:t xml:space="preserve"> D’AUTORISATION</w:t>
      </w:r>
    </w:p>
    <w:p w:rsidR="006F2579" w:rsidRPr="00EC12BA" w:rsidRDefault="006F2579" w:rsidP="006F2579">
      <w:pPr>
        <w:widowControl w:val="0"/>
        <w:rPr>
          <w:szCs w:val="22"/>
          <w:lang w:val="fr-CA"/>
        </w:rPr>
      </w:pPr>
    </w:p>
    <w:p w:rsidR="006F2579" w:rsidRPr="00EC12BA" w:rsidRDefault="006F2579" w:rsidP="006F2579">
      <w:pPr>
        <w:widowControl w:val="0"/>
        <w:rPr>
          <w:szCs w:val="22"/>
          <w:lang w:val="fr-CA"/>
        </w:rPr>
      </w:pPr>
      <w:r w:rsidRPr="00EC12BA">
        <w:rPr>
          <w:b/>
          <w:szCs w:val="22"/>
          <w:lang w:val="fr-CA"/>
        </w:rPr>
        <w:t>Le</w:t>
      </w:r>
      <w:r w:rsidR="00957A76" w:rsidRPr="00EC12BA">
        <w:rPr>
          <w:b/>
          <w:szCs w:val="22"/>
          <w:lang w:val="fr-CA"/>
        </w:rPr>
        <w:t xml:space="preserve"> </w:t>
      </w:r>
      <w:r w:rsidR="00955BA2" w:rsidRPr="00EC12BA">
        <w:rPr>
          <w:b/>
          <w:szCs w:val="22"/>
          <w:lang w:val="fr-CA"/>
        </w:rPr>
        <w:t>10</w:t>
      </w:r>
      <w:r w:rsidR="00A15B66" w:rsidRPr="00EC12BA">
        <w:rPr>
          <w:b/>
          <w:szCs w:val="22"/>
          <w:lang w:val="fr-CA"/>
        </w:rPr>
        <w:t xml:space="preserve"> </w:t>
      </w:r>
      <w:r w:rsidR="002012D7" w:rsidRPr="00EC12BA">
        <w:rPr>
          <w:b/>
          <w:szCs w:val="22"/>
          <w:lang w:val="fr-CA"/>
        </w:rPr>
        <w:t>fé</w:t>
      </w:r>
      <w:r w:rsidR="00526754" w:rsidRPr="00EC12BA">
        <w:rPr>
          <w:b/>
          <w:szCs w:val="22"/>
          <w:lang w:val="fr-CA"/>
        </w:rPr>
        <w:t>v</w:t>
      </w:r>
      <w:r w:rsidR="002012D7" w:rsidRPr="00EC12BA">
        <w:rPr>
          <w:b/>
          <w:szCs w:val="22"/>
          <w:lang w:val="fr-CA"/>
        </w:rPr>
        <w:t>r</w:t>
      </w:r>
      <w:r w:rsidR="00526754" w:rsidRPr="00EC12BA">
        <w:rPr>
          <w:b/>
          <w:szCs w:val="22"/>
          <w:lang w:val="fr-CA"/>
        </w:rPr>
        <w:t>ier</w:t>
      </w:r>
      <w:r w:rsidR="00A151D1" w:rsidRPr="00EC12BA">
        <w:rPr>
          <w:b/>
          <w:szCs w:val="22"/>
          <w:lang w:val="fr-CA"/>
        </w:rPr>
        <w:t xml:space="preserve"> 20</w:t>
      </w:r>
      <w:r w:rsidR="00526754" w:rsidRPr="00EC12BA">
        <w:rPr>
          <w:b/>
          <w:szCs w:val="22"/>
          <w:lang w:val="fr-CA"/>
        </w:rPr>
        <w:t>20</w:t>
      </w:r>
    </w:p>
    <w:p w:rsidR="006F2579" w:rsidRPr="00EC12BA" w:rsidRDefault="006F2579" w:rsidP="006F2579">
      <w:pPr>
        <w:widowControl w:val="0"/>
        <w:rPr>
          <w:b/>
          <w:szCs w:val="22"/>
          <w:lang w:val="fr-CA"/>
        </w:rPr>
      </w:pPr>
      <w:r w:rsidRPr="00EC12BA">
        <w:rPr>
          <w:b/>
          <w:szCs w:val="22"/>
          <w:lang w:val="fr-CA"/>
        </w:rPr>
        <w:t>Pour diffusion immédiate</w:t>
      </w:r>
    </w:p>
    <w:p w:rsidR="006F2579" w:rsidRPr="00EC12BA" w:rsidRDefault="006F2579" w:rsidP="006F2579">
      <w:pPr>
        <w:widowControl w:val="0"/>
        <w:rPr>
          <w:szCs w:val="22"/>
          <w:lang w:val="fr-CA"/>
        </w:rPr>
      </w:pPr>
    </w:p>
    <w:p w:rsidR="006F2579" w:rsidRPr="00EC12BA" w:rsidRDefault="006F2579" w:rsidP="006F2579">
      <w:pPr>
        <w:widowControl w:val="0"/>
        <w:rPr>
          <w:szCs w:val="22"/>
          <w:lang w:val="fr-CA"/>
        </w:rPr>
      </w:pPr>
      <w:r w:rsidRPr="00EC12BA">
        <w:rPr>
          <w:b/>
          <w:szCs w:val="22"/>
          <w:lang w:val="fr-CA"/>
        </w:rPr>
        <w:t>OTTAWA</w:t>
      </w:r>
      <w:r w:rsidRPr="00EC12BA">
        <w:rPr>
          <w:szCs w:val="22"/>
          <w:lang w:val="fr-CA"/>
        </w:rPr>
        <w:t xml:space="preserve"> – La Cour suprême du Canada annonce que jugement ser</w:t>
      </w:r>
      <w:r w:rsidR="004259F9" w:rsidRPr="00EC12BA">
        <w:rPr>
          <w:szCs w:val="22"/>
          <w:lang w:val="fr-CA"/>
        </w:rPr>
        <w:t>a</w:t>
      </w:r>
      <w:r w:rsidRPr="00EC12BA">
        <w:rPr>
          <w:szCs w:val="22"/>
          <w:lang w:val="fr-CA"/>
        </w:rPr>
        <w:t xml:space="preserve"> rendu dans l</w:t>
      </w:r>
      <w:r w:rsidR="008600ED" w:rsidRPr="00EC12BA">
        <w:rPr>
          <w:szCs w:val="22"/>
          <w:lang w:val="fr-CA"/>
        </w:rPr>
        <w:t>es</w:t>
      </w:r>
      <w:r w:rsidRPr="00EC12BA">
        <w:rPr>
          <w:szCs w:val="22"/>
          <w:lang w:val="fr-CA"/>
        </w:rPr>
        <w:t xml:space="preserve"> demande</w:t>
      </w:r>
      <w:r w:rsidR="008600ED" w:rsidRPr="00EC12BA">
        <w:rPr>
          <w:szCs w:val="22"/>
          <w:lang w:val="fr-CA"/>
        </w:rPr>
        <w:t>s</w:t>
      </w:r>
      <w:r w:rsidRPr="00EC12BA">
        <w:rPr>
          <w:szCs w:val="22"/>
          <w:lang w:val="fr-CA"/>
        </w:rPr>
        <w:t xml:space="preserve"> d</w:t>
      </w:r>
      <w:r w:rsidR="00001846" w:rsidRPr="00EC12BA">
        <w:rPr>
          <w:szCs w:val="22"/>
          <w:lang w:val="fr-CA"/>
        </w:rPr>
        <w:t>’autorisation suivante</w:t>
      </w:r>
      <w:r w:rsidR="008600ED" w:rsidRPr="00EC12BA">
        <w:rPr>
          <w:szCs w:val="22"/>
          <w:lang w:val="fr-CA"/>
        </w:rPr>
        <w:t>s</w:t>
      </w:r>
      <w:r w:rsidRPr="00EC12BA">
        <w:rPr>
          <w:szCs w:val="22"/>
          <w:lang w:val="fr-CA"/>
        </w:rPr>
        <w:t xml:space="preserve"> le jeudi </w:t>
      </w:r>
      <w:r w:rsidR="00955BA2" w:rsidRPr="00EC12BA">
        <w:rPr>
          <w:szCs w:val="22"/>
          <w:lang w:val="fr-CA"/>
        </w:rPr>
        <w:t>13</w:t>
      </w:r>
      <w:r w:rsidR="00780317" w:rsidRPr="00EC12BA">
        <w:rPr>
          <w:szCs w:val="22"/>
          <w:lang w:val="fr-CA"/>
        </w:rPr>
        <w:t xml:space="preserve"> </w:t>
      </w:r>
      <w:r w:rsidR="002012D7" w:rsidRPr="00EC12BA">
        <w:rPr>
          <w:szCs w:val="22"/>
          <w:lang w:val="fr-CA"/>
        </w:rPr>
        <w:t>février</w:t>
      </w:r>
      <w:r w:rsidR="00694391" w:rsidRPr="00EC12BA">
        <w:rPr>
          <w:szCs w:val="22"/>
          <w:lang w:val="fr-CA"/>
        </w:rPr>
        <w:t xml:space="preserve"> 2</w:t>
      </w:r>
      <w:r w:rsidR="006648D1" w:rsidRPr="00EC12BA">
        <w:rPr>
          <w:szCs w:val="22"/>
          <w:lang w:val="fr-CA"/>
        </w:rPr>
        <w:t>0</w:t>
      </w:r>
      <w:r w:rsidR="00526754" w:rsidRPr="00EC12BA">
        <w:rPr>
          <w:szCs w:val="22"/>
          <w:lang w:val="fr-CA"/>
        </w:rPr>
        <w:t>20</w:t>
      </w:r>
      <w:r w:rsidRPr="00EC12BA">
        <w:rPr>
          <w:szCs w:val="22"/>
          <w:lang w:val="fr-CA"/>
        </w:rPr>
        <w:t xml:space="preserve">, à 9 h 45 </w:t>
      </w:r>
      <w:r w:rsidR="000627A2" w:rsidRPr="00EC12BA">
        <w:rPr>
          <w:szCs w:val="22"/>
          <w:lang w:val="fr-CA"/>
        </w:rPr>
        <w:t>H</w:t>
      </w:r>
      <w:r w:rsidR="000E391F" w:rsidRPr="00EC12BA">
        <w:rPr>
          <w:szCs w:val="22"/>
          <w:lang w:val="fr-CA"/>
        </w:rPr>
        <w:t>N</w:t>
      </w:r>
      <w:r w:rsidRPr="00EC12BA">
        <w:rPr>
          <w:szCs w:val="22"/>
          <w:lang w:val="fr-CA"/>
        </w:rPr>
        <w:t>E. Cette liste est sujette à modifications.</w:t>
      </w:r>
    </w:p>
    <w:p w:rsidR="0080556B" w:rsidRPr="009D44AB" w:rsidRDefault="0080556B" w:rsidP="009B14F4">
      <w:pPr>
        <w:widowControl w:val="0"/>
        <w:jc w:val="both"/>
        <w:rPr>
          <w:sz w:val="20"/>
          <w:lang w:val="fr-CA"/>
        </w:rPr>
      </w:pPr>
    </w:p>
    <w:p w:rsidR="003877FB" w:rsidRPr="009D44AB" w:rsidRDefault="00BB65F4" w:rsidP="009B14F4">
      <w:pPr>
        <w:widowControl w:val="0"/>
        <w:jc w:val="both"/>
        <w:rPr>
          <w:sz w:val="20"/>
          <w:lang w:val="fr-CA"/>
        </w:rPr>
      </w:pPr>
      <w:r>
        <w:rPr>
          <w:sz w:val="20"/>
        </w:rPr>
        <w:pict>
          <v:rect id="_x0000_i1025" style="width:2in;height:1pt" o:hrpct="0" o:hralign="center" o:hrstd="t" o:hrnoshade="t" o:hr="t" fillcolor="black [3213]" stroked="f"/>
        </w:pict>
      </w:r>
    </w:p>
    <w:p w:rsidR="001838E0" w:rsidRPr="009D44AB" w:rsidRDefault="001838E0" w:rsidP="009B14F4">
      <w:pPr>
        <w:widowControl w:val="0"/>
        <w:jc w:val="both"/>
        <w:rPr>
          <w:sz w:val="20"/>
          <w:lang w:val="fr-CA"/>
        </w:rPr>
      </w:pPr>
    </w:p>
    <w:p w:rsidR="003D0B0F" w:rsidRPr="00F61970" w:rsidRDefault="003D0B0F" w:rsidP="00253B15">
      <w:pPr>
        <w:pStyle w:val="ListParagraph"/>
        <w:numPr>
          <w:ilvl w:val="0"/>
          <w:numId w:val="24"/>
        </w:numPr>
        <w:ind w:left="357" w:hanging="357"/>
        <w:rPr>
          <w:sz w:val="20"/>
          <w:szCs w:val="20"/>
        </w:rPr>
      </w:pPr>
      <w:proofErr w:type="spellStart"/>
      <w:r w:rsidRPr="00F61970">
        <w:rPr>
          <w:i/>
          <w:sz w:val="20"/>
          <w:szCs w:val="20"/>
        </w:rPr>
        <w:t>Rodica</w:t>
      </w:r>
      <w:proofErr w:type="spellEnd"/>
      <w:r w:rsidRPr="00F61970">
        <w:rPr>
          <w:i/>
          <w:sz w:val="20"/>
          <w:szCs w:val="20"/>
        </w:rPr>
        <w:t xml:space="preserve"> </w:t>
      </w:r>
      <w:proofErr w:type="spellStart"/>
      <w:r w:rsidRPr="00F61970">
        <w:rPr>
          <w:i/>
          <w:sz w:val="20"/>
          <w:szCs w:val="20"/>
        </w:rPr>
        <w:t>Radita</w:t>
      </w:r>
      <w:proofErr w:type="spellEnd"/>
      <w:r w:rsidRPr="00F61970">
        <w:rPr>
          <w:i/>
          <w:sz w:val="20"/>
          <w:szCs w:val="20"/>
        </w:rPr>
        <w:t>, et al. v. Her Majesty the Queen</w:t>
      </w:r>
      <w:r w:rsidRPr="00F61970">
        <w:rPr>
          <w:sz w:val="20"/>
          <w:szCs w:val="20"/>
        </w:rPr>
        <w:t xml:space="preserve"> (Alta.) (Criminal) (By Leave)</w:t>
      </w:r>
      <w:r w:rsidR="00661BB7" w:rsidRPr="00F61970">
        <w:rPr>
          <w:sz w:val="20"/>
          <w:szCs w:val="20"/>
        </w:rPr>
        <w:t xml:space="preserve"> (</w:t>
      </w:r>
      <w:hyperlink r:id="rId8" w:history="1">
        <w:r w:rsidR="00661BB7" w:rsidRPr="00F61970">
          <w:rPr>
            <w:rStyle w:val="Hyperlink"/>
            <w:sz w:val="20"/>
            <w:szCs w:val="20"/>
          </w:rPr>
          <w:t>388</w:t>
        </w:r>
        <w:r w:rsidR="004237F6" w:rsidRPr="00F61970">
          <w:rPr>
            <w:rStyle w:val="Hyperlink"/>
            <w:sz w:val="20"/>
            <w:szCs w:val="20"/>
          </w:rPr>
          <w:t>79</w:t>
        </w:r>
      </w:hyperlink>
      <w:r w:rsidR="00661BB7" w:rsidRPr="00F61970">
        <w:rPr>
          <w:sz w:val="20"/>
          <w:szCs w:val="20"/>
        </w:rPr>
        <w:t>)</w:t>
      </w:r>
    </w:p>
    <w:p w:rsidR="003D0B0F" w:rsidRPr="00F61970" w:rsidRDefault="003D0B0F" w:rsidP="00253B15">
      <w:pPr>
        <w:ind w:left="357" w:hanging="357"/>
        <w:rPr>
          <w:sz w:val="20"/>
        </w:rPr>
      </w:pPr>
    </w:p>
    <w:p w:rsidR="003D0B0F" w:rsidRPr="00F61970" w:rsidRDefault="003D0B0F" w:rsidP="00253B15">
      <w:pPr>
        <w:pStyle w:val="ListParagraph"/>
        <w:numPr>
          <w:ilvl w:val="0"/>
          <w:numId w:val="24"/>
        </w:numPr>
        <w:ind w:left="357" w:hanging="357"/>
        <w:rPr>
          <w:sz w:val="20"/>
          <w:szCs w:val="20"/>
        </w:rPr>
      </w:pPr>
      <w:r w:rsidRPr="00F61970">
        <w:rPr>
          <w:i/>
          <w:sz w:val="20"/>
          <w:szCs w:val="20"/>
        </w:rPr>
        <w:t xml:space="preserve">Golam Mehedi v. Her Majesty the Queen </w:t>
      </w:r>
      <w:r w:rsidRPr="00F61970">
        <w:rPr>
          <w:sz w:val="20"/>
          <w:szCs w:val="20"/>
        </w:rPr>
        <w:t>(Ont.) (Civil) (By Leave)</w:t>
      </w:r>
      <w:r w:rsidR="00661BB7" w:rsidRPr="00F61970">
        <w:rPr>
          <w:sz w:val="20"/>
          <w:szCs w:val="20"/>
        </w:rPr>
        <w:t xml:space="preserve"> (</w:t>
      </w:r>
      <w:hyperlink r:id="rId9" w:history="1">
        <w:r w:rsidR="00661BB7" w:rsidRPr="00F61970">
          <w:rPr>
            <w:rStyle w:val="Hyperlink"/>
            <w:sz w:val="20"/>
            <w:szCs w:val="20"/>
          </w:rPr>
          <w:t>38</w:t>
        </w:r>
        <w:r w:rsidR="002477D7" w:rsidRPr="00F61970">
          <w:rPr>
            <w:rStyle w:val="Hyperlink"/>
            <w:sz w:val="20"/>
            <w:szCs w:val="20"/>
          </w:rPr>
          <w:t>901</w:t>
        </w:r>
      </w:hyperlink>
      <w:r w:rsidR="00661BB7" w:rsidRPr="00F61970">
        <w:rPr>
          <w:sz w:val="20"/>
          <w:szCs w:val="20"/>
        </w:rPr>
        <w:t>)</w:t>
      </w:r>
    </w:p>
    <w:p w:rsidR="003D0B0F" w:rsidRPr="00F61970" w:rsidRDefault="003D0B0F" w:rsidP="00253B15">
      <w:pPr>
        <w:ind w:left="357" w:hanging="357"/>
        <w:rPr>
          <w:sz w:val="20"/>
        </w:rPr>
      </w:pPr>
    </w:p>
    <w:p w:rsidR="003D0B0F" w:rsidRPr="00F61970" w:rsidRDefault="003D0B0F" w:rsidP="00253B15">
      <w:pPr>
        <w:pStyle w:val="ListParagraph"/>
        <w:numPr>
          <w:ilvl w:val="0"/>
          <w:numId w:val="24"/>
        </w:numPr>
        <w:ind w:left="357" w:hanging="357"/>
        <w:rPr>
          <w:sz w:val="20"/>
          <w:szCs w:val="20"/>
        </w:rPr>
      </w:pPr>
      <w:r w:rsidRPr="00F61970">
        <w:rPr>
          <w:i/>
          <w:sz w:val="20"/>
          <w:szCs w:val="20"/>
        </w:rPr>
        <w:t>Robert Meerman v. Her Majesty the Queen</w:t>
      </w:r>
      <w:r w:rsidRPr="00F61970">
        <w:rPr>
          <w:sz w:val="20"/>
          <w:szCs w:val="20"/>
        </w:rPr>
        <w:t xml:space="preserve"> (F.C.</w:t>
      </w:r>
      <w:r w:rsidR="00C17CC9" w:rsidRPr="00F61970">
        <w:rPr>
          <w:sz w:val="20"/>
          <w:szCs w:val="20"/>
        </w:rPr>
        <w:t>) (Civil) (By Leave)</w:t>
      </w:r>
      <w:r w:rsidR="00661BB7" w:rsidRPr="00F61970">
        <w:rPr>
          <w:sz w:val="20"/>
          <w:szCs w:val="20"/>
        </w:rPr>
        <w:t xml:space="preserve"> (</w:t>
      </w:r>
      <w:hyperlink r:id="rId10" w:history="1">
        <w:r w:rsidR="00661BB7" w:rsidRPr="00F61970">
          <w:rPr>
            <w:rStyle w:val="Hyperlink"/>
            <w:sz w:val="20"/>
            <w:szCs w:val="20"/>
          </w:rPr>
          <w:t>388</w:t>
        </w:r>
        <w:r w:rsidR="006A6996" w:rsidRPr="00F61970">
          <w:rPr>
            <w:rStyle w:val="Hyperlink"/>
            <w:sz w:val="20"/>
            <w:szCs w:val="20"/>
          </w:rPr>
          <w:t>86</w:t>
        </w:r>
      </w:hyperlink>
      <w:r w:rsidR="00661BB7" w:rsidRPr="00F61970">
        <w:rPr>
          <w:sz w:val="20"/>
          <w:szCs w:val="20"/>
        </w:rPr>
        <w:t>)</w:t>
      </w:r>
    </w:p>
    <w:p w:rsidR="003D0B0F" w:rsidRPr="00F61970" w:rsidRDefault="003D0B0F" w:rsidP="00253B15">
      <w:pPr>
        <w:ind w:left="357" w:hanging="357"/>
        <w:rPr>
          <w:sz w:val="20"/>
        </w:rPr>
      </w:pPr>
    </w:p>
    <w:p w:rsidR="003D0B0F" w:rsidRPr="00F61970" w:rsidRDefault="003D0B0F" w:rsidP="00253B15">
      <w:pPr>
        <w:pStyle w:val="ListParagraph"/>
        <w:numPr>
          <w:ilvl w:val="0"/>
          <w:numId w:val="24"/>
        </w:numPr>
        <w:ind w:left="357" w:hanging="357"/>
        <w:rPr>
          <w:i/>
          <w:sz w:val="20"/>
          <w:szCs w:val="20"/>
          <w:lang w:val="fr-CA"/>
        </w:rPr>
      </w:pPr>
      <w:r w:rsidRPr="00F61970">
        <w:rPr>
          <w:i/>
          <w:sz w:val="20"/>
          <w:szCs w:val="20"/>
          <w:lang w:val="fr-FR"/>
        </w:rPr>
        <w:t xml:space="preserve">Syndicat des agents correctionnels du Canada </w:t>
      </w:r>
      <w:r w:rsidR="00605D33" w:rsidRPr="00F61970">
        <w:rPr>
          <w:i/>
          <w:sz w:val="20"/>
          <w:szCs w:val="20"/>
          <w:lang w:val="fr-FR"/>
        </w:rPr>
        <w:t>-</w:t>
      </w:r>
      <w:r w:rsidRPr="00F61970">
        <w:rPr>
          <w:i/>
          <w:sz w:val="20"/>
          <w:szCs w:val="20"/>
          <w:lang w:val="fr-FR"/>
        </w:rPr>
        <w:t xml:space="preserve"> CSN (UCCO-SACC-CSN), et al. c. Procureur général du Canada </w:t>
      </w:r>
      <w:r w:rsidRPr="00F61970">
        <w:rPr>
          <w:sz w:val="20"/>
          <w:szCs w:val="20"/>
          <w:lang w:val="fr-FR"/>
        </w:rPr>
        <w:t>(Qc) (Civile) (Autorisation)</w:t>
      </w:r>
      <w:r w:rsidR="00661BB7" w:rsidRPr="00F61970">
        <w:rPr>
          <w:sz w:val="20"/>
          <w:szCs w:val="20"/>
          <w:lang w:val="fr-FR"/>
        </w:rPr>
        <w:t xml:space="preserve"> </w:t>
      </w:r>
      <w:r w:rsidR="00661BB7" w:rsidRPr="00F61970">
        <w:rPr>
          <w:sz w:val="20"/>
          <w:szCs w:val="20"/>
          <w:lang w:val="fr-CA"/>
        </w:rPr>
        <w:t>(</w:t>
      </w:r>
      <w:hyperlink r:id="rId11" w:history="1">
        <w:r w:rsidR="00661BB7" w:rsidRPr="00F61970">
          <w:rPr>
            <w:rStyle w:val="Hyperlink"/>
            <w:sz w:val="20"/>
            <w:szCs w:val="20"/>
            <w:lang w:val="fr-CA"/>
          </w:rPr>
          <w:t>38</w:t>
        </w:r>
        <w:r w:rsidR="00C07F17" w:rsidRPr="00F61970">
          <w:rPr>
            <w:rStyle w:val="Hyperlink"/>
            <w:sz w:val="20"/>
            <w:szCs w:val="20"/>
            <w:lang w:val="fr-CA"/>
          </w:rPr>
          <w:t>777</w:t>
        </w:r>
      </w:hyperlink>
      <w:r w:rsidR="00661BB7" w:rsidRPr="00F61970">
        <w:rPr>
          <w:sz w:val="20"/>
          <w:szCs w:val="20"/>
          <w:lang w:val="fr-CA"/>
        </w:rPr>
        <w:t>)</w:t>
      </w:r>
    </w:p>
    <w:p w:rsidR="00774C10" w:rsidRPr="00F61970" w:rsidRDefault="00774C10" w:rsidP="00253B15">
      <w:pPr>
        <w:widowControl w:val="0"/>
        <w:ind w:left="357" w:hanging="357"/>
        <w:rPr>
          <w:sz w:val="20"/>
          <w:lang w:val="fr-CA"/>
        </w:rPr>
      </w:pPr>
    </w:p>
    <w:p w:rsidR="008C54C6" w:rsidRPr="00F61970" w:rsidRDefault="008C54C6" w:rsidP="008C54C6">
      <w:pPr>
        <w:pStyle w:val="ListParagraph"/>
        <w:numPr>
          <w:ilvl w:val="0"/>
          <w:numId w:val="24"/>
        </w:numPr>
        <w:ind w:left="357" w:hanging="357"/>
        <w:rPr>
          <w:sz w:val="20"/>
          <w:szCs w:val="20"/>
        </w:rPr>
      </w:pPr>
      <w:r w:rsidRPr="00F61970">
        <w:rPr>
          <w:i/>
          <w:sz w:val="20"/>
          <w:szCs w:val="20"/>
        </w:rPr>
        <w:t>The City of Medicine Hat v. Condo Corporation No. 0410106 (“River Ridge”), et al.</w:t>
      </w:r>
      <w:r w:rsidRPr="00F61970">
        <w:rPr>
          <w:sz w:val="20"/>
          <w:szCs w:val="20"/>
        </w:rPr>
        <w:t xml:space="preserve"> (Alta.) (Civil) (By Leave) (</w:t>
      </w:r>
      <w:hyperlink r:id="rId12" w:history="1">
        <w:r w:rsidRPr="00F61970">
          <w:rPr>
            <w:rStyle w:val="Hyperlink"/>
            <w:sz w:val="20"/>
            <w:szCs w:val="20"/>
          </w:rPr>
          <w:t>38835</w:t>
        </w:r>
      </w:hyperlink>
      <w:r w:rsidRPr="00F61970">
        <w:rPr>
          <w:sz w:val="20"/>
          <w:szCs w:val="20"/>
        </w:rPr>
        <w:t>)</w:t>
      </w:r>
    </w:p>
    <w:p w:rsidR="008C54C6" w:rsidRPr="008C54C6" w:rsidRDefault="008C54C6" w:rsidP="008C54C6">
      <w:pPr>
        <w:pStyle w:val="ListParagraph"/>
        <w:rPr>
          <w:i/>
          <w:sz w:val="20"/>
          <w:szCs w:val="20"/>
          <w:lang w:val="en-CA"/>
        </w:rPr>
      </w:pPr>
    </w:p>
    <w:p w:rsidR="00AD1E97" w:rsidRPr="00F61970" w:rsidRDefault="00AD1E97" w:rsidP="00253B15">
      <w:pPr>
        <w:pStyle w:val="ListParagraph"/>
        <w:numPr>
          <w:ilvl w:val="0"/>
          <w:numId w:val="24"/>
        </w:numPr>
        <w:ind w:left="357" w:hanging="357"/>
        <w:rPr>
          <w:sz w:val="20"/>
          <w:szCs w:val="20"/>
          <w:lang w:val="en-CA"/>
        </w:rPr>
      </w:pPr>
      <w:proofErr w:type="spellStart"/>
      <w:r w:rsidRPr="00F61970">
        <w:rPr>
          <w:i/>
          <w:sz w:val="20"/>
          <w:szCs w:val="20"/>
          <w:lang w:val="en-CA"/>
        </w:rPr>
        <w:t>Ibata</w:t>
      </w:r>
      <w:proofErr w:type="spellEnd"/>
      <w:r w:rsidRPr="00F61970">
        <w:rPr>
          <w:i/>
          <w:sz w:val="20"/>
          <w:szCs w:val="20"/>
          <w:lang w:val="en-CA"/>
        </w:rPr>
        <w:t xml:space="preserve"> </w:t>
      </w:r>
      <w:proofErr w:type="spellStart"/>
      <w:r w:rsidRPr="00F61970">
        <w:rPr>
          <w:i/>
          <w:sz w:val="20"/>
          <w:szCs w:val="20"/>
          <w:lang w:val="en-CA"/>
        </w:rPr>
        <w:t>Noric</w:t>
      </w:r>
      <w:proofErr w:type="spellEnd"/>
      <w:r w:rsidRPr="00F61970">
        <w:rPr>
          <w:i/>
          <w:sz w:val="20"/>
          <w:szCs w:val="20"/>
          <w:lang w:val="en-CA"/>
        </w:rPr>
        <w:t xml:space="preserve"> Hexamer v. Her Majesty the Queen</w:t>
      </w:r>
      <w:r w:rsidRPr="00F61970">
        <w:rPr>
          <w:sz w:val="20"/>
          <w:szCs w:val="20"/>
          <w:lang w:val="en-CA"/>
        </w:rPr>
        <w:t xml:space="preserve"> (B.C.) (Criminal) (By Leave) </w:t>
      </w:r>
      <w:r w:rsidRPr="00F61970">
        <w:rPr>
          <w:sz w:val="20"/>
          <w:szCs w:val="20"/>
        </w:rPr>
        <w:t>(</w:t>
      </w:r>
      <w:hyperlink r:id="rId13" w:history="1">
        <w:r w:rsidRPr="00F61970">
          <w:rPr>
            <w:rStyle w:val="Hyperlink"/>
            <w:sz w:val="20"/>
            <w:szCs w:val="20"/>
          </w:rPr>
          <w:t>388</w:t>
        </w:r>
        <w:r w:rsidR="004954C7" w:rsidRPr="00F61970">
          <w:rPr>
            <w:rStyle w:val="Hyperlink"/>
            <w:sz w:val="20"/>
            <w:szCs w:val="20"/>
          </w:rPr>
          <w:t>58</w:t>
        </w:r>
      </w:hyperlink>
      <w:r w:rsidRPr="00F61970">
        <w:rPr>
          <w:sz w:val="20"/>
          <w:szCs w:val="20"/>
        </w:rPr>
        <w:t>)</w:t>
      </w:r>
    </w:p>
    <w:p w:rsidR="00AD1E97" w:rsidRPr="00F61970" w:rsidRDefault="00AD1E97" w:rsidP="00253B15">
      <w:pPr>
        <w:widowControl w:val="0"/>
        <w:autoSpaceDE w:val="0"/>
        <w:autoSpaceDN w:val="0"/>
        <w:adjustRightInd w:val="0"/>
        <w:ind w:left="357" w:hanging="357"/>
        <w:rPr>
          <w:sz w:val="20"/>
          <w:lang w:val="en-CA"/>
        </w:rPr>
      </w:pPr>
    </w:p>
    <w:p w:rsidR="00AD1E97" w:rsidRPr="00F61970" w:rsidRDefault="00AD1E97" w:rsidP="00253B15">
      <w:pPr>
        <w:pStyle w:val="ListParagraph"/>
        <w:numPr>
          <w:ilvl w:val="0"/>
          <w:numId w:val="24"/>
        </w:numPr>
        <w:ind w:left="357" w:hanging="357"/>
        <w:rPr>
          <w:sz w:val="20"/>
          <w:szCs w:val="20"/>
          <w:lang w:val="en-CA"/>
        </w:rPr>
      </w:pPr>
      <w:r w:rsidRPr="00F61970">
        <w:rPr>
          <w:i/>
          <w:sz w:val="20"/>
          <w:szCs w:val="20"/>
          <w:lang w:val="en-CA"/>
        </w:rPr>
        <w:t>Attorney General of Canada v. Corporation of the Canadian Civil Liberties Association</w:t>
      </w:r>
      <w:r w:rsidRPr="00F61970">
        <w:rPr>
          <w:sz w:val="20"/>
          <w:szCs w:val="20"/>
          <w:lang w:val="en-CA"/>
        </w:rPr>
        <w:t xml:space="preserve"> (Ont.) (Civil) (By Leave) </w:t>
      </w:r>
      <w:r w:rsidRPr="00F61970">
        <w:rPr>
          <w:sz w:val="20"/>
          <w:szCs w:val="20"/>
        </w:rPr>
        <w:t>(</w:t>
      </w:r>
      <w:hyperlink r:id="rId14" w:history="1">
        <w:r w:rsidRPr="00F61970">
          <w:rPr>
            <w:rStyle w:val="Hyperlink"/>
            <w:sz w:val="20"/>
            <w:szCs w:val="20"/>
          </w:rPr>
          <w:t>38</w:t>
        </w:r>
        <w:r w:rsidR="00537447" w:rsidRPr="00F61970">
          <w:rPr>
            <w:rStyle w:val="Hyperlink"/>
            <w:sz w:val="20"/>
            <w:szCs w:val="20"/>
          </w:rPr>
          <w:t>57</w:t>
        </w:r>
        <w:r w:rsidRPr="00F61970">
          <w:rPr>
            <w:rStyle w:val="Hyperlink"/>
            <w:sz w:val="20"/>
            <w:szCs w:val="20"/>
          </w:rPr>
          <w:t>4</w:t>
        </w:r>
      </w:hyperlink>
      <w:r w:rsidRPr="00F61970">
        <w:rPr>
          <w:sz w:val="20"/>
          <w:szCs w:val="20"/>
        </w:rPr>
        <w:t>)</w:t>
      </w:r>
    </w:p>
    <w:p w:rsidR="00AD1E97" w:rsidRPr="00F61970" w:rsidRDefault="00AD1E97" w:rsidP="00253B15">
      <w:pPr>
        <w:widowControl w:val="0"/>
        <w:autoSpaceDE w:val="0"/>
        <w:autoSpaceDN w:val="0"/>
        <w:adjustRightInd w:val="0"/>
        <w:ind w:left="357" w:hanging="357"/>
        <w:rPr>
          <w:sz w:val="20"/>
          <w:lang w:val="en-CA"/>
        </w:rPr>
      </w:pPr>
    </w:p>
    <w:p w:rsidR="00AD1E97" w:rsidRPr="00F61970" w:rsidRDefault="00AD1E97" w:rsidP="00253B15">
      <w:pPr>
        <w:pStyle w:val="ListParagraph"/>
        <w:numPr>
          <w:ilvl w:val="0"/>
          <w:numId w:val="24"/>
        </w:numPr>
        <w:ind w:left="357" w:hanging="357"/>
        <w:rPr>
          <w:sz w:val="20"/>
          <w:szCs w:val="20"/>
          <w:lang w:val="en-CA"/>
        </w:rPr>
      </w:pPr>
      <w:r w:rsidRPr="00F61970">
        <w:rPr>
          <w:i/>
          <w:sz w:val="20"/>
          <w:szCs w:val="20"/>
          <w:lang w:val="en-CA"/>
        </w:rPr>
        <w:t>Attorney General of Canada v. British Columbia Civil Liberties Association, et al.</w:t>
      </w:r>
      <w:r w:rsidRPr="00F61970">
        <w:rPr>
          <w:sz w:val="20"/>
          <w:szCs w:val="20"/>
          <w:lang w:val="en-CA"/>
        </w:rPr>
        <w:t xml:space="preserve"> (B.C.) (Civil) (By Leave) </w:t>
      </w:r>
      <w:r w:rsidRPr="00F61970">
        <w:rPr>
          <w:sz w:val="20"/>
          <w:szCs w:val="20"/>
        </w:rPr>
        <w:t>(</w:t>
      </w:r>
      <w:hyperlink r:id="rId15" w:history="1">
        <w:r w:rsidRPr="00F61970">
          <w:rPr>
            <w:rStyle w:val="Hyperlink"/>
            <w:sz w:val="20"/>
            <w:szCs w:val="20"/>
          </w:rPr>
          <w:t>388</w:t>
        </w:r>
        <w:r w:rsidR="00192A93" w:rsidRPr="00F61970">
          <w:rPr>
            <w:rStyle w:val="Hyperlink"/>
            <w:sz w:val="20"/>
            <w:szCs w:val="20"/>
          </w:rPr>
          <w:t>1</w:t>
        </w:r>
        <w:r w:rsidRPr="00F61970">
          <w:rPr>
            <w:rStyle w:val="Hyperlink"/>
            <w:sz w:val="20"/>
            <w:szCs w:val="20"/>
          </w:rPr>
          <w:t>4</w:t>
        </w:r>
      </w:hyperlink>
      <w:r w:rsidRPr="00F61970">
        <w:rPr>
          <w:sz w:val="20"/>
          <w:szCs w:val="20"/>
        </w:rPr>
        <w:t>)</w:t>
      </w:r>
    </w:p>
    <w:p w:rsidR="00AD1E97" w:rsidRPr="00F61970" w:rsidRDefault="00AD1E97" w:rsidP="00253B15">
      <w:pPr>
        <w:ind w:left="357" w:hanging="357"/>
        <w:rPr>
          <w:rFonts w:eastAsia="Calibri"/>
          <w:sz w:val="20"/>
        </w:rPr>
      </w:pPr>
    </w:p>
    <w:p w:rsidR="00AD1E97" w:rsidRPr="00F61970" w:rsidRDefault="00AD1E97" w:rsidP="00253B15">
      <w:pPr>
        <w:pStyle w:val="ListParagraph"/>
        <w:numPr>
          <w:ilvl w:val="0"/>
          <w:numId w:val="24"/>
        </w:numPr>
        <w:ind w:left="357" w:hanging="357"/>
        <w:rPr>
          <w:sz w:val="20"/>
          <w:szCs w:val="20"/>
          <w:lang w:val="en-CA"/>
        </w:rPr>
      </w:pPr>
      <w:r w:rsidRPr="00F61970">
        <w:rPr>
          <w:i/>
          <w:sz w:val="20"/>
          <w:szCs w:val="20"/>
          <w:lang w:val="en-CA"/>
        </w:rPr>
        <w:t>Myriam Michail v. Ontario English Catholic Teachers’ Association, et al.</w:t>
      </w:r>
      <w:r w:rsidRPr="00F61970">
        <w:rPr>
          <w:sz w:val="20"/>
          <w:szCs w:val="20"/>
          <w:lang w:val="en-CA"/>
        </w:rPr>
        <w:t xml:space="preserve"> </w:t>
      </w:r>
      <w:r w:rsidRPr="00F61970">
        <w:rPr>
          <w:sz w:val="20"/>
          <w:szCs w:val="20"/>
        </w:rPr>
        <w:t>(Ont.) (Civil) (By Leave)</w:t>
      </w:r>
      <w:r w:rsidRPr="00F61970">
        <w:rPr>
          <w:sz w:val="20"/>
          <w:szCs w:val="20"/>
          <w:lang w:val="en-CA"/>
        </w:rPr>
        <w:t xml:space="preserve"> </w:t>
      </w:r>
      <w:r w:rsidRPr="00F61970">
        <w:rPr>
          <w:sz w:val="20"/>
          <w:szCs w:val="20"/>
        </w:rPr>
        <w:t>(</w:t>
      </w:r>
      <w:hyperlink r:id="rId16" w:history="1">
        <w:r w:rsidRPr="00F61970">
          <w:rPr>
            <w:rStyle w:val="Hyperlink"/>
            <w:sz w:val="20"/>
            <w:szCs w:val="20"/>
          </w:rPr>
          <w:t>38</w:t>
        </w:r>
        <w:r w:rsidR="0051675E" w:rsidRPr="00F61970">
          <w:rPr>
            <w:rStyle w:val="Hyperlink"/>
            <w:sz w:val="20"/>
            <w:szCs w:val="20"/>
          </w:rPr>
          <w:t>727</w:t>
        </w:r>
      </w:hyperlink>
      <w:r w:rsidRPr="00F61970">
        <w:rPr>
          <w:sz w:val="20"/>
          <w:szCs w:val="20"/>
        </w:rPr>
        <w:t>)</w:t>
      </w:r>
    </w:p>
    <w:p w:rsidR="00AD1E97" w:rsidRPr="00F61970" w:rsidRDefault="00AD1E97" w:rsidP="00253B15">
      <w:pPr>
        <w:widowControl w:val="0"/>
        <w:autoSpaceDE w:val="0"/>
        <w:autoSpaceDN w:val="0"/>
        <w:adjustRightInd w:val="0"/>
        <w:ind w:left="357" w:hanging="357"/>
        <w:rPr>
          <w:sz w:val="20"/>
          <w:lang w:val="en-CA"/>
        </w:rPr>
      </w:pPr>
    </w:p>
    <w:p w:rsidR="00CA1087" w:rsidRPr="00F61970" w:rsidRDefault="00AD1E97" w:rsidP="00253B15">
      <w:pPr>
        <w:pStyle w:val="ListParagraph"/>
        <w:numPr>
          <w:ilvl w:val="0"/>
          <w:numId w:val="24"/>
        </w:numPr>
        <w:ind w:left="357" w:hanging="357"/>
        <w:rPr>
          <w:sz w:val="20"/>
          <w:szCs w:val="20"/>
        </w:rPr>
      </w:pPr>
      <w:r w:rsidRPr="00F61970">
        <w:rPr>
          <w:i/>
          <w:sz w:val="20"/>
          <w:szCs w:val="20"/>
          <w:lang w:val="en-CA"/>
        </w:rPr>
        <w:t>Bradley Clayton Hunt v. Peel Mutual Insurance Company</w:t>
      </w:r>
      <w:r w:rsidRPr="00F61970">
        <w:rPr>
          <w:sz w:val="20"/>
          <w:szCs w:val="20"/>
          <w:lang w:val="en-CA"/>
        </w:rPr>
        <w:t xml:space="preserve"> (Ont.) (Civil) (By Leave) </w:t>
      </w:r>
      <w:r w:rsidRPr="00F61970">
        <w:rPr>
          <w:sz w:val="20"/>
          <w:szCs w:val="20"/>
        </w:rPr>
        <w:t>(</w:t>
      </w:r>
      <w:hyperlink r:id="rId17" w:history="1">
        <w:r w:rsidRPr="00F61970">
          <w:rPr>
            <w:rStyle w:val="Hyperlink"/>
            <w:sz w:val="20"/>
            <w:szCs w:val="20"/>
          </w:rPr>
          <w:t>388</w:t>
        </w:r>
        <w:r w:rsidR="00B05D18" w:rsidRPr="00F61970">
          <w:rPr>
            <w:rStyle w:val="Hyperlink"/>
            <w:sz w:val="20"/>
            <w:szCs w:val="20"/>
          </w:rPr>
          <w:t>56</w:t>
        </w:r>
      </w:hyperlink>
      <w:r w:rsidRPr="00F61970">
        <w:rPr>
          <w:sz w:val="20"/>
          <w:szCs w:val="20"/>
        </w:rPr>
        <w:t>)</w:t>
      </w:r>
    </w:p>
    <w:p w:rsidR="00D302E0" w:rsidRPr="00F61970" w:rsidRDefault="00D302E0" w:rsidP="00D302E0">
      <w:pPr>
        <w:pStyle w:val="ListParagraph"/>
        <w:rPr>
          <w:sz w:val="20"/>
          <w:szCs w:val="20"/>
        </w:rPr>
      </w:pPr>
    </w:p>
    <w:p w:rsidR="003877FB" w:rsidRPr="009D44AB" w:rsidRDefault="00BB65F4" w:rsidP="006A22CA">
      <w:pPr>
        <w:ind w:left="142" w:hanging="142"/>
        <w:jc w:val="both"/>
        <w:rPr>
          <w:sz w:val="20"/>
        </w:rPr>
      </w:pPr>
      <w:r>
        <w:rPr>
          <w:sz w:val="20"/>
        </w:rPr>
        <w:pict>
          <v:rect id="_x0000_i1026" style="width:2in;height:1pt" o:hrpct="0" o:hralign="center" o:hrstd="t" o:hrnoshade="t" o:hr="t" fillcolor="black [3213]" stroked="f"/>
        </w:pict>
      </w:r>
    </w:p>
    <w:p w:rsidR="00CC10A8" w:rsidRPr="009D44AB" w:rsidRDefault="00CC10A8" w:rsidP="00FE413B">
      <w:pPr>
        <w:ind w:left="142" w:hanging="142"/>
        <w:jc w:val="both"/>
        <w:rPr>
          <w:sz w:val="20"/>
        </w:rPr>
      </w:pPr>
    </w:p>
    <w:p w:rsidR="00977AF4" w:rsidRPr="009D44AB" w:rsidRDefault="00977AF4">
      <w:pPr>
        <w:rPr>
          <w:sz w:val="20"/>
        </w:rPr>
      </w:pPr>
      <w:r w:rsidRPr="009D44AB">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F9479E">
            <w:pPr>
              <w:rPr>
                <w:sz w:val="20"/>
              </w:rPr>
            </w:pPr>
            <w:r w:rsidRPr="009D44AB">
              <w:rPr>
                <w:rStyle w:val="SCCFileNumberChar"/>
                <w:sz w:val="20"/>
                <w:szCs w:val="20"/>
              </w:rPr>
              <w:lastRenderedPageBreak/>
              <w:t>38879</w:t>
            </w:r>
          </w:p>
        </w:tc>
        <w:tc>
          <w:tcPr>
            <w:tcW w:w="4457" w:type="pct"/>
            <w:gridSpan w:val="3"/>
          </w:tcPr>
          <w:p w:rsidR="00977AF4" w:rsidRPr="009D44AB" w:rsidRDefault="00977AF4" w:rsidP="00977AF4">
            <w:pPr>
              <w:pStyle w:val="SCCLsocParty"/>
              <w:jc w:val="left"/>
              <w:rPr>
                <w:b/>
                <w:sz w:val="20"/>
                <w:szCs w:val="20"/>
                <w:lang w:val="en-US"/>
              </w:rPr>
            </w:pPr>
            <w:proofErr w:type="spellStart"/>
            <w:r w:rsidRPr="009D44AB">
              <w:rPr>
                <w:b/>
                <w:sz w:val="20"/>
                <w:szCs w:val="20"/>
                <w:lang w:val="en-US"/>
              </w:rPr>
              <w:t>Rodica</w:t>
            </w:r>
            <w:proofErr w:type="spellEnd"/>
            <w:r w:rsidRPr="009D44AB">
              <w:rPr>
                <w:b/>
                <w:sz w:val="20"/>
                <w:szCs w:val="20"/>
                <w:lang w:val="en-US"/>
              </w:rPr>
              <w:t xml:space="preserve"> </w:t>
            </w:r>
            <w:proofErr w:type="spellStart"/>
            <w:r w:rsidRPr="009D44AB">
              <w:rPr>
                <w:b/>
                <w:sz w:val="20"/>
                <w:szCs w:val="20"/>
                <w:lang w:val="en-US"/>
              </w:rPr>
              <w:t>Radita</w:t>
            </w:r>
            <w:proofErr w:type="spellEnd"/>
            <w:r w:rsidRPr="009D44AB">
              <w:rPr>
                <w:b/>
                <w:sz w:val="20"/>
                <w:szCs w:val="20"/>
                <w:lang w:val="en-US"/>
              </w:rPr>
              <w:t xml:space="preserve">, Emil Marian </w:t>
            </w:r>
            <w:proofErr w:type="spellStart"/>
            <w:r w:rsidRPr="009D44AB">
              <w:rPr>
                <w:b/>
                <w:sz w:val="20"/>
                <w:szCs w:val="20"/>
                <w:lang w:val="en-US"/>
              </w:rPr>
              <w:t>Radita</w:t>
            </w:r>
            <w:proofErr w:type="spellEnd"/>
            <w:r w:rsidRPr="009D44AB">
              <w:rPr>
                <w:b/>
                <w:sz w:val="20"/>
                <w:szCs w:val="20"/>
                <w:lang w:val="en-US"/>
              </w:rPr>
              <w:t xml:space="preserve"> v. Her Majesty the Queen</w:t>
            </w:r>
          </w:p>
          <w:p w:rsidR="00977AF4" w:rsidRPr="009D44AB" w:rsidRDefault="00977AF4">
            <w:pPr>
              <w:rPr>
                <w:sz w:val="20"/>
              </w:rPr>
            </w:pPr>
            <w:r w:rsidRPr="009D44AB">
              <w:rPr>
                <w:sz w:val="20"/>
              </w:rPr>
              <w:t>(Alta.) (Criminal) (By Leave)</w:t>
            </w:r>
          </w:p>
        </w:tc>
      </w:tr>
      <w:tr w:rsidR="00977AF4" w:rsidRPr="009D44AB" w:rsidTr="00E95A6A">
        <w:tc>
          <w:tcPr>
            <w:tcW w:w="5000" w:type="pct"/>
            <w:gridSpan w:val="4"/>
          </w:tcPr>
          <w:p w:rsidR="00977AF4" w:rsidRPr="009D44AB" w:rsidRDefault="00977AF4" w:rsidP="00977AF4">
            <w:pPr>
              <w:pStyle w:val="SCCBanSummary"/>
              <w:rPr>
                <w:sz w:val="20"/>
                <w:szCs w:val="20"/>
              </w:rPr>
            </w:pPr>
            <w:r w:rsidRPr="009D44AB">
              <w:rPr>
                <w:sz w:val="20"/>
                <w:szCs w:val="20"/>
              </w:rPr>
              <w:t>(Publication ban in case) (Sealing order) (Court file contains information that is not available for inspection by the public)</w:t>
            </w:r>
          </w:p>
          <w:p w:rsidR="00977AF4" w:rsidRPr="009D44AB" w:rsidRDefault="00977AF4" w:rsidP="00977AF4">
            <w:pPr>
              <w:rPr>
                <w:sz w:val="20"/>
                <w:lang w:val="en-CA"/>
              </w:rPr>
            </w:pPr>
          </w:p>
        </w:tc>
      </w:tr>
      <w:tr w:rsidR="00977AF4" w:rsidRPr="009D44AB" w:rsidTr="00E95A6A">
        <w:tc>
          <w:tcPr>
            <w:tcW w:w="5000" w:type="pct"/>
            <w:gridSpan w:val="4"/>
          </w:tcPr>
          <w:p w:rsidR="00977AF4" w:rsidRPr="009D44AB" w:rsidRDefault="00977AF4" w:rsidP="00613F1E">
            <w:pPr>
              <w:rPr>
                <w:sz w:val="20"/>
              </w:rPr>
            </w:pPr>
            <w:r w:rsidRPr="009D44AB">
              <w:rPr>
                <w:sz w:val="20"/>
              </w:rPr>
              <w:t xml:space="preserve">Criminal law — Murder — Elements of offence — Constructive first degree murder —Confinement — Whether the Court of Appeal erred in failing to address the applicants’ primary arguments on appeal which concerned planning and deliberation for first degree murder under s. 231(2) of the </w:t>
            </w:r>
            <w:r w:rsidRPr="009D44AB">
              <w:rPr>
                <w:i/>
                <w:sz w:val="20"/>
              </w:rPr>
              <w:t>Criminal Code</w:t>
            </w:r>
            <w:r w:rsidRPr="009D44AB">
              <w:rPr>
                <w:sz w:val="20"/>
              </w:rPr>
              <w:t xml:space="preserve"> — Whether the Court of Appeal erroneously conflates the capacity to form intent with the fact of intent for murder — Whether the Court of Appeal erred in their analysis under s. 231(5) of the </w:t>
            </w:r>
            <w:r w:rsidRPr="009D44AB">
              <w:rPr>
                <w:i/>
                <w:sz w:val="20"/>
              </w:rPr>
              <w:t>Criminal Code</w:t>
            </w:r>
            <w:r w:rsidRPr="009D44AB">
              <w:rPr>
                <w:sz w:val="20"/>
              </w:rPr>
              <w:t xml:space="preserve"> in reinterpreting the </w:t>
            </w:r>
            <w:r w:rsidRPr="009D44AB">
              <w:rPr>
                <w:i/>
                <w:sz w:val="20"/>
              </w:rPr>
              <w:t>R. v. Harbottle</w:t>
            </w:r>
            <w:r w:rsidRPr="009D44AB">
              <w:rPr>
                <w:sz w:val="20"/>
              </w:rPr>
              <w:t>, [1993] 3 S.C.R. 306</w:t>
            </w:r>
            <w:r w:rsidRPr="009D44AB">
              <w:rPr>
                <w:i/>
                <w:sz w:val="20"/>
              </w:rPr>
              <w:t xml:space="preserve"> </w:t>
            </w:r>
            <w:r w:rsidRPr="009D44AB">
              <w:rPr>
                <w:sz w:val="20"/>
              </w:rPr>
              <w:t xml:space="preserve">test for unlawful confinement — Whether the Court of Appeal erred in characterizing the standard of review with respect to s. 231(5) of the </w:t>
            </w:r>
            <w:r w:rsidRPr="009D44AB">
              <w:rPr>
                <w:i/>
                <w:sz w:val="20"/>
              </w:rPr>
              <w:t>Criminal Code</w:t>
            </w:r>
            <w:r w:rsidRPr="009D44AB">
              <w:rPr>
                <w:sz w:val="20"/>
              </w:rPr>
              <w:t>.</w:t>
            </w:r>
          </w:p>
          <w:p w:rsidR="00977AF4" w:rsidRPr="009D44AB" w:rsidRDefault="00977AF4" w:rsidP="00C01DCD">
            <w:pPr>
              <w:rPr>
                <w:sz w:val="20"/>
              </w:rPr>
            </w:pPr>
          </w:p>
        </w:tc>
      </w:tr>
      <w:tr w:rsidR="00977AF4" w:rsidRPr="009D44AB" w:rsidTr="00E95A6A">
        <w:tc>
          <w:tcPr>
            <w:tcW w:w="5000" w:type="pct"/>
            <w:gridSpan w:val="4"/>
          </w:tcPr>
          <w:p w:rsidR="00977AF4" w:rsidRPr="009D44AB" w:rsidRDefault="00977AF4" w:rsidP="004F774F">
            <w:pPr>
              <w:rPr>
                <w:sz w:val="20"/>
                <w:lang w:val="en"/>
              </w:rPr>
            </w:pPr>
            <w:r w:rsidRPr="009D44AB">
              <w:rPr>
                <w:sz w:val="20"/>
                <w:lang w:val="en"/>
              </w:rPr>
              <w:t>The applicants were convicted of first degree murder for the death of their child who died of bacterial sepsis resulting from neglect and starvation. The child was deprived of insulin and medical care. There was ample medical evidence before the trial judge about the relationship between the child’s Type 1 diabetes and the cause of death. The trial judge found that the facts supported the necessary inferences for a conviction for first</w:t>
            </w:r>
            <w:r w:rsidRPr="009D44AB">
              <w:rPr>
                <w:sz w:val="20"/>
                <w:lang w:val="en"/>
              </w:rPr>
              <w:noBreakHyphen/>
              <w:t xml:space="preserve">degree murder as a planned and deliberate murder (s. 231(2) of the </w:t>
            </w:r>
            <w:r w:rsidRPr="009D44AB">
              <w:rPr>
                <w:i/>
                <w:sz w:val="20"/>
                <w:lang w:val="en"/>
              </w:rPr>
              <w:t>Criminal Code</w:t>
            </w:r>
            <w:r w:rsidRPr="009D44AB">
              <w:rPr>
                <w:sz w:val="20"/>
                <w:lang w:val="en"/>
              </w:rPr>
              <w:t xml:space="preserve">) or as a murder committed during an unlawful confinement (s. 231(5)(e) of the </w:t>
            </w:r>
            <w:r w:rsidRPr="009D44AB">
              <w:rPr>
                <w:i/>
                <w:sz w:val="20"/>
                <w:lang w:val="en"/>
              </w:rPr>
              <w:t>Criminal Code</w:t>
            </w:r>
            <w:r w:rsidRPr="009D44AB">
              <w:rPr>
                <w:sz w:val="20"/>
                <w:lang w:val="en"/>
              </w:rPr>
              <w:t>). The Court of Appeal dismissed the conviction appeals.</w:t>
            </w:r>
          </w:p>
          <w:p w:rsidR="00977AF4" w:rsidRPr="009D44AB" w:rsidRDefault="00977AF4" w:rsidP="00C01DCD">
            <w:pPr>
              <w:rPr>
                <w:sz w:val="20"/>
              </w:rPr>
            </w:pPr>
          </w:p>
        </w:tc>
      </w:tr>
      <w:tr w:rsidR="00977AF4" w:rsidRPr="009D44AB" w:rsidTr="00E95A6A">
        <w:tc>
          <w:tcPr>
            <w:tcW w:w="2427" w:type="pct"/>
            <w:gridSpan w:val="2"/>
          </w:tcPr>
          <w:p w:rsidR="00977AF4" w:rsidRPr="009D44AB" w:rsidRDefault="00977AF4" w:rsidP="00613F1E">
            <w:pPr>
              <w:rPr>
                <w:sz w:val="20"/>
              </w:rPr>
            </w:pPr>
            <w:r w:rsidRPr="009D44AB">
              <w:rPr>
                <w:sz w:val="20"/>
              </w:rPr>
              <w:t>February 24, 2017</w:t>
            </w:r>
          </w:p>
          <w:p w:rsidR="00977AF4" w:rsidRPr="009D44AB" w:rsidRDefault="00977AF4" w:rsidP="00613F1E">
            <w:pPr>
              <w:rPr>
                <w:sz w:val="20"/>
              </w:rPr>
            </w:pPr>
            <w:r w:rsidRPr="009D44AB">
              <w:rPr>
                <w:sz w:val="20"/>
              </w:rPr>
              <w:t>Court of Queen’s Bench of Alberta</w:t>
            </w:r>
          </w:p>
          <w:p w:rsidR="00977AF4" w:rsidRPr="009D44AB" w:rsidRDefault="00977AF4" w:rsidP="00613F1E">
            <w:pPr>
              <w:rPr>
                <w:sz w:val="20"/>
              </w:rPr>
            </w:pPr>
            <w:r w:rsidRPr="009D44AB">
              <w:rPr>
                <w:sz w:val="20"/>
              </w:rPr>
              <w:t>(Horner J.)</w:t>
            </w:r>
          </w:p>
          <w:p w:rsidR="00977AF4" w:rsidRPr="009D44AB" w:rsidRDefault="00BB65F4" w:rsidP="00613F1E">
            <w:pPr>
              <w:rPr>
                <w:sz w:val="20"/>
              </w:rPr>
            </w:pPr>
            <w:hyperlink r:id="rId18" w:history="1">
              <w:r w:rsidR="00977AF4" w:rsidRPr="009D44AB">
                <w:rPr>
                  <w:rStyle w:val="Hyperlink"/>
                  <w:sz w:val="20"/>
                </w:rPr>
                <w:t>2017 ABQB 128</w:t>
              </w:r>
            </w:hyperlink>
            <w:r w:rsidR="00977AF4" w:rsidRPr="009D44AB">
              <w:rPr>
                <w:sz w:val="20"/>
              </w:rPr>
              <w:t xml:space="preserve"> </w:t>
            </w:r>
          </w:p>
          <w:p w:rsidR="00977AF4" w:rsidRPr="009D44AB" w:rsidRDefault="00977AF4" w:rsidP="00613F1E">
            <w:pPr>
              <w:rPr>
                <w:sz w:val="20"/>
              </w:rPr>
            </w:pPr>
          </w:p>
        </w:tc>
        <w:tc>
          <w:tcPr>
            <w:tcW w:w="243" w:type="pct"/>
          </w:tcPr>
          <w:p w:rsidR="00977AF4" w:rsidRPr="009D44AB" w:rsidRDefault="00977AF4" w:rsidP="00613F1E">
            <w:pPr>
              <w:rPr>
                <w:sz w:val="20"/>
              </w:rPr>
            </w:pPr>
          </w:p>
        </w:tc>
        <w:tc>
          <w:tcPr>
            <w:tcW w:w="2330" w:type="pct"/>
          </w:tcPr>
          <w:p w:rsidR="00977AF4" w:rsidRPr="009D44AB" w:rsidRDefault="00977AF4" w:rsidP="00613F1E">
            <w:pPr>
              <w:rPr>
                <w:sz w:val="20"/>
              </w:rPr>
            </w:pPr>
            <w:r w:rsidRPr="009D44AB">
              <w:rPr>
                <w:sz w:val="20"/>
              </w:rPr>
              <w:t>Convictions: first degree murder</w:t>
            </w:r>
          </w:p>
          <w:p w:rsidR="00977AF4" w:rsidRPr="009D44AB" w:rsidRDefault="00977AF4" w:rsidP="00613F1E">
            <w:pPr>
              <w:rPr>
                <w:sz w:val="20"/>
              </w:rPr>
            </w:pPr>
          </w:p>
        </w:tc>
      </w:tr>
      <w:tr w:rsidR="00977AF4" w:rsidRPr="009D44AB" w:rsidTr="00E95A6A">
        <w:tc>
          <w:tcPr>
            <w:tcW w:w="2427" w:type="pct"/>
            <w:gridSpan w:val="2"/>
          </w:tcPr>
          <w:p w:rsidR="00977AF4" w:rsidRPr="009D44AB" w:rsidRDefault="00977AF4" w:rsidP="00613F1E">
            <w:pPr>
              <w:rPr>
                <w:sz w:val="20"/>
              </w:rPr>
            </w:pPr>
            <w:r w:rsidRPr="009D44AB">
              <w:rPr>
                <w:sz w:val="20"/>
              </w:rPr>
              <w:t>February 28, 2019</w:t>
            </w:r>
          </w:p>
          <w:p w:rsidR="00977AF4" w:rsidRPr="009D44AB" w:rsidRDefault="00977AF4" w:rsidP="00613F1E">
            <w:pPr>
              <w:rPr>
                <w:sz w:val="20"/>
              </w:rPr>
            </w:pPr>
            <w:r w:rsidRPr="009D44AB">
              <w:rPr>
                <w:sz w:val="20"/>
              </w:rPr>
              <w:t>Court of Appeal of Alberta (Calgary)</w:t>
            </w:r>
          </w:p>
          <w:p w:rsidR="00977AF4" w:rsidRPr="009D44AB" w:rsidRDefault="00977AF4" w:rsidP="00613F1E">
            <w:pPr>
              <w:rPr>
                <w:sz w:val="20"/>
              </w:rPr>
            </w:pPr>
            <w:r w:rsidRPr="009D44AB">
              <w:rPr>
                <w:sz w:val="20"/>
              </w:rPr>
              <w:t>(Rowbotham, Veldhuis, Pentelechuk JJ.A.)</w:t>
            </w:r>
          </w:p>
          <w:p w:rsidR="00977AF4" w:rsidRPr="009D44AB" w:rsidRDefault="00BB65F4" w:rsidP="00613F1E">
            <w:pPr>
              <w:rPr>
                <w:sz w:val="20"/>
              </w:rPr>
            </w:pPr>
            <w:hyperlink r:id="rId19" w:history="1">
              <w:r w:rsidR="00977AF4" w:rsidRPr="009D44AB">
                <w:rPr>
                  <w:rStyle w:val="Hyperlink"/>
                  <w:sz w:val="20"/>
                </w:rPr>
                <w:t>2019 ABCA 77</w:t>
              </w:r>
            </w:hyperlink>
          </w:p>
          <w:p w:rsidR="00977AF4" w:rsidRPr="009D44AB" w:rsidRDefault="00977AF4" w:rsidP="00613F1E">
            <w:pPr>
              <w:rPr>
                <w:sz w:val="20"/>
              </w:rPr>
            </w:pPr>
            <w:r w:rsidRPr="009D44AB">
              <w:rPr>
                <w:sz w:val="20"/>
              </w:rPr>
              <w:t>1701</w:t>
            </w:r>
            <w:r w:rsidRPr="009D44AB">
              <w:rPr>
                <w:sz w:val="20"/>
              </w:rPr>
              <w:noBreakHyphen/>
              <w:t>0094</w:t>
            </w:r>
            <w:r w:rsidRPr="009D44AB">
              <w:rPr>
                <w:sz w:val="20"/>
              </w:rPr>
              <w:noBreakHyphen/>
              <w:t>A; 1701</w:t>
            </w:r>
            <w:r w:rsidRPr="009D44AB">
              <w:rPr>
                <w:sz w:val="20"/>
              </w:rPr>
              <w:noBreakHyphen/>
              <w:t>0099</w:t>
            </w:r>
            <w:r w:rsidRPr="009D44AB">
              <w:rPr>
                <w:sz w:val="20"/>
              </w:rPr>
              <w:noBreakHyphen/>
              <w:t>A</w:t>
            </w:r>
          </w:p>
          <w:p w:rsidR="00977AF4" w:rsidRPr="009D44AB" w:rsidRDefault="00977AF4" w:rsidP="00613F1E">
            <w:pPr>
              <w:rPr>
                <w:sz w:val="20"/>
              </w:rPr>
            </w:pPr>
          </w:p>
        </w:tc>
        <w:tc>
          <w:tcPr>
            <w:tcW w:w="243" w:type="pct"/>
          </w:tcPr>
          <w:p w:rsidR="00977AF4" w:rsidRPr="009D44AB" w:rsidRDefault="00977AF4" w:rsidP="00613F1E">
            <w:pPr>
              <w:rPr>
                <w:sz w:val="20"/>
              </w:rPr>
            </w:pPr>
          </w:p>
        </w:tc>
        <w:tc>
          <w:tcPr>
            <w:tcW w:w="2330" w:type="pct"/>
          </w:tcPr>
          <w:p w:rsidR="00977AF4" w:rsidRPr="009D44AB" w:rsidRDefault="00977AF4" w:rsidP="00613F1E">
            <w:pPr>
              <w:rPr>
                <w:sz w:val="20"/>
              </w:rPr>
            </w:pPr>
            <w:r w:rsidRPr="009D44AB">
              <w:rPr>
                <w:sz w:val="20"/>
              </w:rPr>
              <w:t>Conviction appeals dismissed</w:t>
            </w:r>
          </w:p>
          <w:p w:rsidR="00977AF4" w:rsidRPr="009D44AB" w:rsidRDefault="00977AF4" w:rsidP="00613F1E">
            <w:pPr>
              <w:rPr>
                <w:sz w:val="20"/>
              </w:rPr>
            </w:pPr>
          </w:p>
        </w:tc>
      </w:tr>
      <w:tr w:rsidR="00977AF4" w:rsidRPr="009D44AB" w:rsidTr="00E95A6A">
        <w:tc>
          <w:tcPr>
            <w:tcW w:w="2427" w:type="pct"/>
            <w:gridSpan w:val="2"/>
          </w:tcPr>
          <w:p w:rsidR="00977AF4" w:rsidRPr="009D44AB" w:rsidRDefault="00977AF4" w:rsidP="00613F1E">
            <w:pPr>
              <w:rPr>
                <w:sz w:val="20"/>
              </w:rPr>
            </w:pPr>
            <w:r w:rsidRPr="009D44AB">
              <w:rPr>
                <w:sz w:val="20"/>
              </w:rPr>
              <w:t>October 17, 2019</w:t>
            </w:r>
          </w:p>
          <w:p w:rsidR="00977AF4" w:rsidRPr="009D44AB" w:rsidRDefault="00977AF4" w:rsidP="00613F1E">
            <w:pPr>
              <w:rPr>
                <w:sz w:val="20"/>
              </w:rPr>
            </w:pPr>
            <w:r w:rsidRPr="009D44AB">
              <w:rPr>
                <w:sz w:val="20"/>
              </w:rPr>
              <w:t>Supreme Court of Canada</w:t>
            </w:r>
          </w:p>
          <w:p w:rsidR="00977AF4" w:rsidRPr="009D44AB" w:rsidRDefault="00977AF4" w:rsidP="00613F1E">
            <w:pPr>
              <w:rPr>
                <w:sz w:val="20"/>
              </w:rPr>
            </w:pPr>
          </w:p>
          <w:p w:rsidR="00977AF4" w:rsidRPr="009D44AB" w:rsidRDefault="00977AF4" w:rsidP="00613F1E">
            <w:pPr>
              <w:rPr>
                <w:sz w:val="20"/>
              </w:rPr>
            </w:pPr>
          </w:p>
        </w:tc>
        <w:tc>
          <w:tcPr>
            <w:tcW w:w="243" w:type="pct"/>
          </w:tcPr>
          <w:p w:rsidR="00977AF4" w:rsidRPr="009D44AB" w:rsidRDefault="00977AF4" w:rsidP="00613F1E">
            <w:pPr>
              <w:rPr>
                <w:sz w:val="20"/>
              </w:rPr>
            </w:pPr>
          </w:p>
        </w:tc>
        <w:tc>
          <w:tcPr>
            <w:tcW w:w="2330" w:type="pct"/>
          </w:tcPr>
          <w:p w:rsidR="00977AF4" w:rsidRPr="009D44AB" w:rsidRDefault="00977AF4" w:rsidP="00C82584">
            <w:pPr>
              <w:rPr>
                <w:sz w:val="20"/>
              </w:rPr>
            </w:pPr>
            <w:r w:rsidRPr="009D44AB">
              <w:rPr>
                <w:sz w:val="20"/>
              </w:rPr>
              <w:t>Motion for an extension of time to serve and file the application for leave to appeal, motion to file a joint application for leave to appeal and application for leave to appeal filed</w:t>
            </w:r>
          </w:p>
        </w:tc>
      </w:tr>
    </w:tbl>
    <w:p w:rsidR="00977AF4" w:rsidRPr="009D44AB" w:rsidRDefault="00977AF4" w:rsidP="00097BBF">
      <w:pPr>
        <w:rPr>
          <w:sz w:val="20"/>
        </w:rPr>
      </w:pPr>
    </w:p>
    <w:p w:rsidR="00977AF4" w:rsidRPr="009D44AB" w:rsidRDefault="00BB65F4" w:rsidP="00097BBF">
      <w:pPr>
        <w:rPr>
          <w:sz w:val="20"/>
        </w:rPr>
      </w:pPr>
      <w:r>
        <w:rPr>
          <w:sz w:val="20"/>
        </w:rPr>
        <w:pict>
          <v:rect id="_x0000_i1027" style="width:2in;height:1pt" o:hrpct="0" o:hralign="center" o:hrstd="t" o:hrnoshade="t" o:hr="t" fillcolor="black [3213]" stroked="f"/>
        </w:pict>
      </w:r>
    </w:p>
    <w:p w:rsidR="00977AF4" w:rsidRPr="009D44AB" w:rsidRDefault="00977AF4" w:rsidP="00097BBF">
      <w:pPr>
        <w:rPr>
          <w:sz w:val="20"/>
        </w:rPr>
      </w:pPr>
    </w:p>
    <w:p w:rsidR="00977AF4" w:rsidRPr="009D44AB" w:rsidRDefault="00977AF4"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781548">
            <w:pPr>
              <w:rPr>
                <w:sz w:val="20"/>
                <w:lang w:val="fr-CA"/>
              </w:rPr>
            </w:pPr>
            <w:r w:rsidRPr="009D44AB">
              <w:rPr>
                <w:rStyle w:val="SCCFileNumberChar"/>
                <w:sz w:val="20"/>
                <w:szCs w:val="20"/>
                <w:lang w:val="fr-CA"/>
              </w:rPr>
              <w:t>38879</w:t>
            </w:r>
          </w:p>
        </w:tc>
        <w:tc>
          <w:tcPr>
            <w:tcW w:w="4457" w:type="pct"/>
            <w:gridSpan w:val="3"/>
          </w:tcPr>
          <w:p w:rsidR="00977AF4" w:rsidRPr="009D44AB" w:rsidRDefault="00977AF4" w:rsidP="00977AF4">
            <w:pPr>
              <w:pStyle w:val="SCCLsocParty"/>
              <w:jc w:val="left"/>
              <w:rPr>
                <w:b/>
                <w:sz w:val="20"/>
                <w:szCs w:val="20"/>
              </w:rPr>
            </w:pPr>
            <w:proofErr w:type="spellStart"/>
            <w:r w:rsidRPr="009D44AB">
              <w:rPr>
                <w:b/>
                <w:sz w:val="20"/>
                <w:szCs w:val="20"/>
              </w:rPr>
              <w:t>Rodica</w:t>
            </w:r>
            <w:proofErr w:type="spellEnd"/>
            <w:r w:rsidRPr="009D44AB">
              <w:rPr>
                <w:b/>
                <w:sz w:val="20"/>
                <w:szCs w:val="20"/>
              </w:rPr>
              <w:t xml:space="preserve"> </w:t>
            </w:r>
            <w:proofErr w:type="spellStart"/>
            <w:r w:rsidRPr="009D44AB">
              <w:rPr>
                <w:b/>
                <w:sz w:val="20"/>
                <w:szCs w:val="20"/>
              </w:rPr>
              <w:t>Radita</w:t>
            </w:r>
            <w:proofErr w:type="spellEnd"/>
            <w:r w:rsidRPr="009D44AB">
              <w:rPr>
                <w:b/>
                <w:sz w:val="20"/>
                <w:szCs w:val="20"/>
              </w:rPr>
              <w:t xml:space="preserve">, Emil Marian </w:t>
            </w:r>
            <w:proofErr w:type="spellStart"/>
            <w:r w:rsidRPr="009D44AB">
              <w:rPr>
                <w:b/>
                <w:sz w:val="20"/>
                <w:szCs w:val="20"/>
              </w:rPr>
              <w:t>Radita</w:t>
            </w:r>
            <w:proofErr w:type="spellEnd"/>
            <w:r w:rsidRPr="009D44AB">
              <w:rPr>
                <w:b/>
                <w:sz w:val="20"/>
                <w:szCs w:val="20"/>
              </w:rPr>
              <w:t xml:space="preserve"> c. Sa Majesté la Reine</w:t>
            </w:r>
          </w:p>
          <w:p w:rsidR="00977AF4" w:rsidRPr="009D44AB" w:rsidRDefault="00977AF4" w:rsidP="00781548">
            <w:pPr>
              <w:rPr>
                <w:sz w:val="20"/>
                <w:lang w:val="fr-CA"/>
              </w:rPr>
            </w:pPr>
            <w:r w:rsidRPr="009D44AB">
              <w:rPr>
                <w:sz w:val="20"/>
                <w:lang w:val="fr-CA"/>
              </w:rPr>
              <w:t>(</w:t>
            </w:r>
            <w:proofErr w:type="spellStart"/>
            <w:r w:rsidRPr="009D44AB">
              <w:rPr>
                <w:sz w:val="20"/>
                <w:lang w:val="fr-CA"/>
              </w:rPr>
              <w:t>Alb</w:t>
            </w:r>
            <w:proofErr w:type="spellEnd"/>
            <w:r w:rsidRPr="009D44AB">
              <w:rPr>
                <w:sz w:val="20"/>
                <w:lang w:val="fr-CA"/>
              </w:rPr>
              <w:t>.) (Criminelle) (Autorisation)</w:t>
            </w:r>
          </w:p>
        </w:tc>
      </w:tr>
      <w:tr w:rsidR="00977AF4" w:rsidRPr="00EC12BA" w:rsidTr="00E95A6A">
        <w:tc>
          <w:tcPr>
            <w:tcW w:w="5000" w:type="pct"/>
            <w:gridSpan w:val="4"/>
          </w:tcPr>
          <w:p w:rsidR="00977AF4" w:rsidRPr="009D44AB" w:rsidRDefault="00977AF4" w:rsidP="00781548">
            <w:pPr>
              <w:pStyle w:val="SCCBanSummary"/>
              <w:rPr>
                <w:sz w:val="20"/>
                <w:szCs w:val="20"/>
                <w:lang w:val="fr-CA"/>
              </w:rPr>
            </w:pPr>
            <w:r w:rsidRPr="009D44AB">
              <w:rPr>
                <w:sz w:val="20"/>
                <w:szCs w:val="20"/>
                <w:lang w:val="fr-CA"/>
              </w:rPr>
              <w:t>(Ordonnance de non</w:t>
            </w:r>
            <w:r w:rsidRPr="009D44AB">
              <w:rPr>
                <w:sz w:val="20"/>
                <w:szCs w:val="20"/>
                <w:lang w:val="fr-CA"/>
              </w:rPr>
              <w:noBreakHyphen/>
              <w:t>publication dans le dossier) (Ordonnance de mise sous scellés) (Le dossier de la Cour renferme des données que le public n’est pas autorisé à consulter)</w:t>
            </w:r>
          </w:p>
          <w:p w:rsidR="00977AF4" w:rsidRPr="009D44AB" w:rsidRDefault="00977AF4" w:rsidP="00781548">
            <w:pPr>
              <w:rPr>
                <w:sz w:val="20"/>
                <w:lang w:val="fr-CA"/>
              </w:rPr>
            </w:pPr>
          </w:p>
        </w:tc>
      </w:tr>
      <w:tr w:rsidR="00977AF4" w:rsidRPr="00EC12BA" w:rsidTr="00E95A6A">
        <w:tc>
          <w:tcPr>
            <w:tcW w:w="5000" w:type="pct"/>
            <w:gridSpan w:val="4"/>
          </w:tcPr>
          <w:p w:rsidR="00977AF4" w:rsidRPr="009D44AB" w:rsidRDefault="00977AF4" w:rsidP="00781548">
            <w:pPr>
              <w:rPr>
                <w:sz w:val="20"/>
                <w:lang w:val="fr-CA"/>
              </w:rPr>
            </w:pPr>
            <w:r w:rsidRPr="009D44AB">
              <w:rPr>
                <w:sz w:val="20"/>
                <w:lang w:val="fr-CA"/>
              </w:rPr>
              <w:t>Droit criminel — Meurtre — Éléments de l’infraction — Meurtre au premier degré par imputation — Séquestration — La Cour d’appel a</w:t>
            </w:r>
            <w:r w:rsidRPr="009D44AB">
              <w:rPr>
                <w:sz w:val="20"/>
                <w:lang w:val="fr-CA"/>
              </w:rPr>
              <w:noBreakHyphen/>
              <w:t>t</w:t>
            </w:r>
            <w:r w:rsidRPr="009D44AB">
              <w:rPr>
                <w:sz w:val="20"/>
                <w:lang w:val="fr-CA"/>
              </w:rPr>
              <w:noBreakHyphen/>
              <w:t xml:space="preserve">elle commis une erreur en omettant d’examiner les arguments principaux qu’ont fait valoir les demandeurs en appel concernant la préméditation et le propos délibéré relativement au meurtre au premier degré en application du par. 231(2) du </w:t>
            </w:r>
            <w:r w:rsidRPr="009D44AB">
              <w:rPr>
                <w:i/>
                <w:sz w:val="20"/>
                <w:lang w:val="fr-CA"/>
              </w:rPr>
              <w:t>Code criminel</w:t>
            </w:r>
            <w:r w:rsidRPr="009D44AB">
              <w:rPr>
                <w:sz w:val="20"/>
                <w:lang w:val="fr-CA"/>
              </w:rPr>
              <w:t>? — La Cour d’appel confond</w:t>
            </w:r>
            <w:r w:rsidRPr="009D44AB">
              <w:rPr>
                <w:sz w:val="20"/>
                <w:lang w:val="fr-CA"/>
              </w:rPr>
              <w:noBreakHyphen/>
              <w:t>elle à tort la capacité de former une intention et le fait de l’intention de commettre un meurtre? — La Cour d’appel s’est</w:t>
            </w:r>
            <w:r w:rsidRPr="009D44AB">
              <w:rPr>
                <w:sz w:val="20"/>
                <w:lang w:val="fr-CA"/>
              </w:rPr>
              <w:noBreakHyphen/>
              <w:t xml:space="preserve">elle trompée dans son analyse en application du par. 231(5) du </w:t>
            </w:r>
            <w:r w:rsidRPr="009D44AB">
              <w:rPr>
                <w:i/>
                <w:sz w:val="20"/>
                <w:lang w:val="fr-CA"/>
              </w:rPr>
              <w:t>Code criminel</w:t>
            </w:r>
            <w:r w:rsidRPr="009D44AB">
              <w:rPr>
                <w:sz w:val="20"/>
                <w:lang w:val="fr-CA"/>
              </w:rPr>
              <w:t xml:space="preserve"> en réinterprétant le critère établi dans </w:t>
            </w:r>
            <w:r w:rsidRPr="009D44AB">
              <w:rPr>
                <w:i/>
                <w:sz w:val="20"/>
                <w:lang w:val="fr-CA"/>
              </w:rPr>
              <w:t xml:space="preserve">R. c. </w:t>
            </w:r>
            <w:proofErr w:type="spellStart"/>
            <w:r w:rsidRPr="009D44AB">
              <w:rPr>
                <w:i/>
                <w:sz w:val="20"/>
                <w:lang w:val="fr-CA"/>
              </w:rPr>
              <w:t>Harbottle</w:t>
            </w:r>
            <w:proofErr w:type="spellEnd"/>
            <w:r w:rsidRPr="009D44AB">
              <w:rPr>
                <w:sz w:val="20"/>
                <w:lang w:val="fr-CA"/>
              </w:rPr>
              <w:t>, [1993] 3 R.C.S. 306</w:t>
            </w:r>
            <w:r w:rsidRPr="009D44AB">
              <w:rPr>
                <w:i/>
                <w:sz w:val="20"/>
                <w:lang w:val="fr-CA"/>
              </w:rPr>
              <w:t xml:space="preserve"> </w:t>
            </w:r>
            <w:r w:rsidRPr="009D44AB">
              <w:rPr>
                <w:sz w:val="20"/>
                <w:lang w:val="fr-CA"/>
              </w:rPr>
              <w:t>en matière de séquestration? — La Cour d’appel s’est</w:t>
            </w:r>
            <w:r w:rsidRPr="009D44AB">
              <w:rPr>
                <w:sz w:val="20"/>
                <w:lang w:val="fr-CA"/>
              </w:rPr>
              <w:noBreakHyphen/>
              <w:t xml:space="preserve">elle trompée en caractérisant la norme de contrôle à l’égard du par. 231(5) du </w:t>
            </w:r>
            <w:r w:rsidRPr="009D44AB">
              <w:rPr>
                <w:i/>
                <w:sz w:val="20"/>
                <w:lang w:val="fr-CA"/>
              </w:rPr>
              <w:t>Code criminel</w:t>
            </w:r>
            <w:r w:rsidRPr="009D44AB">
              <w:rPr>
                <w:sz w:val="20"/>
                <w:lang w:val="fr-CA"/>
              </w:rPr>
              <w:t>?</w:t>
            </w:r>
          </w:p>
          <w:p w:rsidR="00977AF4" w:rsidRPr="009D44AB" w:rsidRDefault="00977AF4" w:rsidP="00781548">
            <w:pPr>
              <w:rPr>
                <w:sz w:val="20"/>
                <w:lang w:val="fr-CA"/>
              </w:rPr>
            </w:pPr>
          </w:p>
        </w:tc>
      </w:tr>
      <w:tr w:rsidR="00977AF4" w:rsidRPr="00EC12BA" w:rsidTr="00E95A6A">
        <w:tc>
          <w:tcPr>
            <w:tcW w:w="5000" w:type="pct"/>
            <w:gridSpan w:val="4"/>
          </w:tcPr>
          <w:p w:rsidR="00977AF4" w:rsidRPr="009D44AB" w:rsidRDefault="00977AF4" w:rsidP="00781548">
            <w:pPr>
              <w:rPr>
                <w:sz w:val="20"/>
                <w:lang w:val="fr-CA"/>
              </w:rPr>
            </w:pPr>
            <w:r w:rsidRPr="009D44AB">
              <w:rPr>
                <w:sz w:val="20"/>
                <w:lang w:val="fr-CA"/>
              </w:rPr>
              <w:lastRenderedPageBreak/>
              <w:t xml:space="preserve">Les demandeurs ont été déclarés coupables de meurtre au premier degré relativement à la mort de leur enfant décédé de </w:t>
            </w:r>
            <w:proofErr w:type="spellStart"/>
            <w:r w:rsidRPr="009D44AB">
              <w:rPr>
                <w:sz w:val="20"/>
                <w:lang w:val="fr-CA"/>
              </w:rPr>
              <w:t>sepsie</w:t>
            </w:r>
            <w:proofErr w:type="spellEnd"/>
            <w:r w:rsidRPr="009D44AB">
              <w:rPr>
                <w:sz w:val="20"/>
                <w:lang w:val="fr-CA"/>
              </w:rPr>
              <w:t xml:space="preserve"> bactérienne causée par la négligence et la famine. L’enfant avait été privé d’insuline et de soins médicaux. Il y avait amplement de preuve médicale au dossier à propos du lien entre le diabète type 1 dont </w:t>
            </w:r>
            <w:proofErr w:type="gramStart"/>
            <w:r w:rsidRPr="009D44AB">
              <w:rPr>
                <w:sz w:val="20"/>
                <w:lang w:val="fr-CA"/>
              </w:rPr>
              <w:t>souffrait</w:t>
            </w:r>
            <w:proofErr w:type="gramEnd"/>
            <w:r w:rsidRPr="009D44AB">
              <w:rPr>
                <w:sz w:val="20"/>
                <w:lang w:val="fr-CA"/>
              </w:rPr>
              <w:t xml:space="preserve"> l’enfant et la cause du décès. Le juge du procès a conclu que les faits appuyaient les inférences nécessaires pour prononcer une déclaration de culpabilité pour meurtre au premier degré en tant que meurtre prémédité et de propos délibéré (par. 231(2) du </w:t>
            </w:r>
            <w:r w:rsidRPr="009D44AB">
              <w:rPr>
                <w:i/>
                <w:sz w:val="20"/>
                <w:lang w:val="fr-CA"/>
              </w:rPr>
              <w:t>Code criminel</w:t>
            </w:r>
            <w:r w:rsidRPr="009D44AB">
              <w:rPr>
                <w:sz w:val="20"/>
                <w:lang w:val="fr-CA"/>
              </w:rPr>
              <w:t xml:space="preserve">) ou en tant que meurtre commis lors d’une séquestration (par. 231(5)e) du </w:t>
            </w:r>
            <w:r w:rsidRPr="009D44AB">
              <w:rPr>
                <w:i/>
                <w:sz w:val="20"/>
                <w:lang w:val="fr-CA"/>
              </w:rPr>
              <w:t>Code criminel</w:t>
            </w:r>
            <w:r w:rsidRPr="009D44AB">
              <w:rPr>
                <w:sz w:val="20"/>
                <w:lang w:val="fr-CA"/>
              </w:rPr>
              <w:t>). La Cour d’appel a rejeté les appels de la déclaration de culpabilité.</w:t>
            </w:r>
          </w:p>
          <w:p w:rsidR="00977AF4" w:rsidRPr="009D44AB" w:rsidRDefault="00977AF4" w:rsidP="00781548">
            <w:pPr>
              <w:rPr>
                <w:sz w:val="20"/>
                <w:lang w:val="fr-CA"/>
              </w:rPr>
            </w:pPr>
          </w:p>
        </w:tc>
      </w:tr>
      <w:tr w:rsidR="00977AF4" w:rsidRPr="00EC12BA" w:rsidTr="00E95A6A">
        <w:tc>
          <w:tcPr>
            <w:tcW w:w="2427" w:type="pct"/>
            <w:gridSpan w:val="2"/>
          </w:tcPr>
          <w:p w:rsidR="00977AF4" w:rsidRPr="009D44AB" w:rsidRDefault="00977AF4" w:rsidP="00781548">
            <w:pPr>
              <w:rPr>
                <w:sz w:val="20"/>
                <w:lang w:val="fr-CA"/>
              </w:rPr>
            </w:pPr>
            <w:r w:rsidRPr="009D44AB">
              <w:rPr>
                <w:sz w:val="20"/>
                <w:lang w:val="fr-CA"/>
              </w:rPr>
              <w:t>24 février 2017</w:t>
            </w:r>
          </w:p>
          <w:p w:rsidR="00977AF4" w:rsidRPr="009D44AB" w:rsidRDefault="00977AF4" w:rsidP="00781548">
            <w:pPr>
              <w:rPr>
                <w:sz w:val="20"/>
                <w:lang w:val="fr-CA"/>
              </w:rPr>
            </w:pPr>
            <w:r w:rsidRPr="009D44AB">
              <w:rPr>
                <w:sz w:val="20"/>
                <w:lang w:val="fr-CA"/>
              </w:rPr>
              <w:t>Cour du Banc de la Reine de l’Alberta</w:t>
            </w:r>
          </w:p>
          <w:p w:rsidR="00977AF4" w:rsidRPr="009D44AB" w:rsidRDefault="00977AF4" w:rsidP="00781548">
            <w:pPr>
              <w:rPr>
                <w:sz w:val="20"/>
                <w:lang w:val="fr-CA"/>
              </w:rPr>
            </w:pPr>
            <w:r w:rsidRPr="009D44AB">
              <w:rPr>
                <w:sz w:val="20"/>
                <w:lang w:val="fr-CA"/>
              </w:rPr>
              <w:t xml:space="preserve">(Juge </w:t>
            </w:r>
            <w:proofErr w:type="spellStart"/>
            <w:r w:rsidRPr="009D44AB">
              <w:rPr>
                <w:sz w:val="20"/>
                <w:lang w:val="fr-CA"/>
              </w:rPr>
              <w:t>Horner</w:t>
            </w:r>
            <w:proofErr w:type="spellEnd"/>
            <w:r w:rsidRPr="009D44AB">
              <w:rPr>
                <w:sz w:val="20"/>
                <w:lang w:val="fr-CA"/>
              </w:rPr>
              <w:t>)</w:t>
            </w:r>
          </w:p>
          <w:p w:rsidR="00977AF4" w:rsidRPr="009D44AB" w:rsidRDefault="00BB65F4" w:rsidP="00781548">
            <w:pPr>
              <w:rPr>
                <w:sz w:val="20"/>
                <w:lang w:val="fr-CA"/>
              </w:rPr>
            </w:pPr>
            <w:hyperlink r:id="rId20" w:history="1">
              <w:r w:rsidR="00977AF4" w:rsidRPr="009D44AB">
                <w:rPr>
                  <w:rStyle w:val="Hyperlink"/>
                  <w:sz w:val="20"/>
                  <w:lang w:val="fr-CA"/>
                </w:rPr>
                <w:t>2017 ABQB 128</w:t>
              </w:r>
            </w:hyperlink>
          </w:p>
          <w:p w:rsidR="00977AF4" w:rsidRPr="009D44AB" w:rsidRDefault="00977AF4" w:rsidP="00781548">
            <w:pPr>
              <w:rPr>
                <w:sz w:val="20"/>
                <w:lang w:val="fr-CA"/>
              </w:rPr>
            </w:pPr>
          </w:p>
        </w:tc>
        <w:tc>
          <w:tcPr>
            <w:tcW w:w="243" w:type="pct"/>
          </w:tcPr>
          <w:p w:rsidR="00977AF4" w:rsidRPr="009D44AB" w:rsidRDefault="00977AF4" w:rsidP="00781548">
            <w:pPr>
              <w:rPr>
                <w:sz w:val="20"/>
                <w:lang w:val="fr-CA"/>
              </w:rPr>
            </w:pPr>
          </w:p>
        </w:tc>
        <w:tc>
          <w:tcPr>
            <w:tcW w:w="2330" w:type="pct"/>
          </w:tcPr>
          <w:p w:rsidR="00977AF4" w:rsidRPr="009D44AB" w:rsidRDefault="00977AF4" w:rsidP="00781548">
            <w:pPr>
              <w:rPr>
                <w:sz w:val="20"/>
                <w:lang w:val="fr-CA"/>
              </w:rPr>
            </w:pPr>
            <w:r w:rsidRPr="009D44AB">
              <w:rPr>
                <w:sz w:val="20"/>
                <w:lang w:val="fr-CA"/>
              </w:rPr>
              <w:t>Déclarations de culpabilité : meurtre au premier degré</w:t>
            </w:r>
          </w:p>
          <w:p w:rsidR="00977AF4" w:rsidRPr="009D44AB" w:rsidRDefault="00977AF4" w:rsidP="00781548">
            <w:pPr>
              <w:rPr>
                <w:sz w:val="20"/>
                <w:lang w:val="fr-CA"/>
              </w:rPr>
            </w:pPr>
          </w:p>
        </w:tc>
      </w:tr>
      <w:tr w:rsidR="00977AF4" w:rsidRPr="00EC12BA" w:rsidTr="00E95A6A">
        <w:tc>
          <w:tcPr>
            <w:tcW w:w="2427" w:type="pct"/>
            <w:gridSpan w:val="2"/>
          </w:tcPr>
          <w:p w:rsidR="00977AF4" w:rsidRPr="009D44AB" w:rsidRDefault="00977AF4" w:rsidP="00781548">
            <w:pPr>
              <w:rPr>
                <w:sz w:val="20"/>
                <w:lang w:val="fr-CA"/>
              </w:rPr>
            </w:pPr>
            <w:r w:rsidRPr="009D44AB">
              <w:rPr>
                <w:sz w:val="20"/>
                <w:lang w:val="fr-CA"/>
              </w:rPr>
              <w:t>28 février 2019</w:t>
            </w:r>
          </w:p>
          <w:p w:rsidR="00977AF4" w:rsidRPr="009D44AB" w:rsidRDefault="00977AF4" w:rsidP="00781548">
            <w:pPr>
              <w:rPr>
                <w:sz w:val="20"/>
                <w:lang w:val="fr-CA"/>
              </w:rPr>
            </w:pPr>
            <w:r w:rsidRPr="009D44AB">
              <w:rPr>
                <w:sz w:val="20"/>
                <w:lang w:val="fr-CA"/>
              </w:rPr>
              <w:t>Cour d’appel de l’Alberta (Calgary)</w:t>
            </w:r>
          </w:p>
          <w:p w:rsidR="00977AF4" w:rsidRPr="009D44AB" w:rsidRDefault="00977AF4" w:rsidP="00781548">
            <w:pPr>
              <w:rPr>
                <w:sz w:val="20"/>
                <w:lang w:val="fr-CA"/>
              </w:rPr>
            </w:pPr>
            <w:r w:rsidRPr="009D44AB">
              <w:rPr>
                <w:sz w:val="20"/>
                <w:lang w:val="fr-CA"/>
              </w:rPr>
              <w:t xml:space="preserve">(Juges </w:t>
            </w:r>
            <w:proofErr w:type="spellStart"/>
            <w:r w:rsidRPr="009D44AB">
              <w:rPr>
                <w:sz w:val="20"/>
                <w:lang w:val="fr-CA"/>
              </w:rPr>
              <w:t>Rowbotham</w:t>
            </w:r>
            <w:proofErr w:type="spellEnd"/>
            <w:r w:rsidRPr="009D44AB">
              <w:rPr>
                <w:sz w:val="20"/>
                <w:lang w:val="fr-CA"/>
              </w:rPr>
              <w:t xml:space="preserve">, Veldhuis et </w:t>
            </w:r>
            <w:proofErr w:type="spellStart"/>
            <w:r w:rsidRPr="009D44AB">
              <w:rPr>
                <w:sz w:val="20"/>
                <w:lang w:val="fr-CA"/>
              </w:rPr>
              <w:t>Pentelechuk</w:t>
            </w:r>
            <w:proofErr w:type="spellEnd"/>
            <w:r w:rsidRPr="009D44AB">
              <w:rPr>
                <w:sz w:val="20"/>
                <w:lang w:val="fr-CA"/>
              </w:rPr>
              <w:t>)</w:t>
            </w:r>
          </w:p>
          <w:p w:rsidR="00977AF4" w:rsidRPr="009D44AB" w:rsidRDefault="00BB65F4" w:rsidP="00781548">
            <w:pPr>
              <w:rPr>
                <w:sz w:val="20"/>
                <w:lang w:val="fr-CA"/>
              </w:rPr>
            </w:pPr>
            <w:hyperlink r:id="rId21" w:history="1">
              <w:r w:rsidR="00977AF4" w:rsidRPr="009D44AB">
                <w:rPr>
                  <w:rStyle w:val="Hyperlink"/>
                  <w:sz w:val="20"/>
                  <w:lang w:val="fr-CA"/>
                </w:rPr>
                <w:t>2019 ABCA 77</w:t>
              </w:r>
            </w:hyperlink>
          </w:p>
          <w:p w:rsidR="00977AF4" w:rsidRPr="009D44AB" w:rsidRDefault="00977AF4" w:rsidP="00781548">
            <w:pPr>
              <w:rPr>
                <w:sz w:val="20"/>
                <w:lang w:val="fr-CA"/>
              </w:rPr>
            </w:pPr>
            <w:r w:rsidRPr="009D44AB">
              <w:rPr>
                <w:sz w:val="20"/>
                <w:lang w:val="fr-CA"/>
              </w:rPr>
              <w:t>1701</w:t>
            </w:r>
            <w:r w:rsidRPr="009D44AB">
              <w:rPr>
                <w:sz w:val="20"/>
                <w:lang w:val="fr-CA"/>
              </w:rPr>
              <w:noBreakHyphen/>
              <w:t>0094</w:t>
            </w:r>
            <w:r w:rsidRPr="009D44AB">
              <w:rPr>
                <w:sz w:val="20"/>
                <w:lang w:val="fr-CA"/>
              </w:rPr>
              <w:noBreakHyphen/>
              <w:t>A; 1701</w:t>
            </w:r>
            <w:r w:rsidRPr="009D44AB">
              <w:rPr>
                <w:sz w:val="20"/>
                <w:lang w:val="fr-CA"/>
              </w:rPr>
              <w:noBreakHyphen/>
              <w:t>0099</w:t>
            </w:r>
            <w:r w:rsidRPr="009D44AB">
              <w:rPr>
                <w:sz w:val="20"/>
                <w:lang w:val="fr-CA"/>
              </w:rPr>
              <w:noBreakHyphen/>
              <w:t>A</w:t>
            </w:r>
          </w:p>
          <w:p w:rsidR="00977AF4" w:rsidRPr="009D44AB" w:rsidRDefault="00977AF4" w:rsidP="00781548">
            <w:pPr>
              <w:rPr>
                <w:sz w:val="20"/>
                <w:lang w:val="fr-CA"/>
              </w:rPr>
            </w:pPr>
          </w:p>
        </w:tc>
        <w:tc>
          <w:tcPr>
            <w:tcW w:w="243" w:type="pct"/>
          </w:tcPr>
          <w:p w:rsidR="00977AF4" w:rsidRPr="009D44AB" w:rsidRDefault="00977AF4" w:rsidP="00781548">
            <w:pPr>
              <w:rPr>
                <w:sz w:val="20"/>
                <w:lang w:val="fr-CA"/>
              </w:rPr>
            </w:pPr>
          </w:p>
        </w:tc>
        <w:tc>
          <w:tcPr>
            <w:tcW w:w="2330" w:type="pct"/>
          </w:tcPr>
          <w:p w:rsidR="00977AF4" w:rsidRPr="009D44AB" w:rsidRDefault="00977AF4" w:rsidP="00781548">
            <w:pPr>
              <w:rPr>
                <w:sz w:val="20"/>
                <w:lang w:val="fr-CA"/>
              </w:rPr>
            </w:pPr>
            <w:r w:rsidRPr="009D44AB">
              <w:rPr>
                <w:sz w:val="20"/>
                <w:lang w:val="fr-CA"/>
              </w:rPr>
              <w:t>Rejet des appels des déclarations de culpabilité</w:t>
            </w:r>
          </w:p>
          <w:p w:rsidR="00977AF4" w:rsidRPr="009D44AB" w:rsidRDefault="00977AF4" w:rsidP="00781548">
            <w:pPr>
              <w:rPr>
                <w:sz w:val="20"/>
                <w:lang w:val="fr-CA"/>
              </w:rPr>
            </w:pPr>
          </w:p>
        </w:tc>
      </w:tr>
      <w:tr w:rsidR="00977AF4" w:rsidRPr="00EC12BA" w:rsidTr="00E95A6A">
        <w:tc>
          <w:tcPr>
            <w:tcW w:w="2427" w:type="pct"/>
            <w:gridSpan w:val="2"/>
          </w:tcPr>
          <w:p w:rsidR="00977AF4" w:rsidRPr="009D44AB" w:rsidRDefault="00977AF4" w:rsidP="00781548">
            <w:pPr>
              <w:rPr>
                <w:sz w:val="20"/>
                <w:lang w:val="fr-CA"/>
              </w:rPr>
            </w:pPr>
            <w:r w:rsidRPr="009D44AB">
              <w:rPr>
                <w:sz w:val="20"/>
                <w:lang w:val="fr-CA"/>
              </w:rPr>
              <w:t>17 octobre 2019</w:t>
            </w:r>
          </w:p>
          <w:p w:rsidR="00977AF4" w:rsidRPr="009D44AB" w:rsidRDefault="00977AF4" w:rsidP="00781548">
            <w:pPr>
              <w:rPr>
                <w:sz w:val="20"/>
                <w:lang w:val="fr-CA"/>
              </w:rPr>
            </w:pPr>
            <w:r w:rsidRPr="009D44AB">
              <w:rPr>
                <w:sz w:val="20"/>
                <w:lang w:val="fr-CA"/>
              </w:rPr>
              <w:t>Cour suprême du Canada</w:t>
            </w:r>
          </w:p>
          <w:p w:rsidR="00977AF4" w:rsidRPr="009D44AB" w:rsidRDefault="00977AF4" w:rsidP="00781548">
            <w:pPr>
              <w:rPr>
                <w:sz w:val="20"/>
                <w:lang w:val="fr-CA"/>
              </w:rPr>
            </w:pPr>
          </w:p>
          <w:p w:rsidR="00977AF4" w:rsidRPr="009D44AB" w:rsidRDefault="00977AF4" w:rsidP="00781548">
            <w:pPr>
              <w:rPr>
                <w:sz w:val="20"/>
                <w:lang w:val="fr-CA"/>
              </w:rPr>
            </w:pPr>
          </w:p>
        </w:tc>
        <w:tc>
          <w:tcPr>
            <w:tcW w:w="243" w:type="pct"/>
          </w:tcPr>
          <w:p w:rsidR="00977AF4" w:rsidRPr="009D44AB" w:rsidRDefault="00977AF4" w:rsidP="00781548">
            <w:pPr>
              <w:rPr>
                <w:sz w:val="20"/>
                <w:lang w:val="fr-CA"/>
              </w:rPr>
            </w:pPr>
          </w:p>
        </w:tc>
        <w:tc>
          <w:tcPr>
            <w:tcW w:w="2330" w:type="pct"/>
          </w:tcPr>
          <w:p w:rsidR="00977AF4" w:rsidRPr="009D44AB" w:rsidRDefault="00977AF4" w:rsidP="00781548">
            <w:pPr>
              <w:rPr>
                <w:sz w:val="20"/>
                <w:lang w:val="fr-CA"/>
              </w:rPr>
            </w:pPr>
            <w:r w:rsidRPr="009D44AB">
              <w:rPr>
                <w:sz w:val="20"/>
                <w:lang w:val="fr-CA"/>
              </w:rPr>
              <w:t>Dépôt de la requête en prorogation du délai de signification et de dépôt de la demande d’autorisation d’appel, de la requête en vue de déposer une demande conjointe d’autorisation d’appel et de la demande d’autorisation d’appel</w:t>
            </w:r>
          </w:p>
        </w:tc>
      </w:tr>
    </w:tbl>
    <w:p w:rsidR="00977AF4" w:rsidRPr="009D44AB" w:rsidRDefault="00BB65F4" w:rsidP="00781548">
      <w:pPr>
        <w:rPr>
          <w:sz w:val="20"/>
          <w:lang w:val="fr-CA"/>
        </w:rPr>
      </w:pPr>
      <w:r>
        <w:rPr>
          <w:sz w:val="20"/>
        </w:rPr>
        <w:pict>
          <v:rect id="_x0000_i1028" style="width:2in;height:1pt" o:hrpct="0" o:hralign="center" o:hrstd="t" o:hrnoshade="t" o:hr="t" fillcolor="black [3213]" stroked="f"/>
        </w:pict>
      </w:r>
    </w:p>
    <w:p w:rsidR="00CA1087" w:rsidRPr="009D44AB" w:rsidRDefault="00CA1087" w:rsidP="00FE413B">
      <w:pPr>
        <w:ind w:left="142" w:hanging="142"/>
        <w:jc w:val="both"/>
        <w:rPr>
          <w:sz w:val="20"/>
          <w:lang w:val="fr-CA"/>
        </w:rPr>
      </w:pPr>
    </w:p>
    <w:p w:rsidR="00CA1087" w:rsidRPr="009D44AB" w:rsidRDefault="00CA1087"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F9479E">
            <w:pPr>
              <w:rPr>
                <w:sz w:val="20"/>
              </w:rPr>
            </w:pPr>
            <w:r w:rsidRPr="009D44AB">
              <w:rPr>
                <w:rStyle w:val="SCCFileNumberChar"/>
                <w:sz w:val="20"/>
                <w:szCs w:val="20"/>
              </w:rPr>
              <w:t>38901</w:t>
            </w:r>
          </w:p>
        </w:tc>
        <w:tc>
          <w:tcPr>
            <w:tcW w:w="4457" w:type="pct"/>
            <w:gridSpan w:val="3"/>
          </w:tcPr>
          <w:p w:rsidR="00977AF4" w:rsidRPr="009D44AB" w:rsidRDefault="00977AF4" w:rsidP="00977AF4">
            <w:pPr>
              <w:pStyle w:val="SCCLsocParty"/>
              <w:jc w:val="left"/>
              <w:rPr>
                <w:b/>
                <w:sz w:val="20"/>
                <w:szCs w:val="20"/>
                <w:lang w:val="en-US"/>
              </w:rPr>
            </w:pPr>
            <w:r w:rsidRPr="009D44AB">
              <w:rPr>
                <w:b/>
                <w:sz w:val="20"/>
                <w:szCs w:val="20"/>
                <w:lang w:val="en-US"/>
              </w:rPr>
              <w:t xml:space="preserve">Golam </w:t>
            </w:r>
            <w:proofErr w:type="spellStart"/>
            <w:r w:rsidRPr="009D44AB">
              <w:rPr>
                <w:b/>
                <w:sz w:val="20"/>
                <w:szCs w:val="20"/>
                <w:lang w:val="en-US"/>
              </w:rPr>
              <w:t>Mehedi</w:t>
            </w:r>
            <w:proofErr w:type="spellEnd"/>
            <w:r w:rsidRPr="009D44AB">
              <w:rPr>
                <w:b/>
                <w:sz w:val="20"/>
                <w:szCs w:val="20"/>
                <w:lang w:val="en-US"/>
              </w:rPr>
              <w:t xml:space="preserve"> v. Her Majesty the Queen in Right of Ontario</w:t>
            </w:r>
          </w:p>
          <w:p w:rsidR="00977AF4" w:rsidRPr="009D44AB" w:rsidRDefault="00977AF4">
            <w:pPr>
              <w:rPr>
                <w:sz w:val="20"/>
              </w:rPr>
            </w:pPr>
            <w:r w:rsidRPr="009D44AB">
              <w:rPr>
                <w:sz w:val="20"/>
              </w:rPr>
              <w:t>(Ont.) (Civil) (By Leave)</w:t>
            </w:r>
          </w:p>
        </w:tc>
      </w:tr>
      <w:tr w:rsidR="00977AF4" w:rsidRPr="009D44AB" w:rsidTr="00E95A6A">
        <w:tc>
          <w:tcPr>
            <w:tcW w:w="5000" w:type="pct"/>
            <w:gridSpan w:val="4"/>
          </w:tcPr>
          <w:p w:rsidR="00977AF4" w:rsidRPr="009D44AB" w:rsidRDefault="00977AF4" w:rsidP="00824EC4">
            <w:pPr>
              <w:rPr>
                <w:sz w:val="20"/>
              </w:rPr>
            </w:pPr>
            <w:r w:rsidRPr="009D44AB">
              <w:rPr>
                <w:sz w:val="20"/>
              </w:rPr>
              <w:t xml:space="preserve">Judgments and orders — Interlocutory orders — Vexatious litigant — Applicant declared vexatious litigant after attempting to initiate private prosecutions against several individuals —Whether lower courts erred in failing to grant applicant’s applications for </w:t>
            </w:r>
            <w:r w:rsidRPr="009D44AB">
              <w:rPr>
                <w:i/>
                <w:sz w:val="20"/>
              </w:rPr>
              <w:t>certiorari</w:t>
            </w:r>
            <w:r w:rsidRPr="009D44AB">
              <w:rPr>
                <w:sz w:val="20"/>
              </w:rPr>
              <w:t xml:space="preserve"> and </w:t>
            </w:r>
            <w:r w:rsidRPr="009D44AB">
              <w:rPr>
                <w:i/>
                <w:sz w:val="20"/>
              </w:rPr>
              <w:t>mandamus</w:t>
            </w:r>
          </w:p>
        </w:tc>
      </w:tr>
      <w:tr w:rsidR="00977AF4" w:rsidRPr="009D44AB" w:rsidTr="00E95A6A">
        <w:tc>
          <w:tcPr>
            <w:tcW w:w="5000" w:type="pct"/>
            <w:gridSpan w:val="4"/>
          </w:tcPr>
          <w:p w:rsidR="00977AF4" w:rsidRPr="009D44AB" w:rsidRDefault="00977AF4" w:rsidP="00C01DCD">
            <w:pPr>
              <w:rPr>
                <w:sz w:val="20"/>
              </w:rPr>
            </w:pPr>
          </w:p>
          <w:p w:rsidR="00977AF4" w:rsidRPr="009D44AB" w:rsidRDefault="00977AF4" w:rsidP="0079019F">
            <w:pPr>
              <w:rPr>
                <w:sz w:val="20"/>
              </w:rPr>
            </w:pPr>
            <w:r w:rsidRPr="009D44AB">
              <w:rPr>
                <w:sz w:val="20"/>
              </w:rPr>
              <w:t>Mr. </w:t>
            </w:r>
            <w:proofErr w:type="spellStart"/>
            <w:r w:rsidRPr="009D44AB">
              <w:rPr>
                <w:sz w:val="20"/>
              </w:rPr>
              <w:t>Mehedi</w:t>
            </w:r>
            <w:proofErr w:type="spellEnd"/>
            <w:r w:rsidRPr="009D44AB">
              <w:rPr>
                <w:sz w:val="20"/>
              </w:rPr>
              <w:t xml:space="preserve"> brought three applications for </w:t>
            </w:r>
            <w:r w:rsidRPr="009D44AB">
              <w:rPr>
                <w:i/>
                <w:sz w:val="20"/>
              </w:rPr>
              <w:t>certiorari</w:t>
            </w:r>
            <w:r w:rsidRPr="009D44AB">
              <w:rPr>
                <w:sz w:val="20"/>
              </w:rPr>
              <w:t xml:space="preserve"> to allow him to proceed with criminal charges he had attempted to file against three different individuals. In each case, the Justice of the Peace declined to issue the summons requested or the Crown withdrew the charges. The Crown applied to have Mr. </w:t>
            </w:r>
            <w:proofErr w:type="spellStart"/>
            <w:r w:rsidRPr="009D44AB">
              <w:rPr>
                <w:sz w:val="20"/>
              </w:rPr>
              <w:t>Mehedi</w:t>
            </w:r>
            <w:proofErr w:type="spellEnd"/>
            <w:r w:rsidRPr="009D44AB">
              <w:rPr>
                <w:sz w:val="20"/>
              </w:rPr>
              <w:t xml:space="preserve"> declared a vexatious litigant.</w:t>
            </w:r>
          </w:p>
        </w:tc>
      </w:tr>
      <w:tr w:rsidR="00977AF4" w:rsidRPr="009D44AB" w:rsidTr="00E95A6A">
        <w:tc>
          <w:tcPr>
            <w:tcW w:w="5000" w:type="pct"/>
            <w:gridSpan w:val="4"/>
          </w:tcPr>
          <w:p w:rsidR="00977AF4" w:rsidRPr="009D44AB" w:rsidRDefault="00977AF4" w:rsidP="00824EC4">
            <w:pPr>
              <w:rPr>
                <w:sz w:val="20"/>
              </w:rPr>
            </w:pPr>
          </w:p>
        </w:tc>
      </w:tr>
      <w:tr w:rsidR="00977AF4" w:rsidRPr="009D44AB" w:rsidTr="00E95A6A">
        <w:tc>
          <w:tcPr>
            <w:tcW w:w="2427" w:type="pct"/>
            <w:gridSpan w:val="2"/>
          </w:tcPr>
          <w:p w:rsidR="00977AF4" w:rsidRPr="009D44AB" w:rsidRDefault="00977AF4">
            <w:pPr>
              <w:rPr>
                <w:sz w:val="20"/>
              </w:rPr>
            </w:pPr>
            <w:r w:rsidRPr="009D44AB">
              <w:rPr>
                <w:sz w:val="20"/>
              </w:rPr>
              <w:t>March 20, 2019</w:t>
            </w:r>
          </w:p>
          <w:p w:rsidR="00977AF4" w:rsidRPr="009D44AB" w:rsidRDefault="00977AF4">
            <w:pPr>
              <w:rPr>
                <w:sz w:val="20"/>
              </w:rPr>
            </w:pPr>
            <w:r w:rsidRPr="009D44AB">
              <w:rPr>
                <w:sz w:val="20"/>
              </w:rPr>
              <w:t>Ontario Superior Court of Justice</w:t>
            </w:r>
          </w:p>
          <w:p w:rsidR="00977AF4" w:rsidRPr="009D44AB" w:rsidRDefault="00977AF4">
            <w:pPr>
              <w:rPr>
                <w:sz w:val="20"/>
              </w:rPr>
            </w:pPr>
            <w:r w:rsidRPr="009D44AB">
              <w:rPr>
                <w:sz w:val="20"/>
              </w:rPr>
              <w:t>(Molloy J.)</w:t>
            </w:r>
          </w:p>
          <w:p w:rsidR="00977AF4" w:rsidRPr="009D44AB" w:rsidRDefault="00BB65F4" w:rsidP="00824EC4">
            <w:pPr>
              <w:rPr>
                <w:sz w:val="20"/>
              </w:rPr>
            </w:pPr>
            <w:hyperlink r:id="rId22" w:history="1">
              <w:r w:rsidR="00977AF4" w:rsidRPr="009D44AB">
                <w:rPr>
                  <w:rStyle w:val="Hyperlink"/>
                  <w:sz w:val="20"/>
                </w:rPr>
                <w:t>2019 ONSC 1774</w:t>
              </w:r>
            </w:hyperlink>
          </w:p>
          <w:p w:rsidR="00977AF4" w:rsidRPr="009D44AB" w:rsidRDefault="00977AF4" w:rsidP="00A414F4">
            <w:pPr>
              <w:rPr>
                <w:sz w:val="20"/>
              </w:rPr>
            </w:pPr>
          </w:p>
        </w:tc>
        <w:tc>
          <w:tcPr>
            <w:tcW w:w="243" w:type="pct"/>
          </w:tcPr>
          <w:p w:rsidR="00977AF4" w:rsidRPr="009D44AB" w:rsidRDefault="00977AF4" w:rsidP="00F9479E">
            <w:pPr>
              <w:rPr>
                <w:sz w:val="20"/>
              </w:rPr>
            </w:pPr>
          </w:p>
        </w:tc>
        <w:tc>
          <w:tcPr>
            <w:tcW w:w="2330" w:type="pct"/>
          </w:tcPr>
          <w:p w:rsidR="00977AF4" w:rsidRPr="009D44AB" w:rsidRDefault="00977AF4" w:rsidP="00824EC4">
            <w:pPr>
              <w:rPr>
                <w:sz w:val="20"/>
              </w:rPr>
            </w:pPr>
            <w:r w:rsidRPr="009D44AB">
              <w:rPr>
                <w:sz w:val="20"/>
              </w:rPr>
              <w:t xml:space="preserve">Applicant’s applications for </w:t>
            </w:r>
            <w:r w:rsidRPr="009D44AB">
              <w:rPr>
                <w:i/>
                <w:sz w:val="20"/>
              </w:rPr>
              <w:t>certiorari</w:t>
            </w:r>
            <w:r w:rsidRPr="009D44AB">
              <w:rPr>
                <w:sz w:val="20"/>
              </w:rPr>
              <w:t xml:space="preserve"> and </w:t>
            </w:r>
            <w:r w:rsidRPr="009D44AB">
              <w:rPr>
                <w:i/>
                <w:sz w:val="20"/>
              </w:rPr>
              <w:t>mandamus</w:t>
            </w:r>
            <w:r w:rsidRPr="009D44AB">
              <w:rPr>
                <w:sz w:val="20"/>
              </w:rPr>
              <w:t xml:space="preserve"> dismissed; applicant declared vexatious litigant and enjoined from bringing further proceedings either in Superior Court or Court of Appeal without leave</w:t>
            </w:r>
          </w:p>
          <w:p w:rsidR="00977AF4" w:rsidRPr="009D44AB" w:rsidRDefault="00977AF4" w:rsidP="00824EC4">
            <w:pPr>
              <w:rPr>
                <w:sz w:val="20"/>
              </w:rPr>
            </w:pPr>
          </w:p>
        </w:tc>
      </w:tr>
      <w:tr w:rsidR="00977AF4" w:rsidRPr="009D44AB" w:rsidTr="00E95A6A">
        <w:tc>
          <w:tcPr>
            <w:tcW w:w="2427" w:type="pct"/>
            <w:gridSpan w:val="2"/>
          </w:tcPr>
          <w:p w:rsidR="00977AF4" w:rsidRPr="009D44AB" w:rsidRDefault="00977AF4">
            <w:pPr>
              <w:rPr>
                <w:sz w:val="20"/>
              </w:rPr>
            </w:pPr>
            <w:r w:rsidRPr="009D44AB">
              <w:rPr>
                <w:sz w:val="20"/>
              </w:rPr>
              <w:t>July 8, 2019</w:t>
            </w:r>
          </w:p>
          <w:p w:rsidR="00977AF4" w:rsidRPr="009D44AB" w:rsidRDefault="00977AF4">
            <w:pPr>
              <w:rPr>
                <w:sz w:val="20"/>
              </w:rPr>
            </w:pPr>
            <w:r w:rsidRPr="009D44AB">
              <w:rPr>
                <w:sz w:val="20"/>
              </w:rPr>
              <w:t>Court of Appeal for Ontario</w:t>
            </w:r>
          </w:p>
          <w:p w:rsidR="00977AF4" w:rsidRPr="009D44AB" w:rsidRDefault="00977AF4">
            <w:pPr>
              <w:rPr>
                <w:sz w:val="20"/>
              </w:rPr>
            </w:pPr>
            <w:r w:rsidRPr="009D44AB">
              <w:rPr>
                <w:sz w:val="20"/>
              </w:rPr>
              <w:t>(Rouleau, Tulloch and Fairburn JJ.A.)</w:t>
            </w:r>
          </w:p>
          <w:p w:rsidR="00977AF4" w:rsidRPr="009D44AB" w:rsidRDefault="00977AF4">
            <w:pPr>
              <w:rPr>
                <w:sz w:val="20"/>
              </w:rPr>
            </w:pPr>
            <w:r w:rsidRPr="009D44AB">
              <w:rPr>
                <w:sz w:val="20"/>
              </w:rPr>
              <w:t>Unreported</w:t>
            </w:r>
          </w:p>
          <w:p w:rsidR="00977AF4" w:rsidRPr="009D44AB" w:rsidRDefault="00977AF4" w:rsidP="00A414F4">
            <w:pPr>
              <w:rPr>
                <w:sz w:val="20"/>
              </w:rPr>
            </w:pPr>
          </w:p>
        </w:tc>
        <w:tc>
          <w:tcPr>
            <w:tcW w:w="243" w:type="pct"/>
          </w:tcPr>
          <w:p w:rsidR="00977AF4" w:rsidRPr="009D44AB" w:rsidRDefault="00977AF4" w:rsidP="00F9479E">
            <w:pPr>
              <w:rPr>
                <w:sz w:val="20"/>
              </w:rPr>
            </w:pPr>
          </w:p>
        </w:tc>
        <w:tc>
          <w:tcPr>
            <w:tcW w:w="2330" w:type="pct"/>
          </w:tcPr>
          <w:p w:rsidR="00977AF4" w:rsidRPr="009D44AB" w:rsidRDefault="00977AF4" w:rsidP="00824EC4">
            <w:pPr>
              <w:rPr>
                <w:sz w:val="20"/>
              </w:rPr>
            </w:pPr>
            <w:r w:rsidRPr="009D44AB">
              <w:rPr>
                <w:sz w:val="20"/>
              </w:rPr>
              <w:t>Applicant’s appeal dismissed; Part of order enjoining applicant against initiating proceedings in Court of Appeal without leave struck.</w:t>
            </w:r>
          </w:p>
        </w:tc>
      </w:tr>
      <w:tr w:rsidR="00977AF4" w:rsidRPr="009D44AB" w:rsidTr="00E95A6A">
        <w:tc>
          <w:tcPr>
            <w:tcW w:w="2427" w:type="pct"/>
            <w:gridSpan w:val="2"/>
          </w:tcPr>
          <w:p w:rsidR="00977AF4" w:rsidRPr="009D44AB" w:rsidRDefault="00977AF4">
            <w:pPr>
              <w:rPr>
                <w:sz w:val="20"/>
              </w:rPr>
            </w:pPr>
            <w:r w:rsidRPr="009D44AB">
              <w:rPr>
                <w:sz w:val="20"/>
              </w:rPr>
              <w:t>August 27, 2019</w:t>
            </w:r>
          </w:p>
          <w:p w:rsidR="00977AF4" w:rsidRPr="009D44AB" w:rsidRDefault="00977AF4" w:rsidP="0079019F">
            <w:pPr>
              <w:rPr>
                <w:sz w:val="20"/>
              </w:rPr>
            </w:pPr>
            <w:r w:rsidRPr="009D44AB">
              <w:rPr>
                <w:sz w:val="20"/>
              </w:rPr>
              <w:t>Supreme Court of Canada</w:t>
            </w:r>
          </w:p>
          <w:p w:rsidR="00977AF4" w:rsidRPr="009D44AB" w:rsidRDefault="00977AF4" w:rsidP="0079019F">
            <w:pPr>
              <w:rPr>
                <w:sz w:val="20"/>
              </w:rPr>
            </w:pPr>
          </w:p>
          <w:p w:rsidR="00977AF4" w:rsidRPr="009D44AB" w:rsidRDefault="00977AF4" w:rsidP="00977AF4">
            <w:pPr>
              <w:rPr>
                <w:b/>
                <w:sz w:val="20"/>
              </w:rPr>
            </w:pPr>
          </w:p>
        </w:tc>
        <w:tc>
          <w:tcPr>
            <w:tcW w:w="243" w:type="pct"/>
          </w:tcPr>
          <w:p w:rsidR="00977AF4" w:rsidRPr="009D44AB" w:rsidRDefault="00977AF4" w:rsidP="00F9479E">
            <w:pPr>
              <w:rPr>
                <w:sz w:val="20"/>
              </w:rPr>
            </w:pPr>
          </w:p>
        </w:tc>
        <w:tc>
          <w:tcPr>
            <w:tcW w:w="2330" w:type="pct"/>
          </w:tcPr>
          <w:p w:rsidR="00977AF4" w:rsidRPr="009D44AB" w:rsidRDefault="00977AF4">
            <w:pPr>
              <w:rPr>
                <w:sz w:val="20"/>
              </w:rPr>
            </w:pPr>
            <w:r w:rsidRPr="009D44AB">
              <w:rPr>
                <w:sz w:val="20"/>
              </w:rPr>
              <w:t>Application for leave to appeal filed</w:t>
            </w:r>
          </w:p>
          <w:p w:rsidR="00977AF4" w:rsidRPr="009D44AB" w:rsidRDefault="00977AF4" w:rsidP="006F4C2D">
            <w:pPr>
              <w:rPr>
                <w:sz w:val="20"/>
              </w:rPr>
            </w:pPr>
          </w:p>
        </w:tc>
      </w:tr>
    </w:tbl>
    <w:p w:rsidR="00977AF4" w:rsidRPr="009D44AB" w:rsidRDefault="00BB65F4" w:rsidP="00097BBF">
      <w:pPr>
        <w:rPr>
          <w:sz w:val="20"/>
        </w:rPr>
      </w:pPr>
      <w:r>
        <w:rPr>
          <w:sz w:val="20"/>
        </w:rPr>
        <w:pict>
          <v:rect id="_x0000_i1029" style="width:2in;height:1pt" o:hrpct="0" o:hralign="center" o:hrstd="t" o:hrnoshade="t" o:hr="t" fillcolor="black [3213]" stroked="f"/>
        </w:pict>
      </w:r>
    </w:p>
    <w:p w:rsidR="00977AF4" w:rsidRPr="009D44AB" w:rsidRDefault="00977AF4" w:rsidP="00097BBF">
      <w:pPr>
        <w:rPr>
          <w:sz w:val="20"/>
        </w:rPr>
      </w:pPr>
    </w:p>
    <w:p w:rsidR="00977AF4" w:rsidRPr="009D44AB" w:rsidRDefault="00977AF4"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9F1F8B">
            <w:pPr>
              <w:rPr>
                <w:sz w:val="20"/>
                <w:lang w:val="fr-CA"/>
              </w:rPr>
            </w:pPr>
            <w:r w:rsidRPr="009D44AB">
              <w:rPr>
                <w:rStyle w:val="SCCFileNumberChar"/>
                <w:sz w:val="20"/>
                <w:szCs w:val="20"/>
                <w:lang w:val="fr-CA"/>
              </w:rPr>
              <w:t>38901</w:t>
            </w:r>
          </w:p>
        </w:tc>
        <w:tc>
          <w:tcPr>
            <w:tcW w:w="4457" w:type="pct"/>
            <w:gridSpan w:val="3"/>
          </w:tcPr>
          <w:p w:rsidR="00977AF4" w:rsidRPr="009D44AB" w:rsidRDefault="00977AF4" w:rsidP="00977AF4">
            <w:pPr>
              <w:pStyle w:val="SCCLsocParty"/>
              <w:jc w:val="left"/>
              <w:rPr>
                <w:b/>
                <w:sz w:val="20"/>
                <w:szCs w:val="20"/>
              </w:rPr>
            </w:pPr>
            <w:proofErr w:type="spellStart"/>
            <w:r w:rsidRPr="009D44AB">
              <w:rPr>
                <w:b/>
                <w:sz w:val="20"/>
                <w:szCs w:val="20"/>
              </w:rPr>
              <w:t>Golam</w:t>
            </w:r>
            <w:proofErr w:type="spellEnd"/>
            <w:r w:rsidRPr="009D44AB">
              <w:rPr>
                <w:b/>
                <w:sz w:val="20"/>
                <w:szCs w:val="20"/>
              </w:rPr>
              <w:t xml:space="preserve"> </w:t>
            </w:r>
            <w:proofErr w:type="spellStart"/>
            <w:r w:rsidRPr="009D44AB">
              <w:rPr>
                <w:b/>
                <w:sz w:val="20"/>
                <w:szCs w:val="20"/>
              </w:rPr>
              <w:t>Mehedi</w:t>
            </w:r>
            <w:proofErr w:type="spellEnd"/>
            <w:r w:rsidRPr="009D44AB">
              <w:rPr>
                <w:b/>
                <w:sz w:val="20"/>
                <w:szCs w:val="20"/>
              </w:rPr>
              <w:t xml:space="preserve"> c. Sa Majesté la Reine du chef de l’Ontario</w:t>
            </w:r>
          </w:p>
          <w:p w:rsidR="00977AF4" w:rsidRPr="009D44AB" w:rsidRDefault="00977AF4" w:rsidP="009F1F8B">
            <w:pPr>
              <w:rPr>
                <w:sz w:val="20"/>
                <w:lang w:val="fr-CA"/>
              </w:rPr>
            </w:pPr>
            <w:r w:rsidRPr="009D44AB">
              <w:rPr>
                <w:sz w:val="20"/>
                <w:lang w:val="fr-CA"/>
              </w:rPr>
              <w:t>(Ont.) (Civile) (Autorisation)</w:t>
            </w:r>
          </w:p>
        </w:tc>
      </w:tr>
      <w:tr w:rsidR="00977AF4" w:rsidRPr="00EC12BA" w:rsidTr="00E95A6A">
        <w:tc>
          <w:tcPr>
            <w:tcW w:w="5000" w:type="pct"/>
            <w:gridSpan w:val="4"/>
          </w:tcPr>
          <w:p w:rsidR="00977AF4" w:rsidRPr="009D44AB" w:rsidRDefault="00977AF4" w:rsidP="009F1F8B">
            <w:pPr>
              <w:rPr>
                <w:sz w:val="20"/>
                <w:lang w:val="fr-CA"/>
              </w:rPr>
            </w:pPr>
            <w:r w:rsidRPr="009D44AB">
              <w:rPr>
                <w:sz w:val="20"/>
                <w:lang w:val="fr-CA"/>
              </w:rPr>
              <w:t xml:space="preserve">Jugements et ordonnances — Ordonnances interlocutoires — Plaideur quérulent — Le demandeur a été déclaré plaideur quérulent après avoir tenté d’introduire plusieurs poursuites pénales privées contre plusieurs personnes — Les juridictions inférieures </w:t>
            </w:r>
            <w:proofErr w:type="spellStart"/>
            <w:r w:rsidRPr="009D44AB">
              <w:rPr>
                <w:sz w:val="20"/>
                <w:lang w:val="fr-CA"/>
              </w:rPr>
              <w:t>ont</w:t>
            </w:r>
            <w:r w:rsidRPr="009D44AB">
              <w:rPr>
                <w:sz w:val="20"/>
                <w:lang w:val="fr-CA"/>
              </w:rPr>
              <w:noBreakHyphen/>
              <w:t>elles</w:t>
            </w:r>
            <w:proofErr w:type="spellEnd"/>
            <w:r w:rsidRPr="009D44AB">
              <w:rPr>
                <w:sz w:val="20"/>
                <w:lang w:val="fr-CA"/>
              </w:rPr>
              <w:t xml:space="preserve"> eu tort de ne pas accueillir les demandes de </w:t>
            </w:r>
            <w:r w:rsidRPr="009D44AB">
              <w:rPr>
                <w:i/>
                <w:sz w:val="20"/>
                <w:lang w:val="fr-CA"/>
              </w:rPr>
              <w:t>certiorari</w:t>
            </w:r>
            <w:r w:rsidRPr="009D44AB">
              <w:rPr>
                <w:sz w:val="20"/>
                <w:lang w:val="fr-CA"/>
              </w:rPr>
              <w:t xml:space="preserve"> et de </w:t>
            </w:r>
            <w:r w:rsidRPr="009D44AB">
              <w:rPr>
                <w:i/>
                <w:sz w:val="20"/>
                <w:lang w:val="fr-CA"/>
              </w:rPr>
              <w:t>mandamus</w:t>
            </w:r>
            <w:r w:rsidRPr="009D44AB">
              <w:rPr>
                <w:sz w:val="20"/>
                <w:lang w:val="fr-CA"/>
              </w:rPr>
              <w:t xml:space="preserve"> présentées par le demandeur?</w:t>
            </w:r>
          </w:p>
        </w:tc>
      </w:tr>
      <w:tr w:rsidR="00977AF4" w:rsidRPr="00EC12BA" w:rsidTr="00E95A6A">
        <w:tc>
          <w:tcPr>
            <w:tcW w:w="5000" w:type="pct"/>
            <w:gridSpan w:val="4"/>
          </w:tcPr>
          <w:p w:rsidR="00977AF4" w:rsidRPr="009D44AB" w:rsidRDefault="00977AF4" w:rsidP="009F1F8B">
            <w:pPr>
              <w:rPr>
                <w:sz w:val="20"/>
                <w:lang w:val="fr-CA"/>
              </w:rPr>
            </w:pPr>
          </w:p>
          <w:p w:rsidR="00977AF4" w:rsidRPr="009D44AB" w:rsidRDefault="00977AF4" w:rsidP="009F1F8B">
            <w:pPr>
              <w:rPr>
                <w:sz w:val="20"/>
                <w:lang w:val="fr-CA"/>
              </w:rPr>
            </w:pPr>
            <w:r w:rsidRPr="009D44AB">
              <w:rPr>
                <w:sz w:val="20"/>
                <w:lang w:val="fr-CA"/>
              </w:rPr>
              <w:t xml:space="preserve">Monsieur Mehedi a présenté trois demandes de </w:t>
            </w:r>
            <w:r w:rsidRPr="009D44AB">
              <w:rPr>
                <w:i/>
                <w:sz w:val="20"/>
                <w:lang w:val="fr-CA"/>
              </w:rPr>
              <w:t>certiorari</w:t>
            </w:r>
            <w:r w:rsidRPr="009D44AB">
              <w:rPr>
                <w:sz w:val="20"/>
                <w:lang w:val="fr-CA"/>
              </w:rPr>
              <w:t xml:space="preserve"> pour lui permettre de porter des accusations criminelles qu’il avait tenté de déposer contre trois personnes. Dans chaque cas, le juge de paix a refusé de délivrer les sommations demandées ou le ministère public a retiré les accusations. Le ministère public a demandé que M. Mehedi soit déclaré plaideur quérulent.</w:t>
            </w:r>
          </w:p>
        </w:tc>
      </w:tr>
      <w:tr w:rsidR="00977AF4" w:rsidRPr="00EC12BA" w:rsidTr="00E95A6A">
        <w:tc>
          <w:tcPr>
            <w:tcW w:w="5000" w:type="pct"/>
            <w:gridSpan w:val="4"/>
          </w:tcPr>
          <w:p w:rsidR="00977AF4" w:rsidRPr="009D44AB" w:rsidRDefault="00977AF4" w:rsidP="009F1F8B">
            <w:pPr>
              <w:rPr>
                <w:sz w:val="20"/>
                <w:lang w:val="fr-CA"/>
              </w:rPr>
            </w:pPr>
          </w:p>
        </w:tc>
      </w:tr>
      <w:tr w:rsidR="00977AF4" w:rsidRPr="00EC12BA" w:rsidTr="00E95A6A">
        <w:tc>
          <w:tcPr>
            <w:tcW w:w="2427" w:type="pct"/>
            <w:gridSpan w:val="2"/>
          </w:tcPr>
          <w:p w:rsidR="00977AF4" w:rsidRPr="009D44AB" w:rsidRDefault="00977AF4" w:rsidP="009F1F8B">
            <w:pPr>
              <w:rPr>
                <w:sz w:val="20"/>
                <w:lang w:val="fr-CA"/>
              </w:rPr>
            </w:pPr>
            <w:r w:rsidRPr="009D44AB">
              <w:rPr>
                <w:sz w:val="20"/>
                <w:lang w:val="fr-CA"/>
              </w:rPr>
              <w:t>20 mars 2019</w:t>
            </w:r>
          </w:p>
          <w:p w:rsidR="00977AF4" w:rsidRPr="009D44AB" w:rsidRDefault="00977AF4" w:rsidP="009F1F8B">
            <w:pPr>
              <w:rPr>
                <w:sz w:val="20"/>
                <w:lang w:val="fr-CA"/>
              </w:rPr>
            </w:pPr>
            <w:r w:rsidRPr="009D44AB">
              <w:rPr>
                <w:sz w:val="20"/>
                <w:lang w:val="fr-CA"/>
              </w:rPr>
              <w:t>Cour supérieure de justice de l’Ontario</w:t>
            </w:r>
          </w:p>
          <w:p w:rsidR="00977AF4" w:rsidRPr="009D44AB" w:rsidRDefault="00977AF4" w:rsidP="009F1F8B">
            <w:pPr>
              <w:rPr>
                <w:sz w:val="20"/>
                <w:lang w:val="fr-CA"/>
              </w:rPr>
            </w:pPr>
            <w:r w:rsidRPr="009D44AB">
              <w:rPr>
                <w:sz w:val="20"/>
                <w:lang w:val="fr-CA"/>
              </w:rPr>
              <w:t>(Juge Molloy)</w:t>
            </w:r>
          </w:p>
          <w:p w:rsidR="00977AF4" w:rsidRPr="009D44AB" w:rsidRDefault="00BB65F4" w:rsidP="009F1F8B">
            <w:pPr>
              <w:rPr>
                <w:sz w:val="20"/>
                <w:lang w:val="fr-CA"/>
              </w:rPr>
            </w:pPr>
            <w:hyperlink r:id="rId23" w:history="1">
              <w:r w:rsidR="00977AF4" w:rsidRPr="009D44AB">
                <w:rPr>
                  <w:rStyle w:val="Hyperlink"/>
                  <w:sz w:val="20"/>
                  <w:lang w:val="fr-CA"/>
                </w:rPr>
                <w:t>2019 ONSC 1774</w:t>
              </w:r>
            </w:hyperlink>
          </w:p>
          <w:p w:rsidR="00977AF4" w:rsidRPr="009D44AB" w:rsidRDefault="00977AF4" w:rsidP="009F1F8B">
            <w:pPr>
              <w:rPr>
                <w:sz w:val="20"/>
                <w:lang w:val="fr-CA"/>
              </w:rPr>
            </w:pPr>
          </w:p>
        </w:tc>
        <w:tc>
          <w:tcPr>
            <w:tcW w:w="243" w:type="pct"/>
          </w:tcPr>
          <w:p w:rsidR="00977AF4" w:rsidRPr="009D44AB" w:rsidRDefault="00977AF4" w:rsidP="009F1F8B">
            <w:pPr>
              <w:rPr>
                <w:sz w:val="20"/>
                <w:lang w:val="fr-CA"/>
              </w:rPr>
            </w:pPr>
          </w:p>
        </w:tc>
        <w:tc>
          <w:tcPr>
            <w:tcW w:w="2330" w:type="pct"/>
          </w:tcPr>
          <w:p w:rsidR="00977AF4" w:rsidRPr="009D44AB" w:rsidRDefault="00977AF4" w:rsidP="009F1F8B">
            <w:pPr>
              <w:rPr>
                <w:sz w:val="20"/>
                <w:lang w:val="fr-CA"/>
              </w:rPr>
            </w:pPr>
            <w:r w:rsidRPr="009D44AB">
              <w:rPr>
                <w:sz w:val="20"/>
                <w:lang w:val="fr-CA"/>
              </w:rPr>
              <w:t xml:space="preserve">Jugement rejetant les demandes de </w:t>
            </w:r>
            <w:r w:rsidRPr="009D44AB">
              <w:rPr>
                <w:i/>
                <w:sz w:val="20"/>
                <w:lang w:val="fr-CA"/>
              </w:rPr>
              <w:t>certiorari</w:t>
            </w:r>
            <w:r w:rsidRPr="009D44AB">
              <w:rPr>
                <w:sz w:val="20"/>
                <w:lang w:val="fr-CA"/>
              </w:rPr>
              <w:t xml:space="preserve"> et de </w:t>
            </w:r>
            <w:r w:rsidRPr="009D44AB">
              <w:rPr>
                <w:i/>
                <w:sz w:val="20"/>
                <w:lang w:val="fr-CA"/>
              </w:rPr>
              <w:t>mandamus</w:t>
            </w:r>
            <w:r w:rsidRPr="009D44AB">
              <w:rPr>
                <w:sz w:val="20"/>
                <w:lang w:val="fr-CA"/>
              </w:rPr>
              <w:t xml:space="preserve"> présentées par le demandeur, déclarant le demandeur plaideur quérulent et lui interdisant d’introduire d’autres instances en Cour supérieure ou en Cour d’appel sans autorisation </w:t>
            </w:r>
          </w:p>
          <w:p w:rsidR="00977AF4" w:rsidRPr="009D44AB" w:rsidRDefault="00977AF4" w:rsidP="009F1F8B">
            <w:pPr>
              <w:rPr>
                <w:sz w:val="20"/>
                <w:lang w:val="fr-CA"/>
              </w:rPr>
            </w:pPr>
          </w:p>
        </w:tc>
      </w:tr>
      <w:tr w:rsidR="00977AF4" w:rsidRPr="00EC12BA" w:rsidTr="00E95A6A">
        <w:tc>
          <w:tcPr>
            <w:tcW w:w="2427" w:type="pct"/>
            <w:gridSpan w:val="2"/>
          </w:tcPr>
          <w:p w:rsidR="00977AF4" w:rsidRPr="009D44AB" w:rsidRDefault="00977AF4" w:rsidP="009F1F8B">
            <w:pPr>
              <w:rPr>
                <w:sz w:val="20"/>
                <w:lang w:val="fr-CA"/>
              </w:rPr>
            </w:pPr>
            <w:r w:rsidRPr="009D44AB">
              <w:rPr>
                <w:sz w:val="20"/>
                <w:lang w:val="fr-CA"/>
              </w:rPr>
              <w:t>8 juillet 2019</w:t>
            </w:r>
          </w:p>
          <w:p w:rsidR="00977AF4" w:rsidRPr="009D44AB" w:rsidRDefault="00977AF4" w:rsidP="009F1F8B">
            <w:pPr>
              <w:rPr>
                <w:sz w:val="20"/>
                <w:lang w:val="fr-CA"/>
              </w:rPr>
            </w:pPr>
            <w:r w:rsidRPr="009D44AB">
              <w:rPr>
                <w:sz w:val="20"/>
                <w:lang w:val="fr-CA"/>
              </w:rPr>
              <w:t>Cour d’appel de l’Ontario</w:t>
            </w:r>
          </w:p>
          <w:p w:rsidR="00977AF4" w:rsidRPr="009D44AB" w:rsidRDefault="00977AF4" w:rsidP="009F1F8B">
            <w:pPr>
              <w:rPr>
                <w:sz w:val="20"/>
                <w:lang w:val="fr-CA"/>
              </w:rPr>
            </w:pPr>
            <w:r w:rsidRPr="009D44AB">
              <w:rPr>
                <w:sz w:val="20"/>
                <w:lang w:val="fr-CA"/>
              </w:rPr>
              <w:t>(Juges Rouleau, Tulloch et Fairburn)</w:t>
            </w:r>
          </w:p>
          <w:p w:rsidR="00977AF4" w:rsidRPr="009D44AB" w:rsidRDefault="00977AF4" w:rsidP="009F1F8B">
            <w:pPr>
              <w:rPr>
                <w:sz w:val="20"/>
                <w:lang w:val="fr-CA"/>
              </w:rPr>
            </w:pPr>
            <w:r w:rsidRPr="009D44AB">
              <w:rPr>
                <w:sz w:val="20"/>
                <w:lang w:val="fr-CA"/>
              </w:rPr>
              <w:t>Non publié</w:t>
            </w:r>
          </w:p>
          <w:p w:rsidR="00977AF4" w:rsidRPr="009D44AB" w:rsidRDefault="00977AF4" w:rsidP="009F1F8B">
            <w:pPr>
              <w:rPr>
                <w:sz w:val="20"/>
                <w:lang w:val="fr-CA"/>
              </w:rPr>
            </w:pPr>
          </w:p>
        </w:tc>
        <w:tc>
          <w:tcPr>
            <w:tcW w:w="243" w:type="pct"/>
          </w:tcPr>
          <w:p w:rsidR="00977AF4" w:rsidRPr="009D44AB" w:rsidRDefault="00977AF4" w:rsidP="009F1F8B">
            <w:pPr>
              <w:rPr>
                <w:sz w:val="20"/>
                <w:lang w:val="fr-CA"/>
              </w:rPr>
            </w:pPr>
          </w:p>
        </w:tc>
        <w:tc>
          <w:tcPr>
            <w:tcW w:w="2330" w:type="pct"/>
          </w:tcPr>
          <w:p w:rsidR="00977AF4" w:rsidRPr="009D44AB" w:rsidRDefault="00977AF4" w:rsidP="009F1F8B">
            <w:pPr>
              <w:rPr>
                <w:sz w:val="20"/>
                <w:lang w:val="fr-CA"/>
              </w:rPr>
            </w:pPr>
            <w:r w:rsidRPr="009D44AB">
              <w:rPr>
                <w:sz w:val="20"/>
                <w:lang w:val="fr-CA"/>
              </w:rPr>
              <w:t>Arrêt rejetant l’appel du demandeur et radiant la partie de l’ordonnance interdisant au demandeur d’introduire une instance en Cour d’appel sans autorisation.</w:t>
            </w:r>
          </w:p>
        </w:tc>
      </w:tr>
      <w:tr w:rsidR="00977AF4" w:rsidRPr="00EC12BA" w:rsidTr="00E95A6A">
        <w:tc>
          <w:tcPr>
            <w:tcW w:w="2427" w:type="pct"/>
            <w:gridSpan w:val="2"/>
          </w:tcPr>
          <w:p w:rsidR="00977AF4" w:rsidRPr="009D44AB" w:rsidRDefault="00977AF4" w:rsidP="009F1F8B">
            <w:pPr>
              <w:rPr>
                <w:sz w:val="20"/>
                <w:lang w:val="fr-CA"/>
              </w:rPr>
            </w:pPr>
            <w:r w:rsidRPr="009D44AB">
              <w:rPr>
                <w:sz w:val="20"/>
                <w:lang w:val="fr-CA"/>
              </w:rPr>
              <w:t>27 août 2019</w:t>
            </w:r>
          </w:p>
          <w:p w:rsidR="00977AF4" w:rsidRPr="009D44AB" w:rsidRDefault="00977AF4" w:rsidP="009F1F8B">
            <w:pPr>
              <w:rPr>
                <w:sz w:val="20"/>
                <w:lang w:val="fr-CA"/>
              </w:rPr>
            </w:pPr>
            <w:r w:rsidRPr="009D44AB">
              <w:rPr>
                <w:sz w:val="20"/>
                <w:lang w:val="fr-CA"/>
              </w:rPr>
              <w:t>Cour suprême du Canada</w:t>
            </w:r>
          </w:p>
        </w:tc>
        <w:tc>
          <w:tcPr>
            <w:tcW w:w="243" w:type="pct"/>
          </w:tcPr>
          <w:p w:rsidR="00977AF4" w:rsidRPr="009D44AB" w:rsidRDefault="00977AF4" w:rsidP="009F1F8B">
            <w:pPr>
              <w:rPr>
                <w:sz w:val="20"/>
                <w:lang w:val="fr-CA"/>
              </w:rPr>
            </w:pPr>
          </w:p>
        </w:tc>
        <w:tc>
          <w:tcPr>
            <w:tcW w:w="2330" w:type="pct"/>
          </w:tcPr>
          <w:p w:rsidR="00977AF4" w:rsidRPr="009D44AB" w:rsidRDefault="00977AF4" w:rsidP="009F1F8B">
            <w:pPr>
              <w:rPr>
                <w:sz w:val="20"/>
                <w:lang w:val="fr-CA"/>
              </w:rPr>
            </w:pPr>
            <w:r w:rsidRPr="009D44AB">
              <w:rPr>
                <w:sz w:val="20"/>
                <w:lang w:val="fr-CA"/>
              </w:rPr>
              <w:t>Dépôt de la demande d’autorisation d’appel</w:t>
            </w:r>
          </w:p>
          <w:p w:rsidR="00977AF4" w:rsidRPr="009D44AB" w:rsidRDefault="00977AF4" w:rsidP="009F1F8B">
            <w:pPr>
              <w:rPr>
                <w:sz w:val="20"/>
                <w:lang w:val="fr-CA"/>
              </w:rPr>
            </w:pPr>
          </w:p>
        </w:tc>
      </w:tr>
    </w:tbl>
    <w:p w:rsidR="00977AF4" w:rsidRPr="009D44AB" w:rsidRDefault="00977AF4" w:rsidP="009F1F8B">
      <w:pPr>
        <w:rPr>
          <w:sz w:val="20"/>
          <w:lang w:val="fr-CA"/>
        </w:rPr>
      </w:pPr>
    </w:p>
    <w:p w:rsidR="003877FB" w:rsidRPr="009D44AB" w:rsidRDefault="00BB65F4" w:rsidP="00FE413B">
      <w:pPr>
        <w:ind w:left="142" w:hanging="142"/>
        <w:jc w:val="both"/>
        <w:rPr>
          <w:sz w:val="20"/>
        </w:rPr>
      </w:pPr>
      <w:r>
        <w:rPr>
          <w:sz w:val="20"/>
        </w:rPr>
        <w:pict>
          <v:rect id="_x0000_i1030" style="width:2in;height:1pt" o:hrpct="0" o:hralign="center" o:hrstd="t" o:hrnoshade="t" o:hr="t" fillcolor="black [3213]" stroked="f"/>
        </w:pict>
      </w:r>
    </w:p>
    <w:p w:rsidR="005C7161" w:rsidRPr="009D44AB" w:rsidRDefault="005C7161" w:rsidP="006A22CA">
      <w:pPr>
        <w:ind w:left="142" w:hanging="142"/>
        <w:jc w:val="both"/>
        <w:rPr>
          <w:sz w:val="20"/>
        </w:rPr>
      </w:pPr>
    </w:p>
    <w:p w:rsidR="00977AF4" w:rsidRPr="009D44AB" w:rsidRDefault="00977AF4"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F9479E">
            <w:pPr>
              <w:rPr>
                <w:sz w:val="20"/>
              </w:rPr>
            </w:pPr>
            <w:r w:rsidRPr="009D44AB">
              <w:rPr>
                <w:rStyle w:val="SCCFileNumberChar"/>
                <w:sz w:val="20"/>
                <w:szCs w:val="20"/>
              </w:rPr>
              <w:t>38886</w:t>
            </w:r>
          </w:p>
        </w:tc>
        <w:tc>
          <w:tcPr>
            <w:tcW w:w="4457" w:type="pct"/>
            <w:gridSpan w:val="3"/>
          </w:tcPr>
          <w:p w:rsidR="00977AF4" w:rsidRPr="009D44AB" w:rsidRDefault="00977AF4" w:rsidP="00977AF4">
            <w:pPr>
              <w:pStyle w:val="SCCLsocParty"/>
              <w:jc w:val="left"/>
              <w:rPr>
                <w:b/>
                <w:sz w:val="20"/>
                <w:szCs w:val="20"/>
                <w:lang w:val="en-US"/>
              </w:rPr>
            </w:pPr>
            <w:r w:rsidRPr="009D44AB">
              <w:rPr>
                <w:b/>
                <w:sz w:val="20"/>
                <w:szCs w:val="20"/>
                <w:lang w:val="en-US"/>
              </w:rPr>
              <w:t xml:space="preserve">Robert </w:t>
            </w:r>
            <w:proofErr w:type="spellStart"/>
            <w:r w:rsidRPr="009D44AB">
              <w:rPr>
                <w:b/>
                <w:sz w:val="20"/>
                <w:szCs w:val="20"/>
                <w:lang w:val="en-US"/>
              </w:rPr>
              <w:t>Meerman</w:t>
            </w:r>
            <w:proofErr w:type="spellEnd"/>
            <w:r w:rsidRPr="009D44AB">
              <w:rPr>
                <w:b/>
                <w:sz w:val="20"/>
                <w:szCs w:val="20"/>
                <w:lang w:val="en-US"/>
              </w:rPr>
              <w:t xml:space="preserve"> v. Her Majesty the Queen</w:t>
            </w:r>
          </w:p>
          <w:p w:rsidR="00977AF4" w:rsidRPr="009D44AB" w:rsidRDefault="00977AF4">
            <w:pPr>
              <w:rPr>
                <w:sz w:val="20"/>
              </w:rPr>
            </w:pPr>
            <w:r w:rsidRPr="009D44AB">
              <w:rPr>
                <w:sz w:val="20"/>
              </w:rPr>
              <w:t>(FC) (Civil) (By Leave)</w:t>
            </w:r>
          </w:p>
        </w:tc>
      </w:tr>
      <w:tr w:rsidR="00977AF4" w:rsidRPr="009D44AB" w:rsidTr="00E95A6A">
        <w:tc>
          <w:tcPr>
            <w:tcW w:w="5000" w:type="pct"/>
            <w:gridSpan w:val="4"/>
          </w:tcPr>
          <w:p w:rsidR="00977AF4" w:rsidRPr="009D44AB" w:rsidRDefault="00977AF4" w:rsidP="00932E80">
            <w:pPr>
              <w:rPr>
                <w:sz w:val="20"/>
              </w:rPr>
            </w:pPr>
            <w:r w:rsidRPr="009D44AB">
              <w:rPr>
                <w:sz w:val="20"/>
              </w:rPr>
              <w:t>Taxation — Income tax — Assessment — Applicant failing to report compensation received as income — Applicant relying on his intention to carry on non</w:t>
            </w:r>
            <w:r w:rsidRPr="009D44AB">
              <w:rPr>
                <w:sz w:val="20"/>
              </w:rPr>
              <w:noBreakHyphen/>
              <w:t xml:space="preserve">commercial personal endeavour —How does a person exercise and maintain a personal endeavour? — What is the test for an activity to constitute a personal endeavour? — Can the Applicant’s activities be determined to be “clearly commercial” as stated in </w:t>
            </w:r>
            <w:r w:rsidRPr="009D44AB">
              <w:rPr>
                <w:i/>
                <w:sz w:val="20"/>
              </w:rPr>
              <w:t xml:space="preserve">Stewart v. R., </w:t>
            </w:r>
            <w:r w:rsidRPr="009D44AB">
              <w:rPr>
                <w:sz w:val="20"/>
              </w:rPr>
              <w:t xml:space="preserve">2002 SCC 46, to avoid Part 1 of the expanded test, where there is no evidence of any subjective intention to pursue profit by applicant? — In determining if an activity constitutes a business source of income as opposed to a personal endeavour, can the Courts rely upon strictly “hybrid” facts that could apply to both a business source of income and/or a personal endeavour, or must there also exist some evidence of exclusively objective, commercial facts, to permit the Court to avoid applying Part 1 of the </w:t>
            </w:r>
            <w:r w:rsidRPr="009D44AB">
              <w:rPr>
                <w:i/>
                <w:sz w:val="20"/>
              </w:rPr>
              <w:t xml:space="preserve">Stewart </w:t>
            </w:r>
            <w:r w:rsidRPr="009D44AB">
              <w:rPr>
                <w:sz w:val="20"/>
              </w:rPr>
              <w:t>test?</w:t>
            </w:r>
          </w:p>
          <w:p w:rsidR="00977AF4" w:rsidRPr="009D44AB" w:rsidRDefault="00977AF4" w:rsidP="00932E80">
            <w:pPr>
              <w:rPr>
                <w:sz w:val="20"/>
              </w:rPr>
            </w:pPr>
          </w:p>
        </w:tc>
      </w:tr>
      <w:tr w:rsidR="00977AF4" w:rsidRPr="009D44AB" w:rsidTr="00E95A6A">
        <w:tc>
          <w:tcPr>
            <w:tcW w:w="5000" w:type="pct"/>
            <w:gridSpan w:val="4"/>
          </w:tcPr>
          <w:p w:rsidR="00977AF4" w:rsidRPr="009D44AB" w:rsidRDefault="00977AF4" w:rsidP="005A1B3B">
            <w:pPr>
              <w:rPr>
                <w:sz w:val="20"/>
              </w:rPr>
            </w:pPr>
            <w:r w:rsidRPr="009D44AB">
              <w:rPr>
                <w:sz w:val="20"/>
              </w:rPr>
              <w:t xml:space="preserve">The applicant is a heavy duty mechanic and since 1997, he has operated his own company, </w:t>
            </w:r>
            <w:proofErr w:type="spellStart"/>
            <w:r w:rsidRPr="009D44AB">
              <w:rPr>
                <w:sz w:val="20"/>
              </w:rPr>
              <w:t>Meerman</w:t>
            </w:r>
            <w:proofErr w:type="spellEnd"/>
            <w:r w:rsidRPr="009D44AB">
              <w:rPr>
                <w:sz w:val="20"/>
              </w:rPr>
              <w:t xml:space="preserve"> Contracting Inc. For the 2006 through 2011 taxation years, Mr. </w:t>
            </w:r>
            <w:proofErr w:type="spellStart"/>
            <w:r w:rsidRPr="009D44AB">
              <w:rPr>
                <w:sz w:val="20"/>
              </w:rPr>
              <w:t>Meerman</w:t>
            </w:r>
            <w:proofErr w:type="spellEnd"/>
            <w:r w:rsidRPr="009D44AB">
              <w:rPr>
                <w:sz w:val="20"/>
              </w:rPr>
              <w:t xml:space="preserve"> did not report compensation that he received from </w:t>
            </w:r>
            <w:proofErr w:type="spellStart"/>
            <w:r w:rsidRPr="009D44AB">
              <w:rPr>
                <w:sz w:val="20"/>
              </w:rPr>
              <w:t>Meerman</w:t>
            </w:r>
            <w:proofErr w:type="spellEnd"/>
            <w:r w:rsidRPr="009D44AB">
              <w:rPr>
                <w:sz w:val="20"/>
              </w:rPr>
              <w:t xml:space="preserve"> Contracting for his labour in his tax returns. He maintained that this compensation was non</w:t>
            </w:r>
            <w:r w:rsidRPr="009D44AB">
              <w:rPr>
                <w:sz w:val="20"/>
              </w:rPr>
              <w:noBreakHyphen/>
              <w:t>taxable, as it was earned through a “non</w:t>
            </w:r>
            <w:r w:rsidRPr="009D44AB">
              <w:rPr>
                <w:sz w:val="20"/>
              </w:rPr>
              <w:noBreakHyphen/>
              <w:t>commercial activity” in the course of a “personal endeavour” and that he lacked an intent to earn a profit. On the subsequent reassessments, the Minister of National Revenue ruled that Mr. </w:t>
            </w:r>
            <w:proofErr w:type="spellStart"/>
            <w:r w:rsidRPr="009D44AB">
              <w:rPr>
                <w:sz w:val="20"/>
              </w:rPr>
              <w:t>Meerman</w:t>
            </w:r>
            <w:proofErr w:type="spellEnd"/>
            <w:r w:rsidRPr="009D44AB">
              <w:rPr>
                <w:sz w:val="20"/>
              </w:rPr>
              <w:t xml:space="preserve"> had failed to report business income and the unreported amount was included in his income and gross negligence penalties were imposed. Mr. </w:t>
            </w:r>
            <w:proofErr w:type="spellStart"/>
            <w:r w:rsidRPr="009D44AB">
              <w:rPr>
                <w:sz w:val="20"/>
              </w:rPr>
              <w:t>Meerman</w:t>
            </w:r>
            <w:proofErr w:type="spellEnd"/>
            <w:r w:rsidRPr="009D44AB">
              <w:rPr>
                <w:sz w:val="20"/>
              </w:rPr>
              <w:t xml:space="preserve"> appealed from that ruling. The Tax Court of Canada dismissed his appeal. The Court of Appeal dismissed his subsequent appeal.</w:t>
            </w:r>
          </w:p>
        </w:tc>
      </w:tr>
      <w:tr w:rsidR="00977AF4" w:rsidRPr="009D44AB" w:rsidTr="00E95A6A">
        <w:tc>
          <w:tcPr>
            <w:tcW w:w="5000" w:type="pct"/>
            <w:gridSpan w:val="4"/>
          </w:tcPr>
          <w:p w:rsidR="00977AF4" w:rsidRPr="009D44AB" w:rsidRDefault="00977AF4" w:rsidP="00306B84">
            <w:pPr>
              <w:rPr>
                <w:sz w:val="20"/>
              </w:rPr>
            </w:pPr>
          </w:p>
          <w:p w:rsidR="00977AF4" w:rsidRPr="009D44AB" w:rsidRDefault="00977AF4" w:rsidP="00306B84">
            <w:pPr>
              <w:rPr>
                <w:sz w:val="20"/>
              </w:rPr>
            </w:pPr>
          </w:p>
        </w:tc>
      </w:tr>
      <w:tr w:rsidR="00977AF4" w:rsidRPr="009D44AB" w:rsidTr="00E95A6A">
        <w:tc>
          <w:tcPr>
            <w:tcW w:w="2427" w:type="pct"/>
            <w:gridSpan w:val="2"/>
          </w:tcPr>
          <w:p w:rsidR="00977AF4" w:rsidRPr="009D44AB" w:rsidRDefault="00977AF4" w:rsidP="00306B84">
            <w:pPr>
              <w:rPr>
                <w:sz w:val="20"/>
              </w:rPr>
            </w:pPr>
            <w:r w:rsidRPr="009D44AB">
              <w:rPr>
                <w:sz w:val="20"/>
              </w:rPr>
              <w:lastRenderedPageBreak/>
              <w:t>June 23, 2017</w:t>
            </w:r>
          </w:p>
          <w:p w:rsidR="00977AF4" w:rsidRPr="009D44AB" w:rsidRDefault="00977AF4" w:rsidP="00306B84">
            <w:pPr>
              <w:rPr>
                <w:sz w:val="20"/>
              </w:rPr>
            </w:pPr>
            <w:r w:rsidRPr="009D44AB">
              <w:rPr>
                <w:sz w:val="20"/>
              </w:rPr>
              <w:t>Tax Court of Canada</w:t>
            </w:r>
          </w:p>
          <w:p w:rsidR="00977AF4" w:rsidRPr="009D44AB" w:rsidRDefault="00977AF4" w:rsidP="00306B84">
            <w:pPr>
              <w:rPr>
                <w:sz w:val="20"/>
              </w:rPr>
            </w:pPr>
            <w:r w:rsidRPr="009D44AB">
              <w:rPr>
                <w:sz w:val="20"/>
              </w:rPr>
              <w:t>(Visser J.)</w:t>
            </w:r>
          </w:p>
          <w:p w:rsidR="00977AF4" w:rsidRPr="009D44AB" w:rsidRDefault="00977AF4" w:rsidP="00306B84">
            <w:pPr>
              <w:rPr>
                <w:sz w:val="20"/>
              </w:rPr>
            </w:pPr>
            <w:r w:rsidRPr="009D44AB">
              <w:rPr>
                <w:sz w:val="20"/>
              </w:rPr>
              <w:t>Unreported</w:t>
            </w:r>
          </w:p>
          <w:p w:rsidR="00977AF4" w:rsidRPr="009D44AB" w:rsidRDefault="00977AF4" w:rsidP="00306B84">
            <w:pPr>
              <w:rPr>
                <w:sz w:val="20"/>
              </w:rPr>
            </w:pPr>
          </w:p>
        </w:tc>
        <w:tc>
          <w:tcPr>
            <w:tcW w:w="243" w:type="pct"/>
          </w:tcPr>
          <w:p w:rsidR="00977AF4" w:rsidRPr="009D44AB" w:rsidRDefault="00977AF4" w:rsidP="00306B84">
            <w:pPr>
              <w:rPr>
                <w:sz w:val="20"/>
              </w:rPr>
            </w:pPr>
          </w:p>
        </w:tc>
        <w:tc>
          <w:tcPr>
            <w:tcW w:w="2330" w:type="pct"/>
          </w:tcPr>
          <w:p w:rsidR="00977AF4" w:rsidRPr="009D44AB" w:rsidRDefault="00977AF4" w:rsidP="00306B84">
            <w:pPr>
              <w:rPr>
                <w:sz w:val="20"/>
              </w:rPr>
            </w:pPr>
            <w:r w:rsidRPr="009D44AB">
              <w:rPr>
                <w:sz w:val="20"/>
              </w:rPr>
              <w:t>Applicant’s appeal from Minister’s ruling on reassessments of tax returns dismissed</w:t>
            </w:r>
          </w:p>
          <w:p w:rsidR="00977AF4" w:rsidRPr="009D44AB" w:rsidRDefault="00977AF4" w:rsidP="00306B84">
            <w:pPr>
              <w:rPr>
                <w:sz w:val="20"/>
              </w:rPr>
            </w:pPr>
          </w:p>
          <w:p w:rsidR="00977AF4" w:rsidRPr="009D44AB" w:rsidRDefault="00977AF4" w:rsidP="00306B84">
            <w:pPr>
              <w:rPr>
                <w:sz w:val="20"/>
              </w:rPr>
            </w:pPr>
          </w:p>
        </w:tc>
      </w:tr>
      <w:tr w:rsidR="00977AF4" w:rsidRPr="009D44AB" w:rsidTr="00E95A6A">
        <w:tc>
          <w:tcPr>
            <w:tcW w:w="2427" w:type="pct"/>
            <w:gridSpan w:val="2"/>
          </w:tcPr>
          <w:p w:rsidR="00977AF4" w:rsidRPr="009D44AB" w:rsidRDefault="00977AF4" w:rsidP="00306B84">
            <w:pPr>
              <w:rPr>
                <w:sz w:val="20"/>
              </w:rPr>
            </w:pPr>
            <w:r w:rsidRPr="009D44AB">
              <w:rPr>
                <w:sz w:val="20"/>
              </w:rPr>
              <w:t>May 9, 2019</w:t>
            </w:r>
          </w:p>
          <w:p w:rsidR="00977AF4" w:rsidRPr="009D44AB" w:rsidRDefault="00977AF4" w:rsidP="00306B84">
            <w:pPr>
              <w:rPr>
                <w:sz w:val="20"/>
              </w:rPr>
            </w:pPr>
            <w:r w:rsidRPr="009D44AB">
              <w:rPr>
                <w:sz w:val="20"/>
              </w:rPr>
              <w:t>Federal Court of Appeal</w:t>
            </w:r>
          </w:p>
          <w:p w:rsidR="00977AF4" w:rsidRPr="009D44AB" w:rsidRDefault="00977AF4" w:rsidP="00306B84">
            <w:pPr>
              <w:rPr>
                <w:sz w:val="20"/>
              </w:rPr>
            </w:pPr>
            <w:r w:rsidRPr="009D44AB">
              <w:rPr>
                <w:sz w:val="20"/>
              </w:rPr>
              <w:t>(Dawson, Woods and Rivoalen JJ.A.)</w:t>
            </w:r>
          </w:p>
          <w:p w:rsidR="00977AF4" w:rsidRPr="009D44AB" w:rsidRDefault="00BB65F4" w:rsidP="00306B84">
            <w:pPr>
              <w:rPr>
                <w:sz w:val="20"/>
              </w:rPr>
            </w:pPr>
            <w:hyperlink r:id="rId24" w:history="1">
              <w:r w:rsidR="00977AF4" w:rsidRPr="009D44AB">
                <w:rPr>
                  <w:rStyle w:val="Hyperlink"/>
                  <w:sz w:val="20"/>
                </w:rPr>
                <w:t>2019 FCA 119</w:t>
              </w:r>
            </w:hyperlink>
          </w:p>
          <w:p w:rsidR="00977AF4" w:rsidRPr="009D44AB" w:rsidRDefault="00977AF4" w:rsidP="00306B84">
            <w:pPr>
              <w:rPr>
                <w:sz w:val="20"/>
              </w:rPr>
            </w:pPr>
          </w:p>
        </w:tc>
        <w:tc>
          <w:tcPr>
            <w:tcW w:w="243" w:type="pct"/>
          </w:tcPr>
          <w:p w:rsidR="00977AF4" w:rsidRPr="009D44AB" w:rsidRDefault="00977AF4" w:rsidP="00306B84">
            <w:pPr>
              <w:rPr>
                <w:sz w:val="20"/>
              </w:rPr>
            </w:pPr>
          </w:p>
        </w:tc>
        <w:tc>
          <w:tcPr>
            <w:tcW w:w="2330" w:type="pct"/>
          </w:tcPr>
          <w:p w:rsidR="00977AF4" w:rsidRPr="009D44AB" w:rsidRDefault="00977AF4" w:rsidP="00306B84">
            <w:pPr>
              <w:rPr>
                <w:sz w:val="20"/>
              </w:rPr>
            </w:pPr>
            <w:r w:rsidRPr="009D44AB">
              <w:rPr>
                <w:sz w:val="20"/>
              </w:rPr>
              <w:t>Applicant’s appeal dismissed</w:t>
            </w:r>
          </w:p>
          <w:p w:rsidR="00977AF4" w:rsidRPr="009D44AB" w:rsidRDefault="00977AF4" w:rsidP="00306B84">
            <w:pPr>
              <w:rPr>
                <w:sz w:val="20"/>
              </w:rPr>
            </w:pPr>
          </w:p>
        </w:tc>
      </w:tr>
      <w:tr w:rsidR="00977AF4" w:rsidRPr="009D44AB" w:rsidTr="00E95A6A">
        <w:tc>
          <w:tcPr>
            <w:tcW w:w="2427" w:type="pct"/>
            <w:gridSpan w:val="2"/>
          </w:tcPr>
          <w:p w:rsidR="00977AF4" w:rsidRPr="009D44AB" w:rsidRDefault="00977AF4" w:rsidP="00306B84">
            <w:pPr>
              <w:rPr>
                <w:sz w:val="20"/>
              </w:rPr>
            </w:pPr>
            <w:r w:rsidRPr="009D44AB">
              <w:rPr>
                <w:sz w:val="20"/>
              </w:rPr>
              <w:t>August 8, 2019</w:t>
            </w:r>
          </w:p>
          <w:p w:rsidR="00977AF4" w:rsidRPr="009D44AB" w:rsidRDefault="00977AF4" w:rsidP="00306B84">
            <w:pPr>
              <w:rPr>
                <w:sz w:val="20"/>
              </w:rPr>
            </w:pPr>
            <w:r w:rsidRPr="009D44AB">
              <w:rPr>
                <w:sz w:val="20"/>
              </w:rPr>
              <w:t>Supreme Court of Canada</w:t>
            </w:r>
          </w:p>
        </w:tc>
        <w:tc>
          <w:tcPr>
            <w:tcW w:w="243" w:type="pct"/>
          </w:tcPr>
          <w:p w:rsidR="00977AF4" w:rsidRPr="009D44AB" w:rsidRDefault="00977AF4" w:rsidP="00306B84">
            <w:pPr>
              <w:rPr>
                <w:sz w:val="20"/>
              </w:rPr>
            </w:pPr>
          </w:p>
        </w:tc>
        <w:tc>
          <w:tcPr>
            <w:tcW w:w="2330" w:type="pct"/>
          </w:tcPr>
          <w:p w:rsidR="00977AF4" w:rsidRPr="009D44AB" w:rsidRDefault="00977AF4" w:rsidP="00306B84">
            <w:pPr>
              <w:rPr>
                <w:sz w:val="20"/>
              </w:rPr>
            </w:pPr>
            <w:r w:rsidRPr="009D44AB">
              <w:rPr>
                <w:sz w:val="20"/>
              </w:rPr>
              <w:t>Application for leave to appeal filed</w:t>
            </w:r>
          </w:p>
          <w:p w:rsidR="00977AF4" w:rsidRPr="009D44AB" w:rsidRDefault="00977AF4" w:rsidP="00306B84">
            <w:pPr>
              <w:rPr>
                <w:sz w:val="20"/>
              </w:rPr>
            </w:pPr>
          </w:p>
        </w:tc>
      </w:tr>
    </w:tbl>
    <w:p w:rsidR="00977AF4" w:rsidRPr="009D44AB" w:rsidRDefault="00977AF4" w:rsidP="00097BBF">
      <w:pPr>
        <w:rPr>
          <w:sz w:val="20"/>
        </w:rPr>
      </w:pPr>
    </w:p>
    <w:p w:rsidR="00977AF4" w:rsidRPr="009D44AB" w:rsidRDefault="00BB65F4" w:rsidP="00097BBF">
      <w:pPr>
        <w:rPr>
          <w:sz w:val="20"/>
        </w:rPr>
      </w:pPr>
      <w:r>
        <w:rPr>
          <w:sz w:val="20"/>
        </w:rPr>
        <w:pict>
          <v:rect id="_x0000_i1031" style="width:2in;height:1pt" o:hrpct="0" o:hralign="center" o:hrstd="t" o:hrnoshade="t" o:hr="t" fillcolor="black [3213]" stroked="f"/>
        </w:pict>
      </w:r>
    </w:p>
    <w:p w:rsidR="00977AF4" w:rsidRPr="009D44AB" w:rsidRDefault="00977AF4"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444837">
            <w:pPr>
              <w:rPr>
                <w:sz w:val="20"/>
                <w:lang w:val="fr-CA"/>
              </w:rPr>
            </w:pPr>
            <w:r w:rsidRPr="009D44AB">
              <w:rPr>
                <w:rStyle w:val="SCCFileNumberChar"/>
                <w:sz w:val="20"/>
                <w:szCs w:val="20"/>
                <w:lang w:val="fr-CA"/>
              </w:rPr>
              <w:t>38886</w:t>
            </w:r>
          </w:p>
        </w:tc>
        <w:tc>
          <w:tcPr>
            <w:tcW w:w="4457" w:type="pct"/>
            <w:gridSpan w:val="3"/>
          </w:tcPr>
          <w:p w:rsidR="00977AF4" w:rsidRPr="009D44AB" w:rsidRDefault="00977AF4" w:rsidP="00977AF4">
            <w:pPr>
              <w:pStyle w:val="SCCLsocParty"/>
              <w:jc w:val="left"/>
              <w:rPr>
                <w:b/>
                <w:sz w:val="20"/>
                <w:szCs w:val="20"/>
              </w:rPr>
            </w:pPr>
            <w:r w:rsidRPr="009D44AB">
              <w:rPr>
                <w:b/>
                <w:sz w:val="20"/>
                <w:szCs w:val="20"/>
              </w:rPr>
              <w:t xml:space="preserve">Robert </w:t>
            </w:r>
            <w:proofErr w:type="spellStart"/>
            <w:r w:rsidRPr="009D44AB">
              <w:rPr>
                <w:b/>
                <w:sz w:val="20"/>
                <w:szCs w:val="20"/>
              </w:rPr>
              <w:t>Meerman</w:t>
            </w:r>
            <w:proofErr w:type="spellEnd"/>
            <w:r w:rsidRPr="009D44AB">
              <w:rPr>
                <w:b/>
                <w:sz w:val="20"/>
                <w:szCs w:val="20"/>
              </w:rPr>
              <w:t xml:space="preserve"> c. Sa Majesté la Reine</w:t>
            </w:r>
          </w:p>
          <w:p w:rsidR="00977AF4" w:rsidRPr="009D44AB" w:rsidRDefault="00977AF4" w:rsidP="00444837">
            <w:pPr>
              <w:rPr>
                <w:sz w:val="20"/>
                <w:lang w:val="fr-CA"/>
              </w:rPr>
            </w:pPr>
            <w:r w:rsidRPr="009D44AB">
              <w:rPr>
                <w:sz w:val="20"/>
                <w:lang w:val="fr-CA"/>
              </w:rPr>
              <w:t>(CF) (Civile) (Autorisation)</w:t>
            </w:r>
          </w:p>
        </w:tc>
      </w:tr>
      <w:tr w:rsidR="00977AF4" w:rsidRPr="00EC12BA" w:rsidTr="00E95A6A">
        <w:tc>
          <w:tcPr>
            <w:tcW w:w="5000" w:type="pct"/>
            <w:gridSpan w:val="4"/>
          </w:tcPr>
          <w:p w:rsidR="00977AF4" w:rsidRPr="009D44AB" w:rsidRDefault="00977AF4" w:rsidP="00444837">
            <w:pPr>
              <w:rPr>
                <w:sz w:val="20"/>
                <w:lang w:val="fr-CA"/>
              </w:rPr>
            </w:pPr>
            <w:r w:rsidRPr="009D44AB">
              <w:rPr>
                <w:sz w:val="20"/>
                <w:lang w:val="fr-CA"/>
              </w:rPr>
              <w:t>Droit fiscal — Impôt sur le revenu — Cotisation — Le demandeur a omis de déclarer une rémunération reçue comme revenu — Le demandeur s’appuie sur son intention d’exercer une activité personnelle non commerciale — Comment une personne exerce</w:t>
            </w:r>
            <w:r w:rsidRPr="009D44AB">
              <w:rPr>
                <w:sz w:val="20"/>
                <w:lang w:val="fr-CA"/>
              </w:rPr>
              <w:noBreakHyphen/>
              <w:t>t</w:t>
            </w:r>
            <w:r w:rsidRPr="009D44AB">
              <w:rPr>
                <w:sz w:val="20"/>
                <w:lang w:val="fr-CA"/>
              </w:rPr>
              <w:noBreakHyphen/>
              <w:t>elle et maintient</w:t>
            </w:r>
            <w:r w:rsidRPr="009D44AB">
              <w:rPr>
                <w:sz w:val="20"/>
                <w:lang w:val="fr-CA"/>
              </w:rPr>
              <w:noBreakHyphen/>
              <w:t>elle une activité personnelle? — Quel est le critère qui permet de déterminer qu’une activité constitue une activité personnelle? — Les activités du demandeur peuvent</w:t>
            </w:r>
            <w:r w:rsidRPr="009D44AB">
              <w:rPr>
                <w:sz w:val="20"/>
                <w:lang w:val="fr-CA"/>
              </w:rPr>
              <w:noBreakHyphen/>
              <w:t xml:space="preserve">elles être qualifiées de « clairement de nature commerciale » comme il est énoncé dans </w:t>
            </w:r>
            <w:r w:rsidRPr="009D44AB">
              <w:rPr>
                <w:i/>
                <w:sz w:val="20"/>
                <w:lang w:val="fr-CA"/>
              </w:rPr>
              <w:t xml:space="preserve">Stewart c. R., </w:t>
            </w:r>
            <w:r w:rsidRPr="009D44AB">
              <w:rPr>
                <w:sz w:val="20"/>
                <w:lang w:val="fr-CA"/>
              </w:rPr>
              <w:t>2002 CSC 46, pour éviter l’application du premier volet du critère élargi, lorsqu’il n’y a aucune preuve d’intention subjective du demandeur de réaliser un profit? — Pour trancher la question de savoir si une activité constitue une source de revenu tiré d’une entreprise par opposition à une activité personnelle, les tribunaux peuvent</w:t>
            </w:r>
            <w:r w:rsidRPr="009D44AB">
              <w:rPr>
                <w:sz w:val="20"/>
                <w:lang w:val="fr-CA"/>
              </w:rPr>
              <w:noBreakHyphen/>
              <w:t>ils s’appuyer sur des faits strictement « hybrides » qui pourraient s’appliquer à la fois à une source de revenu tiré d’une entreprise et à une activité personnelle, ou doit</w:t>
            </w:r>
            <w:r w:rsidRPr="009D44AB">
              <w:rPr>
                <w:sz w:val="20"/>
                <w:lang w:val="fr-CA"/>
              </w:rPr>
              <w:noBreakHyphen/>
              <w:t xml:space="preserve">il en outre exister une preuve de faits exclusivement objectifs et commerciaux pour permettre au tribunal de ne pas appliquer le premier volet du critère élaboré dans </w:t>
            </w:r>
            <w:r w:rsidRPr="009D44AB">
              <w:rPr>
                <w:i/>
                <w:sz w:val="20"/>
                <w:lang w:val="fr-CA"/>
              </w:rPr>
              <w:t>Stewart</w:t>
            </w:r>
            <w:r w:rsidRPr="009D44AB">
              <w:rPr>
                <w:sz w:val="20"/>
                <w:lang w:val="fr-CA"/>
              </w:rPr>
              <w:t>?</w:t>
            </w:r>
          </w:p>
          <w:p w:rsidR="00977AF4" w:rsidRPr="009D44AB" w:rsidRDefault="00977AF4" w:rsidP="00444837">
            <w:pPr>
              <w:rPr>
                <w:sz w:val="20"/>
                <w:lang w:val="fr-CA"/>
              </w:rPr>
            </w:pPr>
          </w:p>
        </w:tc>
      </w:tr>
      <w:tr w:rsidR="00977AF4" w:rsidRPr="009D44AB" w:rsidTr="00E95A6A">
        <w:tc>
          <w:tcPr>
            <w:tcW w:w="5000" w:type="pct"/>
            <w:gridSpan w:val="4"/>
          </w:tcPr>
          <w:p w:rsidR="00977AF4" w:rsidRPr="009D44AB" w:rsidRDefault="00977AF4" w:rsidP="00444837">
            <w:pPr>
              <w:rPr>
                <w:sz w:val="20"/>
                <w:lang w:val="fr-CA"/>
              </w:rPr>
            </w:pPr>
            <w:r w:rsidRPr="009D44AB">
              <w:rPr>
                <w:sz w:val="20"/>
                <w:lang w:val="fr-CA"/>
              </w:rPr>
              <w:t xml:space="preserve">Le demandeur est mécanicien de machinerie lourde et, depuis 1997, il exploite sa propre société, Meerman Contracting Inc. Pour les années d’imposition 2006 à 2011, M. Meerman n’a pas déclaré dans ses déclarations de revenus la rémunération qu’il a reçue de </w:t>
            </w:r>
            <w:proofErr w:type="spellStart"/>
            <w:r w:rsidRPr="009D44AB">
              <w:rPr>
                <w:sz w:val="20"/>
                <w:lang w:val="fr-CA"/>
              </w:rPr>
              <w:t>Meerman</w:t>
            </w:r>
            <w:proofErr w:type="spellEnd"/>
            <w:r w:rsidRPr="009D44AB">
              <w:rPr>
                <w:sz w:val="20"/>
                <w:lang w:val="fr-CA"/>
              </w:rPr>
              <w:t xml:space="preserve"> </w:t>
            </w:r>
            <w:proofErr w:type="spellStart"/>
            <w:r w:rsidRPr="009D44AB">
              <w:rPr>
                <w:sz w:val="20"/>
                <w:lang w:val="fr-CA"/>
              </w:rPr>
              <w:t>Contracting</w:t>
            </w:r>
            <w:proofErr w:type="spellEnd"/>
            <w:r w:rsidRPr="009D44AB">
              <w:rPr>
                <w:sz w:val="20"/>
                <w:lang w:val="fr-CA"/>
              </w:rPr>
              <w:t xml:space="preserve"> pour sa main</w:t>
            </w:r>
            <w:r w:rsidRPr="009D44AB">
              <w:rPr>
                <w:sz w:val="20"/>
                <w:lang w:val="fr-CA"/>
              </w:rPr>
              <w:noBreakHyphen/>
              <w:t>d’œuvre. Il prétendait que cette rémunération était non imposable, puisqu’elle avait été touchée dans l’exercice d’une « activité non commerciale » dans le cadre d’une « activité personnelle » et qu’il n’avait pas eu l’intention de réaliser un profit. Dans les nouvelles cotisations qui ont suivi, le ministre du Revenu national a statué que M. </w:t>
            </w:r>
            <w:proofErr w:type="spellStart"/>
            <w:r w:rsidRPr="009D44AB">
              <w:rPr>
                <w:sz w:val="20"/>
                <w:lang w:val="fr-CA"/>
              </w:rPr>
              <w:t>Meerman</w:t>
            </w:r>
            <w:proofErr w:type="spellEnd"/>
            <w:r w:rsidRPr="009D44AB">
              <w:rPr>
                <w:sz w:val="20"/>
                <w:lang w:val="fr-CA"/>
              </w:rPr>
              <w:t xml:space="preserve"> avait omis de déclarer un revenu d’entreprise et le montant non déclaré a été inclus dans son revenu et des pénalités pour faute lourde ont été infligées. Monsieur Meerman a interjeté appel de cette décision. La Cour canadienne de l’impôt a rejeté son appel. La Cour d’appel a rejeté son appel subséquent.</w:t>
            </w:r>
          </w:p>
        </w:tc>
      </w:tr>
      <w:tr w:rsidR="00977AF4" w:rsidRPr="009D44AB" w:rsidTr="00E95A6A">
        <w:tc>
          <w:tcPr>
            <w:tcW w:w="5000" w:type="pct"/>
            <w:gridSpan w:val="4"/>
          </w:tcPr>
          <w:p w:rsidR="00977AF4" w:rsidRPr="009D44AB" w:rsidRDefault="00977AF4" w:rsidP="00444837">
            <w:pPr>
              <w:rPr>
                <w:sz w:val="20"/>
                <w:lang w:val="fr-CA"/>
              </w:rPr>
            </w:pPr>
          </w:p>
        </w:tc>
      </w:tr>
      <w:tr w:rsidR="00977AF4" w:rsidRPr="00EC12BA" w:rsidTr="00E95A6A">
        <w:tc>
          <w:tcPr>
            <w:tcW w:w="2427" w:type="pct"/>
            <w:gridSpan w:val="2"/>
          </w:tcPr>
          <w:p w:rsidR="00977AF4" w:rsidRPr="009D44AB" w:rsidRDefault="00977AF4" w:rsidP="00444837">
            <w:pPr>
              <w:rPr>
                <w:sz w:val="20"/>
                <w:lang w:val="fr-CA"/>
              </w:rPr>
            </w:pPr>
            <w:r w:rsidRPr="009D44AB">
              <w:rPr>
                <w:sz w:val="20"/>
                <w:lang w:val="fr-CA"/>
              </w:rPr>
              <w:t>23 juin 2017</w:t>
            </w:r>
          </w:p>
          <w:p w:rsidR="00977AF4" w:rsidRPr="009D44AB" w:rsidRDefault="00977AF4" w:rsidP="00444837">
            <w:pPr>
              <w:rPr>
                <w:sz w:val="20"/>
                <w:lang w:val="fr-CA"/>
              </w:rPr>
            </w:pPr>
            <w:r w:rsidRPr="009D44AB">
              <w:rPr>
                <w:sz w:val="20"/>
                <w:lang w:val="fr-CA"/>
              </w:rPr>
              <w:t>Cour canadienne de l’impôt</w:t>
            </w:r>
          </w:p>
          <w:p w:rsidR="00977AF4" w:rsidRPr="009D44AB" w:rsidRDefault="00977AF4" w:rsidP="00444837">
            <w:pPr>
              <w:rPr>
                <w:sz w:val="20"/>
                <w:lang w:val="fr-CA"/>
              </w:rPr>
            </w:pPr>
            <w:r w:rsidRPr="009D44AB">
              <w:rPr>
                <w:sz w:val="20"/>
                <w:lang w:val="fr-CA"/>
              </w:rPr>
              <w:t>(Juge Visser)</w:t>
            </w:r>
          </w:p>
          <w:p w:rsidR="00977AF4" w:rsidRPr="009D44AB" w:rsidRDefault="00977AF4" w:rsidP="00444837">
            <w:pPr>
              <w:rPr>
                <w:sz w:val="20"/>
                <w:lang w:val="fr-CA"/>
              </w:rPr>
            </w:pPr>
            <w:r w:rsidRPr="009D44AB">
              <w:rPr>
                <w:sz w:val="20"/>
                <w:lang w:val="fr-CA"/>
              </w:rPr>
              <w:t>Non publié</w:t>
            </w:r>
          </w:p>
          <w:p w:rsidR="00977AF4" w:rsidRPr="009D44AB" w:rsidRDefault="00977AF4" w:rsidP="00444837">
            <w:pPr>
              <w:rPr>
                <w:sz w:val="20"/>
                <w:lang w:val="fr-CA"/>
              </w:rPr>
            </w:pPr>
          </w:p>
        </w:tc>
        <w:tc>
          <w:tcPr>
            <w:tcW w:w="243" w:type="pct"/>
          </w:tcPr>
          <w:p w:rsidR="00977AF4" w:rsidRPr="009D44AB" w:rsidRDefault="00977AF4" w:rsidP="00444837">
            <w:pPr>
              <w:rPr>
                <w:sz w:val="20"/>
                <w:lang w:val="fr-CA"/>
              </w:rPr>
            </w:pPr>
          </w:p>
        </w:tc>
        <w:tc>
          <w:tcPr>
            <w:tcW w:w="2330" w:type="pct"/>
          </w:tcPr>
          <w:p w:rsidR="00977AF4" w:rsidRPr="009D44AB" w:rsidRDefault="00977AF4" w:rsidP="00444837">
            <w:pPr>
              <w:rPr>
                <w:sz w:val="20"/>
                <w:lang w:val="fr-CA"/>
              </w:rPr>
            </w:pPr>
            <w:r w:rsidRPr="009D44AB">
              <w:rPr>
                <w:sz w:val="20"/>
                <w:lang w:val="fr-CA"/>
              </w:rPr>
              <w:t>Rejet de l’appel interjeté par le demandeur de la décision du ministre sur les nouvelles cotisations de déclarations de revenus</w:t>
            </w:r>
          </w:p>
          <w:p w:rsidR="00977AF4" w:rsidRPr="009D44AB" w:rsidRDefault="00977AF4" w:rsidP="00444837">
            <w:pPr>
              <w:rPr>
                <w:sz w:val="20"/>
                <w:lang w:val="fr-CA"/>
              </w:rPr>
            </w:pPr>
          </w:p>
          <w:p w:rsidR="00977AF4" w:rsidRPr="009D44AB" w:rsidRDefault="00977AF4" w:rsidP="00444837">
            <w:pPr>
              <w:rPr>
                <w:sz w:val="20"/>
                <w:lang w:val="fr-CA"/>
              </w:rPr>
            </w:pPr>
          </w:p>
        </w:tc>
      </w:tr>
      <w:tr w:rsidR="00977AF4" w:rsidRPr="009D44AB" w:rsidTr="00E95A6A">
        <w:tc>
          <w:tcPr>
            <w:tcW w:w="2427" w:type="pct"/>
            <w:gridSpan w:val="2"/>
          </w:tcPr>
          <w:p w:rsidR="00977AF4" w:rsidRPr="009D44AB" w:rsidRDefault="00977AF4" w:rsidP="00444837">
            <w:pPr>
              <w:rPr>
                <w:sz w:val="20"/>
                <w:lang w:val="fr-CA"/>
              </w:rPr>
            </w:pPr>
            <w:r w:rsidRPr="009D44AB">
              <w:rPr>
                <w:sz w:val="20"/>
                <w:lang w:val="fr-CA"/>
              </w:rPr>
              <w:t>9 mai 2019</w:t>
            </w:r>
          </w:p>
          <w:p w:rsidR="00977AF4" w:rsidRPr="009D44AB" w:rsidRDefault="00977AF4" w:rsidP="00444837">
            <w:pPr>
              <w:rPr>
                <w:sz w:val="20"/>
                <w:lang w:val="fr-CA"/>
              </w:rPr>
            </w:pPr>
            <w:r w:rsidRPr="009D44AB">
              <w:rPr>
                <w:sz w:val="20"/>
                <w:lang w:val="fr-CA"/>
              </w:rPr>
              <w:t>Cour d’appel fédérale</w:t>
            </w:r>
          </w:p>
          <w:p w:rsidR="00977AF4" w:rsidRPr="009D44AB" w:rsidRDefault="00977AF4" w:rsidP="00444837">
            <w:pPr>
              <w:rPr>
                <w:sz w:val="20"/>
                <w:lang w:val="fr-CA"/>
              </w:rPr>
            </w:pPr>
            <w:r w:rsidRPr="009D44AB">
              <w:rPr>
                <w:sz w:val="20"/>
                <w:lang w:val="fr-CA"/>
              </w:rPr>
              <w:t>(Juges Dawson, Woods et Rivoalen)</w:t>
            </w:r>
          </w:p>
          <w:p w:rsidR="00977AF4" w:rsidRPr="009D44AB" w:rsidRDefault="00BB65F4" w:rsidP="00444837">
            <w:pPr>
              <w:rPr>
                <w:sz w:val="20"/>
                <w:lang w:val="fr-CA"/>
              </w:rPr>
            </w:pPr>
            <w:hyperlink r:id="rId25" w:history="1">
              <w:r w:rsidR="00977AF4" w:rsidRPr="009D44AB">
                <w:rPr>
                  <w:rStyle w:val="Hyperlink"/>
                  <w:sz w:val="20"/>
                  <w:lang w:val="fr-CA"/>
                </w:rPr>
                <w:t>2019 FCA 119</w:t>
              </w:r>
            </w:hyperlink>
          </w:p>
          <w:p w:rsidR="00977AF4" w:rsidRPr="009D44AB" w:rsidRDefault="00977AF4" w:rsidP="00444837">
            <w:pPr>
              <w:rPr>
                <w:sz w:val="20"/>
                <w:lang w:val="fr-CA"/>
              </w:rPr>
            </w:pPr>
          </w:p>
        </w:tc>
        <w:tc>
          <w:tcPr>
            <w:tcW w:w="243" w:type="pct"/>
          </w:tcPr>
          <w:p w:rsidR="00977AF4" w:rsidRPr="009D44AB" w:rsidRDefault="00977AF4" w:rsidP="00444837">
            <w:pPr>
              <w:rPr>
                <w:sz w:val="20"/>
                <w:lang w:val="fr-CA"/>
              </w:rPr>
            </w:pPr>
          </w:p>
        </w:tc>
        <w:tc>
          <w:tcPr>
            <w:tcW w:w="2330" w:type="pct"/>
          </w:tcPr>
          <w:p w:rsidR="00977AF4" w:rsidRPr="009D44AB" w:rsidRDefault="00977AF4" w:rsidP="00444837">
            <w:pPr>
              <w:rPr>
                <w:sz w:val="20"/>
                <w:lang w:val="fr-CA"/>
              </w:rPr>
            </w:pPr>
            <w:r w:rsidRPr="009D44AB">
              <w:rPr>
                <w:sz w:val="20"/>
                <w:lang w:val="fr-CA"/>
              </w:rPr>
              <w:t>Rejet de l’appel du demandeur</w:t>
            </w:r>
          </w:p>
          <w:p w:rsidR="00977AF4" w:rsidRPr="009D44AB" w:rsidRDefault="00977AF4" w:rsidP="00444837">
            <w:pPr>
              <w:rPr>
                <w:sz w:val="20"/>
                <w:lang w:val="fr-CA"/>
              </w:rPr>
            </w:pPr>
          </w:p>
        </w:tc>
      </w:tr>
      <w:tr w:rsidR="00977AF4" w:rsidRPr="00EC12BA" w:rsidTr="00E95A6A">
        <w:tc>
          <w:tcPr>
            <w:tcW w:w="2427" w:type="pct"/>
            <w:gridSpan w:val="2"/>
          </w:tcPr>
          <w:p w:rsidR="00977AF4" w:rsidRPr="009D44AB" w:rsidRDefault="00977AF4" w:rsidP="00444837">
            <w:pPr>
              <w:rPr>
                <w:sz w:val="20"/>
                <w:lang w:val="fr-CA"/>
              </w:rPr>
            </w:pPr>
            <w:r w:rsidRPr="009D44AB">
              <w:rPr>
                <w:sz w:val="20"/>
                <w:lang w:val="fr-CA"/>
              </w:rPr>
              <w:t>8 août 2019</w:t>
            </w:r>
          </w:p>
          <w:p w:rsidR="00977AF4" w:rsidRPr="009D44AB" w:rsidRDefault="00977AF4" w:rsidP="00444837">
            <w:pPr>
              <w:rPr>
                <w:sz w:val="20"/>
                <w:lang w:val="fr-CA"/>
              </w:rPr>
            </w:pPr>
            <w:r w:rsidRPr="009D44AB">
              <w:rPr>
                <w:sz w:val="20"/>
                <w:lang w:val="fr-CA"/>
              </w:rPr>
              <w:t>Cour suprême du Canada</w:t>
            </w:r>
          </w:p>
        </w:tc>
        <w:tc>
          <w:tcPr>
            <w:tcW w:w="243" w:type="pct"/>
          </w:tcPr>
          <w:p w:rsidR="00977AF4" w:rsidRPr="009D44AB" w:rsidRDefault="00977AF4" w:rsidP="00444837">
            <w:pPr>
              <w:rPr>
                <w:sz w:val="20"/>
                <w:lang w:val="fr-CA"/>
              </w:rPr>
            </w:pPr>
          </w:p>
        </w:tc>
        <w:tc>
          <w:tcPr>
            <w:tcW w:w="2330" w:type="pct"/>
          </w:tcPr>
          <w:p w:rsidR="00977AF4" w:rsidRPr="009D44AB" w:rsidRDefault="00977AF4" w:rsidP="00444837">
            <w:pPr>
              <w:rPr>
                <w:sz w:val="20"/>
                <w:lang w:val="fr-CA"/>
              </w:rPr>
            </w:pPr>
            <w:r w:rsidRPr="009D44AB">
              <w:rPr>
                <w:sz w:val="20"/>
                <w:lang w:val="fr-CA"/>
              </w:rPr>
              <w:t>Dépôt de la demande d’autorisation d’appel</w:t>
            </w:r>
          </w:p>
          <w:p w:rsidR="00977AF4" w:rsidRPr="009D44AB" w:rsidRDefault="00977AF4" w:rsidP="00444837">
            <w:pPr>
              <w:rPr>
                <w:sz w:val="20"/>
                <w:lang w:val="fr-CA"/>
              </w:rPr>
            </w:pPr>
          </w:p>
        </w:tc>
      </w:tr>
    </w:tbl>
    <w:p w:rsidR="00977AF4" w:rsidRPr="009D44AB" w:rsidRDefault="00977AF4" w:rsidP="00444837">
      <w:pPr>
        <w:rPr>
          <w:sz w:val="20"/>
          <w:lang w:val="fr-CA"/>
        </w:rPr>
      </w:pPr>
    </w:p>
    <w:p w:rsidR="00977AF4" w:rsidRPr="009D44AB" w:rsidRDefault="00BB65F4" w:rsidP="006A22CA">
      <w:pPr>
        <w:ind w:left="142" w:hanging="142"/>
        <w:jc w:val="both"/>
        <w:rPr>
          <w:sz w:val="20"/>
          <w:lang w:val="fr-CA"/>
        </w:rPr>
      </w:pPr>
      <w:r>
        <w:rPr>
          <w:sz w:val="20"/>
        </w:rPr>
        <w:pict>
          <v:rect id="_x0000_i1032" style="width:2in;height:1pt" o:hrpct="0" o:hralign="center" o:hrstd="t" o:hrnoshade="t" o:hr="t" fillcolor="black [3213]" stroked="f"/>
        </w:pict>
      </w:r>
    </w:p>
    <w:p w:rsidR="00977AF4" w:rsidRPr="009D44AB" w:rsidRDefault="00977AF4" w:rsidP="006A22CA">
      <w:pPr>
        <w:ind w:left="142" w:hanging="142"/>
        <w:jc w:val="both"/>
        <w:rPr>
          <w:sz w:val="20"/>
          <w:lang w:val="fr-CA"/>
        </w:rPr>
      </w:pPr>
    </w:p>
    <w:p w:rsidR="00977AF4" w:rsidRPr="009D44AB" w:rsidRDefault="00977AF4" w:rsidP="006A22C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F9479E">
            <w:pPr>
              <w:rPr>
                <w:sz w:val="20"/>
                <w:lang w:val="en-CA"/>
              </w:rPr>
            </w:pPr>
            <w:r w:rsidRPr="009D44AB">
              <w:rPr>
                <w:rStyle w:val="SCCFileNumberChar"/>
                <w:sz w:val="20"/>
                <w:szCs w:val="20"/>
              </w:rPr>
              <w:t>38777</w:t>
            </w:r>
          </w:p>
        </w:tc>
        <w:tc>
          <w:tcPr>
            <w:tcW w:w="4457" w:type="pct"/>
            <w:gridSpan w:val="3"/>
          </w:tcPr>
          <w:p w:rsidR="00977AF4" w:rsidRPr="009D44AB" w:rsidRDefault="00977AF4" w:rsidP="00977AF4">
            <w:pPr>
              <w:pStyle w:val="SCCLsocParty"/>
              <w:jc w:val="left"/>
              <w:rPr>
                <w:b/>
                <w:sz w:val="20"/>
                <w:szCs w:val="20"/>
                <w:lang w:val="en-CA"/>
              </w:rPr>
            </w:pPr>
            <w:r w:rsidRPr="009D44AB">
              <w:rPr>
                <w:b/>
                <w:sz w:val="20"/>
                <w:szCs w:val="20"/>
                <w:lang w:val="en-CA"/>
              </w:rPr>
              <w:t>Union of Canadian Correctional Officers — </w:t>
            </w:r>
            <w:proofErr w:type="spellStart"/>
            <w:r w:rsidRPr="009D44AB">
              <w:rPr>
                <w:b/>
                <w:sz w:val="20"/>
                <w:szCs w:val="20"/>
                <w:lang w:val="en-CA"/>
              </w:rPr>
              <w:t>Syndicat</w:t>
            </w:r>
            <w:proofErr w:type="spellEnd"/>
            <w:r w:rsidRPr="009D44AB">
              <w:rPr>
                <w:b/>
                <w:sz w:val="20"/>
                <w:szCs w:val="20"/>
                <w:lang w:val="en-CA"/>
              </w:rPr>
              <w:t xml:space="preserve"> des agents </w:t>
            </w:r>
            <w:proofErr w:type="spellStart"/>
            <w:r w:rsidRPr="009D44AB">
              <w:rPr>
                <w:b/>
                <w:sz w:val="20"/>
                <w:szCs w:val="20"/>
                <w:lang w:val="en-CA"/>
              </w:rPr>
              <w:t>correctionnels</w:t>
            </w:r>
            <w:proofErr w:type="spellEnd"/>
            <w:r w:rsidRPr="009D44AB">
              <w:rPr>
                <w:b/>
                <w:sz w:val="20"/>
                <w:szCs w:val="20"/>
                <w:lang w:val="en-CA"/>
              </w:rPr>
              <w:t xml:space="preserve"> du Canada — CSN (UCCO-SACC-CSN), Pierre Malette v. Attorney General of Canada</w:t>
            </w:r>
          </w:p>
          <w:p w:rsidR="00977AF4" w:rsidRPr="009D44AB" w:rsidRDefault="00977AF4">
            <w:pPr>
              <w:pStyle w:val="SCCLsocOtherPartySeparator"/>
              <w:rPr>
                <w:rFonts w:cs="Times New Roman"/>
                <w:sz w:val="20"/>
                <w:szCs w:val="20"/>
                <w:lang w:val="en-CA"/>
              </w:rPr>
            </w:pPr>
            <w:r w:rsidRPr="009D44AB">
              <w:rPr>
                <w:rFonts w:cs="Times New Roman"/>
                <w:sz w:val="20"/>
                <w:szCs w:val="20"/>
                <w:lang w:val="en-CA"/>
              </w:rPr>
              <w:t>- and -</w:t>
            </w:r>
          </w:p>
          <w:p w:rsidR="00977AF4" w:rsidRPr="009D44AB" w:rsidRDefault="00977AF4" w:rsidP="00977AF4">
            <w:pPr>
              <w:pStyle w:val="SCCLsocParty"/>
              <w:jc w:val="left"/>
              <w:rPr>
                <w:b/>
                <w:sz w:val="20"/>
                <w:szCs w:val="20"/>
                <w:lang w:val="en-CA"/>
              </w:rPr>
            </w:pPr>
            <w:r w:rsidRPr="009D44AB">
              <w:rPr>
                <w:b/>
                <w:sz w:val="20"/>
                <w:szCs w:val="20"/>
                <w:lang w:val="en-CA"/>
              </w:rPr>
              <w:t>Public Service Alliance of Canada</w:t>
            </w:r>
          </w:p>
          <w:p w:rsidR="00977AF4" w:rsidRPr="009D44AB" w:rsidRDefault="00977AF4" w:rsidP="00A14F3D">
            <w:pPr>
              <w:rPr>
                <w:sz w:val="20"/>
                <w:lang w:val="en-CA"/>
              </w:rPr>
            </w:pPr>
            <w:r w:rsidRPr="009D44AB">
              <w:rPr>
                <w:sz w:val="20"/>
                <w:lang w:val="en-CA"/>
              </w:rPr>
              <w:t>(Que.) (Civil) (By Leave)</w:t>
            </w:r>
          </w:p>
        </w:tc>
      </w:tr>
      <w:tr w:rsidR="00977AF4" w:rsidRPr="009D44AB" w:rsidTr="00E95A6A">
        <w:tc>
          <w:tcPr>
            <w:tcW w:w="5000" w:type="pct"/>
            <w:gridSpan w:val="4"/>
          </w:tcPr>
          <w:p w:rsidR="00977AF4" w:rsidRPr="009D44AB" w:rsidRDefault="00977AF4" w:rsidP="00232B2D">
            <w:pPr>
              <w:rPr>
                <w:sz w:val="20"/>
                <w:lang w:val="en-CA"/>
              </w:rPr>
            </w:pPr>
            <w:proofErr w:type="gramStart"/>
            <w:r w:rsidRPr="009D44AB">
              <w:rPr>
                <w:sz w:val="20"/>
                <w:lang w:val="en-CA"/>
              </w:rPr>
              <w:t xml:space="preserve">Charter of rights — Freedom of association — Reasonable limits — Minimal impairment — Collective bargaining scheme in public service of Canada — Union of Canadian Correctional Officers wishing to negotiate pension and staffing matters for its members — Applicable legislative scheme not allowing collective bargaining on these matters — Union making constitutional challenge to this prohibition on ground that it infringed freedom of association of Union’s members — If freedom of association infringed by prohibition against collective bargaining on pension and staffing matters, whether infringement justified under s. 1 of </w:t>
            </w:r>
            <w:r w:rsidRPr="009D44AB">
              <w:rPr>
                <w:i/>
                <w:sz w:val="20"/>
                <w:lang w:val="en-CA"/>
              </w:rPr>
              <w:t>Canadian Charter of Rights and Freedoms</w:t>
            </w:r>
            <w:r w:rsidRPr="009D44AB">
              <w:rPr>
                <w:sz w:val="20"/>
                <w:lang w:val="en-CA"/>
              </w:rPr>
              <w:t xml:space="preserve"> — </w:t>
            </w:r>
            <w:r w:rsidRPr="009D44AB">
              <w:rPr>
                <w:i/>
                <w:sz w:val="20"/>
                <w:lang w:val="en-CA"/>
              </w:rPr>
              <w:t>Federal Public Sector Labour Relations Act</w:t>
            </w:r>
            <w:r w:rsidRPr="009D44AB">
              <w:rPr>
                <w:sz w:val="20"/>
                <w:lang w:val="en-CA"/>
              </w:rPr>
              <w:t>, S.C. 2003, c. 2, ss. 2, 113(b).</w:t>
            </w:r>
            <w:proofErr w:type="gramEnd"/>
          </w:p>
        </w:tc>
      </w:tr>
      <w:tr w:rsidR="00977AF4" w:rsidRPr="009D44AB" w:rsidTr="00E95A6A">
        <w:tc>
          <w:tcPr>
            <w:tcW w:w="5000" w:type="pct"/>
            <w:gridSpan w:val="4"/>
          </w:tcPr>
          <w:p w:rsidR="00977AF4" w:rsidRPr="009D44AB" w:rsidRDefault="00977AF4" w:rsidP="00C01DCD">
            <w:pPr>
              <w:rPr>
                <w:sz w:val="20"/>
                <w:lang w:val="en-CA"/>
              </w:rPr>
            </w:pPr>
          </w:p>
        </w:tc>
      </w:tr>
      <w:tr w:rsidR="00977AF4" w:rsidRPr="009D44AB" w:rsidTr="00E95A6A">
        <w:tc>
          <w:tcPr>
            <w:tcW w:w="5000" w:type="pct"/>
            <w:gridSpan w:val="4"/>
          </w:tcPr>
          <w:p w:rsidR="00977AF4" w:rsidRPr="009D44AB" w:rsidRDefault="00977AF4" w:rsidP="00C01DCD">
            <w:pPr>
              <w:rPr>
                <w:sz w:val="20"/>
                <w:lang w:val="en-CA"/>
              </w:rPr>
            </w:pPr>
            <w:r w:rsidRPr="009D44AB">
              <w:rPr>
                <w:sz w:val="20"/>
                <w:lang w:val="en-CA"/>
              </w:rPr>
              <w:t xml:space="preserve">The applicants, the Union of Canadian Correctional Officers — </w:t>
            </w:r>
            <w:proofErr w:type="spellStart"/>
            <w:r w:rsidRPr="009D44AB">
              <w:rPr>
                <w:sz w:val="20"/>
                <w:lang w:val="en-CA"/>
              </w:rPr>
              <w:t>Syndicat</w:t>
            </w:r>
            <w:proofErr w:type="spellEnd"/>
            <w:r w:rsidRPr="009D44AB">
              <w:rPr>
                <w:sz w:val="20"/>
                <w:lang w:val="en-CA"/>
              </w:rPr>
              <w:t xml:space="preserve"> des agents </w:t>
            </w:r>
            <w:proofErr w:type="spellStart"/>
            <w:r w:rsidRPr="009D44AB">
              <w:rPr>
                <w:sz w:val="20"/>
                <w:lang w:val="en-CA"/>
              </w:rPr>
              <w:t>correctionnels</w:t>
            </w:r>
            <w:proofErr w:type="spellEnd"/>
            <w:r w:rsidRPr="009D44AB">
              <w:rPr>
                <w:sz w:val="20"/>
                <w:lang w:val="en-CA"/>
              </w:rPr>
              <w:t xml:space="preserve"> du Canada — CSN (UCCO</w:t>
            </w:r>
            <w:r w:rsidRPr="009D44AB">
              <w:rPr>
                <w:sz w:val="20"/>
                <w:lang w:val="en-CA"/>
              </w:rPr>
              <w:noBreakHyphen/>
              <w:t>SACC</w:t>
            </w:r>
            <w:r w:rsidRPr="009D44AB">
              <w:rPr>
                <w:sz w:val="20"/>
                <w:lang w:val="en-CA"/>
              </w:rPr>
              <w:noBreakHyphen/>
              <w:t xml:space="preserve">CSN) and Pierre Malette, a regional union representative (collectively “Union”), have been the bargaining agent for more than 6,500 correctional officers in 58 institutions across Canada since 2001. The correctional officers’ conditions of employment </w:t>
            </w:r>
            <w:proofErr w:type="gramStart"/>
            <w:r w:rsidRPr="009D44AB">
              <w:rPr>
                <w:sz w:val="20"/>
                <w:lang w:val="en-CA"/>
              </w:rPr>
              <w:t>are negotiated</w:t>
            </w:r>
            <w:proofErr w:type="gramEnd"/>
            <w:r w:rsidRPr="009D44AB">
              <w:rPr>
                <w:sz w:val="20"/>
                <w:lang w:val="en-CA"/>
              </w:rPr>
              <w:t xml:space="preserve"> with the Treasury Board of Canada, their employer. Starting in 2002, the members of the Union indicated that they wished to negotiate staffing (including the filling of positions), hours of work, seniority, the pension plan, and occupational health and safety. Under the applicable legislative framework, neither staffing nor the pension plan </w:t>
            </w:r>
            <w:proofErr w:type="gramStart"/>
            <w:r w:rsidRPr="009D44AB">
              <w:rPr>
                <w:sz w:val="20"/>
                <w:lang w:val="en-CA"/>
              </w:rPr>
              <w:t>could be dealt with</w:t>
            </w:r>
            <w:proofErr w:type="gramEnd"/>
            <w:r w:rsidRPr="009D44AB">
              <w:rPr>
                <w:sz w:val="20"/>
                <w:lang w:val="en-CA"/>
              </w:rPr>
              <w:t xml:space="preserve"> in a collective agreement</w:t>
            </w:r>
            <w:r w:rsidRPr="009D44AB">
              <w:rPr>
                <w:spacing w:val="-2"/>
                <w:sz w:val="20"/>
                <w:lang w:val="en-CA"/>
              </w:rPr>
              <w:t xml:space="preserve">. The Treasury Board relied on that framework in refusing to </w:t>
            </w:r>
            <w:proofErr w:type="gramStart"/>
            <w:r w:rsidRPr="009D44AB">
              <w:rPr>
                <w:spacing w:val="-2"/>
                <w:sz w:val="20"/>
                <w:lang w:val="en-CA"/>
              </w:rPr>
              <w:t>hold any negotiations</w:t>
            </w:r>
            <w:proofErr w:type="gramEnd"/>
            <w:r w:rsidRPr="009D44AB">
              <w:rPr>
                <w:spacing w:val="-2"/>
                <w:sz w:val="20"/>
                <w:lang w:val="en-CA"/>
              </w:rPr>
              <w:t xml:space="preserve"> on staffing and the pension plan as part of the bargaining for the collective agreements of 2006, 2010 and 2013. The Union challenged the constitutional validity of the applicable legislative scheme in the Superior Court on the basis that it infringed its members’ freedom of association. The Superior Court ruled in the Union’s favour and declared the prohibition against collective bargaining on pension and staffing matters to be unconstitutional. The Court of Appeal accepted the finding that the prohibition infringed the freedom of association of the Union’s members, but it held that the infringement was justified under s. 1 of the </w:t>
            </w:r>
            <w:r w:rsidRPr="009D44AB">
              <w:rPr>
                <w:i/>
                <w:spacing w:val="-2"/>
                <w:sz w:val="20"/>
                <w:lang w:val="en-CA"/>
              </w:rPr>
              <w:t>Canadian Charter of Rights and Freedoms</w:t>
            </w:r>
            <w:r w:rsidRPr="009D44AB">
              <w:rPr>
                <w:sz w:val="20"/>
                <w:lang w:val="en-CA"/>
              </w:rPr>
              <w:t>.</w:t>
            </w:r>
          </w:p>
          <w:p w:rsidR="00977AF4" w:rsidRPr="009D44AB" w:rsidRDefault="00977AF4" w:rsidP="00C01DCD">
            <w:pPr>
              <w:rPr>
                <w:sz w:val="20"/>
                <w:lang w:val="en-CA"/>
              </w:rPr>
            </w:pPr>
          </w:p>
        </w:tc>
      </w:tr>
      <w:tr w:rsidR="00977AF4" w:rsidRPr="009D44AB" w:rsidTr="00E95A6A">
        <w:tc>
          <w:tcPr>
            <w:tcW w:w="2427" w:type="pct"/>
            <w:gridSpan w:val="2"/>
          </w:tcPr>
          <w:p w:rsidR="00977AF4" w:rsidRPr="009D44AB" w:rsidRDefault="00977AF4" w:rsidP="00D73AD9">
            <w:pPr>
              <w:rPr>
                <w:sz w:val="20"/>
                <w:lang w:val="en-CA"/>
              </w:rPr>
            </w:pPr>
            <w:r w:rsidRPr="009D44AB">
              <w:rPr>
                <w:sz w:val="20"/>
                <w:lang w:val="en-CA"/>
              </w:rPr>
              <w:t>June 6, 2018</w:t>
            </w:r>
          </w:p>
          <w:p w:rsidR="00977AF4" w:rsidRPr="009D44AB" w:rsidRDefault="00977AF4" w:rsidP="00D73AD9">
            <w:pPr>
              <w:rPr>
                <w:sz w:val="20"/>
                <w:lang w:val="en-CA"/>
              </w:rPr>
            </w:pPr>
            <w:r w:rsidRPr="009D44AB">
              <w:rPr>
                <w:sz w:val="20"/>
                <w:lang w:val="en-CA"/>
              </w:rPr>
              <w:t>Quebec Superior Court</w:t>
            </w:r>
          </w:p>
          <w:p w:rsidR="00977AF4" w:rsidRPr="009D44AB" w:rsidRDefault="00977AF4" w:rsidP="00D73AD9">
            <w:pPr>
              <w:rPr>
                <w:sz w:val="20"/>
                <w:lang w:val="en-CA"/>
              </w:rPr>
            </w:pPr>
            <w:r w:rsidRPr="009D44AB">
              <w:rPr>
                <w:sz w:val="20"/>
                <w:lang w:val="en-CA"/>
              </w:rPr>
              <w:t>(Davis J.)</w:t>
            </w:r>
          </w:p>
          <w:p w:rsidR="00977AF4" w:rsidRPr="009D44AB" w:rsidRDefault="00BB65F4" w:rsidP="00D73AD9">
            <w:pPr>
              <w:rPr>
                <w:sz w:val="20"/>
                <w:lang w:val="en-CA"/>
              </w:rPr>
            </w:pPr>
            <w:hyperlink r:id="rId26" w:history="1">
              <w:r w:rsidR="00977AF4" w:rsidRPr="009D44AB">
                <w:rPr>
                  <w:rStyle w:val="Hyperlink"/>
                  <w:sz w:val="20"/>
                  <w:lang w:val="en-CA"/>
                </w:rPr>
                <w:t>2018 QCCS 2539</w:t>
              </w:r>
            </w:hyperlink>
            <w:r w:rsidR="00977AF4" w:rsidRPr="009D44AB">
              <w:rPr>
                <w:sz w:val="20"/>
                <w:lang w:val="en-CA"/>
              </w:rPr>
              <w:t xml:space="preserve"> </w:t>
            </w:r>
          </w:p>
        </w:tc>
        <w:tc>
          <w:tcPr>
            <w:tcW w:w="243" w:type="pct"/>
          </w:tcPr>
          <w:p w:rsidR="00977AF4" w:rsidRPr="009D44AB" w:rsidRDefault="00977AF4" w:rsidP="00F9479E">
            <w:pPr>
              <w:rPr>
                <w:sz w:val="20"/>
                <w:lang w:val="en-CA"/>
              </w:rPr>
            </w:pPr>
          </w:p>
        </w:tc>
        <w:tc>
          <w:tcPr>
            <w:tcW w:w="2330" w:type="pct"/>
          </w:tcPr>
          <w:p w:rsidR="00977AF4" w:rsidRPr="009D44AB" w:rsidRDefault="00977AF4" w:rsidP="00962E19">
            <w:pPr>
              <w:rPr>
                <w:sz w:val="20"/>
                <w:lang w:val="en-CA"/>
              </w:rPr>
            </w:pPr>
            <w:r w:rsidRPr="009D44AB">
              <w:rPr>
                <w:spacing w:val="-2"/>
                <w:sz w:val="20"/>
                <w:lang w:val="en-CA"/>
              </w:rPr>
              <w:t xml:space="preserve">Motion to institute proceedings to have s. 113(b) of </w:t>
            </w:r>
            <w:r w:rsidRPr="009D44AB">
              <w:rPr>
                <w:i/>
                <w:sz w:val="20"/>
                <w:lang w:val="en-CA"/>
              </w:rPr>
              <w:t>Federal Public Sector Labour Relations Act</w:t>
            </w:r>
            <w:r w:rsidRPr="009D44AB">
              <w:rPr>
                <w:sz w:val="20"/>
                <w:lang w:val="en-CA"/>
              </w:rPr>
              <w:t xml:space="preserve"> </w:t>
            </w:r>
            <w:r w:rsidRPr="009D44AB">
              <w:rPr>
                <w:spacing w:val="-2"/>
                <w:sz w:val="20"/>
                <w:lang w:val="en-CA"/>
              </w:rPr>
              <w:t xml:space="preserve">declared unconstitutional and annulled </w:t>
            </w:r>
            <w:r w:rsidRPr="009D44AB">
              <w:rPr>
                <w:sz w:val="20"/>
                <w:lang w:val="en-CA"/>
              </w:rPr>
              <w:t xml:space="preserve">allowed in part; s. 113(b) of </w:t>
            </w:r>
            <w:r w:rsidRPr="009D44AB">
              <w:rPr>
                <w:i/>
                <w:sz w:val="20"/>
                <w:lang w:val="en-CA"/>
              </w:rPr>
              <w:t>Federal Public Sector Labour Relations Act</w:t>
            </w:r>
            <w:r w:rsidRPr="009D44AB">
              <w:rPr>
                <w:sz w:val="20"/>
                <w:lang w:val="en-CA"/>
              </w:rPr>
              <w:t xml:space="preserve"> declared to be unconstitutional, null, of no force or effect and not justified under s. 1 of </w:t>
            </w:r>
            <w:r w:rsidRPr="009D44AB">
              <w:rPr>
                <w:i/>
                <w:sz w:val="20"/>
                <w:lang w:val="en-CA"/>
              </w:rPr>
              <w:t>Canadian Charter of Rights and Freedoms</w:t>
            </w:r>
            <w:r w:rsidRPr="009D44AB">
              <w:rPr>
                <w:sz w:val="20"/>
                <w:lang w:val="en-CA"/>
              </w:rPr>
              <w:t xml:space="preserve"> (except for prohibition with respect to collective bargaining of term or condition that has been or may be established under </w:t>
            </w:r>
            <w:r w:rsidRPr="009D44AB">
              <w:rPr>
                <w:i/>
                <w:sz w:val="20"/>
                <w:lang w:val="en-CA"/>
              </w:rPr>
              <w:t>Government Employees Compensation Act</w:t>
            </w:r>
            <w:r w:rsidRPr="009D44AB">
              <w:rPr>
                <w:sz w:val="20"/>
                <w:lang w:val="en-CA"/>
              </w:rPr>
              <w:t>); declaration of constitutional invalidity and effects of judgment suspended for period of twelve (12) months</w:t>
            </w:r>
          </w:p>
          <w:p w:rsidR="00977AF4" w:rsidRPr="009D44AB" w:rsidRDefault="00977AF4" w:rsidP="006F4C2D">
            <w:pPr>
              <w:rPr>
                <w:sz w:val="20"/>
                <w:lang w:val="en-CA"/>
              </w:rPr>
            </w:pPr>
          </w:p>
        </w:tc>
      </w:tr>
      <w:tr w:rsidR="00977AF4" w:rsidRPr="009D44AB" w:rsidTr="00E95A6A">
        <w:tc>
          <w:tcPr>
            <w:tcW w:w="2427" w:type="pct"/>
            <w:gridSpan w:val="2"/>
          </w:tcPr>
          <w:p w:rsidR="00977AF4" w:rsidRPr="009D44AB" w:rsidRDefault="00977AF4" w:rsidP="00D73AD9">
            <w:pPr>
              <w:rPr>
                <w:sz w:val="20"/>
                <w:lang w:val="en-CA"/>
              </w:rPr>
            </w:pPr>
            <w:r w:rsidRPr="009D44AB">
              <w:rPr>
                <w:sz w:val="20"/>
                <w:lang w:val="en-CA"/>
              </w:rPr>
              <w:t>June 5, 2019</w:t>
            </w:r>
          </w:p>
          <w:p w:rsidR="00977AF4" w:rsidRPr="009D44AB" w:rsidRDefault="00977AF4" w:rsidP="00D73AD9">
            <w:pPr>
              <w:rPr>
                <w:sz w:val="20"/>
                <w:lang w:val="en-CA"/>
              </w:rPr>
            </w:pPr>
            <w:r w:rsidRPr="009D44AB">
              <w:rPr>
                <w:sz w:val="20"/>
                <w:lang w:val="en-CA"/>
              </w:rPr>
              <w:t>Quebec Court of Appeal (Montréal)</w:t>
            </w:r>
          </w:p>
          <w:p w:rsidR="00977AF4" w:rsidRPr="009D44AB" w:rsidRDefault="00977AF4" w:rsidP="00D73AD9">
            <w:pPr>
              <w:rPr>
                <w:sz w:val="20"/>
                <w:lang w:val="en-CA"/>
              </w:rPr>
            </w:pPr>
            <w:r w:rsidRPr="009D44AB">
              <w:rPr>
                <w:sz w:val="20"/>
                <w:lang w:val="en-CA"/>
              </w:rPr>
              <w:t xml:space="preserve">(Duval Hesler </w:t>
            </w:r>
            <w:proofErr w:type="gramStart"/>
            <w:r w:rsidRPr="009D44AB">
              <w:rPr>
                <w:sz w:val="20"/>
                <w:lang w:val="en-CA"/>
              </w:rPr>
              <w:t>C.J. and Morissette</w:t>
            </w:r>
            <w:proofErr w:type="gramEnd"/>
            <w:r w:rsidRPr="009D44AB">
              <w:rPr>
                <w:sz w:val="20"/>
                <w:lang w:val="en-CA"/>
              </w:rPr>
              <w:t xml:space="preserve"> and Hogue JJ.A.)</w:t>
            </w:r>
          </w:p>
          <w:p w:rsidR="00977AF4" w:rsidRPr="009D44AB" w:rsidRDefault="00977AF4" w:rsidP="00D73AD9">
            <w:pPr>
              <w:rPr>
                <w:sz w:val="20"/>
                <w:lang w:val="en-CA"/>
              </w:rPr>
            </w:pPr>
            <w:r w:rsidRPr="009D44AB">
              <w:rPr>
                <w:sz w:val="20"/>
                <w:lang w:val="en-CA"/>
              </w:rPr>
              <w:t xml:space="preserve">File No. </w:t>
            </w:r>
            <w:bookmarkStart w:id="0" w:name="NoDossier"/>
            <w:r w:rsidRPr="009D44AB">
              <w:rPr>
                <w:sz w:val="20"/>
                <w:lang w:val="en-CA"/>
              </w:rPr>
              <w:t>500</w:t>
            </w:r>
            <w:r w:rsidRPr="009D44AB">
              <w:rPr>
                <w:sz w:val="20"/>
                <w:lang w:val="en-CA"/>
              </w:rPr>
              <w:noBreakHyphen/>
              <w:t>09</w:t>
            </w:r>
            <w:r w:rsidRPr="009D44AB">
              <w:rPr>
                <w:sz w:val="20"/>
                <w:lang w:val="en-CA"/>
              </w:rPr>
              <w:noBreakHyphen/>
              <w:t>027667</w:t>
            </w:r>
            <w:r w:rsidRPr="009D44AB">
              <w:rPr>
                <w:sz w:val="20"/>
                <w:lang w:val="en-CA"/>
              </w:rPr>
              <w:noBreakHyphen/>
              <w:t>187</w:t>
            </w:r>
            <w:bookmarkEnd w:id="0"/>
          </w:p>
          <w:p w:rsidR="00977AF4" w:rsidRPr="009D44AB" w:rsidRDefault="00BB65F4" w:rsidP="00087E1F">
            <w:pPr>
              <w:rPr>
                <w:sz w:val="20"/>
                <w:lang w:val="en-CA"/>
              </w:rPr>
            </w:pPr>
            <w:hyperlink r:id="rId27" w:history="1">
              <w:r w:rsidR="00977AF4" w:rsidRPr="009D44AB">
                <w:rPr>
                  <w:rStyle w:val="Hyperlink"/>
                  <w:sz w:val="20"/>
                  <w:lang w:val="en-CA"/>
                </w:rPr>
                <w:t>2019 QCCA 979</w:t>
              </w:r>
            </w:hyperlink>
          </w:p>
        </w:tc>
        <w:tc>
          <w:tcPr>
            <w:tcW w:w="243" w:type="pct"/>
          </w:tcPr>
          <w:p w:rsidR="00977AF4" w:rsidRPr="009D44AB" w:rsidRDefault="00977AF4" w:rsidP="00F9479E">
            <w:pPr>
              <w:rPr>
                <w:sz w:val="20"/>
                <w:lang w:val="en-CA"/>
              </w:rPr>
            </w:pPr>
          </w:p>
        </w:tc>
        <w:tc>
          <w:tcPr>
            <w:tcW w:w="2330" w:type="pct"/>
          </w:tcPr>
          <w:p w:rsidR="00977AF4" w:rsidRPr="009D44AB" w:rsidRDefault="00977AF4" w:rsidP="006F4C2D">
            <w:pPr>
              <w:rPr>
                <w:i/>
                <w:sz w:val="20"/>
                <w:lang w:val="en-CA"/>
              </w:rPr>
            </w:pPr>
            <w:r w:rsidRPr="009D44AB">
              <w:rPr>
                <w:sz w:val="20"/>
                <w:lang w:val="en-CA"/>
              </w:rPr>
              <w:t xml:space="preserve">Appeal allowed; trial judgment reversed; infringement of freedom of association resulting from s. 113(b) of </w:t>
            </w:r>
            <w:r w:rsidRPr="009D44AB">
              <w:rPr>
                <w:i/>
                <w:sz w:val="20"/>
                <w:lang w:val="en-CA"/>
              </w:rPr>
              <w:t>Federal Public Sector Labour Relations Act</w:t>
            </w:r>
            <w:r w:rsidRPr="009D44AB">
              <w:rPr>
                <w:sz w:val="20"/>
                <w:lang w:val="en-CA"/>
              </w:rPr>
              <w:t xml:space="preserve"> declared to be justified under s. 1 of </w:t>
            </w:r>
            <w:r w:rsidRPr="009D44AB">
              <w:rPr>
                <w:i/>
                <w:sz w:val="20"/>
                <w:lang w:val="en-CA"/>
              </w:rPr>
              <w:t>Canadian Charter of Rights and Freedoms</w:t>
            </w:r>
          </w:p>
          <w:p w:rsidR="00977AF4" w:rsidRPr="009D44AB" w:rsidRDefault="00977AF4" w:rsidP="006F4C2D">
            <w:pPr>
              <w:rPr>
                <w:sz w:val="20"/>
                <w:lang w:val="en-CA"/>
              </w:rPr>
            </w:pPr>
          </w:p>
        </w:tc>
      </w:tr>
      <w:tr w:rsidR="00977AF4" w:rsidRPr="009D44AB" w:rsidTr="00E95A6A">
        <w:tc>
          <w:tcPr>
            <w:tcW w:w="2427" w:type="pct"/>
            <w:gridSpan w:val="2"/>
          </w:tcPr>
          <w:p w:rsidR="00977AF4" w:rsidRPr="009D44AB" w:rsidRDefault="00977AF4">
            <w:pPr>
              <w:rPr>
                <w:sz w:val="20"/>
                <w:lang w:val="en-CA"/>
              </w:rPr>
            </w:pPr>
            <w:r w:rsidRPr="009D44AB">
              <w:rPr>
                <w:sz w:val="20"/>
                <w:lang w:val="en-CA"/>
              </w:rPr>
              <w:t>August 23, 2019</w:t>
            </w:r>
          </w:p>
          <w:p w:rsidR="00977AF4" w:rsidRPr="009D44AB" w:rsidRDefault="00977AF4">
            <w:pPr>
              <w:rPr>
                <w:sz w:val="20"/>
                <w:lang w:val="en-CA"/>
              </w:rPr>
            </w:pPr>
            <w:r w:rsidRPr="009D44AB">
              <w:rPr>
                <w:sz w:val="20"/>
                <w:lang w:val="en-CA"/>
              </w:rPr>
              <w:t>Supreme Court of Canada</w:t>
            </w:r>
          </w:p>
          <w:p w:rsidR="00977AF4" w:rsidRPr="009D44AB" w:rsidRDefault="00977AF4" w:rsidP="00087E1F">
            <w:pPr>
              <w:rPr>
                <w:sz w:val="20"/>
                <w:lang w:val="en-CA"/>
              </w:rPr>
            </w:pPr>
          </w:p>
        </w:tc>
        <w:tc>
          <w:tcPr>
            <w:tcW w:w="243" w:type="pct"/>
          </w:tcPr>
          <w:p w:rsidR="00977AF4" w:rsidRPr="009D44AB" w:rsidRDefault="00977AF4" w:rsidP="00F9479E">
            <w:pPr>
              <w:rPr>
                <w:sz w:val="20"/>
                <w:lang w:val="en-CA"/>
              </w:rPr>
            </w:pPr>
          </w:p>
        </w:tc>
        <w:tc>
          <w:tcPr>
            <w:tcW w:w="2330" w:type="pct"/>
          </w:tcPr>
          <w:p w:rsidR="00977AF4" w:rsidRPr="009D44AB" w:rsidRDefault="00977AF4">
            <w:pPr>
              <w:rPr>
                <w:sz w:val="20"/>
                <w:lang w:val="en-CA"/>
              </w:rPr>
            </w:pPr>
            <w:r w:rsidRPr="009D44AB">
              <w:rPr>
                <w:sz w:val="20"/>
                <w:lang w:val="en-CA"/>
              </w:rPr>
              <w:t>Application for leave to appeal filed</w:t>
            </w:r>
          </w:p>
          <w:p w:rsidR="00977AF4" w:rsidRPr="009D44AB" w:rsidRDefault="00977AF4" w:rsidP="006F4C2D">
            <w:pPr>
              <w:rPr>
                <w:sz w:val="20"/>
                <w:lang w:val="en-CA"/>
              </w:rPr>
            </w:pPr>
          </w:p>
        </w:tc>
      </w:tr>
    </w:tbl>
    <w:p w:rsidR="00977AF4" w:rsidRPr="009D44AB" w:rsidRDefault="00BB65F4" w:rsidP="00221618">
      <w:pPr>
        <w:rPr>
          <w:sz w:val="20"/>
        </w:rPr>
      </w:pPr>
      <w:r>
        <w:rPr>
          <w:sz w:val="20"/>
        </w:rPr>
        <w:pict>
          <v:rect id="_x0000_i1033" style="width:2in;height:1pt" o:hrpct="0" o:hralign="center" o:hrstd="t" o:hrnoshade="t" o:hr="t" fillcolor="black [3213]" stroked="f"/>
        </w:pict>
      </w:r>
    </w:p>
    <w:p w:rsidR="00977AF4" w:rsidRPr="009D44AB" w:rsidRDefault="00977AF4" w:rsidP="00221618">
      <w:pPr>
        <w:rPr>
          <w:sz w:val="20"/>
          <w:lang w:val="en-CA"/>
        </w:rPr>
      </w:pPr>
    </w:p>
    <w:p w:rsidR="00977AF4" w:rsidRPr="009D44AB" w:rsidRDefault="00977AF4" w:rsidP="00221618">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7AF4" w:rsidRPr="009D44AB" w:rsidTr="00E95A6A">
        <w:tc>
          <w:tcPr>
            <w:tcW w:w="543" w:type="pct"/>
          </w:tcPr>
          <w:p w:rsidR="00977AF4" w:rsidRPr="009D44AB" w:rsidRDefault="00977AF4" w:rsidP="00F9479E">
            <w:pPr>
              <w:rPr>
                <w:sz w:val="20"/>
              </w:rPr>
            </w:pPr>
            <w:r w:rsidRPr="009D44AB">
              <w:rPr>
                <w:rStyle w:val="SCCFileNumberChar"/>
                <w:sz w:val="20"/>
                <w:szCs w:val="20"/>
              </w:rPr>
              <w:lastRenderedPageBreak/>
              <w:t>38777</w:t>
            </w:r>
          </w:p>
        </w:tc>
        <w:tc>
          <w:tcPr>
            <w:tcW w:w="4457" w:type="pct"/>
            <w:gridSpan w:val="3"/>
          </w:tcPr>
          <w:p w:rsidR="00977AF4" w:rsidRPr="009D44AB" w:rsidRDefault="00977AF4" w:rsidP="00977AF4">
            <w:pPr>
              <w:pStyle w:val="SCCLsocParty"/>
              <w:jc w:val="left"/>
              <w:rPr>
                <w:b/>
                <w:sz w:val="20"/>
                <w:szCs w:val="20"/>
              </w:rPr>
            </w:pPr>
            <w:r w:rsidRPr="009D44AB">
              <w:rPr>
                <w:b/>
                <w:sz w:val="20"/>
                <w:szCs w:val="20"/>
              </w:rPr>
              <w:t xml:space="preserve">Union of Canadian </w:t>
            </w:r>
            <w:proofErr w:type="spellStart"/>
            <w:r w:rsidRPr="009D44AB">
              <w:rPr>
                <w:b/>
                <w:sz w:val="20"/>
                <w:szCs w:val="20"/>
              </w:rPr>
              <w:t>Correctional</w:t>
            </w:r>
            <w:proofErr w:type="spellEnd"/>
            <w:r w:rsidRPr="009D44AB">
              <w:rPr>
                <w:b/>
                <w:sz w:val="20"/>
                <w:szCs w:val="20"/>
              </w:rPr>
              <w:t xml:space="preserve"> </w:t>
            </w:r>
            <w:proofErr w:type="spellStart"/>
            <w:r w:rsidRPr="009D44AB">
              <w:rPr>
                <w:b/>
                <w:sz w:val="20"/>
                <w:szCs w:val="20"/>
              </w:rPr>
              <w:t>Officers</w:t>
            </w:r>
            <w:proofErr w:type="spellEnd"/>
            <w:r w:rsidRPr="009D44AB">
              <w:rPr>
                <w:b/>
                <w:sz w:val="20"/>
                <w:szCs w:val="20"/>
              </w:rPr>
              <w:t xml:space="preserve"> - Syndicat des agents correctionnels du Canada - CSN (UCCO-SACC-CSN), Pierre Malette c. Procureur général du Canada</w:t>
            </w:r>
          </w:p>
          <w:p w:rsidR="00977AF4" w:rsidRPr="009D44AB" w:rsidRDefault="00977AF4">
            <w:pPr>
              <w:pStyle w:val="SCCLsocOtherPartySeparator"/>
              <w:rPr>
                <w:rFonts w:cs="Times New Roman"/>
                <w:sz w:val="20"/>
                <w:szCs w:val="20"/>
              </w:rPr>
            </w:pPr>
            <w:r w:rsidRPr="009D44AB">
              <w:rPr>
                <w:rFonts w:cs="Times New Roman"/>
                <w:sz w:val="20"/>
                <w:szCs w:val="20"/>
              </w:rPr>
              <w:t>- et -</w:t>
            </w:r>
          </w:p>
          <w:p w:rsidR="00977AF4" w:rsidRPr="009D44AB" w:rsidRDefault="00977AF4" w:rsidP="00977AF4">
            <w:pPr>
              <w:pStyle w:val="SCCLsocParty"/>
              <w:jc w:val="left"/>
              <w:rPr>
                <w:b/>
                <w:sz w:val="20"/>
                <w:szCs w:val="20"/>
              </w:rPr>
            </w:pPr>
            <w:r w:rsidRPr="009D44AB">
              <w:rPr>
                <w:b/>
                <w:sz w:val="20"/>
                <w:szCs w:val="20"/>
              </w:rPr>
              <w:t>Alliance de la Fonction publique du Canada</w:t>
            </w:r>
          </w:p>
          <w:p w:rsidR="00977AF4" w:rsidRPr="009D44AB" w:rsidRDefault="00977AF4">
            <w:pPr>
              <w:rPr>
                <w:sz w:val="20"/>
              </w:rPr>
            </w:pPr>
            <w:r w:rsidRPr="009D44AB">
              <w:rPr>
                <w:sz w:val="20"/>
              </w:rPr>
              <w:t>(Qc) (</w:t>
            </w:r>
            <w:proofErr w:type="spellStart"/>
            <w:r w:rsidRPr="009D44AB">
              <w:rPr>
                <w:sz w:val="20"/>
              </w:rPr>
              <w:t>Civile</w:t>
            </w:r>
            <w:proofErr w:type="spellEnd"/>
            <w:r w:rsidRPr="009D44AB">
              <w:rPr>
                <w:sz w:val="20"/>
              </w:rPr>
              <w:t>) (</w:t>
            </w:r>
            <w:proofErr w:type="spellStart"/>
            <w:r w:rsidRPr="009D44AB">
              <w:rPr>
                <w:sz w:val="20"/>
              </w:rPr>
              <w:t>Autorisation</w:t>
            </w:r>
            <w:proofErr w:type="spellEnd"/>
            <w:r w:rsidRPr="009D44AB">
              <w:rPr>
                <w:sz w:val="20"/>
              </w:rPr>
              <w:t>)</w:t>
            </w:r>
          </w:p>
        </w:tc>
      </w:tr>
      <w:tr w:rsidR="00977AF4" w:rsidRPr="00EC12BA" w:rsidTr="00E95A6A">
        <w:tc>
          <w:tcPr>
            <w:tcW w:w="5000" w:type="pct"/>
            <w:gridSpan w:val="4"/>
          </w:tcPr>
          <w:p w:rsidR="00977AF4" w:rsidRPr="009D44AB" w:rsidRDefault="00977AF4" w:rsidP="00C01DCD">
            <w:pPr>
              <w:rPr>
                <w:sz w:val="20"/>
                <w:lang w:val="fr-CA"/>
              </w:rPr>
            </w:pPr>
            <w:r w:rsidRPr="009D44AB">
              <w:rPr>
                <w:i/>
                <w:sz w:val="20"/>
                <w:lang w:val="fr-CA"/>
              </w:rPr>
              <w:t>Charte des droits</w:t>
            </w:r>
            <w:r w:rsidRPr="009D44AB">
              <w:rPr>
                <w:sz w:val="20"/>
                <w:lang w:val="fr-CA"/>
              </w:rPr>
              <w:t xml:space="preserve"> — Liberté d’association — Limites raisonnables — Atteinte minimale — Régime de négociation collective dans la fonction publique du Canada — Syndicat des agents correctionnels du Canada souhaite négocier les sujets de pension et de dotation pour ses membres — Négociation collective n’est pas permise pour ces questions en vertu du régime législatif applicable — Syndicat conteste cette interdiction sur le plan constitutionnel au motif qu’elle viole la liberté d’association de ses membres — Si la liberté d’association est enfreinte par l’interdiction de négocier collectivement les sujets de pension et de dotation, cette violation est</w:t>
            </w:r>
            <w:r w:rsidRPr="009D44AB">
              <w:rPr>
                <w:sz w:val="20"/>
                <w:lang w:val="fr-CA"/>
              </w:rPr>
              <w:noBreakHyphen/>
              <w:t xml:space="preserve">elle justifiée en vertu de l’article premier de la </w:t>
            </w:r>
            <w:r w:rsidRPr="009D44AB">
              <w:rPr>
                <w:i/>
                <w:sz w:val="20"/>
                <w:lang w:val="fr-CA"/>
              </w:rPr>
              <w:t>Charte canadienne des droits et libertés</w:t>
            </w:r>
            <w:r w:rsidRPr="009D44AB">
              <w:rPr>
                <w:sz w:val="20"/>
                <w:lang w:val="fr-CA"/>
              </w:rPr>
              <w:t xml:space="preserve">? — </w:t>
            </w:r>
            <w:r w:rsidRPr="009D44AB">
              <w:rPr>
                <w:i/>
                <w:sz w:val="20"/>
                <w:lang w:val="fr-CA"/>
              </w:rPr>
              <w:t>Loi sur les relations de travail dans le secteur public fédéral</w:t>
            </w:r>
            <w:r w:rsidRPr="009D44AB">
              <w:rPr>
                <w:sz w:val="20"/>
                <w:lang w:val="fr-CA"/>
              </w:rPr>
              <w:t>, L.C. 2003, ch. 2, art. 2, al. 113b).</w:t>
            </w:r>
          </w:p>
        </w:tc>
      </w:tr>
      <w:tr w:rsidR="00977AF4" w:rsidRPr="00EC12BA" w:rsidTr="00E95A6A">
        <w:tc>
          <w:tcPr>
            <w:tcW w:w="5000" w:type="pct"/>
            <w:gridSpan w:val="4"/>
          </w:tcPr>
          <w:p w:rsidR="00977AF4" w:rsidRPr="009D44AB" w:rsidRDefault="00977AF4" w:rsidP="00C01DCD">
            <w:pPr>
              <w:rPr>
                <w:sz w:val="20"/>
                <w:lang w:val="fr-CA"/>
              </w:rPr>
            </w:pPr>
          </w:p>
        </w:tc>
      </w:tr>
      <w:tr w:rsidR="00977AF4" w:rsidRPr="00EC12BA" w:rsidTr="00E95A6A">
        <w:tc>
          <w:tcPr>
            <w:tcW w:w="5000" w:type="pct"/>
            <w:gridSpan w:val="4"/>
          </w:tcPr>
          <w:p w:rsidR="00977AF4" w:rsidRPr="009D44AB" w:rsidRDefault="00977AF4" w:rsidP="00C01DCD">
            <w:pPr>
              <w:rPr>
                <w:sz w:val="20"/>
                <w:lang w:val="fr-FR"/>
              </w:rPr>
            </w:pPr>
            <w:r w:rsidRPr="009D44AB">
              <w:rPr>
                <w:sz w:val="20"/>
                <w:lang w:val="fr-CA"/>
              </w:rPr>
              <w:t xml:space="preserve">Les demandeurs, le Union of Canadian </w:t>
            </w:r>
            <w:proofErr w:type="spellStart"/>
            <w:r w:rsidRPr="009D44AB">
              <w:rPr>
                <w:sz w:val="20"/>
                <w:lang w:val="fr-CA"/>
              </w:rPr>
              <w:t>Correctional</w:t>
            </w:r>
            <w:proofErr w:type="spellEnd"/>
            <w:r w:rsidRPr="009D44AB">
              <w:rPr>
                <w:sz w:val="20"/>
                <w:lang w:val="fr-CA"/>
              </w:rPr>
              <w:t xml:space="preserve"> </w:t>
            </w:r>
            <w:proofErr w:type="spellStart"/>
            <w:r w:rsidRPr="009D44AB">
              <w:rPr>
                <w:sz w:val="20"/>
                <w:lang w:val="fr-CA"/>
              </w:rPr>
              <w:t>Officers</w:t>
            </w:r>
            <w:proofErr w:type="spellEnd"/>
            <w:r w:rsidRPr="009D44AB">
              <w:rPr>
                <w:sz w:val="20"/>
                <w:lang w:val="fr-CA"/>
              </w:rPr>
              <w:t xml:space="preserve"> — Syndicat des agents correctionnels du Canada — CSN (UCCO</w:t>
            </w:r>
            <w:r w:rsidRPr="009D44AB">
              <w:rPr>
                <w:sz w:val="20"/>
                <w:lang w:val="fr-CA"/>
              </w:rPr>
              <w:noBreakHyphen/>
              <w:t>SACC</w:t>
            </w:r>
            <w:r w:rsidRPr="009D44AB">
              <w:rPr>
                <w:sz w:val="20"/>
                <w:lang w:val="fr-CA"/>
              </w:rPr>
              <w:noBreakHyphen/>
              <w:t xml:space="preserve">CSN), et Pierre Malette, un représentant régional du syndicat (collectivement, le « syndicat »), constituent depuis 2001 </w:t>
            </w:r>
            <w:r w:rsidRPr="009D44AB">
              <w:rPr>
                <w:sz w:val="20"/>
                <w:lang w:val="fr-FR"/>
              </w:rPr>
              <w:t xml:space="preserve">l’agent négociateur pour plus de 6 500 officiers correctionnels dans 58 établissements à travers le Canada. Les conditions de travail de ces officiers sont négociées avec le Conseil du Trésor du Canada, soit l’employeur </w:t>
            </w:r>
            <w:r w:rsidRPr="009D44AB">
              <w:rPr>
                <w:spacing w:val="-2"/>
                <w:sz w:val="20"/>
                <w:lang w:val="fr-FR"/>
              </w:rPr>
              <w:t>des agents des services correctionnels</w:t>
            </w:r>
            <w:r w:rsidRPr="009D44AB">
              <w:rPr>
                <w:sz w:val="20"/>
                <w:lang w:val="fr-FR"/>
              </w:rPr>
              <w:t xml:space="preserve">. À partir de 2002, les membres du syndicat expriment </w:t>
            </w:r>
            <w:r w:rsidRPr="009D44AB">
              <w:rPr>
                <w:spacing w:val="-2"/>
                <w:sz w:val="20"/>
                <w:lang w:val="fr-FR"/>
              </w:rPr>
              <w:t>leur volonté de négocier sur la dotation (notamment, l’attribution des postes), les horaires de travail, l’ancienneté, le régime de retraite et la santé et sécurité du travail. En raison du cadre législatif applicable, ni la dotation ni le régime de retraite ne peuvent faire l’objet de dispositions dans la convention collective. Le Conseil du Trésor s’en remet au cadre législatif applicable pour refuser toute négociation ayant trait à la dotation et au régime de retraite dans le cadre des négociations entourant les conventions collectives de 2006, 2010, et 2013.</w:t>
            </w:r>
            <w:r w:rsidRPr="009D44AB">
              <w:rPr>
                <w:sz w:val="20"/>
                <w:lang w:val="fr-FR"/>
              </w:rPr>
              <w:t xml:space="preserve"> Le syndicat met en cause la validité constitutionnelle du régime législatif applicable devant la Cour supérieure, parce qu’elle enfreint à son sens la liberté d’association de ses membres. La Cour supérieure donne raison à la demande du syndicat, et déclare l’interdiction de négocier collectivement les questions de pension et de dotation inconstitutionnelle. La Cour d’appel accepte la conclusion selon laquelle l’interdiction viole la liberté d’association des membres du syndicat, mais détermine que cette violation est justifiée suivant l’article premier de la </w:t>
            </w:r>
            <w:r w:rsidRPr="009D44AB">
              <w:rPr>
                <w:i/>
                <w:sz w:val="20"/>
                <w:lang w:val="fr-FR"/>
              </w:rPr>
              <w:t>Charte canadienne des droits et libertés</w:t>
            </w:r>
            <w:r w:rsidRPr="009D44AB">
              <w:rPr>
                <w:sz w:val="20"/>
                <w:lang w:val="fr-FR"/>
              </w:rPr>
              <w:t>.</w:t>
            </w:r>
          </w:p>
          <w:p w:rsidR="00977AF4" w:rsidRPr="009D44AB" w:rsidRDefault="00977AF4" w:rsidP="00C01DCD">
            <w:pPr>
              <w:rPr>
                <w:sz w:val="20"/>
                <w:lang w:val="fr-CA"/>
              </w:rPr>
            </w:pPr>
          </w:p>
        </w:tc>
      </w:tr>
      <w:tr w:rsidR="00977AF4" w:rsidRPr="00EC12BA" w:rsidTr="00E95A6A">
        <w:tc>
          <w:tcPr>
            <w:tcW w:w="2427" w:type="pct"/>
            <w:gridSpan w:val="2"/>
          </w:tcPr>
          <w:p w:rsidR="00977AF4" w:rsidRPr="009D44AB" w:rsidRDefault="00977AF4" w:rsidP="00D73AD9">
            <w:pPr>
              <w:rPr>
                <w:sz w:val="20"/>
                <w:lang w:val="fr-CA"/>
              </w:rPr>
            </w:pPr>
            <w:r w:rsidRPr="009D44AB">
              <w:rPr>
                <w:sz w:val="20"/>
                <w:lang w:val="fr-CA"/>
              </w:rPr>
              <w:t>Le 6 juin 2018</w:t>
            </w:r>
          </w:p>
          <w:p w:rsidR="00977AF4" w:rsidRPr="009D44AB" w:rsidRDefault="00977AF4" w:rsidP="00D73AD9">
            <w:pPr>
              <w:rPr>
                <w:sz w:val="20"/>
                <w:lang w:val="fr-CA"/>
              </w:rPr>
            </w:pPr>
            <w:r w:rsidRPr="009D44AB">
              <w:rPr>
                <w:sz w:val="20"/>
                <w:lang w:val="fr-CA"/>
              </w:rPr>
              <w:t>Cour supérieure du Québec</w:t>
            </w:r>
          </w:p>
          <w:p w:rsidR="00977AF4" w:rsidRPr="009D44AB" w:rsidRDefault="00977AF4" w:rsidP="00D73AD9">
            <w:pPr>
              <w:rPr>
                <w:sz w:val="20"/>
              </w:rPr>
            </w:pPr>
            <w:r w:rsidRPr="009D44AB">
              <w:rPr>
                <w:sz w:val="20"/>
              </w:rPr>
              <w:t xml:space="preserve">(le </w:t>
            </w:r>
            <w:proofErr w:type="spellStart"/>
            <w:r w:rsidRPr="009D44AB">
              <w:rPr>
                <w:sz w:val="20"/>
              </w:rPr>
              <w:t>juge</w:t>
            </w:r>
            <w:proofErr w:type="spellEnd"/>
            <w:r w:rsidRPr="009D44AB">
              <w:rPr>
                <w:sz w:val="20"/>
              </w:rPr>
              <w:t xml:space="preserve"> Davis)</w:t>
            </w:r>
          </w:p>
          <w:p w:rsidR="00977AF4" w:rsidRPr="009D44AB" w:rsidRDefault="00BB65F4" w:rsidP="00D73AD9">
            <w:pPr>
              <w:rPr>
                <w:sz w:val="20"/>
              </w:rPr>
            </w:pPr>
            <w:hyperlink r:id="rId28" w:history="1">
              <w:r w:rsidR="00977AF4" w:rsidRPr="009D44AB">
                <w:rPr>
                  <w:rStyle w:val="Hyperlink"/>
                  <w:sz w:val="20"/>
                </w:rPr>
                <w:t>2018 QCCS 2539</w:t>
              </w:r>
            </w:hyperlink>
            <w:r w:rsidR="00977AF4" w:rsidRPr="009D44AB">
              <w:rPr>
                <w:sz w:val="20"/>
              </w:rPr>
              <w:t xml:space="preserve"> </w:t>
            </w:r>
          </w:p>
        </w:tc>
        <w:tc>
          <w:tcPr>
            <w:tcW w:w="243" w:type="pct"/>
          </w:tcPr>
          <w:p w:rsidR="00977AF4" w:rsidRPr="009D44AB" w:rsidRDefault="00977AF4" w:rsidP="00F9479E">
            <w:pPr>
              <w:rPr>
                <w:sz w:val="20"/>
              </w:rPr>
            </w:pPr>
          </w:p>
        </w:tc>
        <w:tc>
          <w:tcPr>
            <w:tcW w:w="2330" w:type="pct"/>
          </w:tcPr>
          <w:p w:rsidR="00977AF4" w:rsidRPr="009D44AB" w:rsidRDefault="00977AF4" w:rsidP="006F4C2D">
            <w:pPr>
              <w:rPr>
                <w:sz w:val="20"/>
                <w:lang w:val="fr-FR"/>
              </w:rPr>
            </w:pPr>
            <w:r w:rsidRPr="009D44AB">
              <w:rPr>
                <w:spacing w:val="-2"/>
                <w:sz w:val="20"/>
                <w:lang w:val="fr-CA"/>
              </w:rPr>
              <w:t>R</w:t>
            </w:r>
            <w:proofErr w:type="spellStart"/>
            <w:r w:rsidRPr="009D44AB">
              <w:rPr>
                <w:spacing w:val="-2"/>
                <w:sz w:val="20"/>
                <w:lang w:val="fr-FR"/>
              </w:rPr>
              <w:t>equête</w:t>
            </w:r>
            <w:proofErr w:type="spellEnd"/>
            <w:r w:rsidRPr="009D44AB">
              <w:rPr>
                <w:spacing w:val="-2"/>
                <w:sz w:val="20"/>
                <w:lang w:val="fr-FR"/>
              </w:rPr>
              <w:t xml:space="preserve"> introductive d’instance en déclaration d’inconstitutionnalité et en nullité de l’alinéa 113b) de la </w:t>
            </w:r>
            <w:r w:rsidRPr="009D44AB">
              <w:rPr>
                <w:i/>
                <w:sz w:val="20"/>
                <w:lang w:val="fr-CA"/>
              </w:rPr>
              <w:t>Loi sur les relations de travail dans le secteur public fédéral</w:t>
            </w:r>
            <w:r w:rsidRPr="009D44AB">
              <w:rPr>
                <w:sz w:val="20"/>
                <w:lang w:val="fr-CA"/>
              </w:rPr>
              <w:t xml:space="preserve"> accueillie en partie; Alinéa 113b) de la </w:t>
            </w:r>
            <w:r w:rsidRPr="009D44AB">
              <w:rPr>
                <w:i/>
                <w:sz w:val="20"/>
                <w:lang w:val="fr-CA"/>
              </w:rPr>
              <w:t>Loi sur les relations de travail dans le secteur public fédéral</w:t>
            </w:r>
            <w:r w:rsidRPr="009D44AB">
              <w:rPr>
                <w:sz w:val="20"/>
                <w:lang w:val="fr-CA"/>
              </w:rPr>
              <w:t xml:space="preserve"> déclaré inconstitutionnel, nul et sans effet, et non justifié au sens de l’article 1 de la </w:t>
            </w:r>
            <w:r w:rsidRPr="009D44AB">
              <w:rPr>
                <w:i/>
                <w:sz w:val="20"/>
                <w:lang w:val="fr-CA"/>
              </w:rPr>
              <w:t>Charte canadienne des droits et libertés</w:t>
            </w:r>
            <w:r w:rsidRPr="009D44AB">
              <w:rPr>
                <w:sz w:val="20"/>
                <w:lang w:val="fr-CA"/>
              </w:rPr>
              <w:t xml:space="preserve"> (à l’exception de l’interdiction relativement à la négociation collective d’une condition d’emploi qui a été ou pourrait être établie sous le régime de la </w:t>
            </w:r>
            <w:r w:rsidRPr="009D44AB">
              <w:rPr>
                <w:i/>
                <w:sz w:val="20"/>
                <w:lang w:val="fr-CA"/>
              </w:rPr>
              <w:t>Loi sur l’indemnisation des agents de l’État</w:t>
            </w:r>
            <w:r w:rsidRPr="009D44AB">
              <w:rPr>
                <w:sz w:val="20"/>
                <w:lang w:val="fr-CA"/>
              </w:rPr>
              <w:t xml:space="preserve">); </w:t>
            </w:r>
            <w:r w:rsidRPr="009D44AB">
              <w:rPr>
                <w:sz w:val="20"/>
                <w:lang w:val="fr-FR"/>
              </w:rPr>
              <w:t>Déclaration d’invalidité constitutionnelle et effets du jugement suspendus pour une période de douze (12) mois</w:t>
            </w:r>
          </w:p>
          <w:p w:rsidR="00977AF4" w:rsidRPr="009D44AB" w:rsidRDefault="00977AF4" w:rsidP="006F4C2D">
            <w:pPr>
              <w:rPr>
                <w:sz w:val="20"/>
                <w:lang w:val="fr-FR"/>
              </w:rPr>
            </w:pPr>
          </w:p>
        </w:tc>
      </w:tr>
      <w:tr w:rsidR="00977AF4" w:rsidRPr="00EC12BA" w:rsidTr="00E95A6A">
        <w:tc>
          <w:tcPr>
            <w:tcW w:w="2427" w:type="pct"/>
            <w:gridSpan w:val="2"/>
          </w:tcPr>
          <w:p w:rsidR="00977AF4" w:rsidRPr="009D44AB" w:rsidRDefault="00977AF4" w:rsidP="00D73AD9">
            <w:pPr>
              <w:rPr>
                <w:sz w:val="20"/>
                <w:lang w:val="fr-CA"/>
              </w:rPr>
            </w:pPr>
            <w:r w:rsidRPr="009D44AB">
              <w:rPr>
                <w:sz w:val="20"/>
                <w:lang w:val="fr-CA"/>
              </w:rPr>
              <w:t>Le 5 juin 2019</w:t>
            </w:r>
          </w:p>
          <w:p w:rsidR="00977AF4" w:rsidRPr="009D44AB" w:rsidRDefault="00977AF4" w:rsidP="00D73AD9">
            <w:pPr>
              <w:rPr>
                <w:sz w:val="20"/>
                <w:lang w:val="fr-CA"/>
              </w:rPr>
            </w:pPr>
            <w:r w:rsidRPr="009D44AB">
              <w:rPr>
                <w:sz w:val="20"/>
                <w:lang w:val="fr-CA"/>
              </w:rPr>
              <w:t>Cour d’appel du Québec (Montréal)</w:t>
            </w:r>
          </w:p>
          <w:p w:rsidR="00977AF4" w:rsidRPr="009D44AB" w:rsidRDefault="00977AF4" w:rsidP="00D73AD9">
            <w:pPr>
              <w:rPr>
                <w:sz w:val="20"/>
                <w:lang w:val="fr-CA"/>
              </w:rPr>
            </w:pPr>
            <w:r w:rsidRPr="009D44AB">
              <w:rPr>
                <w:sz w:val="20"/>
                <w:lang w:val="fr-CA"/>
              </w:rPr>
              <w:t xml:space="preserve">(la juge en chef Duval </w:t>
            </w:r>
            <w:proofErr w:type="spellStart"/>
            <w:r w:rsidRPr="009D44AB">
              <w:rPr>
                <w:sz w:val="20"/>
                <w:lang w:val="fr-CA"/>
              </w:rPr>
              <w:t>Hesler</w:t>
            </w:r>
            <w:proofErr w:type="spellEnd"/>
            <w:r w:rsidRPr="009D44AB">
              <w:rPr>
                <w:sz w:val="20"/>
                <w:lang w:val="fr-CA"/>
              </w:rPr>
              <w:t xml:space="preserve"> et les juges Morissette et </w:t>
            </w:r>
            <w:proofErr w:type="spellStart"/>
            <w:r w:rsidRPr="009D44AB">
              <w:rPr>
                <w:sz w:val="20"/>
                <w:lang w:val="fr-CA"/>
              </w:rPr>
              <w:t>Hogue</w:t>
            </w:r>
            <w:proofErr w:type="spellEnd"/>
            <w:r w:rsidRPr="009D44AB">
              <w:rPr>
                <w:sz w:val="20"/>
                <w:lang w:val="fr-CA"/>
              </w:rPr>
              <w:t>)</w:t>
            </w:r>
          </w:p>
          <w:p w:rsidR="00977AF4" w:rsidRPr="009D44AB" w:rsidRDefault="00977AF4" w:rsidP="00D73AD9">
            <w:pPr>
              <w:rPr>
                <w:sz w:val="20"/>
              </w:rPr>
            </w:pPr>
            <w:r w:rsidRPr="009D44AB">
              <w:rPr>
                <w:sz w:val="20"/>
              </w:rPr>
              <w:t>No. dossier 500-09-027667-187</w:t>
            </w:r>
          </w:p>
          <w:p w:rsidR="00977AF4" w:rsidRPr="009D44AB" w:rsidRDefault="00BB65F4" w:rsidP="00087E1F">
            <w:pPr>
              <w:rPr>
                <w:sz w:val="20"/>
              </w:rPr>
            </w:pPr>
            <w:hyperlink r:id="rId29" w:history="1">
              <w:r w:rsidR="00977AF4" w:rsidRPr="009D44AB">
                <w:rPr>
                  <w:rStyle w:val="Hyperlink"/>
                  <w:sz w:val="20"/>
                </w:rPr>
                <w:t>2019 QCCA 979</w:t>
              </w:r>
            </w:hyperlink>
          </w:p>
        </w:tc>
        <w:tc>
          <w:tcPr>
            <w:tcW w:w="243" w:type="pct"/>
          </w:tcPr>
          <w:p w:rsidR="00977AF4" w:rsidRPr="009D44AB" w:rsidRDefault="00977AF4" w:rsidP="00F9479E">
            <w:pPr>
              <w:rPr>
                <w:sz w:val="20"/>
              </w:rPr>
            </w:pPr>
          </w:p>
        </w:tc>
        <w:tc>
          <w:tcPr>
            <w:tcW w:w="2330" w:type="pct"/>
          </w:tcPr>
          <w:p w:rsidR="00977AF4" w:rsidRPr="009D44AB" w:rsidRDefault="00977AF4" w:rsidP="006F4C2D">
            <w:pPr>
              <w:rPr>
                <w:i/>
                <w:sz w:val="20"/>
                <w:lang w:val="fr-CA"/>
              </w:rPr>
            </w:pPr>
            <w:r w:rsidRPr="009D44AB">
              <w:rPr>
                <w:sz w:val="20"/>
                <w:lang w:val="fr-CA"/>
              </w:rPr>
              <w:t xml:space="preserve">Appel accueilli; Jugement de première instance infirmé; Atteinte à la liberté d’association découlant de l’alinéa 113b) de la </w:t>
            </w:r>
            <w:r w:rsidRPr="009D44AB">
              <w:rPr>
                <w:i/>
                <w:sz w:val="20"/>
                <w:lang w:val="fr-CA"/>
              </w:rPr>
              <w:t>Loi sur les relations de travail dans le secteur public fédéral</w:t>
            </w:r>
            <w:r w:rsidRPr="009D44AB">
              <w:rPr>
                <w:sz w:val="20"/>
                <w:lang w:val="fr-CA"/>
              </w:rPr>
              <w:t xml:space="preserve"> déclarée justifiée en vertu de l’article premier de la </w:t>
            </w:r>
            <w:r w:rsidRPr="009D44AB">
              <w:rPr>
                <w:i/>
                <w:sz w:val="20"/>
                <w:lang w:val="fr-CA"/>
              </w:rPr>
              <w:t>Charte canadienne des droits et libertés</w:t>
            </w:r>
          </w:p>
          <w:p w:rsidR="00977AF4" w:rsidRPr="009D44AB" w:rsidRDefault="00977AF4" w:rsidP="006F4C2D">
            <w:pPr>
              <w:rPr>
                <w:sz w:val="20"/>
                <w:lang w:val="fr-CA"/>
              </w:rPr>
            </w:pPr>
          </w:p>
        </w:tc>
      </w:tr>
      <w:tr w:rsidR="00977AF4" w:rsidRPr="009D44AB" w:rsidTr="00E95A6A">
        <w:tc>
          <w:tcPr>
            <w:tcW w:w="2427" w:type="pct"/>
            <w:gridSpan w:val="2"/>
          </w:tcPr>
          <w:p w:rsidR="00977AF4" w:rsidRPr="009D44AB" w:rsidRDefault="00977AF4">
            <w:pPr>
              <w:rPr>
                <w:sz w:val="20"/>
                <w:lang w:val="fr-CA"/>
              </w:rPr>
            </w:pPr>
            <w:r w:rsidRPr="009D44AB">
              <w:rPr>
                <w:sz w:val="20"/>
                <w:lang w:val="fr-CA"/>
              </w:rPr>
              <w:t>Le 23 août 2019</w:t>
            </w:r>
          </w:p>
          <w:p w:rsidR="00977AF4" w:rsidRPr="009D44AB" w:rsidRDefault="00977AF4">
            <w:pPr>
              <w:rPr>
                <w:sz w:val="20"/>
                <w:lang w:val="fr-CA"/>
              </w:rPr>
            </w:pPr>
            <w:r w:rsidRPr="009D44AB">
              <w:rPr>
                <w:sz w:val="20"/>
                <w:lang w:val="fr-CA"/>
              </w:rPr>
              <w:t>Cour suprême du Canada</w:t>
            </w:r>
          </w:p>
          <w:p w:rsidR="00977AF4" w:rsidRPr="009D44AB" w:rsidRDefault="00977AF4">
            <w:pPr>
              <w:rPr>
                <w:sz w:val="20"/>
                <w:lang w:val="fr-CA"/>
              </w:rPr>
            </w:pPr>
          </w:p>
          <w:p w:rsidR="00977AF4" w:rsidRPr="009D44AB" w:rsidRDefault="00977AF4" w:rsidP="00087E1F">
            <w:pPr>
              <w:rPr>
                <w:sz w:val="20"/>
                <w:lang w:val="fr-CA"/>
              </w:rPr>
            </w:pPr>
          </w:p>
        </w:tc>
        <w:tc>
          <w:tcPr>
            <w:tcW w:w="243" w:type="pct"/>
          </w:tcPr>
          <w:p w:rsidR="00977AF4" w:rsidRPr="009D44AB" w:rsidRDefault="00977AF4" w:rsidP="00F9479E">
            <w:pPr>
              <w:rPr>
                <w:sz w:val="20"/>
                <w:lang w:val="fr-CA"/>
              </w:rPr>
            </w:pPr>
          </w:p>
        </w:tc>
        <w:tc>
          <w:tcPr>
            <w:tcW w:w="2330" w:type="pct"/>
          </w:tcPr>
          <w:p w:rsidR="00977AF4" w:rsidRPr="009D44AB" w:rsidRDefault="00977AF4">
            <w:pPr>
              <w:rPr>
                <w:sz w:val="20"/>
              </w:rPr>
            </w:pPr>
            <w:proofErr w:type="spellStart"/>
            <w:r w:rsidRPr="009D44AB">
              <w:rPr>
                <w:sz w:val="20"/>
              </w:rPr>
              <w:t>Demande</w:t>
            </w:r>
            <w:proofErr w:type="spellEnd"/>
            <w:r w:rsidRPr="009D44AB">
              <w:rPr>
                <w:sz w:val="20"/>
              </w:rPr>
              <w:t xml:space="preserve"> </w:t>
            </w:r>
            <w:proofErr w:type="spellStart"/>
            <w:r w:rsidRPr="009D44AB">
              <w:rPr>
                <w:sz w:val="20"/>
              </w:rPr>
              <w:t>d’autorisation</w:t>
            </w:r>
            <w:proofErr w:type="spellEnd"/>
            <w:r w:rsidRPr="009D44AB">
              <w:rPr>
                <w:sz w:val="20"/>
              </w:rPr>
              <w:t xml:space="preserve"> </w:t>
            </w:r>
            <w:proofErr w:type="spellStart"/>
            <w:r w:rsidRPr="009D44AB">
              <w:rPr>
                <w:sz w:val="20"/>
              </w:rPr>
              <w:t>d’appel</w:t>
            </w:r>
            <w:proofErr w:type="spellEnd"/>
            <w:r w:rsidRPr="009D44AB">
              <w:rPr>
                <w:sz w:val="20"/>
              </w:rPr>
              <w:t xml:space="preserve"> </w:t>
            </w:r>
            <w:proofErr w:type="spellStart"/>
            <w:r w:rsidRPr="009D44AB">
              <w:rPr>
                <w:sz w:val="20"/>
              </w:rPr>
              <w:t>déposée</w:t>
            </w:r>
            <w:proofErr w:type="spellEnd"/>
          </w:p>
          <w:p w:rsidR="00977AF4" w:rsidRPr="009D44AB" w:rsidRDefault="00977AF4" w:rsidP="006F4C2D">
            <w:pPr>
              <w:rPr>
                <w:sz w:val="20"/>
              </w:rPr>
            </w:pPr>
          </w:p>
        </w:tc>
      </w:tr>
    </w:tbl>
    <w:p w:rsidR="00977AF4" w:rsidRDefault="00BB65F4" w:rsidP="00221618">
      <w:pPr>
        <w:rPr>
          <w:sz w:val="20"/>
        </w:rPr>
      </w:pPr>
      <w:r>
        <w:rPr>
          <w:sz w:val="20"/>
        </w:rPr>
        <w:pict>
          <v:rect id="_x0000_i1034" style="width:2in;height:1pt" o:hrpct="0" o:hralign="center" o:hrstd="t" o:hrnoshade="t" o:hr="t" fillcolor="black [3213]" stroked="f"/>
        </w:pict>
      </w:r>
    </w:p>
    <w:p w:rsidR="005E56E4" w:rsidRPr="009D44AB" w:rsidRDefault="005E56E4" w:rsidP="00221618">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56E4" w:rsidRPr="009D44AB" w:rsidTr="00C1251F">
        <w:tc>
          <w:tcPr>
            <w:tcW w:w="543" w:type="pct"/>
          </w:tcPr>
          <w:p w:rsidR="005E56E4" w:rsidRPr="009D44AB" w:rsidRDefault="005E56E4" w:rsidP="00C1251F">
            <w:pPr>
              <w:rPr>
                <w:sz w:val="20"/>
              </w:rPr>
            </w:pPr>
            <w:r w:rsidRPr="009D44AB">
              <w:rPr>
                <w:rStyle w:val="SCCFileNumberChar"/>
                <w:sz w:val="20"/>
                <w:szCs w:val="20"/>
              </w:rPr>
              <w:t>38835</w:t>
            </w:r>
          </w:p>
        </w:tc>
        <w:tc>
          <w:tcPr>
            <w:tcW w:w="4457" w:type="pct"/>
            <w:gridSpan w:val="3"/>
          </w:tcPr>
          <w:p w:rsidR="005E56E4" w:rsidRPr="009D44AB" w:rsidRDefault="005E56E4" w:rsidP="00C1251F">
            <w:pPr>
              <w:pStyle w:val="SCCLsocParty"/>
              <w:jc w:val="left"/>
              <w:rPr>
                <w:b/>
                <w:sz w:val="20"/>
                <w:szCs w:val="20"/>
                <w:lang w:val="en-US"/>
              </w:rPr>
            </w:pPr>
            <w:r w:rsidRPr="009D44AB">
              <w:rPr>
                <w:b/>
                <w:sz w:val="20"/>
                <w:szCs w:val="20"/>
                <w:lang w:val="en-US"/>
              </w:rPr>
              <w:t>The City of Medicine Hat v. Condo Corporation No. 0410106 (“River Ridge”), Condo Corporation No. 0113543 (“Garden Homes”), Condo Corporation No. 0810338 (“</w:t>
            </w:r>
            <w:proofErr w:type="spellStart"/>
            <w:r w:rsidRPr="009D44AB">
              <w:rPr>
                <w:b/>
                <w:sz w:val="20"/>
                <w:szCs w:val="20"/>
                <w:lang w:val="en-US"/>
              </w:rPr>
              <w:t>Riverstone</w:t>
            </w:r>
            <w:proofErr w:type="spellEnd"/>
            <w:r w:rsidRPr="009D44AB">
              <w:rPr>
                <w:b/>
                <w:sz w:val="20"/>
                <w:szCs w:val="20"/>
                <w:lang w:val="en-US"/>
              </w:rPr>
              <w:t>”)</w:t>
            </w:r>
          </w:p>
          <w:p w:rsidR="005E56E4" w:rsidRPr="009D44AB" w:rsidRDefault="005E56E4" w:rsidP="00C1251F">
            <w:pPr>
              <w:rPr>
                <w:sz w:val="20"/>
              </w:rPr>
            </w:pPr>
            <w:r w:rsidRPr="009D44AB">
              <w:rPr>
                <w:sz w:val="20"/>
              </w:rPr>
              <w:t>(Alta.) (Civil) (By Leave)</w:t>
            </w:r>
          </w:p>
        </w:tc>
      </w:tr>
      <w:tr w:rsidR="005E56E4" w:rsidRPr="009D44AB" w:rsidTr="00C1251F">
        <w:tc>
          <w:tcPr>
            <w:tcW w:w="5000" w:type="pct"/>
            <w:gridSpan w:val="4"/>
          </w:tcPr>
          <w:p w:rsidR="005E56E4" w:rsidRPr="009D44AB" w:rsidRDefault="005E56E4" w:rsidP="00C1251F">
            <w:pPr>
              <w:rPr>
                <w:sz w:val="20"/>
              </w:rPr>
            </w:pPr>
            <w:r w:rsidRPr="009D44AB">
              <w:rPr>
                <w:sz w:val="20"/>
              </w:rPr>
              <w:t>Municipal law — Public Utilities — Whether a Court can impose on a municipality a duty to operate and maintain privately owned infrastructure, particularly when a previous owner of the infrastructure had expressly agreed with the City that the developer would retain ownership, and responsibilities of operation and maintenance — Does a Court usurp the role of the Legislature when imposing a duty on a municipality to operate and maintain privately owned infrastructure in the face of legislatively authorized agreement whereby the parties are entitled to delineate ownership and ownership responsibilities, and the statute creates duties of operation, maintenance, repair and replacement based upon location and not function?</w:t>
            </w:r>
          </w:p>
          <w:p w:rsidR="005E56E4" w:rsidRPr="009D44AB" w:rsidRDefault="005E56E4" w:rsidP="00C1251F">
            <w:pPr>
              <w:rPr>
                <w:sz w:val="20"/>
                <w:lang w:val="en"/>
              </w:rPr>
            </w:pPr>
          </w:p>
        </w:tc>
      </w:tr>
      <w:tr w:rsidR="005E56E4" w:rsidRPr="009D44AB" w:rsidTr="00C1251F">
        <w:tc>
          <w:tcPr>
            <w:tcW w:w="5000" w:type="pct"/>
            <w:gridSpan w:val="4"/>
          </w:tcPr>
          <w:p w:rsidR="005E56E4" w:rsidRPr="009D44AB" w:rsidRDefault="005E56E4" w:rsidP="00C1251F">
            <w:pPr>
              <w:rPr>
                <w:sz w:val="20"/>
                <w:lang w:val="en"/>
              </w:rPr>
            </w:pPr>
            <w:r w:rsidRPr="009D44AB">
              <w:rPr>
                <w:sz w:val="20"/>
                <w:lang w:val="en"/>
              </w:rPr>
              <w:t xml:space="preserve">The respondent Condo Corps applied by way of Originating Application for a declaration that the applicant City has a statutory duty to operate and maintain public utility services. They also sought an order of </w:t>
            </w:r>
            <w:r w:rsidRPr="009D44AB">
              <w:rPr>
                <w:i/>
                <w:iCs/>
                <w:sz w:val="20"/>
                <w:lang w:val="en"/>
              </w:rPr>
              <w:t>mandamus</w:t>
            </w:r>
            <w:r w:rsidRPr="009D44AB">
              <w:rPr>
                <w:sz w:val="20"/>
                <w:lang w:val="en"/>
              </w:rPr>
              <w:t xml:space="preserve"> directing the City to take responsibility for “all main and distribution lines for water, sanitary sewer and storm drains,” to proceed to construct a replacement lift station and to maintain the existing lift station until it is decommissioned, and to reimburse the Condo Corps for all costs and expenses. The chambers judge refused to declare that the City has a duty to operate and maintain those utility services, and dismissed the Condo Corps’ application for an order of </w:t>
            </w:r>
            <w:r w:rsidRPr="009D44AB">
              <w:rPr>
                <w:i/>
                <w:iCs/>
                <w:sz w:val="20"/>
                <w:lang w:val="en"/>
              </w:rPr>
              <w:t>mandamus</w:t>
            </w:r>
            <w:r w:rsidRPr="009D44AB">
              <w:rPr>
                <w:sz w:val="20"/>
                <w:lang w:val="en"/>
              </w:rPr>
              <w:t xml:space="preserve"> against the City.</w:t>
            </w:r>
            <w:r w:rsidRPr="009D44AB">
              <w:rPr>
                <w:sz w:val="20"/>
              </w:rPr>
              <w:t xml:space="preserve"> The appeal was allowed by the Court of Appeal.</w:t>
            </w:r>
          </w:p>
        </w:tc>
      </w:tr>
      <w:tr w:rsidR="005E56E4" w:rsidRPr="009D44AB" w:rsidTr="00C1251F">
        <w:tc>
          <w:tcPr>
            <w:tcW w:w="5000" w:type="pct"/>
            <w:gridSpan w:val="4"/>
          </w:tcPr>
          <w:p w:rsidR="005E56E4" w:rsidRPr="009D44AB" w:rsidRDefault="005E56E4" w:rsidP="00C1251F">
            <w:pPr>
              <w:rPr>
                <w:sz w:val="20"/>
              </w:rPr>
            </w:pPr>
          </w:p>
        </w:tc>
      </w:tr>
      <w:tr w:rsidR="005E56E4" w:rsidRPr="009D44AB" w:rsidTr="00C1251F">
        <w:tc>
          <w:tcPr>
            <w:tcW w:w="2427" w:type="pct"/>
            <w:gridSpan w:val="2"/>
          </w:tcPr>
          <w:p w:rsidR="005E56E4" w:rsidRPr="009D44AB" w:rsidRDefault="005E56E4" w:rsidP="00C1251F">
            <w:pPr>
              <w:rPr>
                <w:sz w:val="20"/>
              </w:rPr>
            </w:pPr>
            <w:r w:rsidRPr="009D44AB">
              <w:rPr>
                <w:sz w:val="20"/>
              </w:rPr>
              <w:t>November 24, 2017</w:t>
            </w:r>
          </w:p>
          <w:p w:rsidR="005E56E4" w:rsidRPr="009D44AB" w:rsidRDefault="005E56E4" w:rsidP="00C1251F">
            <w:pPr>
              <w:rPr>
                <w:sz w:val="20"/>
              </w:rPr>
            </w:pPr>
            <w:r w:rsidRPr="009D44AB">
              <w:rPr>
                <w:sz w:val="20"/>
              </w:rPr>
              <w:t>Court of Queen’s Bench of Alberta</w:t>
            </w:r>
          </w:p>
          <w:p w:rsidR="005E56E4" w:rsidRPr="009D44AB" w:rsidRDefault="005E56E4" w:rsidP="00C1251F">
            <w:pPr>
              <w:rPr>
                <w:sz w:val="20"/>
              </w:rPr>
            </w:pPr>
            <w:r w:rsidRPr="009D44AB">
              <w:rPr>
                <w:sz w:val="20"/>
              </w:rPr>
              <w:t>(Marriott J.)</w:t>
            </w:r>
          </w:p>
          <w:p w:rsidR="005E56E4" w:rsidRPr="009D44AB" w:rsidRDefault="005E56E4" w:rsidP="00C1251F">
            <w:pPr>
              <w:rPr>
                <w:sz w:val="20"/>
              </w:rPr>
            </w:pPr>
            <w:r w:rsidRPr="009D44AB">
              <w:rPr>
                <w:sz w:val="20"/>
              </w:rPr>
              <w:t>(unreported)</w:t>
            </w:r>
          </w:p>
          <w:p w:rsidR="005E56E4" w:rsidRPr="009D44AB" w:rsidRDefault="005E56E4" w:rsidP="00C1251F">
            <w:pPr>
              <w:rPr>
                <w:sz w:val="20"/>
              </w:rPr>
            </w:pPr>
          </w:p>
        </w:tc>
        <w:tc>
          <w:tcPr>
            <w:tcW w:w="243" w:type="pct"/>
          </w:tcPr>
          <w:p w:rsidR="005E56E4" w:rsidRPr="009D44AB" w:rsidRDefault="005E56E4" w:rsidP="00C1251F">
            <w:pPr>
              <w:rPr>
                <w:sz w:val="20"/>
              </w:rPr>
            </w:pPr>
          </w:p>
        </w:tc>
        <w:tc>
          <w:tcPr>
            <w:tcW w:w="2330" w:type="pct"/>
          </w:tcPr>
          <w:p w:rsidR="005E56E4" w:rsidRPr="009D44AB" w:rsidRDefault="005E56E4" w:rsidP="00C1251F">
            <w:pPr>
              <w:rPr>
                <w:sz w:val="20"/>
              </w:rPr>
            </w:pPr>
            <w:r w:rsidRPr="009D44AB">
              <w:rPr>
                <w:sz w:val="20"/>
              </w:rPr>
              <w:t>Respondents’ application dismissed with costs</w:t>
            </w:r>
          </w:p>
          <w:p w:rsidR="005E56E4" w:rsidRPr="009D44AB" w:rsidRDefault="005E56E4" w:rsidP="00C1251F">
            <w:pPr>
              <w:rPr>
                <w:sz w:val="20"/>
              </w:rPr>
            </w:pPr>
          </w:p>
        </w:tc>
      </w:tr>
      <w:tr w:rsidR="005E56E4" w:rsidRPr="009D44AB" w:rsidTr="00C1251F">
        <w:tc>
          <w:tcPr>
            <w:tcW w:w="2427" w:type="pct"/>
            <w:gridSpan w:val="2"/>
          </w:tcPr>
          <w:p w:rsidR="005E56E4" w:rsidRPr="009D44AB" w:rsidRDefault="005E56E4" w:rsidP="00C1251F">
            <w:pPr>
              <w:rPr>
                <w:sz w:val="20"/>
              </w:rPr>
            </w:pPr>
            <w:r w:rsidRPr="009D44AB">
              <w:rPr>
                <w:sz w:val="20"/>
              </w:rPr>
              <w:t>August 1, 2019</w:t>
            </w:r>
          </w:p>
          <w:p w:rsidR="005E56E4" w:rsidRPr="009D44AB" w:rsidRDefault="005E56E4" w:rsidP="00C1251F">
            <w:pPr>
              <w:rPr>
                <w:sz w:val="20"/>
              </w:rPr>
            </w:pPr>
            <w:r w:rsidRPr="009D44AB">
              <w:rPr>
                <w:sz w:val="20"/>
              </w:rPr>
              <w:t>Court of Appeal of Alberta (Calgary)</w:t>
            </w:r>
          </w:p>
          <w:p w:rsidR="005E56E4" w:rsidRPr="009D44AB" w:rsidRDefault="005E56E4" w:rsidP="00C1251F">
            <w:pPr>
              <w:rPr>
                <w:sz w:val="20"/>
              </w:rPr>
            </w:pPr>
            <w:r w:rsidRPr="009D44AB">
              <w:rPr>
                <w:sz w:val="20"/>
              </w:rPr>
              <w:t>(</w:t>
            </w:r>
            <w:proofErr w:type="spellStart"/>
            <w:r w:rsidRPr="009D44AB">
              <w:rPr>
                <w:sz w:val="20"/>
              </w:rPr>
              <w:t>O’Ferrall</w:t>
            </w:r>
            <w:proofErr w:type="spellEnd"/>
            <w:r w:rsidRPr="009D44AB">
              <w:rPr>
                <w:sz w:val="20"/>
              </w:rPr>
              <w:t xml:space="preserve">, Schutz, </w:t>
            </w:r>
            <w:proofErr w:type="spellStart"/>
            <w:r w:rsidRPr="009D44AB">
              <w:rPr>
                <w:sz w:val="20"/>
              </w:rPr>
              <w:t>Strekaf</w:t>
            </w:r>
            <w:proofErr w:type="spellEnd"/>
            <w:r w:rsidRPr="009D44AB">
              <w:rPr>
                <w:sz w:val="20"/>
              </w:rPr>
              <w:t xml:space="preserve"> JJ.A.)</w:t>
            </w:r>
          </w:p>
          <w:p w:rsidR="005E56E4" w:rsidRPr="009D44AB" w:rsidRDefault="005E56E4" w:rsidP="00C1251F">
            <w:pPr>
              <w:rPr>
                <w:sz w:val="20"/>
              </w:rPr>
            </w:pPr>
            <w:hyperlink r:id="rId30" w:history="1">
              <w:r w:rsidRPr="009D44AB">
                <w:rPr>
                  <w:rStyle w:val="Hyperlink"/>
                  <w:sz w:val="20"/>
                </w:rPr>
                <w:t>2019 ABCA 294</w:t>
              </w:r>
            </w:hyperlink>
            <w:r w:rsidRPr="009D44AB">
              <w:rPr>
                <w:sz w:val="20"/>
              </w:rPr>
              <w:t xml:space="preserve"> </w:t>
            </w:r>
          </w:p>
          <w:p w:rsidR="005E56E4" w:rsidRPr="009D44AB" w:rsidRDefault="005E56E4" w:rsidP="00C1251F">
            <w:pPr>
              <w:rPr>
                <w:sz w:val="20"/>
              </w:rPr>
            </w:pPr>
            <w:r w:rsidRPr="009D44AB">
              <w:rPr>
                <w:sz w:val="20"/>
              </w:rPr>
              <w:t>1701</w:t>
            </w:r>
            <w:r w:rsidRPr="009D44AB">
              <w:rPr>
                <w:sz w:val="20"/>
              </w:rPr>
              <w:noBreakHyphen/>
              <w:t>0355</w:t>
            </w:r>
            <w:r w:rsidRPr="009D44AB">
              <w:rPr>
                <w:sz w:val="20"/>
              </w:rPr>
              <w:noBreakHyphen/>
              <w:t>AC</w:t>
            </w:r>
          </w:p>
          <w:p w:rsidR="005E56E4" w:rsidRPr="009D44AB" w:rsidRDefault="005E56E4" w:rsidP="00C1251F">
            <w:pPr>
              <w:rPr>
                <w:sz w:val="20"/>
              </w:rPr>
            </w:pPr>
          </w:p>
        </w:tc>
        <w:tc>
          <w:tcPr>
            <w:tcW w:w="243" w:type="pct"/>
          </w:tcPr>
          <w:p w:rsidR="005E56E4" w:rsidRPr="009D44AB" w:rsidRDefault="005E56E4" w:rsidP="00C1251F">
            <w:pPr>
              <w:rPr>
                <w:sz w:val="20"/>
              </w:rPr>
            </w:pPr>
          </w:p>
        </w:tc>
        <w:tc>
          <w:tcPr>
            <w:tcW w:w="2330" w:type="pct"/>
          </w:tcPr>
          <w:p w:rsidR="005E56E4" w:rsidRPr="009D44AB" w:rsidRDefault="005E56E4" w:rsidP="00C1251F">
            <w:pPr>
              <w:rPr>
                <w:sz w:val="20"/>
              </w:rPr>
            </w:pPr>
            <w:r w:rsidRPr="009D44AB">
              <w:rPr>
                <w:sz w:val="20"/>
              </w:rPr>
              <w:t xml:space="preserve">Appeal allowed: declaration ordered that the </w:t>
            </w:r>
            <w:r w:rsidRPr="009D44AB">
              <w:rPr>
                <w:sz w:val="20"/>
                <w:lang w:val="en"/>
              </w:rPr>
              <w:t xml:space="preserve">applicant has a statutory duty to operate and maintain the water and sewer services </w:t>
            </w:r>
          </w:p>
          <w:p w:rsidR="005E56E4" w:rsidRPr="009D44AB" w:rsidRDefault="005E56E4" w:rsidP="00C1251F">
            <w:pPr>
              <w:rPr>
                <w:sz w:val="20"/>
              </w:rPr>
            </w:pPr>
          </w:p>
        </w:tc>
      </w:tr>
      <w:tr w:rsidR="005E56E4" w:rsidRPr="009D44AB" w:rsidTr="00C1251F">
        <w:tc>
          <w:tcPr>
            <w:tcW w:w="2427" w:type="pct"/>
            <w:gridSpan w:val="2"/>
          </w:tcPr>
          <w:p w:rsidR="005E56E4" w:rsidRPr="009D44AB" w:rsidRDefault="005E56E4" w:rsidP="00C1251F">
            <w:pPr>
              <w:rPr>
                <w:sz w:val="20"/>
              </w:rPr>
            </w:pPr>
            <w:r w:rsidRPr="009D44AB">
              <w:rPr>
                <w:sz w:val="20"/>
              </w:rPr>
              <w:t>September 30, 2019</w:t>
            </w:r>
          </w:p>
          <w:p w:rsidR="005E56E4" w:rsidRPr="009D44AB" w:rsidRDefault="005E56E4" w:rsidP="00C1251F">
            <w:pPr>
              <w:rPr>
                <w:sz w:val="20"/>
              </w:rPr>
            </w:pPr>
            <w:r w:rsidRPr="009D44AB">
              <w:rPr>
                <w:sz w:val="20"/>
              </w:rPr>
              <w:t>Supreme Court of Canada</w:t>
            </w:r>
          </w:p>
        </w:tc>
        <w:tc>
          <w:tcPr>
            <w:tcW w:w="243" w:type="pct"/>
          </w:tcPr>
          <w:p w:rsidR="005E56E4" w:rsidRPr="009D44AB" w:rsidRDefault="005E56E4" w:rsidP="00C1251F">
            <w:pPr>
              <w:rPr>
                <w:sz w:val="20"/>
              </w:rPr>
            </w:pPr>
          </w:p>
        </w:tc>
        <w:tc>
          <w:tcPr>
            <w:tcW w:w="2330" w:type="pct"/>
          </w:tcPr>
          <w:p w:rsidR="005E56E4" w:rsidRPr="009D44AB" w:rsidRDefault="005E56E4" w:rsidP="00C1251F">
            <w:pPr>
              <w:rPr>
                <w:sz w:val="20"/>
              </w:rPr>
            </w:pPr>
            <w:r w:rsidRPr="009D44AB">
              <w:rPr>
                <w:sz w:val="20"/>
              </w:rPr>
              <w:t>Application for leave to appeal filed</w:t>
            </w:r>
          </w:p>
          <w:p w:rsidR="005E56E4" w:rsidRPr="009D44AB" w:rsidRDefault="005E56E4" w:rsidP="00C1251F">
            <w:pPr>
              <w:rPr>
                <w:sz w:val="20"/>
              </w:rPr>
            </w:pPr>
          </w:p>
        </w:tc>
      </w:tr>
    </w:tbl>
    <w:p w:rsidR="005E56E4" w:rsidRDefault="005E56E4" w:rsidP="005E56E4">
      <w:pPr>
        <w:rPr>
          <w:sz w:val="20"/>
        </w:rPr>
      </w:pPr>
    </w:p>
    <w:p w:rsidR="005E56E4" w:rsidRDefault="005E56E4" w:rsidP="005E56E4">
      <w:pPr>
        <w:rPr>
          <w:sz w:val="20"/>
        </w:rPr>
      </w:pPr>
    </w:p>
    <w:p w:rsidR="005E56E4" w:rsidRDefault="005E56E4" w:rsidP="005E56E4">
      <w:pPr>
        <w:rPr>
          <w:sz w:val="20"/>
        </w:rPr>
      </w:pPr>
      <w:r>
        <w:rPr>
          <w:sz w:val="20"/>
        </w:rPr>
        <w:pict>
          <v:rect id="_x0000_i1052" style="width:2in;height:1pt" o:hrpct="0" o:hralign="center" o:hrstd="t" o:hrnoshade="t" o:hr="t" fillcolor="black [3213]" stroked="f"/>
        </w:pict>
      </w:r>
    </w:p>
    <w:p w:rsidR="005E56E4" w:rsidRDefault="005E56E4" w:rsidP="005E56E4">
      <w:pPr>
        <w:rPr>
          <w:sz w:val="20"/>
        </w:rPr>
      </w:pPr>
    </w:p>
    <w:p w:rsidR="005E56E4" w:rsidRPr="009D44AB" w:rsidRDefault="005E56E4" w:rsidP="005E56E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56E4" w:rsidRPr="009D44AB" w:rsidTr="00C1251F">
        <w:tc>
          <w:tcPr>
            <w:tcW w:w="543" w:type="pct"/>
          </w:tcPr>
          <w:p w:rsidR="005E56E4" w:rsidRPr="009D44AB" w:rsidRDefault="005E56E4" w:rsidP="00C1251F">
            <w:pPr>
              <w:rPr>
                <w:sz w:val="20"/>
                <w:lang w:val="fr-CA"/>
              </w:rPr>
            </w:pPr>
            <w:r w:rsidRPr="009D44AB">
              <w:rPr>
                <w:rStyle w:val="SCCFileNumberChar"/>
                <w:sz w:val="20"/>
                <w:szCs w:val="20"/>
                <w:lang w:val="fr-CA"/>
              </w:rPr>
              <w:t>38835</w:t>
            </w:r>
          </w:p>
        </w:tc>
        <w:tc>
          <w:tcPr>
            <w:tcW w:w="4457" w:type="pct"/>
            <w:gridSpan w:val="3"/>
          </w:tcPr>
          <w:p w:rsidR="005E56E4" w:rsidRPr="009D44AB" w:rsidRDefault="005E56E4" w:rsidP="00C1251F">
            <w:pPr>
              <w:pStyle w:val="SCCLsocParty"/>
              <w:jc w:val="left"/>
              <w:rPr>
                <w:b/>
                <w:sz w:val="20"/>
                <w:szCs w:val="20"/>
                <w:lang w:val="en-US"/>
              </w:rPr>
            </w:pPr>
            <w:r w:rsidRPr="009D44AB">
              <w:rPr>
                <w:b/>
                <w:sz w:val="20"/>
                <w:szCs w:val="20"/>
                <w:lang w:val="en-US"/>
              </w:rPr>
              <w:t>The City of Medicine Hat c. Condo Corporation No. 0410106 (« River Ridge »), Condo Corporation No. 0113543 (« Garden Homes »), Condo Corporation No. 0810338 (« </w:t>
            </w:r>
            <w:proofErr w:type="spellStart"/>
            <w:r w:rsidRPr="009D44AB">
              <w:rPr>
                <w:b/>
                <w:sz w:val="20"/>
                <w:szCs w:val="20"/>
                <w:lang w:val="en-US"/>
              </w:rPr>
              <w:t>Riverstone</w:t>
            </w:r>
            <w:proofErr w:type="spellEnd"/>
            <w:r w:rsidRPr="009D44AB">
              <w:rPr>
                <w:b/>
                <w:sz w:val="20"/>
                <w:szCs w:val="20"/>
                <w:lang w:val="en-US"/>
              </w:rPr>
              <w:t> »)</w:t>
            </w:r>
          </w:p>
          <w:p w:rsidR="005E56E4" w:rsidRPr="009D44AB" w:rsidRDefault="005E56E4" w:rsidP="00C1251F">
            <w:pPr>
              <w:rPr>
                <w:sz w:val="20"/>
                <w:lang w:val="fr-CA"/>
              </w:rPr>
            </w:pPr>
            <w:r w:rsidRPr="009D44AB">
              <w:rPr>
                <w:sz w:val="20"/>
                <w:lang w:val="fr-CA"/>
              </w:rPr>
              <w:t>(</w:t>
            </w:r>
            <w:proofErr w:type="spellStart"/>
            <w:r w:rsidRPr="009D44AB">
              <w:rPr>
                <w:sz w:val="20"/>
                <w:lang w:val="fr-CA"/>
              </w:rPr>
              <w:t>Alb</w:t>
            </w:r>
            <w:proofErr w:type="spellEnd"/>
            <w:r w:rsidRPr="009D44AB">
              <w:rPr>
                <w:sz w:val="20"/>
                <w:lang w:val="fr-CA"/>
              </w:rPr>
              <w:t>.) (Civile) (Autorisation)</w:t>
            </w:r>
          </w:p>
        </w:tc>
      </w:tr>
      <w:tr w:rsidR="005E56E4" w:rsidRPr="00EC12BA" w:rsidTr="00C1251F">
        <w:tc>
          <w:tcPr>
            <w:tcW w:w="5000" w:type="pct"/>
            <w:gridSpan w:val="4"/>
          </w:tcPr>
          <w:p w:rsidR="005E56E4" w:rsidRPr="009D44AB" w:rsidRDefault="005E56E4" w:rsidP="00C1251F">
            <w:pPr>
              <w:rPr>
                <w:sz w:val="20"/>
                <w:lang w:val="fr-CA"/>
              </w:rPr>
            </w:pPr>
            <w:r w:rsidRPr="009D44AB">
              <w:rPr>
                <w:sz w:val="20"/>
                <w:lang w:val="fr-CA"/>
              </w:rPr>
              <w:t>Droit municipal — Services publics — Un tribunal judiciaire peut</w:t>
            </w:r>
            <w:r w:rsidRPr="009D44AB">
              <w:rPr>
                <w:sz w:val="20"/>
                <w:lang w:val="fr-CA"/>
              </w:rPr>
              <w:noBreakHyphen/>
              <w:t>il imposer à une municipalité  l’obligation d’exploiter et d’entretenir une infrastructure à capitaux privés, particulièrement lorsqu’un ancien propriétaire de l’infrastructure avait expressément convenu avec la Ville que le promoteur en conserverait la propriété et les responsabilités d’exploitation et d’entretien? — Un tribunal judiciaire s’arroge</w:t>
            </w:r>
            <w:r w:rsidRPr="009D44AB">
              <w:rPr>
                <w:sz w:val="20"/>
                <w:lang w:val="fr-CA"/>
              </w:rPr>
              <w:noBreakHyphen/>
              <w:t>t</w:t>
            </w:r>
            <w:r w:rsidRPr="009D44AB">
              <w:rPr>
                <w:sz w:val="20"/>
                <w:lang w:val="fr-CA"/>
              </w:rPr>
              <w:noBreakHyphen/>
              <w:t>il le rôle du législateur en imposant à une municipalité l’obligation d’exploiter et d’entretenir une infrastructure à capitaux privés, malgré une convention autorisée par voie législative en vertu de laquelle les parties ont le droit de délimiter la propriété et les responsabilités liées à la propriété, et où la loi crée des obligations d’exploitation, d’entretien, de réparation et de remplacement sur le fondement de l’emplacement et non de la fonction?</w:t>
            </w:r>
          </w:p>
          <w:p w:rsidR="005E56E4" w:rsidRPr="009D44AB" w:rsidRDefault="005E56E4" w:rsidP="00C1251F">
            <w:pPr>
              <w:rPr>
                <w:sz w:val="20"/>
                <w:lang w:val="fr-CA"/>
              </w:rPr>
            </w:pPr>
          </w:p>
        </w:tc>
      </w:tr>
      <w:tr w:rsidR="005E56E4" w:rsidRPr="009D44AB" w:rsidTr="00C1251F">
        <w:tc>
          <w:tcPr>
            <w:tcW w:w="5000" w:type="pct"/>
            <w:gridSpan w:val="4"/>
          </w:tcPr>
          <w:p w:rsidR="005E56E4" w:rsidRPr="009D44AB" w:rsidRDefault="005E56E4" w:rsidP="00C1251F">
            <w:pPr>
              <w:rPr>
                <w:sz w:val="20"/>
                <w:lang w:val="fr-CA"/>
              </w:rPr>
            </w:pPr>
            <w:r w:rsidRPr="009D44AB">
              <w:rPr>
                <w:sz w:val="20"/>
                <w:lang w:val="fr-CA"/>
              </w:rPr>
              <w:t xml:space="preserve">Les sociétés </w:t>
            </w:r>
            <w:proofErr w:type="spellStart"/>
            <w:r w:rsidRPr="009D44AB">
              <w:rPr>
                <w:sz w:val="20"/>
                <w:lang w:val="fr-CA"/>
              </w:rPr>
              <w:t>condominiales</w:t>
            </w:r>
            <w:proofErr w:type="spellEnd"/>
            <w:r w:rsidRPr="009D44AB">
              <w:rPr>
                <w:sz w:val="20"/>
                <w:lang w:val="fr-CA"/>
              </w:rPr>
              <w:t xml:space="preserve"> intimées ont demandé, par voie de requête introductive d’instance, un jugement déclarant que la municipalité demanderesse a l’obligation légale d’exploiter et d’entretenir des services publics. Elles ont également sollicité une ordonnance de </w:t>
            </w:r>
            <w:r w:rsidRPr="009D44AB">
              <w:rPr>
                <w:i/>
                <w:iCs/>
                <w:sz w:val="20"/>
                <w:lang w:val="fr-CA"/>
              </w:rPr>
              <w:t>mandamus</w:t>
            </w:r>
            <w:r w:rsidRPr="009D44AB">
              <w:rPr>
                <w:sz w:val="20"/>
                <w:lang w:val="fr-CA"/>
              </w:rPr>
              <w:t xml:space="preserve"> enjoignant à la Ville d’assumer la responsabilité à l’égard de [</w:t>
            </w:r>
            <w:r w:rsidRPr="009D44AB">
              <w:rPr>
                <w:smallCaps/>
                <w:sz w:val="20"/>
                <w:lang w:val="fr-CA"/>
              </w:rPr>
              <w:t>traduction</w:t>
            </w:r>
            <w:r w:rsidRPr="009D44AB">
              <w:rPr>
                <w:sz w:val="20"/>
                <w:lang w:val="fr-CA"/>
              </w:rPr>
              <w:t xml:space="preserve">] « toutes les canalisations principales et de distribution d’aqueduc, d’égouts sanitaires et d’égouts pluviaux», d’entreprendre la construction d’une station de relèvement et d’entretenir la station de relèvement actuelle jusqu’à sa mise hors service, et de rembourser les sociétés </w:t>
            </w:r>
            <w:proofErr w:type="spellStart"/>
            <w:r w:rsidRPr="009D44AB">
              <w:rPr>
                <w:sz w:val="20"/>
                <w:lang w:val="fr-CA"/>
              </w:rPr>
              <w:t>condominiales</w:t>
            </w:r>
            <w:proofErr w:type="spellEnd"/>
            <w:r w:rsidRPr="009D44AB">
              <w:rPr>
                <w:sz w:val="20"/>
                <w:lang w:val="fr-CA"/>
              </w:rPr>
              <w:t xml:space="preserve"> de tous les coûts et frais. La juge siégeant en son cabinet a refusé de déclarer que la Ville avait l’obligation d’exploiter et d’entretenir ces services publics et a rejeté la requête des sociétés </w:t>
            </w:r>
            <w:proofErr w:type="spellStart"/>
            <w:r w:rsidRPr="009D44AB">
              <w:rPr>
                <w:sz w:val="20"/>
                <w:lang w:val="fr-CA"/>
              </w:rPr>
              <w:t>condominiales</w:t>
            </w:r>
            <w:proofErr w:type="spellEnd"/>
            <w:r w:rsidRPr="009D44AB">
              <w:rPr>
                <w:sz w:val="20"/>
                <w:lang w:val="fr-CA"/>
              </w:rPr>
              <w:t xml:space="preserve"> en vue d’obtenir une ordonnance de </w:t>
            </w:r>
            <w:r w:rsidRPr="009D44AB">
              <w:rPr>
                <w:i/>
                <w:iCs/>
                <w:sz w:val="20"/>
                <w:lang w:val="fr-CA"/>
              </w:rPr>
              <w:t>mandamus</w:t>
            </w:r>
            <w:r w:rsidRPr="009D44AB">
              <w:rPr>
                <w:sz w:val="20"/>
                <w:lang w:val="fr-CA"/>
              </w:rPr>
              <w:t xml:space="preserve"> contre la Ville. La Cour d’appel a accueilli l’appel.</w:t>
            </w:r>
          </w:p>
        </w:tc>
      </w:tr>
      <w:tr w:rsidR="005E56E4" w:rsidRPr="009D44AB" w:rsidTr="00C1251F">
        <w:tc>
          <w:tcPr>
            <w:tcW w:w="5000" w:type="pct"/>
            <w:gridSpan w:val="4"/>
          </w:tcPr>
          <w:p w:rsidR="005E56E4" w:rsidRPr="009D44AB" w:rsidRDefault="005E56E4" w:rsidP="00C1251F">
            <w:pPr>
              <w:rPr>
                <w:sz w:val="20"/>
                <w:lang w:val="fr-CA"/>
              </w:rPr>
            </w:pPr>
          </w:p>
          <w:p w:rsidR="005E56E4" w:rsidRPr="009D44AB" w:rsidRDefault="005E56E4" w:rsidP="00C1251F">
            <w:pPr>
              <w:rPr>
                <w:sz w:val="20"/>
                <w:lang w:val="fr-CA"/>
              </w:rPr>
            </w:pPr>
          </w:p>
        </w:tc>
      </w:tr>
      <w:tr w:rsidR="005E56E4" w:rsidRPr="00EC12BA" w:rsidTr="00C1251F">
        <w:tc>
          <w:tcPr>
            <w:tcW w:w="2427" w:type="pct"/>
            <w:gridSpan w:val="2"/>
          </w:tcPr>
          <w:p w:rsidR="005E56E4" w:rsidRPr="009D44AB" w:rsidRDefault="005E56E4" w:rsidP="00C1251F">
            <w:pPr>
              <w:rPr>
                <w:sz w:val="20"/>
                <w:lang w:val="fr-CA"/>
              </w:rPr>
            </w:pPr>
            <w:r w:rsidRPr="009D44AB">
              <w:rPr>
                <w:sz w:val="20"/>
                <w:lang w:val="fr-CA"/>
              </w:rPr>
              <w:t>24 novembre 2017</w:t>
            </w:r>
          </w:p>
          <w:p w:rsidR="005E56E4" w:rsidRPr="009D44AB" w:rsidRDefault="005E56E4" w:rsidP="00C1251F">
            <w:pPr>
              <w:rPr>
                <w:sz w:val="20"/>
                <w:lang w:val="fr-CA"/>
              </w:rPr>
            </w:pPr>
            <w:r w:rsidRPr="009D44AB">
              <w:rPr>
                <w:sz w:val="20"/>
                <w:lang w:val="fr-CA"/>
              </w:rPr>
              <w:t>Cour du Banc de la Reine de l’Alberta</w:t>
            </w:r>
          </w:p>
          <w:p w:rsidR="005E56E4" w:rsidRPr="009D44AB" w:rsidRDefault="005E56E4" w:rsidP="00C1251F">
            <w:pPr>
              <w:rPr>
                <w:sz w:val="20"/>
                <w:lang w:val="fr-CA"/>
              </w:rPr>
            </w:pPr>
            <w:r w:rsidRPr="009D44AB">
              <w:rPr>
                <w:sz w:val="20"/>
                <w:lang w:val="fr-CA"/>
              </w:rPr>
              <w:t>(Juge Marriott)</w:t>
            </w:r>
          </w:p>
          <w:p w:rsidR="005E56E4" w:rsidRPr="009D44AB" w:rsidRDefault="005E56E4" w:rsidP="00C1251F">
            <w:pPr>
              <w:rPr>
                <w:sz w:val="20"/>
                <w:lang w:val="fr-CA"/>
              </w:rPr>
            </w:pPr>
            <w:r w:rsidRPr="009D44AB">
              <w:rPr>
                <w:sz w:val="20"/>
                <w:lang w:val="fr-CA"/>
              </w:rPr>
              <w:t>(Non publié)</w:t>
            </w:r>
          </w:p>
          <w:p w:rsidR="005E56E4" w:rsidRPr="009D44AB" w:rsidRDefault="005E56E4" w:rsidP="00C1251F">
            <w:pPr>
              <w:rPr>
                <w:sz w:val="20"/>
                <w:lang w:val="fr-CA"/>
              </w:rPr>
            </w:pPr>
          </w:p>
        </w:tc>
        <w:tc>
          <w:tcPr>
            <w:tcW w:w="243" w:type="pct"/>
          </w:tcPr>
          <w:p w:rsidR="005E56E4" w:rsidRPr="009D44AB" w:rsidRDefault="005E56E4" w:rsidP="00C1251F">
            <w:pPr>
              <w:rPr>
                <w:sz w:val="20"/>
                <w:lang w:val="fr-CA"/>
              </w:rPr>
            </w:pPr>
          </w:p>
        </w:tc>
        <w:tc>
          <w:tcPr>
            <w:tcW w:w="2330" w:type="pct"/>
          </w:tcPr>
          <w:p w:rsidR="005E56E4" w:rsidRPr="009D44AB" w:rsidRDefault="005E56E4" w:rsidP="00C1251F">
            <w:pPr>
              <w:rPr>
                <w:sz w:val="20"/>
                <w:lang w:val="fr-CA"/>
              </w:rPr>
            </w:pPr>
            <w:r w:rsidRPr="009D44AB">
              <w:rPr>
                <w:sz w:val="20"/>
                <w:lang w:val="fr-CA"/>
              </w:rPr>
              <w:t>Rejet de la requête des intimées, avec dépens</w:t>
            </w:r>
          </w:p>
          <w:p w:rsidR="005E56E4" w:rsidRPr="009D44AB" w:rsidRDefault="005E56E4" w:rsidP="00C1251F">
            <w:pPr>
              <w:rPr>
                <w:sz w:val="20"/>
                <w:lang w:val="fr-CA"/>
              </w:rPr>
            </w:pPr>
          </w:p>
        </w:tc>
      </w:tr>
      <w:tr w:rsidR="005E56E4" w:rsidRPr="00EC12BA" w:rsidTr="00C1251F">
        <w:tc>
          <w:tcPr>
            <w:tcW w:w="2427" w:type="pct"/>
            <w:gridSpan w:val="2"/>
          </w:tcPr>
          <w:p w:rsidR="005E56E4" w:rsidRPr="009D44AB" w:rsidRDefault="005E56E4" w:rsidP="00C1251F">
            <w:pPr>
              <w:rPr>
                <w:sz w:val="20"/>
                <w:lang w:val="fr-CA"/>
              </w:rPr>
            </w:pPr>
            <w:r w:rsidRPr="009D44AB">
              <w:rPr>
                <w:sz w:val="20"/>
                <w:lang w:val="fr-CA"/>
              </w:rPr>
              <w:t>1</w:t>
            </w:r>
            <w:r w:rsidRPr="009D44AB">
              <w:rPr>
                <w:sz w:val="20"/>
                <w:vertAlign w:val="superscript"/>
                <w:lang w:val="fr-CA"/>
              </w:rPr>
              <w:t>er</w:t>
            </w:r>
            <w:r w:rsidRPr="009D44AB">
              <w:rPr>
                <w:sz w:val="20"/>
                <w:lang w:val="fr-CA"/>
              </w:rPr>
              <w:t xml:space="preserve"> août 2019</w:t>
            </w:r>
          </w:p>
          <w:p w:rsidR="005E56E4" w:rsidRPr="009D44AB" w:rsidRDefault="005E56E4" w:rsidP="00C1251F">
            <w:pPr>
              <w:rPr>
                <w:sz w:val="20"/>
                <w:lang w:val="fr-CA"/>
              </w:rPr>
            </w:pPr>
            <w:r w:rsidRPr="009D44AB">
              <w:rPr>
                <w:sz w:val="20"/>
                <w:lang w:val="fr-CA"/>
              </w:rPr>
              <w:t>Cour d’appel de l’Alberta (Calgary)</w:t>
            </w:r>
          </w:p>
          <w:p w:rsidR="005E56E4" w:rsidRPr="009D44AB" w:rsidRDefault="005E56E4" w:rsidP="00C1251F">
            <w:pPr>
              <w:rPr>
                <w:sz w:val="20"/>
                <w:lang w:val="fr-CA"/>
              </w:rPr>
            </w:pPr>
            <w:r w:rsidRPr="009D44AB">
              <w:rPr>
                <w:sz w:val="20"/>
                <w:lang w:val="fr-CA"/>
              </w:rPr>
              <w:t xml:space="preserve">(Juges </w:t>
            </w:r>
            <w:proofErr w:type="spellStart"/>
            <w:r w:rsidRPr="009D44AB">
              <w:rPr>
                <w:sz w:val="20"/>
                <w:lang w:val="fr-CA"/>
              </w:rPr>
              <w:t>O’Ferrall</w:t>
            </w:r>
            <w:proofErr w:type="spellEnd"/>
            <w:r w:rsidRPr="009D44AB">
              <w:rPr>
                <w:sz w:val="20"/>
                <w:lang w:val="fr-CA"/>
              </w:rPr>
              <w:t xml:space="preserve">, Schutz et </w:t>
            </w:r>
            <w:proofErr w:type="spellStart"/>
            <w:r w:rsidRPr="009D44AB">
              <w:rPr>
                <w:sz w:val="20"/>
                <w:lang w:val="fr-CA"/>
              </w:rPr>
              <w:t>Strekaf</w:t>
            </w:r>
            <w:proofErr w:type="spellEnd"/>
            <w:r w:rsidRPr="009D44AB">
              <w:rPr>
                <w:sz w:val="20"/>
                <w:lang w:val="fr-CA"/>
              </w:rPr>
              <w:t>)</w:t>
            </w:r>
          </w:p>
          <w:p w:rsidR="005E56E4" w:rsidRPr="009D44AB" w:rsidRDefault="005E56E4" w:rsidP="00C1251F">
            <w:pPr>
              <w:rPr>
                <w:sz w:val="20"/>
                <w:lang w:val="fr-CA"/>
              </w:rPr>
            </w:pPr>
            <w:hyperlink r:id="rId31" w:history="1">
              <w:r w:rsidRPr="009D44AB">
                <w:rPr>
                  <w:rStyle w:val="Hyperlink"/>
                  <w:sz w:val="20"/>
                  <w:lang w:val="fr-CA"/>
                </w:rPr>
                <w:t>2019 ABCA 294</w:t>
              </w:r>
            </w:hyperlink>
            <w:r w:rsidRPr="009D44AB">
              <w:rPr>
                <w:sz w:val="20"/>
                <w:lang w:val="fr-CA"/>
              </w:rPr>
              <w:t xml:space="preserve"> </w:t>
            </w:r>
          </w:p>
          <w:p w:rsidR="005E56E4" w:rsidRPr="009D44AB" w:rsidRDefault="005E56E4" w:rsidP="00C1251F">
            <w:pPr>
              <w:rPr>
                <w:sz w:val="20"/>
                <w:lang w:val="fr-CA"/>
              </w:rPr>
            </w:pPr>
            <w:r w:rsidRPr="009D44AB">
              <w:rPr>
                <w:sz w:val="20"/>
                <w:lang w:val="fr-CA"/>
              </w:rPr>
              <w:t>1701</w:t>
            </w:r>
            <w:r w:rsidRPr="009D44AB">
              <w:rPr>
                <w:sz w:val="20"/>
                <w:lang w:val="fr-CA"/>
              </w:rPr>
              <w:noBreakHyphen/>
              <w:t>0355</w:t>
            </w:r>
            <w:r w:rsidRPr="009D44AB">
              <w:rPr>
                <w:sz w:val="20"/>
                <w:lang w:val="fr-CA"/>
              </w:rPr>
              <w:noBreakHyphen/>
              <w:t>AC</w:t>
            </w:r>
          </w:p>
          <w:p w:rsidR="005E56E4" w:rsidRPr="009D44AB" w:rsidRDefault="005E56E4" w:rsidP="00C1251F">
            <w:pPr>
              <w:rPr>
                <w:sz w:val="20"/>
                <w:lang w:val="fr-CA"/>
              </w:rPr>
            </w:pPr>
          </w:p>
        </w:tc>
        <w:tc>
          <w:tcPr>
            <w:tcW w:w="243" w:type="pct"/>
          </w:tcPr>
          <w:p w:rsidR="005E56E4" w:rsidRPr="009D44AB" w:rsidRDefault="005E56E4" w:rsidP="00C1251F">
            <w:pPr>
              <w:rPr>
                <w:sz w:val="20"/>
                <w:lang w:val="fr-CA"/>
              </w:rPr>
            </w:pPr>
          </w:p>
        </w:tc>
        <w:tc>
          <w:tcPr>
            <w:tcW w:w="2330" w:type="pct"/>
          </w:tcPr>
          <w:p w:rsidR="005E56E4" w:rsidRPr="009D44AB" w:rsidRDefault="005E56E4" w:rsidP="00C1251F">
            <w:pPr>
              <w:rPr>
                <w:sz w:val="20"/>
                <w:lang w:val="fr-CA"/>
              </w:rPr>
            </w:pPr>
            <w:r w:rsidRPr="009D44AB">
              <w:rPr>
                <w:sz w:val="20"/>
                <w:lang w:val="fr-CA"/>
              </w:rPr>
              <w:t>Arrêt accueillant l’appel et déclarant que la demanderesse a l’obligation légale d’exploiter et d’entretenir des services d’aqueduc et d’égout</w:t>
            </w:r>
          </w:p>
          <w:p w:rsidR="005E56E4" w:rsidRPr="009D44AB" w:rsidRDefault="005E56E4" w:rsidP="00C1251F">
            <w:pPr>
              <w:rPr>
                <w:sz w:val="20"/>
                <w:lang w:val="fr-CA"/>
              </w:rPr>
            </w:pPr>
          </w:p>
        </w:tc>
      </w:tr>
      <w:tr w:rsidR="005E56E4" w:rsidRPr="00EC12BA" w:rsidTr="00C1251F">
        <w:tc>
          <w:tcPr>
            <w:tcW w:w="2427" w:type="pct"/>
            <w:gridSpan w:val="2"/>
          </w:tcPr>
          <w:p w:rsidR="005E56E4" w:rsidRPr="009D44AB" w:rsidRDefault="005E56E4" w:rsidP="00C1251F">
            <w:pPr>
              <w:rPr>
                <w:sz w:val="20"/>
                <w:lang w:val="fr-CA"/>
              </w:rPr>
            </w:pPr>
            <w:r w:rsidRPr="009D44AB">
              <w:rPr>
                <w:sz w:val="20"/>
                <w:lang w:val="fr-CA"/>
              </w:rPr>
              <w:t>30 septembre 2019</w:t>
            </w:r>
          </w:p>
          <w:p w:rsidR="005E56E4" w:rsidRPr="009D44AB" w:rsidRDefault="005E56E4" w:rsidP="00C1251F">
            <w:pPr>
              <w:rPr>
                <w:sz w:val="20"/>
                <w:lang w:val="fr-CA"/>
              </w:rPr>
            </w:pPr>
            <w:r w:rsidRPr="009D44AB">
              <w:rPr>
                <w:sz w:val="20"/>
                <w:lang w:val="fr-CA"/>
              </w:rPr>
              <w:t>Cour suprême du Canada</w:t>
            </w:r>
          </w:p>
        </w:tc>
        <w:tc>
          <w:tcPr>
            <w:tcW w:w="243" w:type="pct"/>
          </w:tcPr>
          <w:p w:rsidR="005E56E4" w:rsidRPr="009D44AB" w:rsidRDefault="005E56E4" w:rsidP="00C1251F">
            <w:pPr>
              <w:rPr>
                <w:sz w:val="20"/>
                <w:lang w:val="fr-CA"/>
              </w:rPr>
            </w:pPr>
          </w:p>
        </w:tc>
        <w:tc>
          <w:tcPr>
            <w:tcW w:w="2330" w:type="pct"/>
          </w:tcPr>
          <w:p w:rsidR="005E56E4" w:rsidRPr="009D44AB" w:rsidRDefault="005E56E4" w:rsidP="00C1251F">
            <w:pPr>
              <w:rPr>
                <w:sz w:val="20"/>
                <w:lang w:val="fr-CA"/>
              </w:rPr>
            </w:pPr>
            <w:r w:rsidRPr="009D44AB">
              <w:rPr>
                <w:sz w:val="20"/>
                <w:lang w:val="fr-CA"/>
              </w:rPr>
              <w:t>Dépôt de la demande d’autorisation d’appel</w:t>
            </w:r>
          </w:p>
          <w:p w:rsidR="005E56E4" w:rsidRPr="009D44AB" w:rsidRDefault="005E56E4" w:rsidP="00C1251F">
            <w:pPr>
              <w:rPr>
                <w:sz w:val="20"/>
                <w:lang w:val="fr-CA"/>
              </w:rPr>
            </w:pPr>
          </w:p>
        </w:tc>
      </w:tr>
    </w:tbl>
    <w:p w:rsidR="005E56E4" w:rsidRPr="009D44AB" w:rsidRDefault="005E56E4" w:rsidP="005E56E4">
      <w:pPr>
        <w:jc w:val="both"/>
        <w:rPr>
          <w:sz w:val="20"/>
          <w:lang w:val="fr-CA"/>
        </w:rPr>
      </w:pPr>
    </w:p>
    <w:p w:rsidR="00977AF4" w:rsidRDefault="005E56E4" w:rsidP="005E56E4">
      <w:pPr>
        <w:ind w:left="142" w:hanging="142"/>
        <w:jc w:val="both"/>
        <w:rPr>
          <w:sz w:val="20"/>
          <w:lang w:val="fr-CA"/>
        </w:rPr>
      </w:pPr>
      <w:r>
        <w:rPr>
          <w:sz w:val="20"/>
        </w:rPr>
        <w:pict>
          <v:rect id="_x0000_i1053" style="width:2in;height:1pt" o:hrpct="0" o:hralign="center" o:hrstd="t" o:hrnoshade="t" o:hr="t" fillcolor="black [3213]" stroked="f"/>
        </w:pict>
      </w:r>
    </w:p>
    <w:p w:rsidR="005E56E4" w:rsidRPr="009D44AB" w:rsidRDefault="005E56E4" w:rsidP="006A22CA">
      <w:pPr>
        <w:ind w:left="142" w:hanging="142"/>
        <w:jc w:val="both"/>
        <w:rPr>
          <w:sz w:val="20"/>
          <w:lang w:val="fr-CA"/>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16"/>
        <w:gridCol w:w="3492"/>
        <w:gridCol w:w="452"/>
        <w:gridCol w:w="4320"/>
      </w:tblGrid>
      <w:tr w:rsidR="009D44AB" w:rsidRPr="009D44AB" w:rsidTr="00CA5478">
        <w:tc>
          <w:tcPr>
            <w:tcW w:w="499" w:type="pct"/>
          </w:tcPr>
          <w:p w:rsidR="009D44AB" w:rsidRPr="009D44AB" w:rsidRDefault="009D44AB" w:rsidP="00F9479E">
            <w:pPr>
              <w:rPr>
                <w:sz w:val="20"/>
              </w:rPr>
            </w:pPr>
            <w:r w:rsidRPr="009D44AB">
              <w:rPr>
                <w:rStyle w:val="SCCFileNumberChar"/>
                <w:sz w:val="20"/>
                <w:szCs w:val="20"/>
              </w:rPr>
              <w:t>38858</w:t>
            </w:r>
          </w:p>
        </w:tc>
        <w:tc>
          <w:tcPr>
            <w:tcW w:w="4501" w:type="pct"/>
            <w:gridSpan w:val="3"/>
          </w:tcPr>
          <w:p w:rsidR="009D44AB" w:rsidRPr="009D44AB" w:rsidRDefault="009D44AB" w:rsidP="009D44AB">
            <w:pPr>
              <w:pStyle w:val="SCCLsocParty"/>
              <w:jc w:val="left"/>
              <w:rPr>
                <w:b/>
                <w:sz w:val="20"/>
                <w:szCs w:val="20"/>
                <w:lang w:val="en-US"/>
              </w:rPr>
            </w:pPr>
            <w:proofErr w:type="spellStart"/>
            <w:r w:rsidRPr="009D44AB">
              <w:rPr>
                <w:b/>
                <w:sz w:val="20"/>
                <w:szCs w:val="20"/>
                <w:lang w:val="en-US"/>
              </w:rPr>
              <w:t>Ibata</w:t>
            </w:r>
            <w:proofErr w:type="spellEnd"/>
            <w:r w:rsidRPr="009D44AB">
              <w:rPr>
                <w:b/>
                <w:sz w:val="20"/>
                <w:szCs w:val="20"/>
                <w:lang w:val="en-US"/>
              </w:rPr>
              <w:t xml:space="preserve"> </w:t>
            </w:r>
            <w:proofErr w:type="spellStart"/>
            <w:r w:rsidRPr="009D44AB">
              <w:rPr>
                <w:b/>
                <w:sz w:val="20"/>
                <w:szCs w:val="20"/>
                <w:lang w:val="en-US"/>
              </w:rPr>
              <w:t>Noric</w:t>
            </w:r>
            <w:proofErr w:type="spellEnd"/>
            <w:r w:rsidRPr="009D44AB">
              <w:rPr>
                <w:b/>
                <w:sz w:val="20"/>
                <w:szCs w:val="20"/>
                <w:lang w:val="en-US"/>
              </w:rPr>
              <w:t xml:space="preserve"> Hexamer v. Her Majesty the Queen</w:t>
            </w:r>
          </w:p>
          <w:p w:rsidR="009D44AB" w:rsidRPr="009D44AB" w:rsidRDefault="009D44AB">
            <w:pPr>
              <w:rPr>
                <w:sz w:val="20"/>
              </w:rPr>
            </w:pPr>
            <w:r w:rsidRPr="009D44AB">
              <w:rPr>
                <w:sz w:val="20"/>
              </w:rPr>
              <w:t>(B.C.) (Criminal) (By Leave)</w:t>
            </w:r>
          </w:p>
        </w:tc>
      </w:tr>
      <w:tr w:rsidR="009D44AB" w:rsidRPr="009D44AB" w:rsidTr="00CA5478">
        <w:tc>
          <w:tcPr>
            <w:tcW w:w="5000" w:type="pct"/>
            <w:gridSpan w:val="4"/>
          </w:tcPr>
          <w:p w:rsidR="009D44AB" w:rsidRPr="009D44AB" w:rsidRDefault="009D44AB" w:rsidP="00EF7FD6">
            <w:pPr>
              <w:rPr>
                <w:sz w:val="20"/>
              </w:rPr>
            </w:pPr>
            <w:r w:rsidRPr="009D44AB">
              <w:rPr>
                <w:smallCaps/>
                <w:sz w:val="20"/>
              </w:rPr>
              <w:t>(PUBLICATION BAN IN CASE</w:t>
            </w:r>
            <w:r w:rsidRPr="009D44AB">
              <w:rPr>
                <w:sz w:val="20"/>
              </w:rPr>
              <w:t>)</w:t>
            </w:r>
          </w:p>
          <w:p w:rsidR="009D44AB" w:rsidRPr="009D44AB" w:rsidRDefault="009D44AB" w:rsidP="00EF7FD6">
            <w:pPr>
              <w:rPr>
                <w:sz w:val="20"/>
              </w:rPr>
            </w:pPr>
          </w:p>
          <w:p w:rsidR="009D44AB" w:rsidRPr="009D44AB" w:rsidRDefault="009D44AB" w:rsidP="00C01DCD">
            <w:pPr>
              <w:rPr>
                <w:sz w:val="20"/>
              </w:rPr>
            </w:pPr>
            <w:r w:rsidRPr="009D44AB">
              <w:rPr>
                <w:sz w:val="20"/>
              </w:rPr>
              <w:t>Criminal law — Sentencing — Dangerous offender proceedings — Indeterminate sentence —Whether offender’s lack of prior criminal history has substantive application in determining a dangerous offender proceeding?</w:t>
            </w:r>
          </w:p>
        </w:tc>
      </w:tr>
      <w:tr w:rsidR="009D44AB" w:rsidRPr="009D44AB" w:rsidTr="00CA5478">
        <w:tc>
          <w:tcPr>
            <w:tcW w:w="5000" w:type="pct"/>
            <w:gridSpan w:val="4"/>
          </w:tcPr>
          <w:p w:rsidR="009D44AB" w:rsidRPr="009D44AB" w:rsidRDefault="009D44AB" w:rsidP="00C01DCD">
            <w:pPr>
              <w:rPr>
                <w:sz w:val="20"/>
              </w:rPr>
            </w:pPr>
          </w:p>
        </w:tc>
      </w:tr>
      <w:tr w:rsidR="009D44AB" w:rsidRPr="009D44AB" w:rsidTr="00CA5478">
        <w:tc>
          <w:tcPr>
            <w:tcW w:w="5000" w:type="pct"/>
            <w:gridSpan w:val="4"/>
          </w:tcPr>
          <w:p w:rsidR="009D44AB" w:rsidRPr="009D44AB" w:rsidRDefault="009D44AB" w:rsidP="004F4201">
            <w:pPr>
              <w:rPr>
                <w:sz w:val="20"/>
              </w:rPr>
            </w:pPr>
            <w:r w:rsidRPr="009D44AB">
              <w:rPr>
                <w:sz w:val="20"/>
              </w:rPr>
              <w:t>Mr. Hexamer was convicted for sexual assault, three counts of sexual assault with a weapon, and two counts of unlawful confinement for three separate incidents. In1995, he approached a 13</w:t>
            </w:r>
            <w:r w:rsidRPr="009D44AB">
              <w:rPr>
                <w:sz w:val="20"/>
              </w:rPr>
              <w:noBreakHyphen/>
              <w:t>year old female. In 2007, he approached two 14</w:t>
            </w:r>
            <w:r w:rsidRPr="009D44AB">
              <w:rPr>
                <w:sz w:val="20"/>
              </w:rPr>
              <w:noBreakHyphen/>
              <w:t>year old females. In 2009, he approached a 6</w:t>
            </w:r>
            <w:r w:rsidRPr="009D44AB">
              <w:rPr>
                <w:sz w:val="20"/>
              </w:rPr>
              <w:noBreakHyphen/>
              <w:t>year old female and two males aged 12 and 14. In each incident, he forced them at knifepoint to go with him to secluded places. He sexually touched and sexually assaulted the four female youths. The Crown applied for a dangerous offender designation. The sentencing judge granted the application and ordered an indeterminate sentence. The Court of Appeal dismissed an appeal from the designation and sentence.</w:t>
            </w:r>
          </w:p>
          <w:p w:rsidR="009D44AB" w:rsidRPr="009D44AB" w:rsidRDefault="009D44AB" w:rsidP="00CA5478">
            <w:pPr>
              <w:rPr>
                <w:sz w:val="20"/>
              </w:rPr>
            </w:pPr>
          </w:p>
        </w:tc>
      </w:tr>
      <w:tr w:rsidR="009D44AB" w:rsidRPr="009D44AB" w:rsidTr="00CA5478">
        <w:tc>
          <w:tcPr>
            <w:tcW w:w="2401" w:type="pct"/>
            <w:gridSpan w:val="2"/>
          </w:tcPr>
          <w:p w:rsidR="009D44AB" w:rsidRPr="009D44AB" w:rsidRDefault="009D44AB" w:rsidP="00F1159C">
            <w:pPr>
              <w:rPr>
                <w:sz w:val="20"/>
              </w:rPr>
            </w:pPr>
            <w:r w:rsidRPr="009D44AB">
              <w:rPr>
                <w:sz w:val="20"/>
              </w:rPr>
              <w:t>February 5, 2016</w:t>
            </w:r>
          </w:p>
          <w:p w:rsidR="009D44AB" w:rsidRPr="009D44AB" w:rsidRDefault="009D44AB" w:rsidP="00F1159C">
            <w:pPr>
              <w:rPr>
                <w:sz w:val="20"/>
              </w:rPr>
            </w:pPr>
            <w:r w:rsidRPr="009D44AB">
              <w:rPr>
                <w:sz w:val="20"/>
              </w:rPr>
              <w:t>Supreme Court of British Columbia</w:t>
            </w:r>
          </w:p>
          <w:p w:rsidR="009D44AB" w:rsidRPr="009D44AB" w:rsidRDefault="009D44AB" w:rsidP="00F1159C">
            <w:pPr>
              <w:rPr>
                <w:sz w:val="20"/>
              </w:rPr>
            </w:pPr>
            <w:r w:rsidRPr="009D44AB">
              <w:rPr>
                <w:sz w:val="20"/>
              </w:rPr>
              <w:t>(Williams J.)</w:t>
            </w:r>
          </w:p>
          <w:p w:rsidR="009D44AB" w:rsidRPr="009D44AB" w:rsidRDefault="00BB65F4" w:rsidP="00F1159C">
            <w:pPr>
              <w:rPr>
                <w:sz w:val="20"/>
              </w:rPr>
            </w:pPr>
            <w:hyperlink r:id="rId32" w:history="1">
              <w:r w:rsidR="009D44AB" w:rsidRPr="009D44AB">
                <w:rPr>
                  <w:rStyle w:val="Hyperlink"/>
                  <w:sz w:val="20"/>
                </w:rPr>
                <w:t>2016 BCSC 185</w:t>
              </w:r>
            </w:hyperlink>
          </w:p>
          <w:p w:rsidR="009D44AB" w:rsidRPr="009D44AB" w:rsidRDefault="009D44AB" w:rsidP="00F1159C">
            <w:pPr>
              <w:rPr>
                <w:sz w:val="20"/>
              </w:rPr>
            </w:pPr>
          </w:p>
        </w:tc>
        <w:tc>
          <w:tcPr>
            <w:tcW w:w="246" w:type="pct"/>
          </w:tcPr>
          <w:p w:rsidR="009D44AB" w:rsidRPr="009D44AB" w:rsidRDefault="009D44AB" w:rsidP="00F1159C">
            <w:pPr>
              <w:rPr>
                <w:sz w:val="20"/>
              </w:rPr>
            </w:pPr>
          </w:p>
        </w:tc>
        <w:tc>
          <w:tcPr>
            <w:tcW w:w="2353" w:type="pct"/>
          </w:tcPr>
          <w:p w:rsidR="009D44AB" w:rsidRPr="009D44AB" w:rsidRDefault="009D44AB" w:rsidP="00F1159C">
            <w:pPr>
              <w:rPr>
                <w:sz w:val="20"/>
              </w:rPr>
            </w:pPr>
            <w:r w:rsidRPr="009D44AB">
              <w:rPr>
                <w:sz w:val="20"/>
              </w:rPr>
              <w:t>Application for designation as dangerous offender and indeterminate sentence granted</w:t>
            </w:r>
          </w:p>
          <w:p w:rsidR="009D44AB" w:rsidRPr="009D44AB" w:rsidRDefault="009D44AB" w:rsidP="00F1159C">
            <w:pPr>
              <w:rPr>
                <w:sz w:val="20"/>
              </w:rPr>
            </w:pPr>
          </w:p>
        </w:tc>
      </w:tr>
      <w:tr w:rsidR="009D44AB" w:rsidRPr="009D44AB" w:rsidTr="00CA5478">
        <w:tc>
          <w:tcPr>
            <w:tcW w:w="2401" w:type="pct"/>
            <w:gridSpan w:val="2"/>
          </w:tcPr>
          <w:p w:rsidR="009D44AB" w:rsidRPr="009D44AB" w:rsidRDefault="009D44AB" w:rsidP="00F1159C">
            <w:pPr>
              <w:rPr>
                <w:sz w:val="20"/>
              </w:rPr>
            </w:pPr>
            <w:r w:rsidRPr="009D44AB">
              <w:rPr>
                <w:sz w:val="20"/>
              </w:rPr>
              <w:t>August 2, 2019</w:t>
            </w:r>
          </w:p>
          <w:p w:rsidR="009D44AB" w:rsidRPr="009D44AB" w:rsidRDefault="009D44AB" w:rsidP="00F1159C">
            <w:pPr>
              <w:rPr>
                <w:sz w:val="20"/>
              </w:rPr>
            </w:pPr>
            <w:r w:rsidRPr="009D44AB">
              <w:rPr>
                <w:sz w:val="20"/>
              </w:rPr>
              <w:t xml:space="preserve">Court of Appeal for British Columbia </w:t>
            </w:r>
          </w:p>
          <w:p w:rsidR="009D44AB" w:rsidRPr="009D44AB" w:rsidRDefault="009D44AB" w:rsidP="00F1159C">
            <w:pPr>
              <w:rPr>
                <w:sz w:val="20"/>
              </w:rPr>
            </w:pPr>
            <w:r w:rsidRPr="009D44AB">
              <w:rPr>
                <w:sz w:val="20"/>
              </w:rPr>
              <w:t>(Vancouver)</w:t>
            </w:r>
          </w:p>
          <w:p w:rsidR="009D44AB" w:rsidRPr="009D44AB" w:rsidRDefault="009D44AB" w:rsidP="00F1159C">
            <w:pPr>
              <w:rPr>
                <w:sz w:val="20"/>
              </w:rPr>
            </w:pPr>
            <w:r w:rsidRPr="009D44AB">
              <w:rPr>
                <w:sz w:val="20"/>
              </w:rPr>
              <w:t>(Fitch, Hunter, Griffin JJ.A.)</w:t>
            </w:r>
          </w:p>
          <w:p w:rsidR="009D44AB" w:rsidRPr="009D44AB" w:rsidRDefault="00BB65F4" w:rsidP="00F1159C">
            <w:pPr>
              <w:rPr>
                <w:sz w:val="20"/>
              </w:rPr>
            </w:pPr>
            <w:hyperlink r:id="rId33" w:history="1">
              <w:r w:rsidR="009D44AB" w:rsidRPr="009D44AB">
                <w:rPr>
                  <w:rStyle w:val="Hyperlink"/>
                  <w:sz w:val="20"/>
                </w:rPr>
                <w:t>2019 BCCA 285</w:t>
              </w:r>
            </w:hyperlink>
            <w:r w:rsidR="009D44AB" w:rsidRPr="009D44AB">
              <w:rPr>
                <w:sz w:val="20"/>
              </w:rPr>
              <w:t>; CA43881</w:t>
            </w:r>
          </w:p>
          <w:p w:rsidR="009D44AB" w:rsidRPr="009D44AB" w:rsidRDefault="009D44AB" w:rsidP="00F1159C">
            <w:pPr>
              <w:rPr>
                <w:sz w:val="20"/>
              </w:rPr>
            </w:pPr>
          </w:p>
        </w:tc>
        <w:tc>
          <w:tcPr>
            <w:tcW w:w="246" w:type="pct"/>
          </w:tcPr>
          <w:p w:rsidR="009D44AB" w:rsidRPr="009D44AB" w:rsidRDefault="009D44AB" w:rsidP="00F1159C">
            <w:pPr>
              <w:rPr>
                <w:sz w:val="20"/>
              </w:rPr>
            </w:pPr>
          </w:p>
        </w:tc>
        <w:tc>
          <w:tcPr>
            <w:tcW w:w="2353" w:type="pct"/>
          </w:tcPr>
          <w:p w:rsidR="009D44AB" w:rsidRPr="009D44AB" w:rsidRDefault="009D44AB" w:rsidP="00F1159C">
            <w:pPr>
              <w:rPr>
                <w:sz w:val="20"/>
              </w:rPr>
            </w:pPr>
            <w:r w:rsidRPr="009D44AB">
              <w:rPr>
                <w:sz w:val="20"/>
              </w:rPr>
              <w:t>Appeal dismissed</w:t>
            </w:r>
          </w:p>
          <w:p w:rsidR="009D44AB" w:rsidRPr="009D44AB" w:rsidRDefault="009D44AB" w:rsidP="00F1159C">
            <w:pPr>
              <w:rPr>
                <w:sz w:val="20"/>
              </w:rPr>
            </w:pPr>
          </w:p>
        </w:tc>
      </w:tr>
      <w:tr w:rsidR="009D44AB" w:rsidRPr="009D44AB" w:rsidTr="00CA5478">
        <w:tc>
          <w:tcPr>
            <w:tcW w:w="2401" w:type="pct"/>
            <w:gridSpan w:val="2"/>
          </w:tcPr>
          <w:p w:rsidR="009D44AB" w:rsidRPr="009D44AB" w:rsidRDefault="009D44AB" w:rsidP="00F1159C">
            <w:pPr>
              <w:rPr>
                <w:sz w:val="20"/>
              </w:rPr>
            </w:pPr>
            <w:r w:rsidRPr="009D44AB">
              <w:rPr>
                <w:sz w:val="20"/>
              </w:rPr>
              <w:t>October 15, 2019</w:t>
            </w:r>
          </w:p>
          <w:p w:rsidR="009D44AB" w:rsidRPr="009D44AB" w:rsidRDefault="009D44AB" w:rsidP="00F1159C">
            <w:pPr>
              <w:rPr>
                <w:sz w:val="20"/>
              </w:rPr>
            </w:pPr>
            <w:r w:rsidRPr="009D44AB">
              <w:rPr>
                <w:sz w:val="20"/>
              </w:rPr>
              <w:t>Supreme Court of Canada</w:t>
            </w:r>
          </w:p>
        </w:tc>
        <w:tc>
          <w:tcPr>
            <w:tcW w:w="246" w:type="pct"/>
          </w:tcPr>
          <w:p w:rsidR="009D44AB" w:rsidRPr="009D44AB" w:rsidRDefault="009D44AB" w:rsidP="00F1159C">
            <w:pPr>
              <w:rPr>
                <w:sz w:val="20"/>
              </w:rPr>
            </w:pPr>
          </w:p>
        </w:tc>
        <w:tc>
          <w:tcPr>
            <w:tcW w:w="2353" w:type="pct"/>
          </w:tcPr>
          <w:p w:rsidR="009D44AB" w:rsidRPr="009D44AB" w:rsidRDefault="009D44AB" w:rsidP="00F1159C">
            <w:pPr>
              <w:rPr>
                <w:sz w:val="20"/>
              </w:rPr>
            </w:pPr>
            <w:r w:rsidRPr="009D44AB">
              <w:rPr>
                <w:sz w:val="20"/>
              </w:rPr>
              <w:t>Motion for extension of time to serve and file application for leave to appeal and Application for leave to appeal filed</w:t>
            </w:r>
          </w:p>
        </w:tc>
      </w:tr>
    </w:tbl>
    <w:p w:rsidR="009D44AB" w:rsidRDefault="009D44AB" w:rsidP="00097BBF">
      <w:pPr>
        <w:rPr>
          <w:sz w:val="20"/>
        </w:rPr>
      </w:pPr>
    </w:p>
    <w:p w:rsidR="009D44AB" w:rsidRDefault="00BB65F4" w:rsidP="00097BBF">
      <w:pPr>
        <w:rPr>
          <w:sz w:val="20"/>
        </w:rPr>
      </w:pPr>
      <w:r>
        <w:rPr>
          <w:sz w:val="20"/>
        </w:rPr>
        <w:pict>
          <v:rect id="_x0000_i1035" style="width:2in;height:1pt" o:hrpct="0" o:hralign="center" o:hrstd="t" o:hrnoshade="t" o:hr="t" fillcolor="black [3213]" stroked="f"/>
        </w:pict>
      </w:r>
    </w:p>
    <w:p w:rsidR="009D44AB" w:rsidRPr="009D44AB" w:rsidRDefault="009D44AB" w:rsidP="00097BBF">
      <w:pPr>
        <w:rPr>
          <w:sz w:val="20"/>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16"/>
        <w:gridCol w:w="3492"/>
        <w:gridCol w:w="452"/>
        <w:gridCol w:w="4320"/>
      </w:tblGrid>
      <w:tr w:rsidR="009D44AB" w:rsidRPr="009D44AB" w:rsidTr="00CA5478">
        <w:tc>
          <w:tcPr>
            <w:tcW w:w="499" w:type="pct"/>
          </w:tcPr>
          <w:p w:rsidR="009D44AB" w:rsidRPr="009D44AB" w:rsidRDefault="009D44AB" w:rsidP="00EC76F0">
            <w:pPr>
              <w:rPr>
                <w:sz w:val="20"/>
                <w:lang w:val="fr-CA"/>
              </w:rPr>
            </w:pPr>
            <w:r w:rsidRPr="009D44AB">
              <w:rPr>
                <w:rStyle w:val="SCCFileNumberChar"/>
                <w:sz w:val="20"/>
                <w:szCs w:val="20"/>
                <w:lang w:val="fr-CA"/>
              </w:rPr>
              <w:t>38858</w:t>
            </w:r>
          </w:p>
        </w:tc>
        <w:tc>
          <w:tcPr>
            <w:tcW w:w="4501" w:type="pct"/>
            <w:gridSpan w:val="3"/>
          </w:tcPr>
          <w:p w:rsidR="009D44AB" w:rsidRPr="009D44AB" w:rsidRDefault="009D44AB" w:rsidP="009D44AB">
            <w:pPr>
              <w:pStyle w:val="SCCLsocParty"/>
              <w:jc w:val="left"/>
              <w:rPr>
                <w:b/>
                <w:sz w:val="20"/>
                <w:szCs w:val="20"/>
              </w:rPr>
            </w:pPr>
            <w:proofErr w:type="spellStart"/>
            <w:r w:rsidRPr="009D44AB">
              <w:rPr>
                <w:b/>
                <w:sz w:val="20"/>
                <w:szCs w:val="20"/>
              </w:rPr>
              <w:t>Ibata</w:t>
            </w:r>
            <w:proofErr w:type="spellEnd"/>
            <w:r w:rsidRPr="009D44AB">
              <w:rPr>
                <w:b/>
                <w:sz w:val="20"/>
                <w:szCs w:val="20"/>
              </w:rPr>
              <w:t xml:space="preserve"> </w:t>
            </w:r>
            <w:proofErr w:type="spellStart"/>
            <w:r w:rsidRPr="009D44AB">
              <w:rPr>
                <w:b/>
                <w:sz w:val="20"/>
                <w:szCs w:val="20"/>
              </w:rPr>
              <w:t>Noric</w:t>
            </w:r>
            <w:proofErr w:type="spellEnd"/>
            <w:r w:rsidRPr="009D44AB">
              <w:rPr>
                <w:b/>
                <w:sz w:val="20"/>
                <w:szCs w:val="20"/>
              </w:rPr>
              <w:t xml:space="preserve"> </w:t>
            </w:r>
            <w:proofErr w:type="spellStart"/>
            <w:r w:rsidRPr="009D44AB">
              <w:rPr>
                <w:b/>
                <w:sz w:val="20"/>
                <w:szCs w:val="20"/>
              </w:rPr>
              <w:t>Hexamer</w:t>
            </w:r>
            <w:proofErr w:type="spellEnd"/>
            <w:r w:rsidRPr="009D44AB">
              <w:rPr>
                <w:b/>
                <w:sz w:val="20"/>
                <w:szCs w:val="20"/>
              </w:rPr>
              <w:t xml:space="preserve"> c. Sa Majesté la Reine</w:t>
            </w:r>
          </w:p>
          <w:p w:rsidR="009D44AB" w:rsidRPr="009D44AB" w:rsidRDefault="009D44AB" w:rsidP="00EC76F0">
            <w:pPr>
              <w:rPr>
                <w:sz w:val="20"/>
                <w:lang w:val="fr-CA"/>
              </w:rPr>
            </w:pPr>
            <w:r w:rsidRPr="009D44AB">
              <w:rPr>
                <w:sz w:val="20"/>
                <w:lang w:val="fr-CA"/>
              </w:rPr>
              <w:t>(C.</w:t>
            </w:r>
            <w:r w:rsidRPr="009D44AB">
              <w:rPr>
                <w:sz w:val="20"/>
                <w:lang w:val="fr-CA"/>
              </w:rPr>
              <w:noBreakHyphen/>
              <w:t>B.) (Criminelle) (Autorisation)</w:t>
            </w:r>
          </w:p>
        </w:tc>
      </w:tr>
      <w:tr w:rsidR="009D44AB" w:rsidRPr="00EC12BA" w:rsidTr="00CA5478">
        <w:tc>
          <w:tcPr>
            <w:tcW w:w="5000" w:type="pct"/>
            <w:gridSpan w:val="4"/>
          </w:tcPr>
          <w:p w:rsidR="009D44AB" w:rsidRPr="009D44AB" w:rsidRDefault="009D44AB" w:rsidP="00EC76F0">
            <w:pPr>
              <w:rPr>
                <w:sz w:val="20"/>
                <w:lang w:val="fr-CA"/>
              </w:rPr>
            </w:pPr>
            <w:r w:rsidRPr="009D44AB">
              <w:rPr>
                <w:smallCaps/>
                <w:sz w:val="20"/>
                <w:lang w:val="fr-CA"/>
              </w:rPr>
              <w:t>(Ordonnance de non</w:t>
            </w:r>
            <w:r w:rsidRPr="009D44AB">
              <w:rPr>
                <w:smallCaps/>
                <w:sz w:val="20"/>
                <w:lang w:val="fr-CA"/>
              </w:rPr>
              <w:noBreakHyphen/>
              <w:t>publication dans le dossier</w:t>
            </w:r>
            <w:r w:rsidRPr="009D44AB">
              <w:rPr>
                <w:sz w:val="20"/>
                <w:lang w:val="fr-CA"/>
              </w:rPr>
              <w:t>)</w:t>
            </w:r>
          </w:p>
          <w:p w:rsidR="009D44AB" w:rsidRPr="009D44AB" w:rsidRDefault="009D44AB" w:rsidP="00EC76F0">
            <w:pPr>
              <w:rPr>
                <w:sz w:val="20"/>
                <w:lang w:val="fr-CA"/>
              </w:rPr>
            </w:pPr>
          </w:p>
          <w:p w:rsidR="009D44AB" w:rsidRPr="009D44AB" w:rsidRDefault="009D44AB" w:rsidP="00EC76F0">
            <w:pPr>
              <w:rPr>
                <w:sz w:val="20"/>
                <w:lang w:val="fr-CA"/>
              </w:rPr>
            </w:pPr>
            <w:r w:rsidRPr="009D44AB">
              <w:rPr>
                <w:sz w:val="20"/>
                <w:lang w:val="fr-CA"/>
              </w:rPr>
              <w:t>Droit criminel — Détermination de la peine — Procédures relatives au statut de délinquant dangereux — Peine d’une durée indéterminée — L’absence d’antécédents criminels du délinquant a</w:t>
            </w:r>
            <w:r w:rsidRPr="009D44AB">
              <w:rPr>
                <w:sz w:val="20"/>
                <w:lang w:val="fr-CA"/>
              </w:rPr>
              <w:noBreakHyphen/>
              <w:t>t</w:t>
            </w:r>
            <w:r w:rsidRPr="009D44AB">
              <w:rPr>
                <w:sz w:val="20"/>
                <w:lang w:val="fr-CA"/>
              </w:rPr>
              <w:noBreakHyphen/>
              <w:t>elle une application de fond pour statuer dans une procédure relative au statut de délinquant dangereux?</w:t>
            </w:r>
          </w:p>
        </w:tc>
      </w:tr>
      <w:tr w:rsidR="009D44AB" w:rsidRPr="00EC12BA" w:rsidTr="00CA5478">
        <w:tc>
          <w:tcPr>
            <w:tcW w:w="5000" w:type="pct"/>
            <w:gridSpan w:val="4"/>
          </w:tcPr>
          <w:p w:rsidR="009D44AB" w:rsidRPr="009D44AB" w:rsidRDefault="009D44AB" w:rsidP="00EC76F0">
            <w:pPr>
              <w:rPr>
                <w:sz w:val="20"/>
                <w:lang w:val="fr-CA"/>
              </w:rPr>
            </w:pPr>
          </w:p>
        </w:tc>
      </w:tr>
      <w:tr w:rsidR="009D44AB" w:rsidRPr="00EC12BA" w:rsidTr="00CA5478">
        <w:tc>
          <w:tcPr>
            <w:tcW w:w="5000" w:type="pct"/>
            <w:gridSpan w:val="4"/>
          </w:tcPr>
          <w:p w:rsidR="009D44AB" w:rsidRPr="009D44AB" w:rsidRDefault="009D44AB" w:rsidP="00EC76F0">
            <w:pPr>
              <w:rPr>
                <w:sz w:val="20"/>
                <w:lang w:val="fr-CA"/>
              </w:rPr>
            </w:pPr>
            <w:r w:rsidRPr="009D44AB">
              <w:rPr>
                <w:sz w:val="20"/>
                <w:lang w:val="fr-CA"/>
              </w:rPr>
              <w:t xml:space="preserve">Monsieur Hexamer a été déclaré coupable d’agression sexuelle, de trois chefs d’accusation d’agression sexuelle armée et de deux chefs d’accusation de séquestration relativement à trois incidents distincts. En 1995, il avait approché une adolescente âgée de treize ans. En 2007, il avait approché deux adolescentes âgées de quatorze ans. En 2009, il a approché une fillette âgée de six ans, un garçon âgé de douze ans et un adolescent âgé de quatorze ans. Lors de chacun des incidents, il a forcé ses victimes à la pointe d’un couteau à le suivre dans des endroits isolés. Il a eu des contacts sexuels avec les quatre victimes de sexe féminin et les a agressées sexuellement. Le ministère public </w:t>
            </w:r>
            <w:proofErr w:type="gramStart"/>
            <w:r w:rsidRPr="009D44AB">
              <w:rPr>
                <w:sz w:val="20"/>
                <w:lang w:val="fr-CA"/>
              </w:rPr>
              <w:t>a</w:t>
            </w:r>
            <w:proofErr w:type="gramEnd"/>
            <w:r w:rsidRPr="009D44AB">
              <w:rPr>
                <w:sz w:val="20"/>
                <w:lang w:val="fr-CA"/>
              </w:rPr>
              <w:t xml:space="preserve"> demandé que le demandeur soit déclaré délinquant dangereux. Le juge de la peine a accueilli la demande a infligé une peine d’une durée indéterminée. La Cour d’appel a rejeté un appel de la déclaration et de la peine.</w:t>
            </w:r>
          </w:p>
          <w:p w:rsidR="009D44AB" w:rsidRPr="009D44AB" w:rsidRDefault="009D44AB" w:rsidP="00EC76F0">
            <w:pPr>
              <w:rPr>
                <w:sz w:val="20"/>
                <w:lang w:val="fr-CA"/>
              </w:rPr>
            </w:pPr>
          </w:p>
        </w:tc>
      </w:tr>
      <w:tr w:rsidR="009D44AB" w:rsidRPr="00EC12BA" w:rsidTr="00CA5478">
        <w:tc>
          <w:tcPr>
            <w:tcW w:w="2401" w:type="pct"/>
            <w:gridSpan w:val="2"/>
          </w:tcPr>
          <w:p w:rsidR="009D44AB" w:rsidRPr="009D44AB" w:rsidRDefault="009D44AB" w:rsidP="00EC76F0">
            <w:pPr>
              <w:rPr>
                <w:sz w:val="20"/>
                <w:lang w:val="fr-CA"/>
              </w:rPr>
            </w:pPr>
            <w:r w:rsidRPr="009D44AB">
              <w:rPr>
                <w:sz w:val="20"/>
                <w:lang w:val="fr-CA"/>
              </w:rPr>
              <w:lastRenderedPageBreak/>
              <w:t>5 février 2016</w:t>
            </w:r>
          </w:p>
          <w:p w:rsidR="009D44AB" w:rsidRPr="009D44AB" w:rsidRDefault="009D44AB" w:rsidP="00EC76F0">
            <w:pPr>
              <w:rPr>
                <w:sz w:val="20"/>
                <w:lang w:val="fr-CA"/>
              </w:rPr>
            </w:pPr>
            <w:r w:rsidRPr="009D44AB">
              <w:rPr>
                <w:sz w:val="20"/>
                <w:lang w:val="fr-CA"/>
              </w:rPr>
              <w:t>Cour suprême de la Colombie</w:t>
            </w:r>
            <w:r w:rsidRPr="009D44AB">
              <w:rPr>
                <w:sz w:val="20"/>
                <w:lang w:val="fr-CA"/>
              </w:rPr>
              <w:noBreakHyphen/>
              <w:t>Britannique</w:t>
            </w:r>
          </w:p>
          <w:p w:rsidR="009D44AB" w:rsidRPr="009D44AB" w:rsidRDefault="009D44AB" w:rsidP="00EC76F0">
            <w:pPr>
              <w:rPr>
                <w:sz w:val="20"/>
                <w:lang w:val="fr-CA"/>
              </w:rPr>
            </w:pPr>
            <w:r w:rsidRPr="009D44AB">
              <w:rPr>
                <w:sz w:val="20"/>
                <w:lang w:val="fr-CA"/>
              </w:rPr>
              <w:t>(Juge Williams)</w:t>
            </w:r>
          </w:p>
          <w:p w:rsidR="009D44AB" w:rsidRPr="009D44AB" w:rsidRDefault="00BB65F4" w:rsidP="00EC76F0">
            <w:pPr>
              <w:rPr>
                <w:sz w:val="20"/>
                <w:lang w:val="fr-CA"/>
              </w:rPr>
            </w:pPr>
            <w:hyperlink r:id="rId34" w:history="1">
              <w:r w:rsidR="009D44AB" w:rsidRPr="009D44AB">
                <w:rPr>
                  <w:rStyle w:val="Hyperlink"/>
                  <w:sz w:val="20"/>
                  <w:lang w:val="fr-CA"/>
                </w:rPr>
                <w:t>2016 BCSC 185</w:t>
              </w:r>
            </w:hyperlink>
          </w:p>
          <w:p w:rsidR="009D44AB" w:rsidRPr="009D44AB" w:rsidRDefault="009D44AB" w:rsidP="00EC76F0">
            <w:pPr>
              <w:rPr>
                <w:sz w:val="20"/>
                <w:lang w:val="fr-CA"/>
              </w:rPr>
            </w:pPr>
          </w:p>
        </w:tc>
        <w:tc>
          <w:tcPr>
            <w:tcW w:w="246" w:type="pct"/>
          </w:tcPr>
          <w:p w:rsidR="009D44AB" w:rsidRPr="009D44AB" w:rsidRDefault="009D44AB" w:rsidP="00EC76F0">
            <w:pPr>
              <w:rPr>
                <w:sz w:val="20"/>
                <w:lang w:val="fr-CA"/>
              </w:rPr>
            </w:pPr>
          </w:p>
        </w:tc>
        <w:tc>
          <w:tcPr>
            <w:tcW w:w="2353" w:type="pct"/>
          </w:tcPr>
          <w:p w:rsidR="009D44AB" w:rsidRPr="009D44AB" w:rsidRDefault="009D44AB" w:rsidP="00EC76F0">
            <w:pPr>
              <w:rPr>
                <w:sz w:val="20"/>
                <w:lang w:val="fr-CA"/>
              </w:rPr>
            </w:pPr>
            <w:r w:rsidRPr="009D44AB">
              <w:rPr>
                <w:sz w:val="20"/>
                <w:lang w:val="fr-CA"/>
              </w:rPr>
              <w:t>Jugement accueillant la demande de déclaration de délinquant dangereux et d’une peine d’une durée indéterminée</w:t>
            </w:r>
          </w:p>
          <w:p w:rsidR="009D44AB" w:rsidRPr="009D44AB" w:rsidRDefault="009D44AB" w:rsidP="00EC76F0">
            <w:pPr>
              <w:rPr>
                <w:sz w:val="20"/>
                <w:lang w:val="fr-CA"/>
              </w:rPr>
            </w:pPr>
          </w:p>
        </w:tc>
      </w:tr>
      <w:tr w:rsidR="009D44AB" w:rsidRPr="009D44AB" w:rsidTr="00CA5478">
        <w:tc>
          <w:tcPr>
            <w:tcW w:w="2401" w:type="pct"/>
            <w:gridSpan w:val="2"/>
          </w:tcPr>
          <w:p w:rsidR="009D44AB" w:rsidRPr="009D44AB" w:rsidRDefault="009D44AB" w:rsidP="00EC76F0">
            <w:pPr>
              <w:rPr>
                <w:sz w:val="20"/>
                <w:lang w:val="fr-CA"/>
              </w:rPr>
            </w:pPr>
            <w:r w:rsidRPr="009D44AB">
              <w:rPr>
                <w:sz w:val="20"/>
                <w:lang w:val="fr-CA"/>
              </w:rPr>
              <w:t>2 août 2019</w:t>
            </w:r>
          </w:p>
          <w:p w:rsidR="009D44AB" w:rsidRPr="009D44AB" w:rsidRDefault="009D44AB" w:rsidP="00EC76F0">
            <w:pPr>
              <w:rPr>
                <w:sz w:val="20"/>
                <w:lang w:val="fr-CA"/>
              </w:rPr>
            </w:pPr>
            <w:r w:rsidRPr="009D44AB">
              <w:rPr>
                <w:sz w:val="20"/>
                <w:lang w:val="fr-CA"/>
              </w:rPr>
              <w:t>Cour d’appel de la Colombie</w:t>
            </w:r>
            <w:r w:rsidRPr="009D44AB">
              <w:rPr>
                <w:sz w:val="20"/>
                <w:lang w:val="fr-CA"/>
              </w:rPr>
              <w:noBreakHyphen/>
              <w:t xml:space="preserve">Britannique </w:t>
            </w:r>
          </w:p>
          <w:p w:rsidR="009D44AB" w:rsidRPr="009D44AB" w:rsidRDefault="009D44AB" w:rsidP="00EC76F0">
            <w:pPr>
              <w:rPr>
                <w:sz w:val="20"/>
                <w:lang w:val="fr-CA"/>
              </w:rPr>
            </w:pPr>
            <w:r w:rsidRPr="009D44AB">
              <w:rPr>
                <w:sz w:val="20"/>
                <w:lang w:val="fr-CA"/>
              </w:rPr>
              <w:t>(Vancouver)</w:t>
            </w:r>
          </w:p>
          <w:p w:rsidR="009D44AB" w:rsidRPr="009D44AB" w:rsidRDefault="009D44AB" w:rsidP="00EC76F0">
            <w:pPr>
              <w:rPr>
                <w:sz w:val="20"/>
                <w:lang w:val="fr-CA"/>
              </w:rPr>
            </w:pPr>
            <w:r w:rsidRPr="009D44AB">
              <w:rPr>
                <w:sz w:val="20"/>
                <w:lang w:val="fr-CA"/>
              </w:rPr>
              <w:t>(Juges Fitch, Hunter et Griffin)</w:t>
            </w:r>
          </w:p>
          <w:p w:rsidR="009D44AB" w:rsidRPr="009D44AB" w:rsidRDefault="00BB65F4" w:rsidP="00EC76F0">
            <w:pPr>
              <w:rPr>
                <w:sz w:val="20"/>
                <w:lang w:val="fr-CA"/>
              </w:rPr>
            </w:pPr>
            <w:hyperlink r:id="rId35" w:history="1">
              <w:r w:rsidR="009D44AB" w:rsidRPr="009D44AB">
                <w:rPr>
                  <w:rStyle w:val="Hyperlink"/>
                  <w:sz w:val="20"/>
                  <w:lang w:val="fr-CA"/>
                </w:rPr>
                <w:t>2019 BCCA 285</w:t>
              </w:r>
            </w:hyperlink>
            <w:r w:rsidR="009D44AB" w:rsidRPr="009D44AB">
              <w:rPr>
                <w:sz w:val="20"/>
                <w:lang w:val="fr-CA"/>
              </w:rPr>
              <w:t>; CA43881</w:t>
            </w:r>
          </w:p>
          <w:p w:rsidR="009D44AB" w:rsidRPr="009D44AB" w:rsidRDefault="009D44AB" w:rsidP="00EC76F0">
            <w:pPr>
              <w:rPr>
                <w:sz w:val="20"/>
                <w:lang w:val="fr-CA"/>
              </w:rPr>
            </w:pPr>
          </w:p>
        </w:tc>
        <w:tc>
          <w:tcPr>
            <w:tcW w:w="246" w:type="pct"/>
          </w:tcPr>
          <w:p w:rsidR="009D44AB" w:rsidRPr="009D44AB" w:rsidRDefault="009D44AB" w:rsidP="00EC76F0">
            <w:pPr>
              <w:rPr>
                <w:sz w:val="20"/>
                <w:lang w:val="fr-CA"/>
              </w:rPr>
            </w:pPr>
          </w:p>
        </w:tc>
        <w:tc>
          <w:tcPr>
            <w:tcW w:w="2353" w:type="pct"/>
          </w:tcPr>
          <w:p w:rsidR="009D44AB" w:rsidRPr="009D44AB" w:rsidRDefault="009D44AB" w:rsidP="00EC76F0">
            <w:pPr>
              <w:rPr>
                <w:sz w:val="20"/>
                <w:lang w:val="fr-CA"/>
              </w:rPr>
            </w:pPr>
            <w:r w:rsidRPr="009D44AB">
              <w:rPr>
                <w:sz w:val="20"/>
                <w:lang w:val="fr-CA"/>
              </w:rPr>
              <w:t>Rejet de l’appel</w:t>
            </w:r>
          </w:p>
          <w:p w:rsidR="009D44AB" w:rsidRPr="009D44AB" w:rsidRDefault="009D44AB" w:rsidP="00EC76F0">
            <w:pPr>
              <w:rPr>
                <w:sz w:val="20"/>
                <w:lang w:val="fr-CA"/>
              </w:rPr>
            </w:pPr>
          </w:p>
        </w:tc>
      </w:tr>
      <w:tr w:rsidR="009D44AB" w:rsidRPr="00EC12BA" w:rsidTr="00CA5478">
        <w:tc>
          <w:tcPr>
            <w:tcW w:w="2401" w:type="pct"/>
            <w:gridSpan w:val="2"/>
          </w:tcPr>
          <w:p w:rsidR="009D44AB" w:rsidRPr="009D44AB" w:rsidRDefault="009D44AB" w:rsidP="00EC76F0">
            <w:pPr>
              <w:rPr>
                <w:sz w:val="20"/>
                <w:lang w:val="fr-CA"/>
              </w:rPr>
            </w:pPr>
            <w:r w:rsidRPr="009D44AB">
              <w:rPr>
                <w:sz w:val="20"/>
                <w:lang w:val="fr-CA"/>
              </w:rPr>
              <w:t>15 octobre 2019</w:t>
            </w:r>
          </w:p>
          <w:p w:rsidR="009D44AB" w:rsidRPr="009D44AB" w:rsidRDefault="009D44AB" w:rsidP="00EC76F0">
            <w:pPr>
              <w:rPr>
                <w:sz w:val="20"/>
                <w:lang w:val="fr-CA"/>
              </w:rPr>
            </w:pPr>
            <w:r w:rsidRPr="009D44AB">
              <w:rPr>
                <w:sz w:val="20"/>
                <w:lang w:val="fr-CA"/>
              </w:rPr>
              <w:t>Cour suprême du Canada</w:t>
            </w:r>
          </w:p>
        </w:tc>
        <w:tc>
          <w:tcPr>
            <w:tcW w:w="246" w:type="pct"/>
          </w:tcPr>
          <w:p w:rsidR="009D44AB" w:rsidRPr="009D44AB" w:rsidRDefault="009D44AB" w:rsidP="00EC76F0">
            <w:pPr>
              <w:rPr>
                <w:sz w:val="20"/>
                <w:lang w:val="fr-CA"/>
              </w:rPr>
            </w:pPr>
          </w:p>
        </w:tc>
        <w:tc>
          <w:tcPr>
            <w:tcW w:w="2353" w:type="pct"/>
          </w:tcPr>
          <w:p w:rsidR="009D44AB" w:rsidRPr="009D44AB" w:rsidRDefault="009D44AB" w:rsidP="00EC76F0">
            <w:pPr>
              <w:rPr>
                <w:sz w:val="20"/>
                <w:lang w:val="fr-CA"/>
              </w:rPr>
            </w:pPr>
            <w:r w:rsidRPr="009D44AB">
              <w:rPr>
                <w:sz w:val="20"/>
                <w:lang w:val="fr-CA"/>
              </w:rPr>
              <w:t>Dépôt de la requête en prorogation du délai de signification et de dépôt de la demande d’autorisation d’appel et de la demande d’autorisation d’appel</w:t>
            </w:r>
          </w:p>
        </w:tc>
      </w:tr>
    </w:tbl>
    <w:p w:rsidR="009D44AB" w:rsidRPr="009D44AB" w:rsidRDefault="009D44AB" w:rsidP="00EC76F0">
      <w:pPr>
        <w:rPr>
          <w:sz w:val="20"/>
          <w:lang w:val="fr-CA"/>
        </w:rPr>
      </w:pPr>
    </w:p>
    <w:p w:rsidR="00977AF4" w:rsidRPr="009D44AB" w:rsidRDefault="00BB65F4" w:rsidP="006A22CA">
      <w:pPr>
        <w:ind w:left="142" w:hanging="142"/>
        <w:jc w:val="both"/>
        <w:rPr>
          <w:sz w:val="20"/>
          <w:lang w:val="fr-CA"/>
        </w:rPr>
      </w:pPr>
      <w:r>
        <w:rPr>
          <w:sz w:val="20"/>
        </w:rPr>
        <w:pict>
          <v:rect id="_x0000_i1036" style="width:2in;height:1pt" o:hrpct="0" o:hralign="center" o:hrstd="t" o:hrnoshade="t" o:hr="t" fillcolor="black [3213]" stroked="f"/>
        </w:pict>
      </w:r>
    </w:p>
    <w:p w:rsidR="00977AF4" w:rsidRPr="009D44AB" w:rsidRDefault="00977AF4" w:rsidP="006A22C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4AB" w:rsidRPr="009D44AB" w:rsidTr="00E95A6A">
        <w:tc>
          <w:tcPr>
            <w:tcW w:w="543" w:type="pct"/>
          </w:tcPr>
          <w:p w:rsidR="009D44AB" w:rsidRPr="009D44AB" w:rsidRDefault="009D44AB" w:rsidP="00F9479E">
            <w:pPr>
              <w:rPr>
                <w:sz w:val="20"/>
              </w:rPr>
            </w:pPr>
            <w:r w:rsidRPr="009D44AB">
              <w:rPr>
                <w:rStyle w:val="SCCFileNumberChar"/>
                <w:sz w:val="20"/>
                <w:szCs w:val="20"/>
              </w:rPr>
              <w:t>38574</w:t>
            </w:r>
          </w:p>
        </w:tc>
        <w:tc>
          <w:tcPr>
            <w:tcW w:w="4457" w:type="pct"/>
            <w:gridSpan w:val="3"/>
          </w:tcPr>
          <w:p w:rsidR="009D44AB" w:rsidRPr="009D44AB" w:rsidRDefault="009D44AB" w:rsidP="009D44AB">
            <w:pPr>
              <w:pStyle w:val="SCCLsocParty"/>
              <w:jc w:val="left"/>
              <w:rPr>
                <w:b/>
                <w:sz w:val="20"/>
                <w:szCs w:val="20"/>
                <w:lang w:val="en-US"/>
              </w:rPr>
            </w:pPr>
            <w:r w:rsidRPr="009D44AB">
              <w:rPr>
                <w:b/>
                <w:sz w:val="20"/>
                <w:szCs w:val="20"/>
                <w:lang w:val="en-US"/>
              </w:rPr>
              <w:t>Attorney General of Canada v. Corporation of the Canadian Civil Liberties Association</w:t>
            </w:r>
          </w:p>
          <w:p w:rsidR="009D44AB" w:rsidRPr="009D44AB" w:rsidRDefault="009D44AB">
            <w:pPr>
              <w:pStyle w:val="SCCLsocOtherPartySeparator"/>
              <w:rPr>
                <w:rFonts w:cs="Times New Roman"/>
                <w:sz w:val="20"/>
                <w:szCs w:val="20"/>
                <w:lang w:val="en-US"/>
              </w:rPr>
            </w:pPr>
            <w:r w:rsidRPr="009D44AB">
              <w:rPr>
                <w:rFonts w:cs="Times New Roman"/>
                <w:sz w:val="20"/>
                <w:szCs w:val="20"/>
                <w:lang w:val="en-US"/>
              </w:rPr>
              <w:t>- and -</w:t>
            </w:r>
          </w:p>
          <w:p w:rsidR="009D44AB" w:rsidRPr="009D44AB" w:rsidRDefault="009D44AB" w:rsidP="009D44AB">
            <w:pPr>
              <w:pStyle w:val="SCCLsocParty"/>
              <w:jc w:val="left"/>
              <w:rPr>
                <w:b/>
                <w:sz w:val="20"/>
                <w:szCs w:val="20"/>
                <w:lang w:val="en-US"/>
              </w:rPr>
            </w:pPr>
            <w:r w:rsidRPr="009D44AB">
              <w:rPr>
                <w:b/>
                <w:sz w:val="20"/>
                <w:szCs w:val="20"/>
                <w:lang w:val="en-US"/>
              </w:rPr>
              <w:t>Attorney General of Ontario</w:t>
            </w:r>
          </w:p>
          <w:p w:rsidR="009D44AB" w:rsidRPr="009D44AB" w:rsidRDefault="009D44AB">
            <w:pPr>
              <w:rPr>
                <w:sz w:val="20"/>
              </w:rPr>
            </w:pPr>
            <w:r w:rsidRPr="009D44AB">
              <w:rPr>
                <w:sz w:val="20"/>
              </w:rPr>
              <w:t>(Ont.) (Civil) (By Leave)</w:t>
            </w:r>
          </w:p>
        </w:tc>
      </w:tr>
      <w:tr w:rsidR="009D44AB" w:rsidRPr="009D44AB" w:rsidTr="00E95A6A">
        <w:tc>
          <w:tcPr>
            <w:tcW w:w="5000" w:type="pct"/>
            <w:gridSpan w:val="4"/>
          </w:tcPr>
          <w:p w:rsidR="009D44AB" w:rsidRPr="009D44AB" w:rsidRDefault="009D44AB" w:rsidP="00E9303C">
            <w:pPr>
              <w:rPr>
                <w:sz w:val="20"/>
              </w:rPr>
            </w:pPr>
            <w:r w:rsidRPr="009D44AB">
              <w:rPr>
                <w:sz w:val="20"/>
              </w:rPr>
              <w:t xml:space="preserve">Constitutional law – </w:t>
            </w:r>
            <w:r w:rsidRPr="009D44AB">
              <w:rPr>
                <w:i/>
                <w:sz w:val="20"/>
              </w:rPr>
              <w:t>Charter of Rights</w:t>
            </w:r>
            <w:r w:rsidRPr="009D44AB">
              <w:rPr>
                <w:sz w:val="20"/>
              </w:rPr>
              <w:t xml:space="preserve"> – Cruel and unusual punishment –  Right to life, liberty and security of the person – Administrative segregation – Sections 31-37 of the </w:t>
            </w:r>
            <w:r w:rsidRPr="009D44AB">
              <w:rPr>
                <w:i/>
                <w:sz w:val="20"/>
              </w:rPr>
              <w:t>Corrections and Conditional Release Act</w:t>
            </w:r>
            <w:r w:rsidRPr="009D44AB">
              <w:rPr>
                <w:sz w:val="20"/>
              </w:rPr>
              <w:t xml:space="preserve"> provides for scheme of administrative segregation of inmates – Whether ss. 31-37 of the </w:t>
            </w:r>
            <w:r w:rsidRPr="009D44AB">
              <w:rPr>
                <w:i/>
                <w:sz w:val="20"/>
              </w:rPr>
              <w:t>Corrections and Conditional Release Act</w:t>
            </w:r>
            <w:r w:rsidRPr="009D44AB">
              <w:rPr>
                <w:sz w:val="20"/>
              </w:rPr>
              <w:t xml:space="preserve"> are constitutional – What is the appropriate standard for determining whether a legislative regime is grossly disproportionate – Whether the reason and purpose of the treatment or punishment must be considered when conducting the s. 12 analysis – Whether the Ontario Court of Appeal erred in its application of the case law in determining the legislation violated s. 12 because of what it did not include – Whether the segregation of prisoners for their own protection contravenes ss. 11(</w:t>
            </w:r>
            <w:r w:rsidRPr="009D44AB">
              <w:rPr>
                <w:i/>
                <w:sz w:val="20"/>
              </w:rPr>
              <w:t>h</w:t>
            </w:r>
            <w:r w:rsidRPr="009D44AB">
              <w:rPr>
                <w:sz w:val="20"/>
              </w:rPr>
              <w:t xml:space="preserve">), 7 and 12 of the </w:t>
            </w:r>
            <w:r w:rsidRPr="009D44AB">
              <w:rPr>
                <w:i/>
                <w:sz w:val="20"/>
              </w:rPr>
              <w:t>Charter</w:t>
            </w:r>
            <w:r w:rsidRPr="009D44AB">
              <w:rPr>
                <w:sz w:val="20"/>
              </w:rPr>
              <w:t xml:space="preserve"> – </w:t>
            </w:r>
            <w:r w:rsidRPr="009D44AB">
              <w:rPr>
                <w:i/>
                <w:sz w:val="20"/>
              </w:rPr>
              <w:t>Corrections and Conditional Release Act</w:t>
            </w:r>
            <w:r w:rsidRPr="009D44AB">
              <w:rPr>
                <w:sz w:val="20"/>
              </w:rPr>
              <w:t>, S.C. 1992, c. 20.</w:t>
            </w:r>
          </w:p>
          <w:p w:rsidR="009D44AB" w:rsidRPr="009D44AB" w:rsidRDefault="009D44AB" w:rsidP="00E9303C">
            <w:pPr>
              <w:rPr>
                <w:sz w:val="20"/>
              </w:rPr>
            </w:pPr>
          </w:p>
          <w:p w:rsidR="009D44AB" w:rsidRPr="009D44AB" w:rsidRDefault="009D44AB" w:rsidP="00E9303C">
            <w:pPr>
              <w:rPr>
                <w:sz w:val="20"/>
              </w:rPr>
            </w:pPr>
            <w:r w:rsidRPr="009D44AB">
              <w:rPr>
                <w:sz w:val="20"/>
              </w:rPr>
              <w:t xml:space="preserve">Constitutional law – </w:t>
            </w:r>
            <w:r w:rsidRPr="009D44AB">
              <w:rPr>
                <w:i/>
                <w:sz w:val="20"/>
              </w:rPr>
              <w:t>Charter of Rights</w:t>
            </w:r>
            <w:r w:rsidRPr="009D44AB">
              <w:rPr>
                <w:sz w:val="20"/>
              </w:rPr>
              <w:t xml:space="preserve"> – Declarations of invalidity – Extensions – Whether the risk to personal safety created by a legislative vacuum must be taken into account on requests for extensions – Whether it is just and appropriate for courts to order conditional extensions without addressing the inability of parties to lawfully comply – Whether a court can order a condition which remedies a constitutional deficiency yet declare legislation invalid irrespective of implementation of the condition.</w:t>
            </w:r>
          </w:p>
          <w:p w:rsidR="009D44AB" w:rsidRPr="009D44AB" w:rsidRDefault="009D44AB" w:rsidP="00DD662E">
            <w:pPr>
              <w:rPr>
                <w:sz w:val="20"/>
              </w:rPr>
            </w:pPr>
          </w:p>
          <w:p w:rsidR="009D44AB" w:rsidRPr="009D44AB" w:rsidRDefault="009D44AB" w:rsidP="00E9303C">
            <w:pPr>
              <w:rPr>
                <w:sz w:val="20"/>
              </w:rPr>
            </w:pPr>
            <w:r w:rsidRPr="009D44AB">
              <w:rPr>
                <w:sz w:val="20"/>
              </w:rPr>
              <w:t xml:space="preserve">Federal legislation permitted the use of “administrative segregation” in penitentiaries across Canada to maintain safety and security or to conduct investigations. The applicant, Canadian Civil Liberties Association (“CCLA”) brought an application before the Ontario Superior Court of Justice arguing that ss. 31-37 of the </w:t>
            </w:r>
            <w:r w:rsidRPr="009D44AB">
              <w:rPr>
                <w:i/>
                <w:sz w:val="20"/>
              </w:rPr>
              <w:t>Corrections and Conditional Release Act</w:t>
            </w:r>
            <w:r w:rsidRPr="009D44AB">
              <w:rPr>
                <w:sz w:val="20"/>
              </w:rPr>
              <w:t>, S.C. 1992, c. 20, the legislative provisions authorizing administrative segregation, are unconstitutional.</w:t>
            </w:r>
          </w:p>
          <w:p w:rsidR="009D44AB" w:rsidRPr="009D44AB" w:rsidRDefault="009D44AB" w:rsidP="00E9303C">
            <w:pPr>
              <w:rPr>
                <w:sz w:val="20"/>
              </w:rPr>
            </w:pPr>
          </w:p>
          <w:p w:rsidR="009D44AB" w:rsidRPr="009D44AB" w:rsidRDefault="009D44AB" w:rsidP="00E9303C">
            <w:pPr>
              <w:rPr>
                <w:sz w:val="20"/>
              </w:rPr>
            </w:pPr>
            <w:r w:rsidRPr="009D44AB">
              <w:rPr>
                <w:sz w:val="20"/>
              </w:rPr>
              <w:t xml:space="preserve">The application judge found that the legislation authorizing administrative segregation violated s. 7 of the </w:t>
            </w:r>
            <w:r w:rsidRPr="009D44AB">
              <w:rPr>
                <w:i/>
                <w:sz w:val="20"/>
              </w:rPr>
              <w:t>Canadian Charter of Rights and Freedoms</w:t>
            </w:r>
            <w:r w:rsidRPr="009D44AB">
              <w:rPr>
                <w:sz w:val="20"/>
              </w:rPr>
              <w:t xml:space="preserve"> because it did not provide for an independent review of the decision to place an inmate in administrative segregation.  Sections 31-37 of the </w:t>
            </w:r>
            <w:r w:rsidRPr="009D44AB">
              <w:rPr>
                <w:i/>
                <w:sz w:val="20"/>
              </w:rPr>
              <w:t>CCRA</w:t>
            </w:r>
            <w:r w:rsidRPr="009D44AB">
              <w:rPr>
                <w:sz w:val="20"/>
              </w:rPr>
              <w:t xml:space="preserve"> were declared to be of no force and effect to the extent of the breach.  The declaration of invalidity was suspended for one year, until December 18, 2018, to provide Parliament time to enact an appropriate legislative response.</w:t>
            </w:r>
          </w:p>
          <w:p w:rsidR="009D44AB" w:rsidRPr="009D44AB" w:rsidRDefault="009D44AB" w:rsidP="00E9303C">
            <w:pPr>
              <w:rPr>
                <w:sz w:val="20"/>
              </w:rPr>
            </w:pPr>
          </w:p>
          <w:p w:rsidR="009D44AB" w:rsidRPr="009D44AB" w:rsidRDefault="009D44AB" w:rsidP="00E9303C">
            <w:pPr>
              <w:rPr>
                <w:sz w:val="20"/>
              </w:rPr>
            </w:pPr>
            <w:r w:rsidRPr="009D44AB">
              <w:rPr>
                <w:sz w:val="20"/>
              </w:rPr>
              <w:t>On appeal, the CCLA argued that ss. 31-37 also violated s. 12 and s. 11(</w:t>
            </w:r>
            <w:r w:rsidRPr="009D44AB">
              <w:rPr>
                <w:i/>
                <w:sz w:val="20"/>
              </w:rPr>
              <w:t>h</w:t>
            </w:r>
            <w:r w:rsidRPr="009D44AB">
              <w:rPr>
                <w:sz w:val="20"/>
              </w:rPr>
              <w:t xml:space="preserve">) of the </w:t>
            </w:r>
            <w:r w:rsidRPr="009D44AB">
              <w:rPr>
                <w:i/>
                <w:sz w:val="20"/>
              </w:rPr>
              <w:t>Charter</w:t>
            </w:r>
            <w:r w:rsidRPr="009D44AB">
              <w:rPr>
                <w:sz w:val="20"/>
              </w:rPr>
              <w:t>.  The CCLA also raised a new s. 7 argument seeking a broader declaration banning the practice entirely for certain inmates (those aged 18-</w:t>
            </w:r>
            <w:r w:rsidRPr="009D44AB">
              <w:rPr>
                <w:sz w:val="20"/>
              </w:rPr>
              <w:lastRenderedPageBreak/>
              <w:t>21, those with mental illness, and those placed in segregation for their own protection) and otherwise placing a cap of 15 consecutive days on administrative segregation for all inmates. The respondent, Attorney General of Canada (“AGC” or “Canada”) did not challenge the application judge’s s. 7 decision.  On November 21, 2018, the court reserved judgment.</w:t>
            </w:r>
          </w:p>
          <w:p w:rsidR="009D44AB" w:rsidRPr="009D44AB" w:rsidRDefault="009D44AB" w:rsidP="00E9303C">
            <w:pPr>
              <w:rPr>
                <w:sz w:val="20"/>
              </w:rPr>
            </w:pPr>
          </w:p>
          <w:p w:rsidR="009D44AB" w:rsidRPr="009D44AB" w:rsidRDefault="009D44AB" w:rsidP="00E9303C">
            <w:pPr>
              <w:rPr>
                <w:sz w:val="20"/>
              </w:rPr>
            </w:pPr>
            <w:r w:rsidRPr="009D44AB">
              <w:rPr>
                <w:sz w:val="20"/>
              </w:rPr>
              <w:t>On December 17, 2018, the Ontario Court of Appeal ordered that the suspension of the application judge’s declaration of invalidity be extended to April 30, 2019.</w:t>
            </w:r>
          </w:p>
          <w:p w:rsidR="009D44AB" w:rsidRPr="009D44AB" w:rsidRDefault="009D44AB" w:rsidP="00E9303C">
            <w:pPr>
              <w:rPr>
                <w:sz w:val="20"/>
              </w:rPr>
            </w:pPr>
          </w:p>
          <w:p w:rsidR="009D44AB" w:rsidRPr="009D44AB" w:rsidRDefault="009D44AB" w:rsidP="00E9303C">
            <w:pPr>
              <w:rPr>
                <w:sz w:val="20"/>
              </w:rPr>
            </w:pPr>
            <w:r w:rsidRPr="009D44AB">
              <w:rPr>
                <w:sz w:val="20"/>
              </w:rPr>
              <w:t xml:space="preserve">On March 28, 2019, the Court of Appeal rendered its decision and held that prolonged administrative segregation of any inmate, which is segregation for more than 15 consecutive days, does not survive constitutional scrutiny under s. 12 of the </w:t>
            </w:r>
            <w:r w:rsidRPr="009D44AB">
              <w:rPr>
                <w:i/>
                <w:sz w:val="20"/>
              </w:rPr>
              <w:t>Charter</w:t>
            </w:r>
            <w:r w:rsidRPr="009D44AB">
              <w:rPr>
                <w:sz w:val="20"/>
              </w:rPr>
              <w:t xml:space="preserve">.  Therefore, ss. 31-37 of the </w:t>
            </w:r>
            <w:r w:rsidRPr="009D44AB">
              <w:rPr>
                <w:i/>
                <w:sz w:val="20"/>
              </w:rPr>
              <w:t>CCRA</w:t>
            </w:r>
            <w:r w:rsidRPr="009D44AB">
              <w:rPr>
                <w:sz w:val="20"/>
              </w:rPr>
              <w:t xml:space="preserve"> was also found to infringe s. 12 and the infringement was not justified under s. 1.  The provisions were of no force and effect to the extent of the violation and the declaration was to take effect 15 days from the date of the judgment.</w:t>
            </w:r>
          </w:p>
          <w:p w:rsidR="009D44AB" w:rsidRPr="009D44AB" w:rsidRDefault="009D44AB" w:rsidP="00E9303C">
            <w:pPr>
              <w:rPr>
                <w:sz w:val="20"/>
              </w:rPr>
            </w:pPr>
          </w:p>
          <w:p w:rsidR="009D44AB" w:rsidRPr="009D44AB" w:rsidRDefault="009D44AB" w:rsidP="00523F3C">
            <w:pPr>
              <w:rPr>
                <w:sz w:val="20"/>
              </w:rPr>
            </w:pPr>
            <w:r w:rsidRPr="009D44AB">
              <w:rPr>
                <w:sz w:val="20"/>
              </w:rPr>
              <w:t xml:space="preserve">On October 16, 2018, the House of Commons introduced Bill C-83, </w:t>
            </w:r>
            <w:r w:rsidRPr="009D44AB">
              <w:rPr>
                <w:i/>
                <w:sz w:val="20"/>
              </w:rPr>
              <w:t>An Act to amend the Corrections and Conditional Release Act and another Act</w:t>
            </w:r>
            <w:r w:rsidRPr="009D44AB">
              <w:rPr>
                <w:sz w:val="20"/>
              </w:rPr>
              <w:t>, which amends ss. 31-37 of the</w:t>
            </w:r>
            <w:r w:rsidRPr="009D44AB">
              <w:rPr>
                <w:i/>
                <w:sz w:val="20"/>
              </w:rPr>
              <w:t xml:space="preserve"> CCRA</w:t>
            </w:r>
            <w:r w:rsidRPr="009D44AB">
              <w:rPr>
                <w:sz w:val="20"/>
              </w:rPr>
              <w:t xml:space="preserve">. The Bill received Royal Assent on June 21, 2019 and the new provisions which are replacing ss. 31-37 of the </w:t>
            </w:r>
            <w:r w:rsidRPr="009D44AB">
              <w:rPr>
                <w:i/>
                <w:sz w:val="20"/>
              </w:rPr>
              <w:t>CCRA</w:t>
            </w:r>
            <w:r w:rsidRPr="009D44AB">
              <w:rPr>
                <w:sz w:val="20"/>
              </w:rPr>
              <w:t xml:space="preserve"> came into force on November 30, 2019. </w:t>
            </w:r>
          </w:p>
        </w:tc>
      </w:tr>
      <w:tr w:rsidR="009D44AB" w:rsidRPr="009D44AB" w:rsidTr="00E95A6A">
        <w:tc>
          <w:tcPr>
            <w:tcW w:w="5000" w:type="pct"/>
            <w:gridSpan w:val="4"/>
          </w:tcPr>
          <w:p w:rsidR="009D44AB" w:rsidRPr="009D44AB" w:rsidRDefault="009D44AB" w:rsidP="00C01DCD">
            <w:pPr>
              <w:rPr>
                <w:sz w:val="20"/>
              </w:rPr>
            </w:pPr>
          </w:p>
        </w:tc>
      </w:tr>
      <w:tr w:rsidR="009D44AB" w:rsidRPr="009D44AB" w:rsidTr="00E95A6A">
        <w:tc>
          <w:tcPr>
            <w:tcW w:w="2427" w:type="pct"/>
            <w:gridSpan w:val="2"/>
          </w:tcPr>
          <w:p w:rsidR="009D44AB" w:rsidRPr="009D44AB" w:rsidRDefault="009D44AB" w:rsidP="00E9303C">
            <w:pPr>
              <w:rPr>
                <w:sz w:val="20"/>
              </w:rPr>
            </w:pPr>
            <w:r w:rsidRPr="009D44AB">
              <w:rPr>
                <w:sz w:val="20"/>
              </w:rPr>
              <w:t>December 18, 2017</w:t>
            </w:r>
          </w:p>
          <w:p w:rsidR="009D44AB" w:rsidRPr="009D44AB" w:rsidRDefault="009D44AB" w:rsidP="00E9303C">
            <w:pPr>
              <w:rPr>
                <w:sz w:val="20"/>
              </w:rPr>
            </w:pPr>
            <w:r w:rsidRPr="009D44AB">
              <w:rPr>
                <w:sz w:val="20"/>
              </w:rPr>
              <w:t>Ontario Superior Court of Justice</w:t>
            </w:r>
          </w:p>
          <w:p w:rsidR="009D44AB" w:rsidRPr="009D44AB" w:rsidRDefault="009D44AB" w:rsidP="00E9303C">
            <w:pPr>
              <w:rPr>
                <w:sz w:val="20"/>
              </w:rPr>
            </w:pPr>
            <w:r w:rsidRPr="009D44AB">
              <w:rPr>
                <w:sz w:val="20"/>
              </w:rPr>
              <w:t>(</w:t>
            </w:r>
            <w:proofErr w:type="spellStart"/>
            <w:r w:rsidRPr="009D44AB">
              <w:rPr>
                <w:sz w:val="20"/>
              </w:rPr>
              <w:t>Marrocco</w:t>
            </w:r>
            <w:proofErr w:type="spellEnd"/>
            <w:r w:rsidRPr="009D44AB">
              <w:rPr>
                <w:sz w:val="20"/>
              </w:rPr>
              <w:t xml:space="preserve"> A.C.J.)</w:t>
            </w:r>
          </w:p>
          <w:p w:rsidR="009D44AB" w:rsidRPr="009D44AB" w:rsidRDefault="00BB65F4" w:rsidP="00E9303C">
            <w:pPr>
              <w:rPr>
                <w:sz w:val="20"/>
              </w:rPr>
            </w:pPr>
            <w:hyperlink r:id="rId36" w:history="1">
              <w:r w:rsidR="009D44AB" w:rsidRPr="009D44AB">
                <w:rPr>
                  <w:rStyle w:val="Hyperlink"/>
                  <w:sz w:val="20"/>
                </w:rPr>
                <w:t>2017 ONSC 7491</w:t>
              </w:r>
            </w:hyperlink>
            <w:r w:rsidR="009D44AB" w:rsidRPr="009D44AB">
              <w:rPr>
                <w:sz w:val="20"/>
              </w:rPr>
              <w:t>; CV-15-520661</w:t>
            </w:r>
          </w:p>
          <w:p w:rsidR="009D44AB" w:rsidRPr="009D44AB" w:rsidRDefault="009D44AB">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pPr>
              <w:rPr>
                <w:sz w:val="20"/>
              </w:rPr>
            </w:pPr>
            <w:r w:rsidRPr="009D44AB">
              <w:rPr>
                <w:sz w:val="20"/>
              </w:rPr>
              <w:t xml:space="preserve">Sections 31 to 37 of the </w:t>
            </w:r>
            <w:r w:rsidRPr="009D44AB">
              <w:rPr>
                <w:i/>
                <w:sz w:val="20"/>
              </w:rPr>
              <w:t>Corrections and Conditional Release Act</w:t>
            </w:r>
            <w:r w:rsidRPr="009D44AB">
              <w:rPr>
                <w:sz w:val="20"/>
              </w:rPr>
              <w:t xml:space="preserve"> violates s. 7 of the </w:t>
            </w:r>
            <w:r w:rsidRPr="009D44AB">
              <w:rPr>
                <w:i/>
                <w:sz w:val="20"/>
              </w:rPr>
              <w:t>Charter</w:t>
            </w:r>
            <w:r w:rsidRPr="009D44AB">
              <w:rPr>
                <w:sz w:val="20"/>
              </w:rPr>
              <w:t xml:space="preserve"> and are not saved by s. 1; declaration of invalidity suspended for 12 months</w:t>
            </w:r>
          </w:p>
          <w:p w:rsidR="009D44AB" w:rsidRPr="009D44AB" w:rsidRDefault="009D44AB">
            <w:pPr>
              <w:rPr>
                <w:sz w:val="20"/>
              </w:rPr>
            </w:pPr>
          </w:p>
        </w:tc>
      </w:tr>
      <w:tr w:rsidR="009D44AB" w:rsidRPr="009D44AB" w:rsidTr="00E95A6A">
        <w:tc>
          <w:tcPr>
            <w:tcW w:w="2427" w:type="pct"/>
            <w:gridSpan w:val="2"/>
          </w:tcPr>
          <w:p w:rsidR="009D44AB" w:rsidRPr="009D44AB" w:rsidRDefault="009D44AB" w:rsidP="00E9303C">
            <w:pPr>
              <w:rPr>
                <w:sz w:val="20"/>
              </w:rPr>
            </w:pPr>
            <w:r w:rsidRPr="009D44AB">
              <w:rPr>
                <w:sz w:val="20"/>
              </w:rPr>
              <w:t>December 17, 2018</w:t>
            </w:r>
          </w:p>
          <w:p w:rsidR="009D44AB" w:rsidRPr="009D44AB" w:rsidRDefault="009D44AB" w:rsidP="00E9303C">
            <w:pPr>
              <w:rPr>
                <w:sz w:val="20"/>
              </w:rPr>
            </w:pPr>
            <w:r w:rsidRPr="009D44AB">
              <w:rPr>
                <w:sz w:val="20"/>
              </w:rPr>
              <w:t>Court of Appeal for Ontario</w:t>
            </w:r>
          </w:p>
          <w:p w:rsidR="009D44AB" w:rsidRPr="009D44AB" w:rsidRDefault="009D44AB" w:rsidP="00E9303C">
            <w:pPr>
              <w:rPr>
                <w:sz w:val="20"/>
              </w:rPr>
            </w:pPr>
            <w:r w:rsidRPr="009D44AB">
              <w:rPr>
                <w:sz w:val="20"/>
              </w:rPr>
              <w:t xml:space="preserve">(Strathy C.J.O., </w:t>
            </w:r>
            <w:proofErr w:type="spellStart"/>
            <w:r w:rsidRPr="009D44AB">
              <w:rPr>
                <w:sz w:val="20"/>
              </w:rPr>
              <w:t>Benotto</w:t>
            </w:r>
            <w:proofErr w:type="spellEnd"/>
            <w:r w:rsidRPr="009D44AB">
              <w:rPr>
                <w:sz w:val="20"/>
              </w:rPr>
              <w:t xml:space="preserve"> and Roberts JJ.A.)</w:t>
            </w:r>
          </w:p>
          <w:p w:rsidR="009D44AB" w:rsidRPr="009D44AB" w:rsidRDefault="00BB65F4" w:rsidP="00E9303C">
            <w:pPr>
              <w:rPr>
                <w:sz w:val="20"/>
              </w:rPr>
            </w:pPr>
            <w:hyperlink r:id="rId37" w:history="1">
              <w:r w:rsidR="009D44AB" w:rsidRPr="009D44AB">
                <w:rPr>
                  <w:rStyle w:val="Hyperlink"/>
                  <w:sz w:val="20"/>
                </w:rPr>
                <w:t>2018 ONCA 1038</w:t>
              </w:r>
            </w:hyperlink>
            <w:r w:rsidR="009D44AB" w:rsidRPr="009D44AB">
              <w:rPr>
                <w:sz w:val="20"/>
              </w:rPr>
              <w:t>; M49819 (C64841)</w:t>
            </w:r>
          </w:p>
          <w:p w:rsidR="009D44AB" w:rsidRPr="009D44AB" w:rsidRDefault="009D44AB" w:rsidP="00E9303C">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pPr>
              <w:rPr>
                <w:sz w:val="20"/>
              </w:rPr>
            </w:pPr>
            <w:r w:rsidRPr="009D44AB">
              <w:rPr>
                <w:sz w:val="20"/>
              </w:rPr>
              <w:t>Declaration of invalidity extended to April 30, 2019</w:t>
            </w:r>
          </w:p>
        </w:tc>
      </w:tr>
      <w:tr w:rsidR="009D44AB" w:rsidRPr="009D44AB" w:rsidTr="00E95A6A">
        <w:tc>
          <w:tcPr>
            <w:tcW w:w="2427" w:type="pct"/>
            <w:gridSpan w:val="2"/>
          </w:tcPr>
          <w:p w:rsidR="009D44AB" w:rsidRPr="009D44AB" w:rsidRDefault="009D44AB" w:rsidP="00DD662E">
            <w:pPr>
              <w:rPr>
                <w:sz w:val="20"/>
              </w:rPr>
            </w:pPr>
            <w:r w:rsidRPr="009D44AB">
              <w:rPr>
                <w:sz w:val="20"/>
              </w:rPr>
              <w:t>March 28, 2019</w:t>
            </w:r>
          </w:p>
          <w:p w:rsidR="009D44AB" w:rsidRPr="009D44AB" w:rsidRDefault="009D44AB" w:rsidP="00DD662E">
            <w:pPr>
              <w:rPr>
                <w:sz w:val="20"/>
              </w:rPr>
            </w:pPr>
            <w:r w:rsidRPr="009D44AB">
              <w:rPr>
                <w:sz w:val="20"/>
              </w:rPr>
              <w:t>Court of Appeal for Ontario</w:t>
            </w:r>
          </w:p>
          <w:p w:rsidR="009D44AB" w:rsidRPr="009D44AB" w:rsidRDefault="009D44AB" w:rsidP="00DD662E">
            <w:pPr>
              <w:rPr>
                <w:sz w:val="20"/>
              </w:rPr>
            </w:pPr>
            <w:r w:rsidRPr="009D44AB">
              <w:rPr>
                <w:sz w:val="20"/>
              </w:rPr>
              <w:t xml:space="preserve">(Strathy C.J.O., </w:t>
            </w:r>
            <w:proofErr w:type="spellStart"/>
            <w:r w:rsidRPr="009D44AB">
              <w:rPr>
                <w:sz w:val="20"/>
              </w:rPr>
              <w:t>Benotto</w:t>
            </w:r>
            <w:proofErr w:type="spellEnd"/>
            <w:r w:rsidRPr="009D44AB">
              <w:rPr>
                <w:sz w:val="20"/>
              </w:rPr>
              <w:t xml:space="preserve"> and Roberts JJ.A.)</w:t>
            </w:r>
          </w:p>
          <w:p w:rsidR="009D44AB" w:rsidRPr="009D44AB" w:rsidRDefault="00BB65F4" w:rsidP="00DD662E">
            <w:pPr>
              <w:rPr>
                <w:sz w:val="20"/>
              </w:rPr>
            </w:pPr>
            <w:hyperlink r:id="rId38" w:history="1">
              <w:r w:rsidR="009D44AB" w:rsidRPr="009D44AB">
                <w:rPr>
                  <w:rStyle w:val="Hyperlink"/>
                  <w:sz w:val="20"/>
                </w:rPr>
                <w:t>2019 ONCA 243</w:t>
              </w:r>
            </w:hyperlink>
            <w:r w:rsidR="009D44AB" w:rsidRPr="009D44AB">
              <w:rPr>
                <w:sz w:val="20"/>
              </w:rPr>
              <w:t>; C64841</w:t>
            </w:r>
          </w:p>
          <w:p w:rsidR="009D44AB" w:rsidRPr="009D44AB" w:rsidRDefault="009D44AB" w:rsidP="00E9303C">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rsidP="00DD662E">
            <w:pPr>
              <w:rPr>
                <w:sz w:val="20"/>
              </w:rPr>
            </w:pPr>
            <w:r w:rsidRPr="009D44AB">
              <w:rPr>
                <w:sz w:val="20"/>
              </w:rPr>
              <w:t xml:space="preserve">Appeal allowed in part; Administrative segregation of longer than 15 consecutive days violates s. 12 of the </w:t>
            </w:r>
            <w:r w:rsidRPr="009D44AB">
              <w:rPr>
                <w:i/>
                <w:sz w:val="20"/>
              </w:rPr>
              <w:t>Charter</w:t>
            </w:r>
            <w:r w:rsidRPr="009D44AB">
              <w:rPr>
                <w:sz w:val="20"/>
              </w:rPr>
              <w:t xml:space="preserve"> and is not saved by s. 1; declaration of invalidity to take effect 15 days from the date of the judgment</w:t>
            </w:r>
          </w:p>
          <w:p w:rsidR="009D44AB" w:rsidRPr="009D44AB" w:rsidRDefault="009D44AB">
            <w:pPr>
              <w:rPr>
                <w:sz w:val="20"/>
              </w:rPr>
            </w:pPr>
          </w:p>
        </w:tc>
      </w:tr>
      <w:tr w:rsidR="009D44AB" w:rsidRPr="009D44AB" w:rsidTr="00E95A6A">
        <w:tc>
          <w:tcPr>
            <w:tcW w:w="2427" w:type="pct"/>
            <w:gridSpan w:val="2"/>
          </w:tcPr>
          <w:p w:rsidR="009D44AB" w:rsidRPr="009D44AB" w:rsidRDefault="009D44AB" w:rsidP="00DD662E">
            <w:pPr>
              <w:rPr>
                <w:sz w:val="20"/>
              </w:rPr>
            </w:pPr>
            <w:r w:rsidRPr="009D44AB">
              <w:rPr>
                <w:sz w:val="20"/>
              </w:rPr>
              <w:t>April 26, 2019</w:t>
            </w:r>
          </w:p>
          <w:p w:rsidR="009D44AB" w:rsidRPr="009D44AB" w:rsidRDefault="009D44AB" w:rsidP="00DD662E">
            <w:pPr>
              <w:rPr>
                <w:sz w:val="20"/>
              </w:rPr>
            </w:pPr>
            <w:r w:rsidRPr="009D44AB">
              <w:rPr>
                <w:sz w:val="20"/>
              </w:rPr>
              <w:t>Court of Appeal for Ontario</w:t>
            </w:r>
          </w:p>
          <w:p w:rsidR="009D44AB" w:rsidRPr="009D44AB" w:rsidRDefault="009D44AB" w:rsidP="00DD662E">
            <w:pPr>
              <w:rPr>
                <w:sz w:val="20"/>
              </w:rPr>
            </w:pPr>
            <w:r w:rsidRPr="009D44AB">
              <w:rPr>
                <w:sz w:val="20"/>
              </w:rPr>
              <w:t xml:space="preserve">(Strathy C.J.O., </w:t>
            </w:r>
            <w:proofErr w:type="spellStart"/>
            <w:r w:rsidRPr="009D44AB">
              <w:rPr>
                <w:sz w:val="20"/>
              </w:rPr>
              <w:t>Benotto</w:t>
            </w:r>
            <w:proofErr w:type="spellEnd"/>
            <w:r w:rsidRPr="009D44AB">
              <w:rPr>
                <w:sz w:val="20"/>
              </w:rPr>
              <w:t xml:space="preserve"> and Roberts JJ.A.)</w:t>
            </w:r>
          </w:p>
          <w:p w:rsidR="009D44AB" w:rsidRPr="009D44AB" w:rsidRDefault="00BB65F4" w:rsidP="00DD662E">
            <w:pPr>
              <w:rPr>
                <w:sz w:val="20"/>
              </w:rPr>
            </w:pPr>
            <w:hyperlink r:id="rId39" w:history="1">
              <w:r w:rsidR="009D44AB" w:rsidRPr="009D44AB">
                <w:rPr>
                  <w:rStyle w:val="Hyperlink"/>
                  <w:sz w:val="20"/>
                </w:rPr>
                <w:t>2019 ONCA 342</w:t>
              </w:r>
            </w:hyperlink>
            <w:r w:rsidR="009D44AB" w:rsidRPr="009D44AB">
              <w:rPr>
                <w:sz w:val="20"/>
              </w:rPr>
              <w:t>; M50316 (C64841)</w:t>
            </w:r>
          </w:p>
          <w:p w:rsidR="009D44AB" w:rsidRPr="009D44AB" w:rsidRDefault="009D44AB" w:rsidP="00E9303C">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rsidP="00E9303C">
            <w:pPr>
              <w:rPr>
                <w:sz w:val="20"/>
              </w:rPr>
            </w:pPr>
            <w:r w:rsidRPr="009D44AB">
              <w:rPr>
                <w:sz w:val="20"/>
              </w:rPr>
              <w:t>Suspension of declaration of invalidity extended to June 17, 2019</w:t>
            </w:r>
          </w:p>
        </w:tc>
      </w:tr>
      <w:tr w:rsidR="009D44AB" w:rsidRPr="009D44AB" w:rsidTr="00E95A6A">
        <w:tc>
          <w:tcPr>
            <w:tcW w:w="2427" w:type="pct"/>
            <w:gridSpan w:val="2"/>
          </w:tcPr>
          <w:p w:rsidR="009D44AB" w:rsidRPr="009D44AB" w:rsidRDefault="009D44AB" w:rsidP="00DD662E">
            <w:pPr>
              <w:rPr>
                <w:sz w:val="20"/>
              </w:rPr>
            </w:pPr>
            <w:r w:rsidRPr="009D44AB">
              <w:rPr>
                <w:sz w:val="20"/>
              </w:rPr>
              <w:t>May 27, 2019</w:t>
            </w:r>
          </w:p>
          <w:p w:rsidR="009D44AB" w:rsidRPr="009D44AB" w:rsidRDefault="009D44AB" w:rsidP="00DD662E">
            <w:pPr>
              <w:rPr>
                <w:sz w:val="20"/>
              </w:rPr>
            </w:pPr>
            <w:r w:rsidRPr="009D44AB">
              <w:rPr>
                <w:sz w:val="20"/>
              </w:rPr>
              <w:t>Supreme Court of Canada</w:t>
            </w:r>
          </w:p>
          <w:p w:rsidR="009D44AB" w:rsidRPr="009D44AB" w:rsidRDefault="009D44AB" w:rsidP="00A414F4">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rsidP="00DD662E">
            <w:pPr>
              <w:rPr>
                <w:sz w:val="20"/>
              </w:rPr>
            </w:pPr>
            <w:r w:rsidRPr="009D44AB">
              <w:rPr>
                <w:sz w:val="20"/>
              </w:rPr>
              <w:t>Application for leave to appeal filed (First application)</w:t>
            </w:r>
          </w:p>
          <w:p w:rsidR="009D44AB" w:rsidRPr="009D44AB" w:rsidRDefault="009D44AB" w:rsidP="006F4C2D">
            <w:pPr>
              <w:rPr>
                <w:sz w:val="20"/>
              </w:rPr>
            </w:pPr>
          </w:p>
        </w:tc>
      </w:tr>
      <w:tr w:rsidR="009D44AB" w:rsidRPr="009D44AB" w:rsidTr="00E95A6A">
        <w:tc>
          <w:tcPr>
            <w:tcW w:w="2427" w:type="pct"/>
            <w:gridSpan w:val="2"/>
          </w:tcPr>
          <w:p w:rsidR="009D44AB" w:rsidRPr="009D44AB" w:rsidRDefault="009D44AB" w:rsidP="00DD662E">
            <w:pPr>
              <w:rPr>
                <w:sz w:val="20"/>
              </w:rPr>
            </w:pPr>
            <w:r w:rsidRPr="009D44AB">
              <w:rPr>
                <w:sz w:val="20"/>
              </w:rPr>
              <w:t>June 24, 2019</w:t>
            </w:r>
          </w:p>
          <w:p w:rsidR="009D44AB" w:rsidRPr="009D44AB" w:rsidRDefault="009D44AB" w:rsidP="00DD662E">
            <w:pPr>
              <w:rPr>
                <w:sz w:val="20"/>
              </w:rPr>
            </w:pPr>
            <w:r w:rsidRPr="009D44AB">
              <w:rPr>
                <w:sz w:val="20"/>
              </w:rPr>
              <w:t>Supreme Court of Canada</w:t>
            </w:r>
          </w:p>
          <w:p w:rsidR="009D44AB" w:rsidRPr="009D44AB" w:rsidRDefault="009D44AB" w:rsidP="00A414F4">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rsidP="006F4C2D">
            <w:pPr>
              <w:rPr>
                <w:sz w:val="20"/>
              </w:rPr>
            </w:pPr>
            <w:r w:rsidRPr="009D44AB">
              <w:rPr>
                <w:sz w:val="20"/>
              </w:rPr>
              <w:t>Application for leave to appeal filed (Second application)</w:t>
            </w:r>
          </w:p>
        </w:tc>
      </w:tr>
      <w:tr w:rsidR="009D44AB" w:rsidRPr="009D44AB" w:rsidTr="00E95A6A">
        <w:tc>
          <w:tcPr>
            <w:tcW w:w="2427" w:type="pct"/>
            <w:gridSpan w:val="2"/>
          </w:tcPr>
          <w:p w:rsidR="009D44AB" w:rsidRPr="009D44AB" w:rsidRDefault="009D44AB" w:rsidP="00DD662E">
            <w:pPr>
              <w:rPr>
                <w:sz w:val="20"/>
              </w:rPr>
            </w:pPr>
            <w:r w:rsidRPr="009D44AB">
              <w:rPr>
                <w:sz w:val="20"/>
              </w:rPr>
              <w:t>June 26, 2019</w:t>
            </w:r>
          </w:p>
          <w:p w:rsidR="009D44AB" w:rsidRPr="009D44AB" w:rsidRDefault="009D44AB" w:rsidP="00DD662E">
            <w:pPr>
              <w:rPr>
                <w:sz w:val="20"/>
              </w:rPr>
            </w:pPr>
            <w:r w:rsidRPr="009D44AB">
              <w:rPr>
                <w:sz w:val="20"/>
              </w:rPr>
              <w:t>Supreme Court of Canada</w:t>
            </w:r>
          </w:p>
        </w:tc>
        <w:tc>
          <w:tcPr>
            <w:tcW w:w="243" w:type="pct"/>
          </w:tcPr>
          <w:p w:rsidR="009D44AB" w:rsidRPr="009D44AB" w:rsidRDefault="009D44AB" w:rsidP="00F9479E">
            <w:pPr>
              <w:rPr>
                <w:sz w:val="20"/>
              </w:rPr>
            </w:pPr>
          </w:p>
        </w:tc>
        <w:tc>
          <w:tcPr>
            <w:tcW w:w="2330" w:type="pct"/>
          </w:tcPr>
          <w:p w:rsidR="009D44AB" w:rsidRPr="009D44AB" w:rsidRDefault="009D44AB" w:rsidP="006F4C2D">
            <w:pPr>
              <w:rPr>
                <w:sz w:val="20"/>
              </w:rPr>
            </w:pPr>
            <w:r w:rsidRPr="009D44AB">
              <w:rPr>
                <w:sz w:val="20"/>
              </w:rPr>
              <w:t>Application for leave to cross-appeal filed (First application)</w:t>
            </w:r>
          </w:p>
        </w:tc>
      </w:tr>
    </w:tbl>
    <w:p w:rsidR="009D44AB" w:rsidRDefault="009D44AB" w:rsidP="00097BBF">
      <w:pPr>
        <w:rPr>
          <w:sz w:val="20"/>
        </w:rPr>
      </w:pPr>
    </w:p>
    <w:p w:rsidR="00BB65F4" w:rsidRDefault="00BB65F4" w:rsidP="00097BBF">
      <w:pPr>
        <w:rPr>
          <w:sz w:val="20"/>
        </w:rPr>
      </w:pPr>
      <w:r>
        <w:rPr>
          <w:sz w:val="20"/>
        </w:rPr>
        <w:pict>
          <v:rect id="_x0000_i1054" style="width:2in;height:1pt" o:hrpct="0" o:hralign="center" o:hrstd="t" o:hrnoshade="t" o:hr="t" fillcolor="black [3213]" stroked="f"/>
        </w:pict>
      </w:r>
    </w:p>
    <w:p w:rsidR="00BB65F4" w:rsidRPr="009D44AB" w:rsidRDefault="00BB65F4"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4AB" w:rsidRPr="00EC12BA" w:rsidTr="00E95A6A">
        <w:tc>
          <w:tcPr>
            <w:tcW w:w="543" w:type="pct"/>
          </w:tcPr>
          <w:p w:rsidR="009D44AB" w:rsidRPr="00BB65F4" w:rsidRDefault="00EC12BA" w:rsidP="006E4CBF">
            <w:r>
              <w:br w:type="page"/>
            </w:r>
            <w:r w:rsidR="009D44AB" w:rsidRPr="009D44AB">
              <w:rPr>
                <w:rStyle w:val="SCCFileNumberChar"/>
                <w:sz w:val="20"/>
                <w:szCs w:val="20"/>
                <w:lang w:val="fr-CA"/>
              </w:rPr>
              <w:t>38574</w:t>
            </w:r>
          </w:p>
        </w:tc>
        <w:tc>
          <w:tcPr>
            <w:tcW w:w="4457" w:type="pct"/>
            <w:gridSpan w:val="3"/>
          </w:tcPr>
          <w:p w:rsidR="009D44AB" w:rsidRPr="009D44AB" w:rsidRDefault="009D44AB" w:rsidP="009D44AB">
            <w:pPr>
              <w:pStyle w:val="SCCLsocParty"/>
              <w:jc w:val="left"/>
              <w:rPr>
                <w:b/>
                <w:sz w:val="20"/>
                <w:szCs w:val="20"/>
              </w:rPr>
            </w:pPr>
            <w:r w:rsidRPr="009D44AB">
              <w:rPr>
                <w:b/>
                <w:sz w:val="20"/>
                <w:szCs w:val="20"/>
              </w:rPr>
              <w:t>Procureur général du Canada c. Corporation de l'Association canadienne des libertés civiles</w:t>
            </w:r>
          </w:p>
          <w:p w:rsidR="009D44AB" w:rsidRPr="009D44AB" w:rsidRDefault="009D44AB" w:rsidP="006E4CBF">
            <w:pPr>
              <w:pStyle w:val="SCCLsocOtherPartySeparator"/>
              <w:rPr>
                <w:rFonts w:cs="Times New Roman"/>
                <w:sz w:val="20"/>
                <w:szCs w:val="20"/>
              </w:rPr>
            </w:pPr>
            <w:r w:rsidRPr="009D44AB">
              <w:rPr>
                <w:rFonts w:cs="Times New Roman"/>
                <w:sz w:val="20"/>
                <w:szCs w:val="20"/>
              </w:rPr>
              <w:t>- et -</w:t>
            </w:r>
          </w:p>
          <w:p w:rsidR="009D44AB" w:rsidRPr="009D44AB" w:rsidRDefault="009D44AB" w:rsidP="009D44AB">
            <w:pPr>
              <w:pStyle w:val="SCCLsocParty"/>
              <w:jc w:val="left"/>
              <w:rPr>
                <w:b/>
                <w:sz w:val="20"/>
                <w:szCs w:val="20"/>
              </w:rPr>
            </w:pPr>
            <w:r w:rsidRPr="009D44AB">
              <w:rPr>
                <w:b/>
                <w:sz w:val="20"/>
                <w:szCs w:val="20"/>
              </w:rPr>
              <w:t>Procureur général de l’Ontario</w:t>
            </w:r>
          </w:p>
          <w:p w:rsidR="009D44AB" w:rsidRPr="009D44AB" w:rsidRDefault="009D44AB" w:rsidP="006E4CBF">
            <w:pPr>
              <w:rPr>
                <w:sz w:val="20"/>
                <w:lang w:val="fr-CA"/>
              </w:rPr>
            </w:pPr>
            <w:r w:rsidRPr="009D44AB">
              <w:rPr>
                <w:sz w:val="20"/>
                <w:lang w:val="fr-CA"/>
              </w:rPr>
              <w:t>(Ont.) (Civile) (Autorisation)</w:t>
            </w:r>
          </w:p>
        </w:tc>
      </w:tr>
      <w:tr w:rsidR="009D44AB" w:rsidRPr="00EC12BA" w:rsidTr="00E95A6A">
        <w:tc>
          <w:tcPr>
            <w:tcW w:w="5000" w:type="pct"/>
            <w:gridSpan w:val="4"/>
          </w:tcPr>
          <w:p w:rsidR="009D44AB" w:rsidRPr="009D44AB" w:rsidRDefault="009D44AB" w:rsidP="006E4CBF">
            <w:pPr>
              <w:rPr>
                <w:i/>
                <w:sz w:val="20"/>
                <w:lang w:val="fr-CA"/>
              </w:rPr>
            </w:pPr>
            <w:r w:rsidRPr="009D44AB">
              <w:rPr>
                <w:sz w:val="20"/>
                <w:lang w:val="fr-CA"/>
              </w:rPr>
              <w:t xml:space="preserve">Droit constitutionnel — </w:t>
            </w:r>
            <w:r w:rsidRPr="009D44AB">
              <w:rPr>
                <w:i/>
                <w:sz w:val="20"/>
                <w:lang w:val="fr-CA"/>
              </w:rPr>
              <w:t>Charte des droits</w:t>
            </w:r>
            <w:r w:rsidRPr="009D44AB">
              <w:rPr>
                <w:sz w:val="20"/>
                <w:lang w:val="fr-CA"/>
              </w:rPr>
              <w:t xml:space="preserve"> — Peines cruelles et inusitées — Droit à la vie, à la liberté et à la sécurité de la personne — Isolement préventif — Les articles 31 à 37 de la </w:t>
            </w:r>
            <w:r w:rsidRPr="009D44AB">
              <w:rPr>
                <w:i/>
                <w:sz w:val="20"/>
                <w:lang w:val="fr-CA"/>
              </w:rPr>
              <w:t>Loi sur le système correctionnel et la mise en liberté sous condition</w:t>
            </w:r>
            <w:r w:rsidRPr="009D44AB">
              <w:rPr>
                <w:sz w:val="20"/>
                <w:lang w:val="fr-CA"/>
              </w:rPr>
              <w:t xml:space="preserve"> prévoient un régime d’isolement préventif des détenus — Les art. 31 à 37 de la </w:t>
            </w:r>
            <w:r w:rsidRPr="009D44AB">
              <w:rPr>
                <w:i/>
                <w:sz w:val="20"/>
                <w:lang w:val="fr-CA"/>
              </w:rPr>
              <w:t xml:space="preserve">Loi sur le système correctionnel et la mise en liberté sous condition </w:t>
            </w:r>
            <w:r w:rsidRPr="009D44AB">
              <w:rPr>
                <w:sz w:val="20"/>
                <w:lang w:val="fr-CA"/>
              </w:rPr>
              <w:t>sont</w:t>
            </w:r>
            <w:r w:rsidRPr="009D44AB">
              <w:rPr>
                <w:sz w:val="20"/>
                <w:lang w:val="fr-CA"/>
              </w:rPr>
              <w:noBreakHyphen/>
              <w:t>ils constitutionnels? — Quelle est la norme appropriée pour déterminer si un régime législatif est totalement disproportionné? — La raison et l’objet du traitement ou de la peine doivent-ils être pris en compte en effectuant l’analyse fondée sur l’art. 12? — La Cour d’appel de l’Ontario a</w:t>
            </w:r>
            <w:r w:rsidRPr="009D44AB">
              <w:rPr>
                <w:sz w:val="20"/>
                <w:lang w:val="fr-CA"/>
              </w:rPr>
              <w:noBreakHyphen/>
              <w:t>t</w:t>
            </w:r>
            <w:r w:rsidRPr="009D44AB">
              <w:rPr>
                <w:sz w:val="20"/>
                <w:lang w:val="fr-CA"/>
              </w:rPr>
              <w:noBreakHyphen/>
              <w:t>elle commis une erreur dans son application de la jurisprudence en concluant que la législation violait l’art. 12 en raison de ce qui ne s’y trouvait pas? — L’isolement des détenus pour leur propre protection contrevient</w:t>
            </w:r>
            <w:r w:rsidRPr="009D44AB">
              <w:rPr>
                <w:sz w:val="20"/>
                <w:lang w:val="fr-CA"/>
              </w:rPr>
              <w:noBreakHyphen/>
              <w:t xml:space="preserve">il </w:t>
            </w:r>
            <w:proofErr w:type="gramStart"/>
            <w:r w:rsidRPr="009D44AB">
              <w:rPr>
                <w:sz w:val="20"/>
                <w:lang w:val="fr-CA"/>
              </w:rPr>
              <w:t>aux art</w:t>
            </w:r>
            <w:proofErr w:type="gramEnd"/>
            <w:r w:rsidRPr="009D44AB">
              <w:rPr>
                <w:sz w:val="20"/>
                <w:lang w:val="fr-CA"/>
              </w:rPr>
              <w:t>. 11</w:t>
            </w:r>
            <w:r w:rsidRPr="009D44AB">
              <w:rPr>
                <w:i/>
                <w:sz w:val="20"/>
                <w:lang w:val="fr-CA"/>
              </w:rPr>
              <w:t>h</w:t>
            </w:r>
            <w:r w:rsidRPr="009D44AB">
              <w:rPr>
                <w:sz w:val="20"/>
                <w:lang w:val="fr-CA"/>
              </w:rPr>
              <w:t xml:space="preserve">), 7 et 12 de la </w:t>
            </w:r>
            <w:r w:rsidRPr="009D44AB">
              <w:rPr>
                <w:i/>
                <w:sz w:val="20"/>
                <w:lang w:val="fr-CA"/>
              </w:rPr>
              <w:t>Charte</w:t>
            </w:r>
            <w:r w:rsidRPr="009D44AB">
              <w:rPr>
                <w:sz w:val="20"/>
                <w:lang w:val="fr-CA"/>
              </w:rPr>
              <w:t xml:space="preserve">? — </w:t>
            </w:r>
            <w:r w:rsidRPr="009D44AB">
              <w:rPr>
                <w:i/>
                <w:sz w:val="20"/>
                <w:lang w:val="fr-CA"/>
              </w:rPr>
              <w:t>Loi sur le système correctionnel et la mise en liberté sous condition</w:t>
            </w:r>
            <w:r w:rsidRPr="009D44AB">
              <w:rPr>
                <w:sz w:val="20"/>
                <w:lang w:val="fr-CA"/>
              </w:rPr>
              <w:t>, L.C. 1992, ch. 20.</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 xml:space="preserve">Droit constitutionnel — </w:t>
            </w:r>
            <w:r w:rsidRPr="009D44AB">
              <w:rPr>
                <w:i/>
                <w:sz w:val="20"/>
                <w:lang w:val="fr-CA"/>
              </w:rPr>
              <w:t>Charte des droits</w:t>
            </w:r>
            <w:r w:rsidRPr="009D44AB">
              <w:rPr>
                <w:sz w:val="20"/>
                <w:lang w:val="fr-CA"/>
              </w:rPr>
              <w:t xml:space="preserve"> — Déclarations d’invalidité — Prorogations — Le risque lié à la sécurité personnelle que crée un vide législatif doit</w:t>
            </w:r>
            <w:r w:rsidRPr="009D44AB">
              <w:rPr>
                <w:sz w:val="20"/>
                <w:lang w:val="fr-CA"/>
              </w:rPr>
              <w:noBreakHyphen/>
              <w:t>il être pris en compte dans les demandes de prorogation? –— Est</w:t>
            </w:r>
            <w:r w:rsidRPr="009D44AB">
              <w:rPr>
                <w:sz w:val="20"/>
                <w:lang w:val="fr-CA"/>
              </w:rPr>
              <w:noBreakHyphen/>
              <w:t>il juste et approprié que les tribunaux ordonnent des prorogations conditionnelles sans traiter de l’incapacité des parties de s’y conformer légalement? — Un tribunal peut</w:t>
            </w:r>
            <w:r w:rsidRPr="009D44AB">
              <w:rPr>
                <w:sz w:val="20"/>
                <w:lang w:val="fr-CA"/>
              </w:rPr>
              <w:noBreakHyphen/>
              <w:t>il imposer une condition qui répare un vice constitutionnel, et déclarer par ailleurs la législation invalide sans égard à la mise en œuvre de la condition?</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 xml:space="preserve">La législation fédérale permettait le recours à l’« isolement préventif » dans les pénitenciers partout au Canada pour assurer la sécurité ou pour effectuer des enquêtes. La demanderesse, l'Association canadienne des libertés civiles (« ACLC ») a présenté une demande à la Cour supérieure de justice de l’Ontario, plaidant que </w:t>
            </w:r>
            <w:proofErr w:type="gramStart"/>
            <w:r w:rsidRPr="009D44AB">
              <w:rPr>
                <w:sz w:val="20"/>
                <w:lang w:val="fr-CA"/>
              </w:rPr>
              <w:t>les art</w:t>
            </w:r>
            <w:proofErr w:type="gramEnd"/>
            <w:r w:rsidRPr="009D44AB">
              <w:rPr>
                <w:sz w:val="20"/>
                <w:lang w:val="fr-CA"/>
              </w:rPr>
              <w:t xml:space="preserve">. 31 à 37 de la </w:t>
            </w:r>
            <w:r w:rsidRPr="009D44AB">
              <w:rPr>
                <w:i/>
                <w:sz w:val="20"/>
                <w:lang w:val="fr-CA"/>
              </w:rPr>
              <w:t>Loi sur le système correctionnel et la mise en liberté sous condition</w:t>
            </w:r>
            <w:r w:rsidRPr="009D44AB">
              <w:rPr>
                <w:sz w:val="20"/>
                <w:lang w:val="fr-CA"/>
              </w:rPr>
              <w:t xml:space="preserve">, L.C. 1992, ch. 20, les dispositions législatives qui autorisent l’isolement préventif, sont </w:t>
            </w:r>
            <w:proofErr w:type="gramStart"/>
            <w:r w:rsidRPr="009D44AB">
              <w:rPr>
                <w:sz w:val="20"/>
                <w:lang w:val="fr-CA"/>
              </w:rPr>
              <w:t>inconstitutionnels</w:t>
            </w:r>
            <w:proofErr w:type="gramEnd"/>
            <w:r w:rsidRPr="009D44AB">
              <w:rPr>
                <w:sz w:val="20"/>
                <w:lang w:val="fr-CA"/>
              </w:rPr>
              <w:t>.</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 xml:space="preserve">Le juge de première instance a conclu que la législation autorisant l’isolement préventif violait l’art. 7 de la </w:t>
            </w:r>
            <w:r w:rsidRPr="009D44AB">
              <w:rPr>
                <w:i/>
                <w:sz w:val="20"/>
                <w:lang w:val="fr-CA"/>
              </w:rPr>
              <w:t>Charte canadienne des droits et libertés</w:t>
            </w:r>
            <w:r w:rsidRPr="009D44AB">
              <w:rPr>
                <w:sz w:val="20"/>
                <w:lang w:val="fr-CA"/>
              </w:rPr>
              <w:t xml:space="preserve"> parce qu’elle ne prévoyait aucun contrôle indépendant de la décision de placer un détenu en isolement préventif. Le juge a déclaré les articles 31 à 37 de la </w:t>
            </w:r>
            <w:r w:rsidRPr="009D44AB">
              <w:rPr>
                <w:i/>
                <w:sz w:val="20"/>
                <w:lang w:val="fr-CA"/>
              </w:rPr>
              <w:t>LSCMLC</w:t>
            </w:r>
            <w:r w:rsidRPr="009D44AB">
              <w:rPr>
                <w:sz w:val="20"/>
                <w:lang w:val="fr-CA"/>
              </w:rPr>
              <w:t xml:space="preserve"> inopérants dans la mesure de la violation. La déclaration d’invalidité a été suspendue pour une période d’un an, jusqu’au 18 décembre 2018, pour donner au Parlement le temps d’édicter une solution législative appropriée.</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 xml:space="preserve">En appel, l’ACLC a plaidé que </w:t>
            </w:r>
            <w:proofErr w:type="gramStart"/>
            <w:r w:rsidRPr="009D44AB">
              <w:rPr>
                <w:sz w:val="20"/>
                <w:lang w:val="fr-CA"/>
              </w:rPr>
              <w:t>les art</w:t>
            </w:r>
            <w:proofErr w:type="gramEnd"/>
            <w:r w:rsidRPr="009D44AB">
              <w:rPr>
                <w:sz w:val="20"/>
                <w:lang w:val="fr-CA"/>
              </w:rPr>
              <w:t>. 31 à 37 violaient en outre l’art. 12 et l’al. 11</w:t>
            </w:r>
            <w:r w:rsidRPr="009D44AB">
              <w:rPr>
                <w:i/>
                <w:sz w:val="20"/>
                <w:lang w:val="fr-CA"/>
              </w:rPr>
              <w:t>h</w:t>
            </w:r>
            <w:r w:rsidRPr="009D44AB">
              <w:rPr>
                <w:sz w:val="20"/>
                <w:lang w:val="fr-CA"/>
              </w:rPr>
              <w:t xml:space="preserve">) de la </w:t>
            </w:r>
            <w:r w:rsidRPr="009D44AB">
              <w:rPr>
                <w:i/>
                <w:sz w:val="20"/>
                <w:lang w:val="fr-CA"/>
              </w:rPr>
              <w:t>Charte</w:t>
            </w:r>
            <w:r w:rsidRPr="009D44AB">
              <w:rPr>
                <w:sz w:val="20"/>
                <w:lang w:val="fr-CA"/>
              </w:rPr>
              <w:t>. L’ACLC a également soulevé un nouvel argument fondé sur l’art. 7, sollicitant un jugement déclaratoire plus large abolissant la pratique pour certains détenus (ceux âgés de 18 à 21 ans, ceux qui ont une maladie mentale et ceux qui sont placés en isolement pour leur propre protection) et fixant par ailleurs un plafond de 15 jours consécutifs d’isolement préventif pour tous les détenus. L’intimé, le procureur général du Canada (« PGC » ou « Canada ») n’a pas contesté la décision du juge de première instance concernant l’art. 7. Le 21 novembre 2018, le tribunal a pris l’affaire en délibéré.</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Le 17 décembre 2018, la Cour d’appel de l’Ontario a ordonné que la suspension de l’application de la déclaration d’invalidité prononcée par le juge soit prorogée au 30 avril 2019.</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Le 28 mars 2019, la Cour d’appel a rendu sa décision et a statué que l’isolement préventif de longue durée de tout détenu, c’est</w:t>
            </w:r>
            <w:r w:rsidRPr="009D44AB">
              <w:rPr>
                <w:sz w:val="20"/>
                <w:lang w:val="fr-CA"/>
              </w:rPr>
              <w:noBreakHyphen/>
              <w:t>à</w:t>
            </w:r>
            <w:r w:rsidRPr="009D44AB">
              <w:rPr>
                <w:sz w:val="20"/>
                <w:lang w:val="fr-CA"/>
              </w:rPr>
              <w:noBreakHyphen/>
              <w:t xml:space="preserve">dire un isolement de plus de quinze jours consécutifs, ne résiste pas à un examen constitutionnel fondé sur l’art. 12 de la </w:t>
            </w:r>
            <w:r w:rsidRPr="009D44AB">
              <w:rPr>
                <w:i/>
                <w:sz w:val="20"/>
                <w:lang w:val="fr-CA"/>
              </w:rPr>
              <w:t>Charte</w:t>
            </w:r>
            <w:r w:rsidRPr="009D44AB">
              <w:rPr>
                <w:sz w:val="20"/>
                <w:lang w:val="fr-CA"/>
              </w:rPr>
              <w:t xml:space="preserve">. En conséquence, la Cour a conclu en outre que </w:t>
            </w:r>
            <w:proofErr w:type="gramStart"/>
            <w:r w:rsidRPr="009D44AB">
              <w:rPr>
                <w:sz w:val="20"/>
                <w:lang w:val="fr-CA"/>
              </w:rPr>
              <w:t>les art</w:t>
            </w:r>
            <w:proofErr w:type="gramEnd"/>
            <w:r w:rsidRPr="009D44AB">
              <w:rPr>
                <w:sz w:val="20"/>
                <w:lang w:val="fr-CA"/>
              </w:rPr>
              <w:t xml:space="preserve">. 31 à 37 de la </w:t>
            </w:r>
            <w:r w:rsidRPr="009D44AB">
              <w:rPr>
                <w:i/>
                <w:sz w:val="20"/>
                <w:lang w:val="fr-CA"/>
              </w:rPr>
              <w:t>LSCMLC</w:t>
            </w:r>
            <w:r w:rsidRPr="009D44AB">
              <w:rPr>
                <w:sz w:val="20"/>
                <w:lang w:val="fr-CA"/>
              </w:rPr>
              <w:t xml:space="preserve"> portent atteinte à l’art. 12 et que l’atteinte n’est pas justifiée au regard de l’article premier. Les dispositions étaient inopérantes dans la mesure de la violation et la déclaration devait prendre effet quinze jours à compter de la date du jugement.</w:t>
            </w:r>
          </w:p>
          <w:p w:rsidR="009D44AB" w:rsidRPr="009D44AB" w:rsidRDefault="009D44AB" w:rsidP="006E4CBF">
            <w:pPr>
              <w:rPr>
                <w:sz w:val="20"/>
                <w:lang w:val="fr-CA"/>
              </w:rPr>
            </w:pPr>
          </w:p>
          <w:p w:rsidR="009D44AB" w:rsidRPr="009D44AB" w:rsidRDefault="009D44AB" w:rsidP="006E4CBF">
            <w:pPr>
              <w:rPr>
                <w:sz w:val="20"/>
                <w:lang w:val="fr-CA"/>
              </w:rPr>
            </w:pPr>
            <w:r w:rsidRPr="009D44AB">
              <w:rPr>
                <w:sz w:val="20"/>
                <w:lang w:val="fr-CA"/>
              </w:rPr>
              <w:t>Le 16 octobre 2018, la Chambre des communes a introduit le projet de loi C</w:t>
            </w:r>
            <w:r w:rsidRPr="009D44AB">
              <w:rPr>
                <w:sz w:val="20"/>
                <w:lang w:val="fr-CA"/>
              </w:rPr>
              <w:noBreakHyphen/>
              <w:t xml:space="preserve">83, </w:t>
            </w:r>
            <w:r w:rsidRPr="009D44AB">
              <w:rPr>
                <w:i/>
                <w:sz w:val="20"/>
                <w:lang w:val="fr-CA"/>
              </w:rPr>
              <w:t>Loi modifiant la Loi sur le système correctionnel et la mise en liberté sous condition et une autre loi</w:t>
            </w:r>
            <w:r w:rsidRPr="009D44AB">
              <w:rPr>
                <w:sz w:val="20"/>
                <w:lang w:val="fr-CA"/>
              </w:rPr>
              <w:t xml:space="preserve">, qui modifie </w:t>
            </w:r>
            <w:proofErr w:type="gramStart"/>
            <w:r w:rsidRPr="009D44AB">
              <w:rPr>
                <w:sz w:val="20"/>
                <w:lang w:val="fr-CA"/>
              </w:rPr>
              <w:t>les art</w:t>
            </w:r>
            <w:proofErr w:type="gramEnd"/>
            <w:r w:rsidRPr="009D44AB">
              <w:rPr>
                <w:sz w:val="20"/>
                <w:lang w:val="fr-CA"/>
              </w:rPr>
              <w:t xml:space="preserve">. 31 à 37 de la </w:t>
            </w:r>
            <w:r w:rsidRPr="009D44AB">
              <w:rPr>
                <w:i/>
                <w:sz w:val="20"/>
                <w:lang w:val="fr-CA"/>
              </w:rPr>
              <w:t>LSCMLC</w:t>
            </w:r>
            <w:r w:rsidRPr="009D44AB">
              <w:rPr>
                <w:sz w:val="20"/>
                <w:lang w:val="fr-CA"/>
              </w:rPr>
              <w:t xml:space="preserve">. Le </w:t>
            </w:r>
            <w:r w:rsidRPr="009D44AB">
              <w:rPr>
                <w:sz w:val="20"/>
                <w:lang w:val="fr-CA"/>
              </w:rPr>
              <w:lastRenderedPageBreak/>
              <w:t xml:space="preserve">projet de loi a reçu la sanction royale le 21 juin 2019 et les nouvelles dispositions remplaçant </w:t>
            </w:r>
            <w:proofErr w:type="gramStart"/>
            <w:r w:rsidRPr="009D44AB">
              <w:rPr>
                <w:sz w:val="20"/>
                <w:lang w:val="fr-CA"/>
              </w:rPr>
              <w:t>les art</w:t>
            </w:r>
            <w:proofErr w:type="gramEnd"/>
            <w:r w:rsidRPr="009D44AB">
              <w:rPr>
                <w:sz w:val="20"/>
                <w:lang w:val="fr-CA"/>
              </w:rPr>
              <w:t xml:space="preserve">. 31 à 37 de la </w:t>
            </w:r>
            <w:r w:rsidRPr="009D44AB">
              <w:rPr>
                <w:i/>
                <w:sz w:val="20"/>
                <w:lang w:val="fr-CA"/>
              </w:rPr>
              <w:t>LSCMLC</w:t>
            </w:r>
            <w:r w:rsidRPr="009D44AB">
              <w:rPr>
                <w:sz w:val="20"/>
                <w:lang w:val="fr-CA"/>
              </w:rPr>
              <w:t xml:space="preserve"> sont entrées en vigueur le 30 novembre 2019.</w:t>
            </w:r>
          </w:p>
        </w:tc>
      </w:tr>
      <w:tr w:rsidR="009D44AB" w:rsidRPr="00EC12BA" w:rsidTr="00E95A6A">
        <w:tc>
          <w:tcPr>
            <w:tcW w:w="5000" w:type="pct"/>
            <w:gridSpan w:val="4"/>
          </w:tcPr>
          <w:p w:rsidR="009D44AB" w:rsidRPr="009D44AB" w:rsidRDefault="009D44AB" w:rsidP="006E4CBF">
            <w:pPr>
              <w:rPr>
                <w:sz w:val="20"/>
                <w:lang w:val="fr-CA"/>
              </w:rPr>
            </w:pP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18 décembre 2017</w:t>
            </w:r>
          </w:p>
          <w:p w:rsidR="009D44AB" w:rsidRPr="009D44AB" w:rsidRDefault="009D44AB" w:rsidP="006E4CBF">
            <w:pPr>
              <w:rPr>
                <w:sz w:val="20"/>
                <w:lang w:val="fr-CA"/>
              </w:rPr>
            </w:pPr>
            <w:r w:rsidRPr="009D44AB">
              <w:rPr>
                <w:sz w:val="20"/>
                <w:lang w:val="fr-CA"/>
              </w:rPr>
              <w:t>Cour supérieure de justice de l’Ontario</w:t>
            </w:r>
          </w:p>
          <w:p w:rsidR="009D44AB" w:rsidRPr="009D44AB" w:rsidRDefault="009D44AB" w:rsidP="006E4CBF">
            <w:pPr>
              <w:rPr>
                <w:sz w:val="20"/>
                <w:lang w:val="fr-CA"/>
              </w:rPr>
            </w:pPr>
            <w:r w:rsidRPr="009D44AB">
              <w:rPr>
                <w:sz w:val="20"/>
                <w:lang w:val="fr-CA"/>
              </w:rPr>
              <w:t xml:space="preserve">(Juge en chef adjoint </w:t>
            </w:r>
            <w:proofErr w:type="spellStart"/>
            <w:r w:rsidRPr="009D44AB">
              <w:rPr>
                <w:sz w:val="20"/>
                <w:lang w:val="fr-CA"/>
              </w:rPr>
              <w:t>Marrocco</w:t>
            </w:r>
            <w:proofErr w:type="spellEnd"/>
            <w:r w:rsidRPr="009D44AB">
              <w:rPr>
                <w:sz w:val="20"/>
                <w:lang w:val="fr-CA"/>
              </w:rPr>
              <w:t>)</w:t>
            </w:r>
          </w:p>
          <w:p w:rsidR="009D44AB" w:rsidRPr="009D44AB" w:rsidRDefault="00BB65F4" w:rsidP="006E4CBF">
            <w:pPr>
              <w:rPr>
                <w:sz w:val="20"/>
                <w:lang w:val="fr-CA"/>
              </w:rPr>
            </w:pPr>
            <w:hyperlink r:id="rId40" w:history="1">
              <w:r w:rsidR="009D44AB" w:rsidRPr="009D44AB">
                <w:rPr>
                  <w:rStyle w:val="Hyperlink"/>
                  <w:sz w:val="20"/>
                  <w:lang w:val="fr-CA"/>
                </w:rPr>
                <w:t>2017 ONSC 7491</w:t>
              </w:r>
            </w:hyperlink>
            <w:r w:rsidR="009D44AB" w:rsidRPr="009D44AB">
              <w:rPr>
                <w:sz w:val="20"/>
                <w:lang w:val="fr-CA"/>
              </w:rPr>
              <w:t>; CV</w:t>
            </w:r>
            <w:r w:rsidR="009D44AB" w:rsidRPr="009D44AB">
              <w:rPr>
                <w:sz w:val="20"/>
                <w:lang w:val="fr-CA"/>
              </w:rPr>
              <w:noBreakHyphen/>
              <w:t>15</w:t>
            </w:r>
            <w:r w:rsidR="009D44AB" w:rsidRPr="009D44AB">
              <w:rPr>
                <w:sz w:val="20"/>
                <w:lang w:val="fr-CA"/>
              </w:rPr>
              <w:noBreakHyphen/>
              <w:t>520661</w:t>
            </w:r>
          </w:p>
          <w:p w:rsidR="009D44AB" w:rsidRPr="009D44AB" w:rsidRDefault="009D44AB" w:rsidP="006E4CBF">
            <w:pPr>
              <w:rPr>
                <w:sz w:val="20"/>
                <w:lang w:val="fr-CA"/>
              </w:rPr>
            </w:pP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 xml:space="preserve">Jugement déclarant que les articles 31 à 37 de la </w:t>
            </w:r>
            <w:r w:rsidRPr="009D44AB">
              <w:rPr>
                <w:i/>
                <w:sz w:val="20"/>
                <w:lang w:val="fr-CA"/>
              </w:rPr>
              <w:t xml:space="preserve">Loi sur le système correctionnel et la mise en liberté sous condition </w:t>
            </w:r>
            <w:r w:rsidRPr="009D44AB">
              <w:rPr>
                <w:sz w:val="20"/>
                <w:lang w:val="fr-CA"/>
              </w:rPr>
              <w:t xml:space="preserve">violent l’art. 7 de la </w:t>
            </w:r>
            <w:r w:rsidRPr="009D44AB">
              <w:rPr>
                <w:i/>
                <w:sz w:val="20"/>
                <w:lang w:val="fr-CA"/>
              </w:rPr>
              <w:t>Charte</w:t>
            </w:r>
            <w:r w:rsidRPr="009D44AB">
              <w:rPr>
                <w:sz w:val="20"/>
                <w:lang w:val="fr-CA"/>
              </w:rPr>
              <w:t xml:space="preserve"> et qu’ils ne peuvent être justifiés au regard de l’article premier et suspendant la déclaration d’invalidité pour une période de 12 mois</w:t>
            </w:r>
          </w:p>
          <w:p w:rsidR="009D44AB" w:rsidRPr="009D44AB" w:rsidRDefault="009D44AB" w:rsidP="006E4CBF">
            <w:pPr>
              <w:rPr>
                <w:sz w:val="20"/>
                <w:lang w:val="fr-CA"/>
              </w:rPr>
            </w:pP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17 décembre 2018</w:t>
            </w:r>
          </w:p>
          <w:p w:rsidR="009D44AB" w:rsidRPr="009D44AB" w:rsidRDefault="009D44AB" w:rsidP="006E4CBF">
            <w:pPr>
              <w:rPr>
                <w:sz w:val="20"/>
                <w:lang w:val="fr-CA"/>
              </w:rPr>
            </w:pPr>
            <w:r w:rsidRPr="009D44AB">
              <w:rPr>
                <w:sz w:val="20"/>
                <w:lang w:val="fr-CA"/>
              </w:rPr>
              <w:t>Cour d’appel de l’Ontario</w:t>
            </w:r>
          </w:p>
          <w:p w:rsidR="009D44AB" w:rsidRPr="009D44AB" w:rsidRDefault="009D44AB" w:rsidP="006E4CBF">
            <w:pPr>
              <w:rPr>
                <w:sz w:val="20"/>
                <w:lang w:val="fr-CA"/>
              </w:rPr>
            </w:pPr>
            <w:r w:rsidRPr="009D44AB">
              <w:rPr>
                <w:sz w:val="20"/>
                <w:lang w:val="fr-CA"/>
              </w:rPr>
              <w:t xml:space="preserve">(Juge en chef </w:t>
            </w:r>
            <w:proofErr w:type="spellStart"/>
            <w:r w:rsidRPr="009D44AB">
              <w:rPr>
                <w:sz w:val="20"/>
                <w:lang w:val="fr-CA"/>
              </w:rPr>
              <w:t>Strathy</w:t>
            </w:r>
            <w:proofErr w:type="spellEnd"/>
            <w:r w:rsidRPr="009D44AB">
              <w:rPr>
                <w:sz w:val="20"/>
                <w:lang w:val="fr-CA"/>
              </w:rPr>
              <w:t xml:space="preserve">, juges </w:t>
            </w:r>
            <w:proofErr w:type="spellStart"/>
            <w:r w:rsidRPr="009D44AB">
              <w:rPr>
                <w:sz w:val="20"/>
                <w:lang w:val="fr-CA"/>
              </w:rPr>
              <w:t>Benotto</w:t>
            </w:r>
            <w:proofErr w:type="spellEnd"/>
            <w:r w:rsidRPr="009D44AB">
              <w:rPr>
                <w:sz w:val="20"/>
                <w:lang w:val="fr-CA"/>
              </w:rPr>
              <w:t xml:space="preserve"> et Roberts)</w:t>
            </w:r>
          </w:p>
          <w:p w:rsidR="009D44AB" w:rsidRPr="009D44AB" w:rsidRDefault="00BB65F4" w:rsidP="006E4CBF">
            <w:pPr>
              <w:rPr>
                <w:sz w:val="20"/>
                <w:lang w:val="fr-CA"/>
              </w:rPr>
            </w:pPr>
            <w:hyperlink r:id="rId41" w:history="1">
              <w:r w:rsidR="009D44AB" w:rsidRPr="009D44AB">
                <w:rPr>
                  <w:rStyle w:val="Hyperlink"/>
                  <w:sz w:val="20"/>
                  <w:lang w:val="fr-CA"/>
                </w:rPr>
                <w:t>2018 ONCA 1038</w:t>
              </w:r>
            </w:hyperlink>
            <w:r w:rsidR="009D44AB" w:rsidRPr="009D44AB">
              <w:rPr>
                <w:sz w:val="20"/>
                <w:lang w:val="fr-CA"/>
              </w:rPr>
              <w:t>; M49819 (C64841)</w:t>
            </w:r>
          </w:p>
          <w:p w:rsidR="009D44AB" w:rsidRPr="009D44AB" w:rsidRDefault="009D44AB" w:rsidP="006E4CBF">
            <w:pPr>
              <w:rPr>
                <w:sz w:val="20"/>
                <w:lang w:val="fr-CA"/>
              </w:rPr>
            </w:pP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Prorogation de la déclaration d’invalidité au 30 avril 2019</w:t>
            </w: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28 mars 2019</w:t>
            </w:r>
          </w:p>
          <w:p w:rsidR="009D44AB" w:rsidRPr="009D44AB" w:rsidRDefault="009D44AB" w:rsidP="006E4CBF">
            <w:pPr>
              <w:rPr>
                <w:sz w:val="20"/>
                <w:lang w:val="fr-CA"/>
              </w:rPr>
            </w:pPr>
            <w:r w:rsidRPr="009D44AB">
              <w:rPr>
                <w:sz w:val="20"/>
                <w:lang w:val="fr-CA"/>
              </w:rPr>
              <w:t>Cour d’appel de l’Ontario</w:t>
            </w:r>
          </w:p>
          <w:p w:rsidR="009D44AB" w:rsidRPr="009D44AB" w:rsidRDefault="009D44AB" w:rsidP="006E4CBF">
            <w:pPr>
              <w:rPr>
                <w:sz w:val="20"/>
                <w:lang w:val="fr-CA"/>
              </w:rPr>
            </w:pPr>
            <w:r w:rsidRPr="009D44AB">
              <w:rPr>
                <w:sz w:val="20"/>
                <w:lang w:val="fr-CA"/>
              </w:rPr>
              <w:t xml:space="preserve">(Juge en chef </w:t>
            </w:r>
            <w:proofErr w:type="spellStart"/>
            <w:r w:rsidRPr="009D44AB">
              <w:rPr>
                <w:sz w:val="20"/>
                <w:lang w:val="fr-CA"/>
              </w:rPr>
              <w:t>Strathy</w:t>
            </w:r>
            <w:proofErr w:type="spellEnd"/>
            <w:r w:rsidRPr="009D44AB">
              <w:rPr>
                <w:sz w:val="20"/>
                <w:lang w:val="fr-CA"/>
              </w:rPr>
              <w:t xml:space="preserve">, juges </w:t>
            </w:r>
            <w:proofErr w:type="spellStart"/>
            <w:r w:rsidRPr="009D44AB">
              <w:rPr>
                <w:sz w:val="20"/>
                <w:lang w:val="fr-CA"/>
              </w:rPr>
              <w:t>Benotto</w:t>
            </w:r>
            <w:proofErr w:type="spellEnd"/>
            <w:r w:rsidRPr="009D44AB">
              <w:rPr>
                <w:sz w:val="20"/>
                <w:lang w:val="fr-CA"/>
              </w:rPr>
              <w:t xml:space="preserve"> et Roberts)</w:t>
            </w:r>
          </w:p>
          <w:p w:rsidR="009D44AB" w:rsidRPr="009D44AB" w:rsidRDefault="00BB65F4" w:rsidP="006E4CBF">
            <w:pPr>
              <w:rPr>
                <w:sz w:val="20"/>
                <w:lang w:val="fr-CA"/>
              </w:rPr>
            </w:pPr>
            <w:hyperlink r:id="rId42" w:history="1">
              <w:r w:rsidR="009D44AB" w:rsidRPr="009D44AB">
                <w:rPr>
                  <w:rStyle w:val="Hyperlink"/>
                  <w:sz w:val="20"/>
                  <w:lang w:val="fr-CA"/>
                </w:rPr>
                <w:t>2019 ONCA 243</w:t>
              </w:r>
            </w:hyperlink>
            <w:r w:rsidR="009D44AB" w:rsidRPr="009D44AB">
              <w:rPr>
                <w:sz w:val="20"/>
                <w:lang w:val="fr-CA"/>
              </w:rPr>
              <w:t>; C64841</w:t>
            </w:r>
          </w:p>
          <w:p w:rsidR="009D44AB" w:rsidRPr="009D44AB" w:rsidRDefault="009D44AB" w:rsidP="006E4CBF">
            <w:pPr>
              <w:rPr>
                <w:sz w:val="20"/>
                <w:lang w:val="fr-CA"/>
              </w:rPr>
            </w:pP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 xml:space="preserve">Arrêt accueillant l’appel en partie, statuant que l’isolement préventif d’une durée qui dépasse 15 jours consécutifs viole l’art. 12 de la </w:t>
            </w:r>
            <w:r w:rsidRPr="009D44AB">
              <w:rPr>
                <w:i/>
                <w:sz w:val="20"/>
                <w:lang w:val="fr-CA"/>
              </w:rPr>
              <w:t>Charte</w:t>
            </w:r>
            <w:r w:rsidRPr="009D44AB">
              <w:rPr>
                <w:sz w:val="20"/>
                <w:lang w:val="fr-CA"/>
              </w:rPr>
              <w:t xml:space="preserve"> et qu’il ne peut être justifié au regard de l’article premier et déclarant que l’invalidité prendra effet 15 jours à compter de la date du jugement </w:t>
            </w:r>
          </w:p>
          <w:p w:rsidR="009D44AB" w:rsidRPr="009D44AB" w:rsidRDefault="009D44AB" w:rsidP="006E4CBF">
            <w:pPr>
              <w:rPr>
                <w:sz w:val="20"/>
                <w:lang w:val="fr-CA"/>
              </w:rPr>
            </w:pP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26 avril 2019</w:t>
            </w:r>
          </w:p>
          <w:p w:rsidR="009D44AB" w:rsidRPr="009D44AB" w:rsidRDefault="009D44AB" w:rsidP="006E4CBF">
            <w:pPr>
              <w:rPr>
                <w:sz w:val="20"/>
                <w:lang w:val="fr-CA"/>
              </w:rPr>
            </w:pPr>
            <w:r w:rsidRPr="009D44AB">
              <w:rPr>
                <w:sz w:val="20"/>
                <w:lang w:val="fr-CA"/>
              </w:rPr>
              <w:t>Cour d’appel de l’Ontario</w:t>
            </w:r>
          </w:p>
          <w:p w:rsidR="009D44AB" w:rsidRPr="009D44AB" w:rsidRDefault="009D44AB" w:rsidP="006E4CBF">
            <w:pPr>
              <w:rPr>
                <w:sz w:val="20"/>
                <w:lang w:val="fr-CA"/>
              </w:rPr>
            </w:pPr>
            <w:r w:rsidRPr="009D44AB">
              <w:rPr>
                <w:sz w:val="20"/>
                <w:lang w:val="fr-CA"/>
              </w:rPr>
              <w:t xml:space="preserve">(Juge en chef </w:t>
            </w:r>
            <w:proofErr w:type="spellStart"/>
            <w:r w:rsidRPr="009D44AB">
              <w:rPr>
                <w:sz w:val="20"/>
                <w:lang w:val="fr-CA"/>
              </w:rPr>
              <w:t>Strathy</w:t>
            </w:r>
            <w:proofErr w:type="spellEnd"/>
            <w:r w:rsidRPr="009D44AB">
              <w:rPr>
                <w:sz w:val="20"/>
                <w:lang w:val="fr-CA"/>
              </w:rPr>
              <w:t xml:space="preserve">, juges </w:t>
            </w:r>
            <w:proofErr w:type="spellStart"/>
            <w:r w:rsidRPr="009D44AB">
              <w:rPr>
                <w:sz w:val="20"/>
                <w:lang w:val="fr-CA"/>
              </w:rPr>
              <w:t>Benotto</w:t>
            </w:r>
            <w:proofErr w:type="spellEnd"/>
            <w:r w:rsidRPr="009D44AB">
              <w:rPr>
                <w:sz w:val="20"/>
                <w:lang w:val="fr-CA"/>
              </w:rPr>
              <w:t xml:space="preserve"> et Roberts)</w:t>
            </w:r>
          </w:p>
          <w:p w:rsidR="009D44AB" w:rsidRPr="009D44AB" w:rsidRDefault="00BB65F4" w:rsidP="006E4CBF">
            <w:pPr>
              <w:rPr>
                <w:sz w:val="20"/>
                <w:lang w:val="fr-CA"/>
              </w:rPr>
            </w:pPr>
            <w:hyperlink r:id="rId43" w:history="1">
              <w:r w:rsidR="009D44AB" w:rsidRPr="009D44AB">
                <w:rPr>
                  <w:rStyle w:val="Hyperlink"/>
                  <w:sz w:val="20"/>
                  <w:lang w:val="fr-CA"/>
                </w:rPr>
                <w:t>2019 ONCA 342</w:t>
              </w:r>
            </w:hyperlink>
            <w:r w:rsidR="009D44AB" w:rsidRPr="009D44AB">
              <w:rPr>
                <w:sz w:val="20"/>
                <w:lang w:val="fr-CA"/>
              </w:rPr>
              <w:t>; M50316 (C64841)</w:t>
            </w:r>
          </w:p>
          <w:p w:rsidR="009D44AB" w:rsidRPr="009D44AB" w:rsidRDefault="009D44AB" w:rsidP="006E4CBF">
            <w:pPr>
              <w:rPr>
                <w:sz w:val="20"/>
                <w:lang w:val="fr-CA"/>
              </w:rPr>
            </w:pP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Prorogation de la suspension de la déclaration d’invalidité au 17 juin 2019</w:t>
            </w: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27 mai 2019</w:t>
            </w:r>
          </w:p>
          <w:p w:rsidR="009D44AB" w:rsidRPr="009D44AB" w:rsidRDefault="009D44AB" w:rsidP="006E4CBF">
            <w:pPr>
              <w:rPr>
                <w:sz w:val="20"/>
                <w:lang w:val="fr-CA"/>
              </w:rPr>
            </w:pPr>
            <w:r w:rsidRPr="009D44AB">
              <w:rPr>
                <w:sz w:val="20"/>
                <w:lang w:val="fr-CA"/>
              </w:rPr>
              <w:t>Cour suprême du Canada</w:t>
            </w:r>
          </w:p>
          <w:p w:rsidR="009D44AB" w:rsidRPr="009D44AB" w:rsidRDefault="009D44AB" w:rsidP="006E4CBF">
            <w:pPr>
              <w:rPr>
                <w:sz w:val="20"/>
                <w:lang w:val="fr-CA"/>
              </w:rPr>
            </w:pP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Dépôt de la demande d’autorisation d’appel (première demande)</w:t>
            </w:r>
          </w:p>
          <w:p w:rsidR="009D44AB" w:rsidRPr="009D44AB" w:rsidRDefault="009D44AB" w:rsidP="006E4CBF">
            <w:pPr>
              <w:rPr>
                <w:sz w:val="20"/>
                <w:lang w:val="fr-CA"/>
              </w:rPr>
            </w:pP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24 juin 2019</w:t>
            </w:r>
          </w:p>
          <w:p w:rsidR="009D44AB" w:rsidRPr="009D44AB" w:rsidRDefault="009D44AB" w:rsidP="006E4CBF">
            <w:pPr>
              <w:rPr>
                <w:sz w:val="20"/>
                <w:lang w:val="fr-CA"/>
              </w:rPr>
            </w:pPr>
            <w:r w:rsidRPr="009D44AB">
              <w:rPr>
                <w:sz w:val="20"/>
                <w:lang w:val="fr-CA"/>
              </w:rPr>
              <w:t>Cour suprême du Canada</w:t>
            </w:r>
          </w:p>
          <w:p w:rsidR="009D44AB" w:rsidRPr="009D44AB" w:rsidRDefault="009D44AB" w:rsidP="006E4CBF">
            <w:pPr>
              <w:rPr>
                <w:sz w:val="20"/>
                <w:lang w:val="fr-CA"/>
              </w:rPr>
            </w:pP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Dépôt de la demande d’autorisation d’appel (deuxième demande)</w:t>
            </w:r>
          </w:p>
        </w:tc>
      </w:tr>
      <w:tr w:rsidR="009D44AB" w:rsidRPr="00EC12BA" w:rsidTr="00E95A6A">
        <w:tc>
          <w:tcPr>
            <w:tcW w:w="2427" w:type="pct"/>
            <w:gridSpan w:val="2"/>
          </w:tcPr>
          <w:p w:rsidR="009D44AB" w:rsidRPr="009D44AB" w:rsidRDefault="009D44AB" w:rsidP="006E4CBF">
            <w:pPr>
              <w:rPr>
                <w:sz w:val="20"/>
                <w:lang w:val="fr-CA"/>
              </w:rPr>
            </w:pPr>
            <w:r w:rsidRPr="009D44AB">
              <w:rPr>
                <w:sz w:val="20"/>
                <w:lang w:val="fr-CA"/>
              </w:rPr>
              <w:t>26 juin 2019</w:t>
            </w:r>
          </w:p>
          <w:p w:rsidR="009D44AB" w:rsidRPr="009D44AB" w:rsidRDefault="009D44AB" w:rsidP="006E4CBF">
            <w:pPr>
              <w:rPr>
                <w:sz w:val="20"/>
                <w:lang w:val="fr-CA"/>
              </w:rPr>
            </w:pPr>
            <w:r w:rsidRPr="009D44AB">
              <w:rPr>
                <w:sz w:val="20"/>
                <w:lang w:val="fr-CA"/>
              </w:rPr>
              <w:t>Cour suprême du Canada</w:t>
            </w:r>
          </w:p>
        </w:tc>
        <w:tc>
          <w:tcPr>
            <w:tcW w:w="243" w:type="pct"/>
          </w:tcPr>
          <w:p w:rsidR="009D44AB" w:rsidRPr="009D44AB" w:rsidRDefault="009D44AB" w:rsidP="006E4CBF">
            <w:pPr>
              <w:rPr>
                <w:sz w:val="20"/>
                <w:lang w:val="fr-CA"/>
              </w:rPr>
            </w:pPr>
          </w:p>
        </w:tc>
        <w:tc>
          <w:tcPr>
            <w:tcW w:w="2330" w:type="pct"/>
          </w:tcPr>
          <w:p w:rsidR="009D44AB" w:rsidRPr="009D44AB" w:rsidRDefault="009D44AB" w:rsidP="006E4CBF">
            <w:pPr>
              <w:rPr>
                <w:sz w:val="20"/>
                <w:lang w:val="fr-CA"/>
              </w:rPr>
            </w:pPr>
            <w:r w:rsidRPr="009D44AB">
              <w:rPr>
                <w:sz w:val="20"/>
                <w:lang w:val="fr-CA"/>
              </w:rPr>
              <w:t>Dépôt de la demande d’autorisation d’appel (troisième demande)</w:t>
            </w:r>
          </w:p>
        </w:tc>
      </w:tr>
    </w:tbl>
    <w:p w:rsidR="009D44AB" w:rsidRPr="009D44AB" w:rsidRDefault="009D44AB" w:rsidP="006E4CBF">
      <w:pPr>
        <w:rPr>
          <w:sz w:val="20"/>
          <w:lang w:val="fr-CA"/>
        </w:rPr>
      </w:pPr>
    </w:p>
    <w:p w:rsidR="009D44AB" w:rsidRPr="009D44AB" w:rsidRDefault="00BB65F4" w:rsidP="006A22CA">
      <w:pPr>
        <w:ind w:left="142" w:hanging="142"/>
        <w:jc w:val="both"/>
        <w:rPr>
          <w:sz w:val="20"/>
          <w:lang w:val="fr-CA"/>
        </w:rPr>
      </w:pPr>
      <w:r>
        <w:rPr>
          <w:sz w:val="20"/>
        </w:rPr>
        <w:pict>
          <v:rect id="_x0000_i1037" style="width:2in;height:1pt" o:hrpct="0" o:hralign="center" o:hrstd="t" o:hrnoshade="t" o:hr="t" fillcolor="black [3213]" stroked="f"/>
        </w:pict>
      </w:r>
    </w:p>
    <w:p w:rsidR="009D44AB" w:rsidRPr="009D44AB" w:rsidRDefault="009D44AB" w:rsidP="006A22CA">
      <w:pPr>
        <w:ind w:left="142" w:hanging="142"/>
        <w:jc w:val="both"/>
        <w:rPr>
          <w:sz w:val="20"/>
          <w:lang w:val="fr-CA"/>
        </w:rPr>
      </w:pPr>
    </w:p>
    <w:p w:rsidR="00BB65F4" w:rsidRDefault="00BB65F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4AB" w:rsidRPr="009D44AB" w:rsidTr="00E95A6A">
        <w:tc>
          <w:tcPr>
            <w:tcW w:w="543" w:type="pct"/>
          </w:tcPr>
          <w:p w:rsidR="009D44AB" w:rsidRPr="009D44AB" w:rsidRDefault="009D44AB" w:rsidP="00F9479E">
            <w:pPr>
              <w:rPr>
                <w:sz w:val="20"/>
              </w:rPr>
            </w:pPr>
            <w:r w:rsidRPr="009D44AB">
              <w:rPr>
                <w:rStyle w:val="SCCFileNumberChar"/>
                <w:sz w:val="20"/>
                <w:szCs w:val="20"/>
              </w:rPr>
              <w:t>38814</w:t>
            </w:r>
          </w:p>
        </w:tc>
        <w:tc>
          <w:tcPr>
            <w:tcW w:w="4457" w:type="pct"/>
            <w:gridSpan w:val="3"/>
          </w:tcPr>
          <w:p w:rsidR="009D44AB" w:rsidRPr="009D44AB" w:rsidRDefault="009D44AB" w:rsidP="009D44AB">
            <w:pPr>
              <w:pStyle w:val="SCCLsocParty"/>
              <w:jc w:val="left"/>
              <w:rPr>
                <w:b/>
                <w:sz w:val="20"/>
                <w:szCs w:val="20"/>
                <w:lang w:val="en-US"/>
              </w:rPr>
            </w:pPr>
            <w:r w:rsidRPr="009D44AB">
              <w:rPr>
                <w:b/>
                <w:sz w:val="20"/>
                <w:szCs w:val="20"/>
                <w:lang w:val="en-US"/>
              </w:rPr>
              <w:t>Attorney General of Canada v. British Columbia Civil Liberties Association, The John Howard Society of Canada</w:t>
            </w:r>
          </w:p>
          <w:p w:rsidR="009D44AB" w:rsidRPr="009D44AB" w:rsidRDefault="009D44AB">
            <w:pPr>
              <w:rPr>
                <w:sz w:val="20"/>
              </w:rPr>
            </w:pPr>
            <w:r w:rsidRPr="009D44AB">
              <w:rPr>
                <w:sz w:val="20"/>
              </w:rPr>
              <w:t>(B.C.) (Civil) (By Leave)</w:t>
            </w:r>
          </w:p>
        </w:tc>
      </w:tr>
      <w:tr w:rsidR="009D44AB" w:rsidRPr="009D44AB" w:rsidTr="00E95A6A">
        <w:tc>
          <w:tcPr>
            <w:tcW w:w="5000" w:type="pct"/>
            <w:gridSpan w:val="4"/>
          </w:tcPr>
          <w:p w:rsidR="009D44AB" w:rsidRPr="009D44AB" w:rsidRDefault="009D44AB" w:rsidP="00F50E0D">
            <w:pPr>
              <w:rPr>
                <w:sz w:val="20"/>
              </w:rPr>
            </w:pPr>
            <w:r w:rsidRPr="009D44AB">
              <w:rPr>
                <w:sz w:val="20"/>
              </w:rPr>
              <w:t xml:space="preserve">Constitutional law — </w:t>
            </w:r>
            <w:r w:rsidRPr="009D44AB">
              <w:rPr>
                <w:i/>
                <w:sz w:val="20"/>
              </w:rPr>
              <w:t>Charter of Rights</w:t>
            </w:r>
            <w:r w:rsidRPr="009D44AB">
              <w:rPr>
                <w:sz w:val="20"/>
              </w:rPr>
              <w:t xml:space="preserve"> — Right to life, liberty and security of the person — Right to equality — Remedy — Administrative segregation — Sections 31</w:t>
            </w:r>
            <w:r w:rsidRPr="009D44AB">
              <w:rPr>
                <w:sz w:val="20"/>
              </w:rPr>
              <w:noBreakHyphen/>
              <w:t xml:space="preserve">37 of the </w:t>
            </w:r>
            <w:r w:rsidRPr="009D44AB">
              <w:rPr>
                <w:i/>
                <w:sz w:val="20"/>
              </w:rPr>
              <w:t>Corrections and Conditional Release Act</w:t>
            </w:r>
            <w:r w:rsidRPr="009D44AB">
              <w:rPr>
                <w:sz w:val="20"/>
              </w:rPr>
              <w:t xml:space="preserve"> provides for scheme of administrative segregation of inmates — What is the proper application of overbreadth and gross disproportionality to invalidate a discretionary regime, based on the manner in which decision</w:t>
            </w:r>
            <w:r w:rsidRPr="009D44AB">
              <w:rPr>
                <w:sz w:val="20"/>
              </w:rPr>
              <w:noBreakHyphen/>
              <w:t xml:space="preserve">makers have exercised their discretion — What is the appropriate standard for determining whether a legislative regime is grossly disproportionate — When should a remedy under s. 52 of the </w:t>
            </w:r>
            <w:r w:rsidRPr="009D44AB">
              <w:rPr>
                <w:i/>
                <w:sz w:val="20"/>
              </w:rPr>
              <w:t>Constitution Act, 1982</w:t>
            </w:r>
            <w:r w:rsidRPr="009D44AB">
              <w:rPr>
                <w:sz w:val="20"/>
              </w:rPr>
              <w:t xml:space="preserve">, be granted in respect of legislation that could be administered in a constitutionally compliant manner — What are the requirements of procedural fairness for review of administrative segregation — What limits does the Constitution impose on Canada’s use of solitary confinement —Whether and when should courts refuse to grant declaratory relief in the face of conceded unconstitutional conduct — Whether s. 24 </w:t>
            </w:r>
            <w:r w:rsidRPr="009D44AB">
              <w:rPr>
                <w:i/>
                <w:sz w:val="20"/>
              </w:rPr>
              <w:t>Charter</w:t>
            </w:r>
            <w:r w:rsidRPr="009D44AB">
              <w:rPr>
                <w:sz w:val="20"/>
              </w:rPr>
              <w:t xml:space="preserve"> relief is available for public interest standing litigants — </w:t>
            </w:r>
            <w:r w:rsidRPr="009D44AB">
              <w:rPr>
                <w:i/>
                <w:sz w:val="20"/>
              </w:rPr>
              <w:t>Corrections and Conditional Release Act</w:t>
            </w:r>
            <w:r w:rsidRPr="009D44AB">
              <w:rPr>
                <w:sz w:val="20"/>
              </w:rPr>
              <w:t>, S.C. 1992, c. 20.</w:t>
            </w:r>
          </w:p>
          <w:p w:rsidR="009D44AB" w:rsidRPr="009D44AB" w:rsidRDefault="009D44AB" w:rsidP="00F50E0D">
            <w:pPr>
              <w:rPr>
                <w:sz w:val="20"/>
              </w:rPr>
            </w:pPr>
          </w:p>
        </w:tc>
      </w:tr>
      <w:tr w:rsidR="009D44AB" w:rsidRPr="009D44AB" w:rsidTr="00E95A6A">
        <w:tc>
          <w:tcPr>
            <w:tcW w:w="5000" w:type="pct"/>
            <w:gridSpan w:val="4"/>
          </w:tcPr>
          <w:p w:rsidR="009D44AB" w:rsidRPr="009D44AB" w:rsidRDefault="009D44AB" w:rsidP="0089430E">
            <w:pPr>
              <w:rPr>
                <w:sz w:val="20"/>
              </w:rPr>
            </w:pPr>
            <w:r w:rsidRPr="009D44AB">
              <w:rPr>
                <w:sz w:val="20"/>
              </w:rPr>
              <w:lastRenderedPageBreak/>
              <w:t>The respondents, British Columbia Civil Liberties Association (“BCCLA”) and John Howard Society of Canada (“JHSC”) commenced an application in British Columbia contending that ss. 31</w:t>
            </w:r>
            <w:r w:rsidRPr="009D44AB">
              <w:rPr>
                <w:sz w:val="20"/>
              </w:rPr>
              <w:noBreakHyphen/>
              <w:t xml:space="preserve">33 and 37 of the </w:t>
            </w:r>
            <w:r w:rsidRPr="009D44AB">
              <w:rPr>
                <w:i/>
                <w:sz w:val="20"/>
              </w:rPr>
              <w:t>Corrections and Conditional Release Act</w:t>
            </w:r>
            <w:r w:rsidRPr="009D44AB">
              <w:rPr>
                <w:sz w:val="20"/>
              </w:rPr>
              <w:t>, S.C. 1992, c. 20 (“</w:t>
            </w:r>
            <w:r w:rsidRPr="009D44AB">
              <w:rPr>
                <w:i/>
                <w:sz w:val="20"/>
              </w:rPr>
              <w:t>CCRA</w:t>
            </w:r>
            <w:r w:rsidRPr="009D44AB">
              <w:rPr>
                <w:sz w:val="20"/>
              </w:rPr>
              <w:t xml:space="preserve">”) were contrary to ss. 7, 9, 10, 12 and 15 of the </w:t>
            </w:r>
            <w:r w:rsidRPr="009D44AB">
              <w:rPr>
                <w:i/>
                <w:sz w:val="20"/>
              </w:rPr>
              <w:t>Canadian Charter of Rights and Freedoms</w:t>
            </w:r>
            <w:r w:rsidRPr="009D44AB">
              <w:rPr>
                <w:sz w:val="20"/>
              </w:rPr>
              <w:t>. They argued that the impugned provisions permitted indeterminate and prolonged solitary confinement and that such segregation, especially when endured for extended periods, had significant adverse effects on the physical, psychological and social health of inmates. The applicant, Attorney General of Canada (“AGC”) submitted that the administrative segregation as it is practised in federal correctional facilities was not solitary confinement and that it was a necessary tool when no other reasonable alternatives existed.</w:t>
            </w:r>
          </w:p>
          <w:p w:rsidR="009D44AB" w:rsidRPr="009D44AB" w:rsidRDefault="009D44AB" w:rsidP="0089430E">
            <w:pPr>
              <w:rPr>
                <w:sz w:val="20"/>
              </w:rPr>
            </w:pPr>
          </w:p>
          <w:p w:rsidR="009D44AB" w:rsidRPr="009D44AB" w:rsidRDefault="009D44AB" w:rsidP="0089430E">
            <w:pPr>
              <w:rPr>
                <w:sz w:val="20"/>
              </w:rPr>
            </w:pPr>
            <w:r w:rsidRPr="009D44AB">
              <w:rPr>
                <w:sz w:val="20"/>
              </w:rPr>
              <w:t>The trial judge declared ss. 31</w:t>
            </w:r>
            <w:r w:rsidRPr="009D44AB">
              <w:rPr>
                <w:sz w:val="20"/>
              </w:rPr>
              <w:noBreakHyphen/>
              <w:t xml:space="preserve">33 and 37 of the </w:t>
            </w:r>
            <w:r w:rsidRPr="009D44AB">
              <w:rPr>
                <w:i/>
                <w:sz w:val="20"/>
              </w:rPr>
              <w:t>Corrections and Conditional Release Act</w:t>
            </w:r>
            <w:r w:rsidRPr="009D44AB">
              <w:rPr>
                <w:sz w:val="20"/>
              </w:rPr>
              <w:t xml:space="preserve"> to unjustifiably infringe s. 7 of the </w:t>
            </w:r>
            <w:r w:rsidRPr="009D44AB">
              <w:rPr>
                <w:i/>
                <w:sz w:val="20"/>
              </w:rPr>
              <w:t>Charter</w:t>
            </w:r>
            <w:r w:rsidRPr="009D44AB">
              <w:rPr>
                <w:sz w:val="20"/>
              </w:rPr>
              <w:t xml:space="preserve"> and the provisions were of no force and effect to the extent that they authorize and effect prolonged, indefinite solitary confinement, the institutional head to be the judge and prosecutor of his own cause, internal review of placements in administrative segregation, and the deprivation of inmates’ right to counsel at segregation review hearings. The provisions were also found to unjustifiably infringe s. 15 of the </w:t>
            </w:r>
            <w:r w:rsidRPr="009D44AB">
              <w:rPr>
                <w:i/>
                <w:sz w:val="20"/>
              </w:rPr>
              <w:t>Charter</w:t>
            </w:r>
            <w:r w:rsidRPr="009D44AB">
              <w:rPr>
                <w:sz w:val="20"/>
              </w:rPr>
              <w:t xml:space="preserve"> to the extent that they authorize and effect any period of administrative segregation for mentally ill and/or disabled inmates, and a procedure that results in discrimination against Indigenous inmates. The trial judge also found that the Correctional Service of Canada had denied inmates their right to retain and instruct counsel without delay upon being placed in administrative segregation. It was determined however that such a claim should be brought by individual inmates seeking relief under s. 24(1) of the </w:t>
            </w:r>
            <w:r w:rsidRPr="009D44AB">
              <w:rPr>
                <w:i/>
                <w:sz w:val="20"/>
              </w:rPr>
              <w:t>Charter</w:t>
            </w:r>
            <w:r w:rsidRPr="009D44AB">
              <w:rPr>
                <w:sz w:val="20"/>
              </w:rPr>
              <w:t>.</w:t>
            </w:r>
          </w:p>
          <w:p w:rsidR="009D44AB" w:rsidRPr="009D44AB" w:rsidRDefault="009D44AB" w:rsidP="0089430E">
            <w:pPr>
              <w:rPr>
                <w:sz w:val="20"/>
              </w:rPr>
            </w:pPr>
          </w:p>
          <w:p w:rsidR="009D44AB" w:rsidRPr="009D44AB" w:rsidRDefault="009D44AB" w:rsidP="0089430E">
            <w:pPr>
              <w:rPr>
                <w:sz w:val="20"/>
              </w:rPr>
            </w:pPr>
            <w:r w:rsidRPr="009D44AB">
              <w:rPr>
                <w:sz w:val="20"/>
              </w:rPr>
              <w:t>The Court of Appeal allowed the appeal in part. The court found that the trial judge did not err in finding that the impugned provisions unjustifiably infringe s. 7 and are of no force and effect because they authorize indefinite and prolonged administrative segregation, and authorize internal rather than external review of decisions to segregate inmates. The trial judge however did err in finding that the impugned provisions violate s. 15 and in concluding that it was necessary to strike down the legislation because it did not expressly confer upon inmates the right to counsel at segregation review hearings.</w:t>
            </w:r>
          </w:p>
          <w:p w:rsidR="009D44AB" w:rsidRPr="009D44AB" w:rsidRDefault="009D44AB" w:rsidP="0089430E">
            <w:pPr>
              <w:rPr>
                <w:sz w:val="20"/>
              </w:rPr>
            </w:pPr>
          </w:p>
          <w:p w:rsidR="009D44AB" w:rsidRPr="009D44AB" w:rsidRDefault="009D44AB" w:rsidP="0089430E">
            <w:pPr>
              <w:rPr>
                <w:sz w:val="20"/>
              </w:rPr>
            </w:pPr>
            <w:r w:rsidRPr="009D44AB">
              <w:rPr>
                <w:sz w:val="20"/>
                <w:lang w:eastAsia="en-CA"/>
              </w:rPr>
              <w:t>On October 16, 2018, the House of Commons introduced Bill C</w:t>
            </w:r>
            <w:r w:rsidRPr="009D44AB">
              <w:rPr>
                <w:sz w:val="20"/>
                <w:lang w:eastAsia="en-CA"/>
              </w:rPr>
              <w:noBreakHyphen/>
              <w:t xml:space="preserve">83, </w:t>
            </w:r>
            <w:r w:rsidRPr="009D44AB">
              <w:rPr>
                <w:i/>
                <w:sz w:val="20"/>
                <w:lang w:eastAsia="en-CA"/>
              </w:rPr>
              <w:t>An Act to amend the Corrections and Conditional Release Act and another Act</w:t>
            </w:r>
            <w:r w:rsidRPr="009D44AB">
              <w:rPr>
                <w:sz w:val="20"/>
                <w:lang w:eastAsia="en-CA"/>
              </w:rPr>
              <w:t>, which amends ss. 31</w:t>
            </w:r>
            <w:r w:rsidRPr="009D44AB">
              <w:rPr>
                <w:sz w:val="20"/>
                <w:lang w:eastAsia="en-CA"/>
              </w:rPr>
              <w:noBreakHyphen/>
              <w:t>37 of the</w:t>
            </w:r>
            <w:r w:rsidRPr="009D44AB">
              <w:rPr>
                <w:i/>
                <w:sz w:val="20"/>
                <w:lang w:eastAsia="en-CA"/>
              </w:rPr>
              <w:t xml:space="preserve"> CCRA</w:t>
            </w:r>
            <w:r w:rsidRPr="009D44AB">
              <w:rPr>
                <w:sz w:val="20"/>
                <w:lang w:eastAsia="en-CA"/>
              </w:rPr>
              <w:t>. The Bill received Royal Assent on June 21, 2019 and the new provisions which are replacing ss. 31</w:t>
            </w:r>
            <w:r w:rsidRPr="009D44AB">
              <w:rPr>
                <w:sz w:val="20"/>
                <w:lang w:eastAsia="en-CA"/>
              </w:rPr>
              <w:noBreakHyphen/>
              <w:t xml:space="preserve">37 of the </w:t>
            </w:r>
            <w:r w:rsidRPr="009D44AB">
              <w:rPr>
                <w:i/>
                <w:sz w:val="20"/>
                <w:lang w:eastAsia="en-CA"/>
              </w:rPr>
              <w:t>CCRA</w:t>
            </w:r>
            <w:r w:rsidRPr="009D44AB">
              <w:rPr>
                <w:sz w:val="20"/>
                <w:lang w:eastAsia="en-CA"/>
              </w:rPr>
              <w:t xml:space="preserve"> came into force on November 30, 2019.</w:t>
            </w:r>
          </w:p>
        </w:tc>
      </w:tr>
      <w:tr w:rsidR="009D44AB" w:rsidRPr="009D44AB" w:rsidTr="00E95A6A">
        <w:tc>
          <w:tcPr>
            <w:tcW w:w="5000" w:type="pct"/>
            <w:gridSpan w:val="4"/>
          </w:tcPr>
          <w:p w:rsidR="009D44AB" w:rsidRPr="009D44AB" w:rsidRDefault="009D44AB" w:rsidP="00C01DCD">
            <w:pPr>
              <w:rPr>
                <w:sz w:val="20"/>
              </w:rPr>
            </w:pPr>
          </w:p>
        </w:tc>
      </w:tr>
      <w:tr w:rsidR="009D44AB" w:rsidRPr="009D44AB" w:rsidTr="00E95A6A">
        <w:tc>
          <w:tcPr>
            <w:tcW w:w="2427" w:type="pct"/>
            <w:gridSpan w:val="2"/>
          </w:tcPr>
          <w:p w:rsidR="009D44AB" w:rsidRPr="009D44AB" w:rsidRDefault="009D44AB" w:rsidP="00AA4656">
            <w:pPr>
              <w:rPr>
                <w:sz w:val="20"/>
              </w:rPr>
            </w:pPr>
            <w:r w:rsidRPr="009D44AB">
              <w:rPr>
                <w:sz w:val="20"/>
              </w:rPr>
              <w:t>January 17, 2018</w:t>
            </w:r>
          </w:p>
          <w:p w:rsidR="009D44AB" w:rsidRPr="009D44AB" w:rsidRDefault="009D44AB" w:rsidP="00AA4656">
            <w:pPr>
              <w:rPr>
                <w:sz w:val="20"/>
              </w:rPr>
            </w:pPr>
            <w:r w:rsidRPr="009D44AB">
              <w:rPr>
                <w:sz w:val="20"/>
              </w:rPr>
              <w:t>Supreme Court of British Columbia</w:t>
            </w:r>
          </w:p>
          <w:p w:rsidR="009D44AB" w:rsidRPr="009D44AB" w:rsidRDefault="009D44AB" w:rsidP="00AA4656">
            <w:pPr>
              <w:rPr>
                <w:sz w:val="20"/>
              </w:rPr>
            </w:pPr>
            <w:r w:rsidRPr="009D44AB">
              <w:rPr>
                <w:sz w:val="20"/>
              </w:rPr>
              <w:t>(Leask J.)</w:t>
            </w:r>
          </w:p>
          <w:p w:rsidR="009D44AB" w:rsidRPr="009D44AB" w:rsidRDefault="00BB65F4" w:rsidP="00AA4656">
            <w:pPr>
              <w:rPr>
                <w:sz w:val="20"/>
              </w:rPr>
            </w:pPr>
            <w:hyperlink r:id="rId44" w:history="1">
              <w:r w:rsidR="009D44AB" w:rsidRPr="009D44AB">
                <w:rPr>
                  <w:rStyle w:val="Hyperlink"/>
                  <w:sz w:val="20"/>
                </w:rPr>
                <w:t>2018 BCSC 62</w:t>
              </w:r>
            </w:hyperlink>
            <w:r w:rsidR="009D44AB" w:rsidRPr="009D44AB">
              <w:rPr>
                <w:sz w:val="20"/>
              </w:rPr>
              <w:t>; S150415</w:t>
            </w:r>
          </w:p>
          <w:p w:rsidR="009D44AB" w:rsidRPr="009D44AB" w:rsidRDefault="009D44AB" w:rsidP="00A414F4">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pPr>
              <w:rPr>
                <w:sz w:val="20"/>
              </w:rPr>
            </w:pPr>
            <w:r w:rsidRPr="009D44AB">
              <w:rPr>
                <w:sz w:val="20"/>
              </w:rPr>
              <w:t>Sections 31</w:t>
            </w:r>
            <w:r w:rsidRPr="009D44AB">
              <w:rPr>
                <w:sz w:val="20"/>
              </w:rPr>
              <w:noBreakHyphen/>
              <w:t xml:space="preserve">33 and 37 of the </w:t>
            </w:r>
            <w:r w:rsidRPr="009D44AB">
              <w:rPr>
                <w:i/>
                <w:sz w:val="20"/>
              </w:rPr>
              <w:t>Corrections and Conditional Release Act</w:t>
            </w:r>
            <w:r w:rsidRPr="009D44AB">
              <w:rPr>
                <w:sz w:val="20"/>
              </w:rPr>
              <w:t xml:space="preserve"> infringe s. 7 and s. 15 of the </w:t>
            </w:r>
            <w:r w:rsidRPr="009D44AB">
              <w:rPr>
                <w:i/>
                <w:sz w:val="20"/>
              </w:rPr>
              <w:t>Charter</w:t>
            </w:r>
            <w:r w:rsidRPr="009D44AB">
              <w:rPr>
                <w:sz w:val="20"/>
              </w:rPr>
              <w:t>; declaration of invalidity suspended for one year</w:t>
            </w:r>
          </w:p>
          <w:p w:rsidR="009D44AB" w:rsidRPr="009D44AB" w:rsidRDefault="009D44AB" w:rsidP="006F4C2D">
            <w:pPr>
              <w:rPr>
                <w:sz w:val="20"/>
              </w:rPr>
            </w:pPr>
          </w:p>
        </w:tc>
      </w:tr>
      <w:tr w:rsidR="009D44AB" w:rsidRPr="009D44AB" w:rsidTr="00E95A6A">
        <w:tc>
          <w:tcPr>
            <w:tcW w:w="2427" w:type="pct"/>
            <w:gridSpan w:val="2"/>
          </w:tcPr>
          <w:p w:rsidR="009D44AB" w:rsidRPr="009D44AB" w:rsidRDefault="009D44AB" w:rsidP="00AA4656">
            <w:pPr>
              <w:rPr>
                <w:sz w:val="20"/>
              </w:rPr>
            </w:pPr>
            <w:r w:rsidRPr="009D44AB">
              <w:rPr>
                <w:sz w:val="20"/>
              </w:rPr>
              <w:t>June 24, 2019</w:t>
            </w:r>
          </w:p>
          <w:p w:rsidR="009D44AB" w:rsidRPr="009D44AB" w:rsidRDefault="009D44AB" w:rsidP="00AA4656">
            <w:pPr>
              <w:rPr>
                <w:sz w:val="20"/>
              </w:rPr>
            </w:pPr>
            <w:r w:rsidRPr="009D44AB">
              <w:rPr>
                <w:sz w:val="20"/>
              </w:rPr>
              <w:t>Court of Appeal for British Columbia (Vancouver)</w:t>
            </w:r>
          </w:p>
          <w:p w:rsidR="009D44AB" w:rsidRPr="009D44AB" w:rsidRDefault="009D44AB" w:rsidP="00AA4656">
            <w:pPr>
              <w:rPr>
                <w:sz w:val="20"/>
              </w:rPr>
            </w:pPr>
            <w:r w:rsidRPr="009D44AB">
              <w:rPr>
                <w:sz w:val="20"/>
              </w:rPr>
              <w:t>(</w:t>
            </w:r>
            <w:proofErr w:type="spellStart"/>
            <w:r w:rsidRPr="009D44AB">
              <w:rPr>
                <w:sz w:val="20"/>
              </w:rPr>
              <w:t>Groberman</w:t>
            </w:r>
            <w:proofErr w:type="spellEnd"/>
            <w:r w:rsidRPr="009D44AB">
              <w:rPr>
                <w:sz w:val="20"/>
              </w:rPr>
              <w:t xml:space="preserve">, </w:t>
            </w:r>
            <w:proofErr w:type="spellStart"/>
            <w:r w:rsidRPr="009D44AB">
              <w:rPr>
                <w:sz w:val="20"/>
              </w:rPr>
              <w:t>Willcock</w:t>
            </w:r>
            <w:proofErr w:type="spellEnd"/>
            <w:r w:rsidRPr="009D44AB">
              <w:rPr>
                <w:sz w:val="20"/>
              </w:rPr>
              <w:t xml:space="preserve"> and Fitch JJ.A.)</w:t>
            </w:r>
          </w:p>
          <w:p w:rsidR="009D44AB" w:rsidRPr="009D44AB" w:rsidRDefault="00BB65F4" w:rsidP="00AA4656">
            <w:pPr>
              <w:rPr>
                <w:sz w:val="20"/>
              </w:rPr>
            </w:pPr>
            <w:hyperlink r:id="rId45" w:history="1">
              <w:r w:rsidR="009D44AB" w:rsidRPr="009D44AB">
                <w:rPr>
                  <w:rStyle w:val="Hyperlink"/>
                  <w:sz w:val="20"/>
                </w:rPr>
                <w:t>2019 BCCA 228</w:t>
              </w:r>
            </w:hyperlink>
            <w:r w:rsidR="009D44AB" w:rsidRPr="009D44AB">
              <w:rPr>
                <w:sz w:val="20"/>
              </w:rPr>
              <w:t>; CA45092</w:t>
            </w:r>
          </w:p>
          <w:p w:rsidR="009D44AB" w:rsidRPr="009D44AB" w:rsidRDefault="009D44AB" w:rsidP="00A414F4">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rsidP="006F4C2D">
            <w:pPr>
              <w:rPr>
                <w:sz w:val="20"/>
              </w:rPr>
            </w:pPr>
            <w:r w:rsidRPr="009D44AB">
              <w:rPr>
                <w:sz w:val="20"/>
              </w:rPr>
              <w:t>Appeal allowed in part; order striking down provisions because they do not expressly confer right to counsel at segregation review hearings, set aside; order declaring provisions invalid on s. 15 grounds, set aside.</w:t>
            </w:r>
          </w:p>
        </w:tc>
      </w:tr>
      <w:tr w:rsidR="009D44AB" w:rsidRPr="009D44AB" w:rsidTr="00E95A6A">
        <w:tc>
          <w:tcPr>
            <w:tcW w:w="2427" w:type="pct"/>
            <w:gridSpan w:val="2"/>
          </w:tcPr>
          <w:p w:rsidR="009D44AB" w:rsidRPr="009D44AB" w:rsidRDefault="009D44AB">
            <w:pPr>
              <w:rPr>
                <w:sz w:val="20"/>
              </w:rPr>
            </w:pPr>
            <w:r w:rsidRPr="009D44AB">
              <w:rPr>
                <w:sz w:val="20"/>
              </w:rPr>
              <w:t>September 23, 2019</w:t>
            </w:r>
          </w:p>
          <w:p w:rsidR="009D44AB" w:rsidRPr="009D44AB" w:rsidRDefault="009D44AB">
            <w:pPr>
              <w:rPr>
                <w:sz w:val="20"/>
              </w:rPr>
            </w:pPr>
            <w:r w:rsidRPr="009D44AB">
              <w:rPr>
                <w:sz w:val="20"/>
              </w:rPr>
              <w:t>Supreme Court of Canada</w:t>
            </w:r>
          </w:p>
          <w:p w:rsidR="009D44AB" w:rsidRPr="009D44AB" w:rsidRDefault="009D44AB" w:rsidP="00AA4656">
            <w:pPr>
              <w:rPr>
                <w:sz w:val="20"/>
              </w:rPr>
            </w:pPr>
          </w:p>
        </w:tc>
        <w:tc>
          <w:tcPr>
            <w:tcW w:w="243" w:type="pct"/>
          </w:tcPr>
          <w:p w:rsidR="009D44AB" w:rsidRPr="009D44AB" w:rsidRDefault="009D44AB" w:rsidP="00F9479E">
            <w:pPr>
              <w:rPr>
                <w:sz w:val="20"/>
              </w:rPr>
            </w:pPr>
          </w:p>
        </w:tc>
        <w:tc>
          <w:tcPr>
            <w:tcW w:w="2330" w:type="pct"/>
          </w:tcPr>
          <w:p w:rsidR="009D44AB" w:rsidRPr="009D44AB" w:rsidRDefault="009D44AB">
            <w:pPr>
              <w:rPr>
                <w:sz w:val="20"/>
              </w:rPr>
            </w:pPr>
            <w:r w:rsidRPr="009D44AB">
              <w:rPr>
                <w:sz w:val="20"/>
              </w:rPr>
              <w:t>Application for leave to appeal filed</w:t>
            </w:r>
          </w:p>
          <w:p w:rsidR="009D44AB" w:rsidRPr="009D44AB" w:rsidRDefault="009D44AB" w:rsidP="006F4C2D">
            <w:pPr>
              <w:rPr>
                <w:sz w:val="20"/>
              </w:rPr>
            </w:pPr>
          </w:p>
          <w:p w:rsidR="009D44AB" w:rsidRPr="009D44AB" w:rsidRDefault="009D44AB" w:rsidP="006F4C2D">
            <w:pPr>
              <w:rPr>
                <w:sz w:val="20"/>
              </w:rPr>
            </w:pPr>
          </w:p>
        </w:tc>
      </w:tr>
      <w:tr w:rsidR="009D44AB" w:rsidRPr="009D44AB" w:rsidTr="00E95A6A">
        <w:tc>
          <w:tcPr>
            <w:tcW w:w="2427" w:type="pct"/>
            <w:gridSpan w:val="2"/>
          </w:tcPr>
          <w:p w:rsidR="009D44AB" w:rsidRPr="009D44AB" w:rsidRDefault="009D44AB" w:rsidP="0089430E">
            <w:pPr>
              <w:rPr>
                <w:sz w:val="20"/>
              </w:rPr>
            </w:pPr>
            <w:r w:rsidRPr="009D44AB">
              <w:rPr>
                <w:sz w:val="20"/>
              </w:rPr>
              <w:t>October 28, 2019</w:t>
            </w:r>
          </w:p>
          <w:p w:rsidR="009D44AB" w:rsidRPr="009D44AB" w:rsidRDefault="009D44AB" w:rsidP="0089430E">
            <w:pPr>
              <w:rPr>
                <w:sz w:val="20"/>
              </w:rPr>
            </w:pPr>
            <w:r w:rsidRPr="009D44AB">
              <w:rPr>
                <w:sz w:val="20"/>
              </w:rPr>
              <w:t>Supreme Court of Canada</w:t>
            </w:r>
          </w:p>
        </w:tc>
        <w:tc>
          <w:tcPr>
            <w:tcW w:w="243" w:type="pct"/>
          </w:tcPr>
          <w:p w:rsidR="009D44AB" w:rsidRPr="009D44AB" w:rsidRDefault="009D44AB" w:rsidP="00F9479E">
            <w:pPr>
              <w:rPr>
                <w:sz w:val="20"/>
              </w:rPr>
            </w:pPr>
          </w:p>
        </w:tc>
        <w:tc>
          <w:tcPr>
            <w:tcW w:w="2330" w:type="pct"/>
          </w:tcPr>
          <w:p w:rsidR="009D44AB" w:rsidRPr="009D44AB" w:rsidRDefault="009D44AB">
            <w:pPr>
              <w:rPr>
                <w:sz w:val="20"/>
              </w:rPr>
            </w:pPr>
            <w:r w:rsidRPr="009D44AB">
              <w:rPr>
                <w:sz w:val="20"/>
              </w:rPr>
              <w:t>Application for leave to cross</w:t>
            </w:r>
            <w:r w:rsidRPr="009D44AB">
              <w:rPr>
                <w:sz w:val="20"/>
              </w:rPr>
              <w:noBreakHyphen/>
              <w:t>appeal filed</w:t>
            </w:r>
          </w:p>
        </w:tc>
      </w:tr>
    </w:tbl>
    <w:p w:rsidR="009D44AB" w:rsidRDefault="009D44AB" w:rsidP="00097BBF">
      <w:pPr>
        <w:rPr>
          <w:sz w:val="20"/>
        </w:rPr>
      </w:pPr>
    </w:p>
    <w:p w:rsidR="009D44AB" w:rsidRDefault="00BB65F4" w:rsidP="00097BBF">
      <w:pPr>
        <w:rPr>
          <w:sz w:val="20"/>
        </w:rPr>
      </w:pPr>
      <w:r>
        <w:rPr>
          <w:sz w:val="20"/>
        </w:rPr>
        <w:pict>
          <v:rect id="_x0000_i1038" style="width:2in;height:1pt" o:hrpct="0" o:hralign="center" o:hrstd="t" o:hrnoshade="t" o:hr="t" fillcolor="black [3213]" stroked="f"/>
        </w:pict>
      </w:r>
    </w:p>
    <w:p w:rsidR="009D44AB" w:rsidRPr="009D44AB" w:rsidRDefault="009D44AB"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4AB" w:rsidRPr="009D44AB" w:rsidTr="00E95A6A">
        <w:tc>
          <w:tcPr>
            <w:tcW w:w="543" w:type="pct"/>
          </w:tcPr>
          <w:p w:rsidR="009D44AB" w:rsidRPr="009D44AB" w:rsidRDefault="00EC12BA" w:rsidP="00890976">
            <w:pPr>
              <w:rPr>
                <w:sz w:val="20"/>
                <w:lang w:val="fr-CA"/>
              </w:rPr>
            </w:pPr>
            <w:r>
              <w:br w:type="page"/>
            </w:r>
            <w:bookmarkStart w:id="1" w:name="_GoBack"/>
            <w:bookmarkEnd w:id="1"/>
            <w:r w:rsidR="009D44AB" w:rsidRPr="009D44AB">
              <w:rPr>
                <w:rStyle w:val="SCCFileNumberChar"/>
                <w:sz w:val="20"/>
                <w:szCs w:val="20"/>
                <w:lang w:val="fr-CA"/>
              </w:rPr>
              <w:t>38814</w:t>
            </w:r>
          </w:p>
        </w:tc>
        <w:tc>
          <w:tcPr>
            <w:tcW w:w="4457" w:type="pct"/>
            <w:gridSpan w:val="3"/>
          </w:tcPr>
          <w:p w:rsidR="009D44AB" w:rsidRPr="009D44AB" w:rsidRDefault="009D44AB" w:rsidP="009D44AB">
            <w:pPr>
              <w:pStyle w:val="SCCLsocParty"/>
              <w:jc w:val="left"/>
              <w:rPr>
                <w:b/>
                <w:sz w:val="20"/>
                <w:szCs w:val="20"/>
              </w:rPr>
            </w:pPr>
            <w:r w:rsidRPr="009D44AB">
              <w:rPr>
                <w:b/>
                <w:sz w:val="20"/>
                <w:szCs w:val="20"/>
              </w:rPr>
              <w:t xml:space="preserve">Procureur général du Canada c. British Columbia Civil </w:t>
            </w:r>
            <w:proofErr w:type="spellStart"/>
            <w:r w:rsidRPr="009D44AB">
              <w:rPr>
                <w:b/>
                <w:sz w:val="20"/>
                <w:szCs w:val="20"/>
              </w:rPr>
              <w:t>Liberties</w:t>
            </w:r>
            <w:proofErr w:type="spellEnd"/>
            <w:r w:rsidRPr="009D44AB">
              <w:rPr>
                <w:b/>
                <w:sz w:val="20"/>
                <w:szCs w:val="20"/>
              </w:rPr>
              <w:t xml:space="preserve"> Association, La Société John Howard du Canada</w:t>
            </w:r>
          </w:p>
          <w:p w:rsidR="009D44AB" w:rsidRPr="009D44AB" w:rsidRDefault="009D44AB" w:rsidP="00890976">
            <w:pPr>
              <w:rPr>
                <w:sz w:val="20"/>
                <w:lang w:val="fr-CA"/>
              </w:rPr>
            </w:pPr>
            <w:r w:rsidRPr="009D44AB">
              <w:rPr>
                <w:sz w:val="20"/>
                <w:lang w:val="fr-CA"/>
              </w:rPr>
              <w:t>(C.</w:t>
            </w:r>
            <w:r w:rsidRPr="009D44AB">
              <w:rPr>
                <w:sz w:val="20"/>
                <w:lang w:val="fr-CA"/>
              </w:rPr>
              <w:noBreakHyphen/>
              <w:t>B.) (Civile) (Autorisation)</w:t>
            </w:r>
          </w:p>
        </w:tc>
      </w:tr>
      <w:tr w:rsidR="009D44AB" w:rsidRPr="00EC12BA" w:rsidTr="00E95A6A">
        <w:tc>
          <w:tcPr>
            <w:tcW w:w="5000" w:type="pct"/>
            <w:gridSpan w:val="4"/>
          </w:tcPr>
          <w:p w:rsidR="009D44AB" w:rsidRPr="009D44AB" w:rsidRDefault="009D44AB" w:rsidP="00890976">
            <w:pPr>
              <w:rPr>
                <w:sz w:val="20"/>
                <w:lang w:val="fr-CA"/>
              </w:rPr>
            </w:pPr>
            <w:r w:rsidRPr="009D44AB">
              <w:rPr>
                <w:sz w:val="20"/>
                <w:lang w:val="fr-CA"/>
              </w:rPr>
              <w:t xml:space="preserve">Droit constitutionnel — </w:t>
            </w:r>
            <w:r w:rsidRPr="009D44AB">
              <w:rPr>
                <w:i/>
                <w:sz w:val="20"/>
                <w:lang w:val="fr-CA"/>
              </w:rPr>
              <w:t>Charte des droits</w:t>
            </w:r>
            <w:r w:rsidRPr="009D44AB">
              <w:rPr>
                <w:sz w:val="20"/>
                <w:lang w:val="fr-CA"/>
              </w:rPr>
              <w:t xml:space="preserve"> — Droit à la vie, à la liberté et à la sécurité de la personne — Droit à l’égalité — Réparation — Isolement préventif — Les articles 31 à 37 de la </w:t>
            </w:r>
            <w:r w:rsidRPr="009D44AB">
              <w:rPr>
                <w:i/>
                <w:sz w:val="20"/>
                <w:lang w:val="fr-CA"/>
              </w:rPr>
              <w:t>Loi sur le système correctionnel et la mise en liberté sous condition</w:t>
            </w:r>
            <w:r w:rsidRPr="009D44AB">
              <w:rPr>
                <w:sz w:val="20"/>
                <w:lang w:val="fr-CA"/>
              </w:rPr>
              <w:t xml:space="preserve"> prévoient un régime d’isolement préventif des détenus — Comment convient</w:t>
            </w:r>
            <w:r w:rsidRPr="009D44AB">
              <w:rPr>
                <w:sz w:val="20"/>
                <w:lang w:val="fr-CA"/>
              </w:rPr>
              <w:noBreakHyphen/>
              <w:t xml:space="preserve">il d’appliquer les principes de la portée excessive et du caractère totalement disproportionné pour invalider un régime discrétionnaire sur le fondement de la manière dont les décideurs ont exercé leur pouvoir discrétionnaire? — Quelle est la norme appropriée pour déterminer si un régime législatif est totalement disproportionné? — Dans quelles situations y </w:t>
            </w:r>
            <w:proofErr w:type="spellStart"/>
            <w:r w:rsidRPr="009D44AB">
              <w:rPr>
                <w:sz w:val="20"/>
                <w:lang w:val="fr-CA"/>
              </w:rPr>
              <w:t>a</w:t>
            </w:r>
            <w:r w:rsidRPr="009D44AB">
              <w:rPr>
                <w:sz w:val="20"/>
                <w:lang w:val="fr-CA"/>
              </w:rPr>
              <w:noBreakHyphen/>
              <w:t>t</w:t>
            </w:r>
            <w:r w:rsidRPr="009D44AB">
              <w:rPr>
                <w:sz w:val="20"/>
                <w:lang w:val="fr-CA"/>
              </w:rPr>
              <w:noBreakHyphen/>
              <w:t>il</w:t>
            </w:r>
            <w:proofErr w:type="spellEnd"/>
            <w:r w:rsidRPr="009D44AB">
              <w:rPr>
                <w:sz w:val="20"/>
                <w:lang w:val="fr-CA"/>
              </w:rPr>
              <w:t xml:space="preserve"> lieu d’accorder la réparation fondée sur l’art. 52 de la </w:t>
            </w:r>
            <w:r w:rsidRPr="009D44AB">
              <w:rPr>
                <w:i/>
                <w:sz w:val="20"/>
                <w:lang w:val="fr-CA"/>
              </w:rPr>
              <w:t>Loi constitutionnelle de 1982</w:t>
            </w:r>
            <w:r w:rsidRPr="009D44AB">
              <w:rPr>
                <w:sz w:val="20"/>
                <w:lang w:val="fr-CA"/>
              </w:rPr>
              <w:t xml:space="preserve"> à l’égard d’une loi qui pourrait être administrée de manière conforme à la Constitution? — Quelles sont les exigences de l’équité procédurale aux fins du contrôle de l’isolement préventif? — Quelles limites la Constitution impose</w:t>
            </w:r>
            <w:r w:rsidRPr="009D44AB">
              <w:rPr>
                <w:sz w:val="20"/>
                <w:lang w:val="fr-CA"/>
              </w:rPr>
              <w:noBreakHyphen/>
              <w:t>t</w:t>
            </w:r>
            <w:r w:rsidRPr="009D44AB">
              <w:rPr>
                <w:sz w:val="20"/>
                <w:lang w:val="fr-CA"/>
              </w:rPr>
              <w:noBreakHyphen/>
              <w:t>elle au recours à l’isolement cellulaire par le Canada? — Les tribunaux devraient</w:t>
            </w:r>
            <w:r w:rsidRPr="009D44AB">
              <w:rPr>
                <w:sz w:val="20"/>
                <w:lang w:val="fr-CA"/>
              </w:rPr>
              <w:noBreakHyphen/>
              <w:t>il refuser de prononcer des jugements déclaratoires en présence d’un acte inconstitutionnel admis et, dans l’affirmative, dans quelles situations? — Les plaideurs ayant qualité pour agir dans l’intérêt public peuvent</w:t>
            </w:r>
            <w:r w:rsidRPr="009D44AB">
              <w:rPr>
                <w:sz w:val="20"/>
                <w:lang w:val="fr-CA"/>
              </w:rPr>
              <w:noBreakHyphen/>
              <w:t xml:space="preserve">ils obtenir une réparation fondée sur l’art. 24 de la </w:t>
            </w:r>
            <w:r w:rsidRPr="009D44AB">
              <w:rPr>
                <w:i/>
                <w:sz w:val="20"/>
                <w:lang w:val="fr-CA"/>
              </w:rPr>
              <w:t>Charte</w:t>
            </w:r>
            <w:r w:rsidRPr="009D44AB">
              <w:rPr>
                <w:sz w:val="20"/>
                <w:lang w:val="fr-CA"/>
              </w:rPr>
              <w:t xml:space="preserve">? — </w:t>
            </w:r>
            <w:r w:rsidRPr="009D44AB">
              <w:rPr>
                <w:i/>
                <w:sz w:val="20"/>
                <w:lang w:val="fr-CA"/>
              </w:rPr>
              <w:t>Loi sur le système correctionnel et la mise en liberté sous condition</w:t>
            </w:r>
            <w:r w:rsidRPr="009D44AB">
              <w:rPr>
                <w:sz w:val="20"/>
                <w:lang w:val="fr-CA"/>
              </w:rPr>
              <w:t>, L.C. 1992, ch. 20.</w:t>
            </w:r>
          </w:p>
          <w:p w:rsidR="009D44AB" w:rsidRPr="009D44AB" w:rsidRDefault="009D44AB" w:rsidP="00890976">
            <w:pPr>
              <w:rPr>
                <w:sz w:val="20"/>
                <w:lang w:val="fr-CA"/>
              </w:rPr>
            </w:pPr>
          </w:p>
        </w:tc>
      </w:tr>
      <w:tr w:rsidR="009D44AB" w:rsidRPr="00EC12BA" w:rsidTr="00E95A6A">
        <w:tc>
          <w:tcPr>
            <w:tcW w:w="5000" w:type="pct"/>
            <w:gridSpan w:val="4"/>
          </w:tcPr>
          <w:p w:rsidR="009D44AB" w:rsidRPr="009D44AB" w:rsidRDefault="009D44AB" w:rsidP="00890976">
            <w:pPr>
              <w:rPr>
                <w:sz w:val="20"/>
                <w:lang w:val="fr-CA"/>
              </w:rPr>
            </w:pPr>
            <w:r w:rsidRPr="009D44AB">
              <w:rPr>
                <w:sz w:val="20"/>
                <w:lang w:val="fr-CA"/>
              </w:rPr>
              <w:t xml:space="preserve">Les intimées, British Columbia Civil </w:t>
            </w:r>
            <w:proofErr w:type="spellStart"/>
            <w:r w:rsidRPr="009D44AB">
              <w:rPr>
                <w:sz w:val="20"/>
                <w:lang w:val="fr-CA"/>
              </w:rPr>
              <w:t>Liberties</w:t>
            </w:r>
            <w:proofErr w:type="spellEnd"/>
            <w:r w:rsidRPr="009D44AB">
              <w:rPr>
                <w:sz w:val="20"/>
                <w:lang w:val="fr-CA"/>
              </w:rPr>
              <w:t xml:space="preserve"> Association (« BCCLA ») et la Société John Howard du Canada (« SJHC ») ont introduit une demande en Colombie</w:t>
            </w:r>
            <w:r w:rsidRPr="009D44AB">
              <w:rPr>
                <w:sz w:val="20"/>
                <w:lang w:val="fr-CA"/>
              </w:rPr>
              <w:noBreakHyphen/>
              <w:t xml:space="preserve">Britannique dans laquelle elles ont prétendu que </w:t>
            </w:r>
            <w:proofErr w:type="gramStart"/>
            <w:r w:rsidRPr="009D44AB">
              <w:rPr>
                <w:sz w:val="20"/>
                <w:lang w:val="fr-CA"/>
              </w:rPr>
              <w:t>les art</w:t>
            </w:r>
            <w:proofErr w:type="gramEnd"/>
            <w:r w:rsidRPr="009D44AB">
              <w:rPr>
                <w:sz w:val="20"/>
                <w:lang w:val="fr-CA"/>
              </w:rPr>
              <w:t xml:space="preserve">. 31 à 33 et 37 de la </w:t>
            </w:r>
            <w:r w:rsidRPr="009D44AB">
              <w:rPr>
                <w:i/>
                <w:sz w:val="20"/>
                <w:lang w:val="fr-CA"/>
              </w:rPr>
              <w:t>Loi sur le système correctionnel et la mise en liberté sous condition</w:t>
            </w:r>
            <w:r w:rsidRPr="009D44AB">
              <w:rPr>
                <w:sz w:val="20"/>
                <w:lang w:val="fr-CA"/>
              </w:rPr>
              <w:t>, L.C. 1992, ch. 20 (« </w:t>
            </w:r>
            <w:r w:rsidRPr="009D44AB">
              <w:rPr>
                <w:i/>
                <w:sz w:val="20"/>
                <w:lang w:val="fr-CA"/>
              </w:rPr>
              <w:t>LSCMLC</w:t>
            </w:r>
            <w:r w:rsidRPr="009D44AB">
              <w:rPr>
                <w:sz w:val="20"/>
                <w:lang w:val="fr-CA"/>
              </w:rPr>
              <w:t xml:space="preserve"> ») étaient contraires </w:t>
            </w:r>
            <w:proofErr w:type="gramStart"/>
            <w:r w:rsidRPr="009D44AB">
              <w:rPr>
                <w:sz w:val="20"/>
                <w:lang w:val="fr-CA"/>
              </w:rPr>
              <w:t>aux art</w:t>
            </w:r>
            <w:proofErr w:type="gramEnd"/>
            <w:r w:rsidRPr="009D44AB">
              <w:rPr>
                <w:sz w:val="20"/>
                <w:lang w:val="fr-CA"/>
              </w:rPr>
              <w:t xml:space="preserve">. 7, 9, 10, 12 et 15 de la </w:t>
            </w:r>
            <w:r w:rsidRPr="009D44AB">
              <w:rPr>
                <w:i/>
                <w:sz w:val="20"/>
                <w:lang w:val="fr-CA"/>
              </w:rPr>
              <w:t>Charte canadienne des droits et libertés</w:t>
            </w:r>
            <w:r w:rsidRPr="009D44AB">
              <w:rPr>
                <w:sz w:val="20"/>
                <w:lang w:val="fr-CA"/>
              </w:rPr>
              <w:t>. Elles ont plaidé que les dispositions attaquées permettaient l’isolement cellulaire pour une longue durée, indéterminée, et qu’un tel isolement, surtout lorsqu’il était enduré pendant de longues périodes, avait des effets néfastes importants sur la santé physique, psychologique et sociale des détenus. Selon le demandeur, le procureur général du Canada (« AGC »), l’isolement préventif, tel qu’il est pratiqué dans les établissements correctionnels canadiens, n’équivalait pas à de l’isolement cellulaire et était un outil nécessaire lorsqu’il n’y avait pas d’autres solutions raisonnables.</w:t>
            </w:r>
          </w:p>
          <w:p w:rsidR="009D44AB" w:rsidRPr="009D44AB" w:rsidRDefault="009D44AB" w:rsidP="00890976">
            <w:pPr>
              <w:rPr>
                <w:sz w:val="20"/>
                <w:lang w:val="fr-CA"/>
              </w:rPr>
            </w:pPr>
          </w:p>
          <w:p w:rsidR="009D44AB" w:rsidRPr="009D44AB" w:rsidRDefault="009D44AB" w:rsidP="00890976">
            <w:pPr>
              <w:rPr>
                <w:sz w:val="20"/>
                <w:lang w:val="fr-CA"/>
              </w:rPr>
            </w:pPr>
            <w:r w:rsidRPr="009D44AB">
              <w:rPr>
                <w:sz w:val="20"/>
                <w:lang w:val="fr-CA"/>
              </w:rPr>
              <w:t xml:space="preserve">Le juge de première instance a déclaré que </w:t>
            </w:r>
            <w:proofErr w:type="gramStart"/>
            <w:r w:rsidRPr="009D44AB">
              <w:rPr>
                <w:sz w:val="20"/>
                <w:lang w:val="fr-CA"/>
              </w:rPr>
              <w:t>les art</w:t>
            </w:r>
            <w:proofErr w:type="gramEnd"/>
            <w:r w:rsidRPr="009D44AB">
              <w:rPr>
                <w:sz w:val="20"/>
                <w:lang w:val="fr-CA"/>
              </w:rPr>
              <w:t xml:space="preserve">. 31 à 33 et 37 de la </w:t>
            </w:r>
            <w:r w:rsidRPr="009D44AB">
              <w:rPr>
                <w:i/>
                <w:sz w:val="20"/>
                <w:lang w:val="fr-CA"/>
              </w:rPr>
              <w:t>Loi sur le système correctionnel et la mise en liberté sous condition</w:t>
            </w:r>
            <w:r w:rsidRPr="009D44AB">
              <w:rPr>
                <w:sz w:val="20"/>
                <w:lang w:val="fr-CA"/>
              </w:rPr>
              <w:t xml:space="preserve"> portaient atteinte de manière injustifiée à l’art. 7 de la </w:t>
            </w:r>
            <w:r w:rsidRPr="009D44AB">
              <w:rPr>
                <w:i/>
                <w:sz w:val="20"/>
                <w:lang w:val="fr-CA"/>
              </w:rPr>
              <w:t>Charte</w:t>
            </w:r>
            <w:r w:rsidRPr="009D44AB">
              <w:rPr>
                <w:sz w:val="20"/>
                <w:lang w:val="fr-CA"/>
              </w:rPr>
              <w:t xml:space="preserve"> et que les dispositions étaient inopérantes dans la mesure où elles autorisent et effectuent l’isolement cellulaire d’une longue durée indéterminée, le chef institutionnel devant être à la fois juge et poursuivant de sa propre cause, du contrôle interne des placements en isolement préventif et de la privation du droit des détenus à l’assistance d’un avocat lors des audiences de contrôle de l’isolement. Le juge a en outre conclu que les dispositions portaient atteinte de manière injustifiée à l’art. 15 de la </w:t>
            </w:r>
            <w:r w:rsidRPr="009D44AB">
              <w:rPr>
                <w:i/>
                <w:sz w:val="20"/>
                <w:lang w:val="fr-CA"/>
              </w:rPr>
              <w:t>Charte</w:t>
            </w:r>
            <w:r w:rsidRPr="009D44AB">
              <w:rPr>
                <w:sz w:val="20"/>
                <w:lang w:val="fr-CA"/>
              </w:rPr>
              <w:t xml:space="preserve"> dans la mesure où elles autorisent et effectuent une période d’isolement préventif des détenus ayant une maladie mentale ou un handicap, et une procédure qui donne lieu à de la discrimination à l’égard des détenus autochtones. Le juge de première instance a également conclu que le Service correctionnel du Canada avait nié aux détenus leur droit d’avoir recours sans délai à l’assistance d’un avocat dès qu’ils sont placés en isolement préventif. Toutefois, le juge a statué qu’une telle demande devait être présentée par des détenus individuels qui sollicitent une réparation fondée sur le par. 24(1) de la </w:t>
            </w:r>
            <w:r w:rsidRPr="009D44AB">
              <w:rPr>
                <w:i/>
                <w:sz w:val="20"/>
                <w:lang w:val="fr-CA"/>
              </w:rPr>
              <w:t>Charte</w:t>
            </w:r>
            <w:r w:rsidRPr="009D44AB">
              <w:rPr>
                <w:sz w:val="20"/>
                <w:lang w:val="fr-CA"/>
              </w:rPr>
              <w:t>.</w:t>
            </w:r>
          </w:p>
          <w:p w:rsidR="009D44AB" w:rsidRPr="009D44AB" w:rsidRDefault="009D44AB" w:rsidP="00890976">
            <w:pPr>
              <w:rPr>
                <w:sz w:val="20"/>
                <w:lang w:val="fr-CA"/>
              </w:rPr>
            </w:pPr>
          </w:p>
          <w:p w:rsidR="009D44AB" w:rsidRPr="009D44AB" w:rsidRDefault="009D44AB" w:rsidP="00890976">
            <w:pPr>
              <w:rPr>
                <w:sz w:val="20"/>
                <w:lang w:val="fr-CA"/>
              </w:rPr>
            </w:pPr>
            <w:r w:rsidRPr="009D44AB">
              <w:rPr>
                <w:sz w:val="20"/>
                <w:lang w:val="fr-CA"/>
              </w:rPr>
              <w:t>La Cour d’appel a accueilli l’appel en partie. La cour a conclu que le juge de première instance n’avait pas eu tort de conclure que les dispositions attaquées portaient atteinte de manière injustifiée à l’art. 7 et qu’elles étaient inopérantes parce qu’elles autorisent l’isolement préventif pour une longue période indéterminée et autorisent le contrôle interne, plutôt qu’externe, des décisions de placer les détenus en isolement. Toutefois, le juge de première instance avait eu tort de conclure que les dispositions attaquées violaient l’art. 15 et de conclure qu’il fallait invalider les dispositions législatives parce qu’elles ne conféraient pas expressément aux détenus le droit à l’assistance d’un avocat lors des audiences de contrôle de l’isolement.</w:t>
            </w:r>
          </w:p>
          <w:p w:rsidR="009D44AB" w:rsidRPr="009D44AB" w:rsidRDefault="009D44AB" w:rsidP="00890976">
            <w:pPr>
              <w:rPr>
                <w:sz w:val="20"/>
                <w:lang w:val="fr-CA"/>
              </w:rPr>
            </w:pPr>
          </w:p>
          <w:p w:rsidR="009D44AB" w:rsidRPr="009D44AB" w:rsidRDefault="009D44AB" w:rsidP="00890976">
            <w:pPr>
              <w:rPr>
                <w:sz w:val="20"/>
                <w:lang w:val="fr-CA"/>
              </w:rPr>
            </w:pPr>
            <w:r w:rsidRPr="009D44AB">
              <w:rPr>
                <w:sz w:val="20"/>
                <w:lang w:val="fr-CA" w:eastAsia="en-CA"/>
              </w:rPr>
              <w:t>Le 16 octobre 2018, la Chambre des communes a introduit le projet de loi C</w:t>
            </w:r>
            <w:r w:rsidRPr="009D44AB">
              <w:rPr>
                <w:sz w:val="20"/>
                <w:lang w:val="fr-CA" w:eastAsia="en-CA"/>
              </w:rPr>
              <w:noBreakHyphen/>
              <w:t xml:space="preserve">83, </w:t>
            </w:r>
            <w:r w:rsidRPr="009D44AB">
              <w:rPr>
                <w:i/>
                <w:sz w:val="20"/>
                <w:lang w:val="fr-CA" w:eastAsia="en-CA"/>
              </w:rPr>
              <w:t>Loi modifiant la Loi sur le système correctionnel et la mise en liberté sous condition et une autre loi</w:t>
            </w:r>
            <w:r w:rsidRPr="009D44AB">
              <w:rPr>
                <w:sz w:val="20"/>
                <w:lang w:val="fr-CA" w:eastAsia="en-CA"/>
              </w:rPr>
              <w:t xml:space="preserve">, qui modifie </w:t>
            </w:r>
            <w:proofErr w:type="gramStart"/>
            <w:r w:rsidRPr="009D44AB">
              <w:rPr>
                <w:sz w:val="20"/>
                <w:lang w:val="fr-CA" w:eastAsia="en-CA"/>
              </w:rPr>
              <w:t>les art</w:t>
            </w:r>
            <w:proofErr w:type="gramEnd"/>
            <w:r w:rsidRPr="009D44AB">
              <w:rPr>
                <w:sz w:val="20"/>
                <w:lang w:val="fr-CA" w:eastAsia="en-CA"/>
              </w:rPr>
              <w:t xml:space="preserve">. 31 à 37 de la </w:t>
            </w:r>
            <w:r w:rsidRPr="009D44AB">
              <w:rPr>
                <w:i/>
                <w:sz w:val="20"/>
                <w:lang w:val="fr-CA" w:eastAsia="en-CA"/>
              </w:rPr>
              <w:t>LSCMLC</w:t>
            </w:r>
            <w:r w:rsidRPr="009D44AB">
              <w:rPr>
                <w:sz w:val="20"/>
                <w:lang w:val="fr-CA" w:eastAsia="en-CA"/>
              </w:rPr>
              <w:t xml:space="preserve">. Le projet de loi a reçu la sanction royale le 21 juin 2019 et les nouvelles dispositions remplaçant </w:t>
            </w:r>
            <w:proofErr w:type="gramStart"/>
            <w:r w:rsidRPr="009D44AB">
              <w:rPr>
                <w:sz w:val="20"/>
                <w:lang w:val="fr-CA" w:eastAsia="en-CA"/>
              </w:rPr>
              <w:t>les art</w:t>
            </w:r>
            <w:proofErr w:type="gramEnd"/>
            <w:r w:rsidRPr="009D44AB">
              <w:rPr>
                <w:sz w:val="20"/>
                <w:lang w:val="fr-CA" w:eastAsia="en-CA"/>
              </w:rPr>
              <w:t xml:space="preserve">. 31 à 37 de la </w:t>
            </w:r>
            <w:r w:rsidRPr="009D44AB">
              <w:rPr>
                <w:i/>
                <w:sz w:val="20"/>
                <w:lang w:val="fr-CA" w:eastAsia="en-CA"/>
              </w:rPr>
              <w:t>LSCMLC</w:t>
            </w:r>
            <w:r w:rsidRPr="009D44AB">
              <w:rPr>
                <w:sz w:val="20"/>
                <w:lang w:val="fr-CA" w:eastAsia="en-CA"/>
              </w:rPr>
              <w:t xml:space="preserve"> sont entrées en vigueur le 30 novembre 2019.</w:t>
            </w:r>
          </w:p>
        </w:tc>
      </w:tr>
      <w:tr w:rsidR="009D44AB" w:rsidRPr="00EC12BA" w:rsidTr="00E95A6A">
        <w:tc>
          <w:tcPr>
            <w:tcW w:w="5000" w:type="pct"/>
            <w:gridSpan w:val="4"/>
          </w:tcPr>
          <w:p w:rsidR="009D44AB" w:rsidRPr="009D44AB" w:rsidRDefault="009D44AB" w:rsidP="00890976">
            <w:pPr>
              <w:rPr>
                <w:sz w:val="20"/>
                <w:lang w:val="fr-CA"/>
              </w:rPr>
            </w:pPr>
          </w:p>
        </w:tc>
      </w:tr>
      <w:tr w:rsidR="009D44AB" w:rsidRPr="00EC12BA" w:rsidTr="00E95A6A">
        <w:tc>
          <w:tcPr>
            <w:tcW w:w="2427" w:type="pct"/>
            <w:gridSpan w:val="2"/>
          </w:tcPr>
          <w:p w:rsidR="009D44AB" w:rsidRPr="009D44AB" w:rsidRDefault="009D44AB" w:rsidP="00890976">
            <w:pPr>
              <w:rPr>
                <w:sz w:val="20"/>
                <w:lang w:val="fr-CA"/>
              </w:rPr>
            </w:pPr>
            <w:r w:rsidRPr="009D44AB">
              <w:rPr>
                <w:sz w:val="20"/>
                <w:lang w:val="fr-CA"/>
              </w:rPr>
              <w:lastRenderedPageBreak/>
              <w:t>17 janvier 2018</w:t>
            </w:r>
          </w:p>
          <w:p w:rsidR="009D44AB" w:rsidRPr="009D44AB" w:rsidRDefault="009D44AB" w:rsidP="00890976">
            <w:pPr>
              <w:rPr>
                <w:sz w:val="20"/>
                <w:lang w:val="fr-CA"/>
              </w:rPr>
            </w:pPr>
            <w:r w:rsidRPr="009D44AB">
              <w:rPr>
                <w:sz w:val="20"/>
                <w:lang w:val="fr-CA"/>
              </w:rPr>
              <w:t>Cour suprême de la Colombie</w:t>
            </w:r>
            <w:r w:rsidRPr="009D44AB">
              <w:rPr>
                <w:sz w:val="20"/>
                <w:lang w:val="fr-CA"/>
              </w:rPr>
              <w:noBreakHyphen/>
              <w:t>Britannique</w:t>
            </w:r>
          </w:p>
          <w:p w:rsidR="009D44AB" w:rsidRPr="009D44AB" w:rsidRDefault="009D44AB" w:rsidP="00890976">
            <w:pPr>
              <w:rPr>
                <w:sz w:val="20"/>
                <w:lang w:val="fr-CA"/>
              </w:rPr>
            </w:pPr>
            <w:r w:rsidRPr="009D44AB">
              <w:rPr>
                <w:sz w:val="20"/>
                <w:lang w:val="fr-CA"/>
              </w:rPr>
              <w:t xml:space="preserve">(Juge </w:t>
            </w:r>
            <w:proofErr w:type="spellStart"/>
            <w:r w:rsidRPr="009D44AB">
              <w:rPr>
                <w:sz w:val="20"/>
                <w:lang w:val="fr-CA"/>
              </w:rPr>
              <w:t>Leask</w:t>
            </w:r>
            <w:proofErr w:type="spellEnd"/>
            <w:r w:rsidRPr="009D44AB">
              <w:rPr>
                <w:sz w:val="20"/>
                <w:lang w:val="fr-CA"/>
              </w:rPr>
              <w:t>)</w:t>
            </w:r>
          </w:p>
          <w:p w:rsidR="009D44AB" w:rsidRPr="009D44AB" w:rsidRDefault="00BB65F4" w:rsidP="00890976">
            <w:pPr>
              <w:rPr>
                <w:sz w:val="20"/>
                <w:lang w:val="fr-CA"/>
              </w:rPr>
            </w:pPr>
            <w:hyperlink r:id="rId46" w:history="1">
              <w:r w:rsidR="009D44AB" w:rsidRPr="009D44AB">
                <w:rPr>
                  <w:rStyle w:val="Hyperlink"/>
                  <w:sz w:val="20"/>
                  <w:lang w:val="fr-CA"/>
                </w:rPr>
                <w:t>2018 BCSC 62</w:t>
              </w:r>
            </w:hyperlink>
            <w:r w:rsidR="009D44AB" w:rsidRPr="009D44AB">
              <w:rPr>
                <w:sz w:val="20"/>
                <w:lang w:val="fr-CA"/>
              </w:rPr>
              <w:t>; S150415</w:t>
            </w:r>
          </w:p>
          <w:p w:rsidR="009D44AB" w:rsidRPr="009D44AB" w:rsidRDefault="009D44AB" w:rsidP="00890976">
            <w:pPr>
              <w:rPr>
                <w:sz w:val="20"/>
                <w:lang w:val="fr-CA"/>
              </w:rPr>
            </w:pPr>
          </w:p>
        </w:tc>
        <w:tc>
          <w:tcPr>
            <w:tcW w:w="243" w:type="pct"/>
          </w:tcPr>
          <w:p w:rsidR="009D44AB" w:rsidRPr="009D44AB" w:rsidRDefault="009D44AB" w:rsidP="00890976">
            <w:pPr>
              <w:rPr>
                <w:sz w:val="20"/>
                <w:lang w:val="fr-CA"/>
              </w:rPr>
            </w:pPr>
          </w:p>
        </w:tc>
        <w:tc>
          <w:tcPr>
            <w:tcW w:w="2330" w:type="pct"/>
          </w:tcPr>
          <w:p w:rsidR="009D44AB" w:rsidRPr="009D44AB" w:rsidRDefault="009D44AB" w:rsidP="00890976">
            <w:pPr>
              <w:rPr>
                <w:sz w:val="20"/>
                <w:lang w:val="fr-CA"/>
              </w:rPr>
            </w:pPr>
            <w:r w:rsidRPr="009D44AB">
              <w:rPr>
                <w:sz w:val="20"/>
                <w:lang w:val="fr-CA"/>
              </w:rPr>
              <w:t xml:space="preserve">Jugement déclarant que les articles 31 à 37 de la Loi sur le système correctionnel et la mise en liberté sous condition portent atteinte </w:t>
            </w:r>
            <w:proofErr w:type="gramStart"/>
            <w:r w:rsidRPr="009D44AB">
              <w:rPr>
                <w:sz w:val="20"/>
                <w:lang w:val="fr-CA"/>
              </w:rPr>
              <w:t>aux art</w:t>
            </w:r>
            <w:proofErr w:type="gramEnd"/>
            <w:r w:rsidRPr="009D44AB">
              <w:rPr>
                <w:sz w:val="20"/>
                <w:lang w:val="fr-CA"/>
              </w:rPr>
              <w:t xml:space="preserve">. 7 et 15 de la </w:t>
            </w:r>
            <w:r w:rsidRPr="009D44AB">
              <w:rPr>
                <w:i/>
                <w:sz w:val="20"/>
                <w:lang w:val="fr-CA"/>
              </w:rPr>
              <w:t>Charte</w:t>
            </w:r>
            <w:r w:rsidRPr="009D44AB">
              <w:rPr>
                <w:sz w:val="20"/>
                <w:lang w:val="fr-CA"/>
              </w:rPr>
              <w:t xml:space="preserve"> et suspendant la déclaration d’invalidité pour une période d’un an</w:t>
            </w:r>
          </w:p>
        </w:tc>
      </w:tr>
      <w:tr w:rsidR="009D44AB" w:rsidRPr="00EC12BA" w:rsidTr="00E95A6A">
        <w:tc>
          <w:tcPr>
            <w:tcW w:w="2427" w:type="pct"/>
            <w:gridSpan w:val="2"/>
          </w:tcPr>
          <w:p w:rsidR="009D44AB" w:rsidRPr="009D44AB" w:rsidRDefault="009D44AB" w:rsidP="00890976">
            <w:pPr>
              <w:rPr>
                <w:sz w:val="20"/>
                <w:lang w:val="fr-CA"/>
              </w:rPr>
            </w:pPr>
            <w:r w:rsidRPr="009D44AB">
              <w:rPr>
                <w:sz w:val="20"/>
                <w:lang w:val="fr-CA"/>
              </w:rPr>
              <w:t>24 juin 2019</w:t>
            </w:r>
          </w:p>
          <w:p w:rsidR="009D44AB" w:rsidRPr="009D44AB" w:rsidRDefault="009D44AB" w:rsidP="00890976">
            <w:pPr>
              <w:rPr>
                <w:sz w:val="20"/>
                <w:lang w:val="fr-CA"/>
              </w:rPr>
            </w:pPr>
            <w:r w:rsidRPr="009D44AB">
              <w:rPr>
                <w:sz w:val="20"/>
                <w:lang w:val="fr-CA"/>
              </w:rPr>
              <w:t>Cour d’appel de la Colombie</w:t>
            </w:r>
            <w:r w:rsidRPr="009D44AB">
              <w:rPr>
                <w:sz w:val="20"/>
                <w:lang w:val="fr-CA"/>
              </w:rPr>
              <w:noBreakHyphen/>
              <w:t>Britannique (Vancouver)</w:t>
            </w:r>
          </w:p>
          <w:p w:rsidR="009D44AB" w:rsidRPr="009D44AB" w:rsidRDefault="009D44AB" w:rsidP="00890976">
            <w:pPr>
              <w:rPr>
                <w:sz w:val="20"/>
              </w:rPr>
            </w:pPr>
            <w:r w:rsidRPr="009D44AB">
              <w:rPr>
                <w:sz w:val="20"/>
              </w:rPr>
              <w:t>(</w:t>
            </w:r>
            <w:proofErr w:type="spellStart"/>
            <w:r w:rsidRPr="009D44AB">
              <w:rPr>
                <w:sz w:val="20"/>
              </w:rPr>
              <w:t>Juges</w:t>
            </w:r>
            <w:proofErr w:type="spellEnd"/>
            <w:r w:rsidRPr="009D44AB">
              <w:rPr>
                <w:sz w:val="20"/>
              </w:rPr>
              <w:t xml:space="preserve"> </w:t>
            </w:r>
            <w:proofErr w:type="spellStart"/>
            <w:r w:rsidRPr="009D44AB">
              <w:rPr>
                <w:sz w:val="20"/>
              </w:rPr>
              <w:t>Groberman</w:t>
            </w:r>
            <w:proofErr w:type="spellEnd"/>
            <w:r w:rsidRPr="009D44AB">
              <w:rPr>
                <w:sz w:val="20"/>
              </w:rPr>
              <w:t xml:space="preserve">, </w:t>
            </w:r>
            <w:proofErr w:type="spellStart"/>
            <w:r w:rsidRPr="009D44AB">
              <w:rPr>
                <w:sz w:val="20"/>
              </w:rPr>
              <w:t>Willcock</w:t>
            </w:r>
            <w:proofErr w:type="spellEnd"/>
            <w:r w:rsidRPr="009D44AB">
              <w:rPr>
                <w:sz w:val="20"/>
              </w:rPr>
              <w:t xml:space="preserve"> et Fitch)</w:t>
            </w:r>
          </w:p>
          <w:p w:rsidR="009D44AB" w:rsidRPr="009D44AB" w:rsidRDefault="00BB65F4" w:rsidP="00890976">
            <w:pPr>
              <w:rPr>
                <w:sz w:val="20"/>
              </w:rPr>
            </w:pPr>
            <w:hyperlink r:id="rId47" w:history="1">
              <w:r w:rsidR="009D44AB" w:rsidRPr="009D44AB">
                <w:rPr>
                  <w:rStyle w:val="Hyperlink"/>
                  <w:sz w:val="20"/>
                </w:rPr>
                <w:t>2019 BCCA 228</w:t>
              </w:r>
            </w:hyperlink>
            <w:r w:rsidR="009D44AB" w:rsidRPr="009D44AB">
              <w:rPr>
                <w:sz w:val="20"/>
              </w:rPr>
              <w:t>; CA45092</w:t>
            </w:r>
          </w:p>
          <w:p w:rsidR="009D44AB" w:rsidRPr="009D44AB" w:rsidRDefault="009D44AB" w:rsidP="00890976">
            <w:pPr>
              <w:rPr>
                <w:sz w:val="20"/>
              </w:rPr>
            </w:pPr>
          </w:p>
        </w:tc>
        <w:tc>
          <w:tcPr>
            <w:tcW w:w="243" w:type="pct"/>
          </w:tcPr>
          <w:p w:rsidR="009D44AB" w:rsidRPr="009D44AB" w:rsidRDefault="009D44AB" w:rsidP="00890976">
            <w:pPr>
              <w:rPr>
                <w:sz w:val="20"/>
              </w:rPr>
            </w:pPr>
          </w:p>
        </w:tc>
        <w:tc>
          <w:tcPr>
            <w:tcW w:w="2330" w:type="pct"/>
          </w:tcPr>
          <w:p w:rsidR="009D44AB" w:rsidRPr="009D44AB" w:rsidRDefault="009D44AB" w:rsidP="00890976">
            <w:pPr>
              <w:rPr>
                <w:sz w:val="20"/>
                <w:lang w:val="fr-CA"/>
              </w:rPr>
            </w:pPr>
            <w:r w:rsidRPr="009D44AB">
              <w:rPr>
                <w:sz w:val="20"/>
                <w:lang w:val="fr-CA"/>
              </w:rPr>
              <w:t>Arrêt accueillant l’appel en partie, annulant l’ordonnance invalidant les dispositions parce qu’elles ne confèrent pas expressément le droit à l’assistance d’un avocat aux audiences de contrôle de l’isolement et annulant l’ordonnance déclarant les dispositions invalides pour des motifs fondés sur l’art. 15.</w:t>
            </w:r>
          </w:p>
        </w:tc>
      </w:tr>
      <w:tr w:rsidR="009D44AB" w:rsidRPr="00EC12BA" w:rsidTr="00E95A6A">
        <w:tc>
          <w:tcPr>
            <w:tcW w:w="2427" w:type="pct"/>
            <w:gridSpan w:val="2"/>
          </w:tcPr>
          <w:p w:rsidR="009D44AB" w:rsidRPr="009D44AB" w:rsidRDefault="009D44AB" w:rsidP="00890976">
            <w:pPr>
              <w:rPr>
                <w:sz w:val="20"/>
                <w:lang w:val="fr-CA"/>
              </w:rPr>
            </w:pPr>
            <w:r w:rsidRPr="009D44AB">
              <w:rPr>
                <w:sz w:val="20"/>
                <w:lang w:val="fr-CA"/>
              </w:rPr>
              <w:t>23 septembre 2019</w:t>
            </w:r>
          </w:p>
          <w:p w:rsidR="009D44AB" w:rsidRPr="009D44AB" w:rsidRDefault="009D44AB" w:rsidP="00890976">
            <w:pPr>
              <w:rPr>
                <w:sz w:val="20"/>
                <w:lang w:val="fr-CA"/>
              </w:rPr>
            </w:pPr>
            <w:r w:rsidRPr="009D44AB">
              <w:rPr>
                <w:sz w:val="20"/>
                <w:lang w:val="fr-CA"/>
              </w:rPr>
              <w:t>Cour suprême du Canada</w:t>
            </w:r>
          </w:p>
          <w:p w:rsidR="009D44AB" w:rsidRPr="009D44AB" w:rsidRDefault="009D44AB" w:rsidP="00890976">
            <w:pPr>
              <w:rPr>
                <w:sz w:val="20"/>
                <w:lang w:val="fr-CA"/>
              </w:rPr>
            </w:pPr>
          </w:p>
        </w:tc>
        <w:tc>
          <w:tcPr>
            <w:tcW w:w="243" w:type="pct"/>
          </w:tcPr>
          <w:p w:rsidR="009D44AB" w:rsidRPr="009D44AB" w:rsidRDefault="009D44AB" w:rsidP="00890976">
            <w:pPr>
              <w:rPr>
                <w:sz w:val="20"/>
                <w:lang w:val="fr-CA"/>
              </w:rPr>
            </w:pPr>
          </w:p>
        </w:tc>
        <w:tc>
          <w:tcPr>
            <w:tcW w:w="2330" w:type="pct"/>
          </w:tcPr>
          <w:p w:rsidR="009D44AB" w:rsidRPr="009D44AB" w:rsidRDefault="009D44AB" w:rsidP="00890976">
            <w:pPr>
              <w:rPr>
                <w:sz w:val="20"/>
                <w:lang w:val="fr-CA"/>
              </w:rPr>
            </w:pPr>
            <w:r w:rsidRPr="009D44AB">
              <w:rPr>
                <w:sz w:val="20"/>
                <w:lang w:val="fr-CA"/>
              </w:rPr>
              <w:t>Dépôt de la demande d’autorisation d’appel</w:t>
            </w:r>
          </w:p>
          <w:p w:rsidR="009D44AB" w:rsidRPr="009D44AB" w:rsidRDefault="009D44AB" w:rsidP="00890976">
            <w:pPr>
              <w:rPr>
                <w:sz w:val="20"/>
                <w:lang w:val="fr-CA"/>
              </w:rPr>
            </w:pPr>
          </w:p>
          <w:p w:rsidR="009D44AB" w:rsidRPr="009D44AB" w:rsidRDefault="009D44AB" w:rsidP="00890976">
            <w:pPr>
              <w:rPr>
                <w:sz w:val="20"/>
                <w:lang w:val="fr-CA"/>
              </w:rPr>
            </w:pPr>
          </w:p>
        </w:tc>
      </w:tr>
      <w:tr w:rsidR="009D44AB" w:rsidRPr="00EC12BA" w:rsidTr="00E95A6A">
        <w:tc>
          <w:tcPr>
            <w:tcW w:w="2427" w:type="pct"/>
            <w:gridSpan w:val="2"/>
          </w:tcPr>
          <w:p w:rsidR="009D44AB" w:rsidRPr="009D44AB" w:rsidRDefault="009D44AB" w:rsidP="00890976">
            <w:pPr>
              <w:rPr>
                <w:sz w:val="20"/>
                <w:lang w:val="fr-CA"/>
              </w:rPr>
            </w:pPr>
            <w:r w:rsidRPr="009D44AB">
              <w:rPr>
                <w:sz w:val="20"/>
                <w:lang w:val="fr-CA"/>
              </w:rPr>
              <w:t>28 octobre 2019</w:t>
            </w:r>
          </w:p>
          <w:p w:rsidR="009D44AB" w:rsidRPr="009D44AB" w:rsidRDefault="009D44AB" w:rsidP="00890976">
            <w:pPr>
              <w:rPr>
                <w:sz w:val="20"/>
                <w:lang w:val="fr-CA"/>
              </w:rPr>
            </w:pPr>
            <w:r w:rsidRPr="009D44AB">
              <w:rPr>
                <w:sz w:val="20"/>
                <w:lang w:val="fr-CA"/>
              </w:rPr>
              <w:t>Cour suprême du Canada</w:t>
            </w:r>
          </w:p>
        </w:tc>
        <w:tc>
          <w:tcPr>
            <w:tcW w:w="243" w:type="pct"/>
          </w:tcPr>
          <w:p w:rsidR="009D44AB" w:rsidRPr="009D44AB" w:rsidRDefault="009D44AB" w:rsidP="00890976">
            <w:pPr>
              <w:rPr>
                <w:sz w:val="20"/>
                <w:lang w:val="fr-CA"/>
              </w:rPr>
            </w:pPr>
          </w:p>
        </w:tc>
        <w:tc>
          <w:tcPr>
            <w:tcW w:w="2330" w:type="pct"/>
          </w:tcPr>
          <w:p w:rsidR="009D44AB" w:rsidRPr="009D44AB" w:rsidRDefault="009D44AB" w:rsidP="00890976">
            <w:pPr>
              <w:rPr>
                <w:sz w:val="20"/>
                <w:lang w:val="fr-CA"/>
              </w:rPr>
            </w:pPr>
            <w:r w:rsidRPr="009D44AB">
              <w:rPr>
                <w:sz w:val="20"/>
                <w:lang w:val="fr-CA"/>
              </w:rPr>
              <w:t>Dépôt de la demande d’autorisation d’appel incident</w:t>
            </w:r>
          </w:p>
        </w:tc>
      </w:tr>
    </w:tbl>
    <w:p w:rsidR="009D44AB" w:rsidRPr="009D44AB" w:rsidRDefault="009D44AB" w:rsidP="00890976">
      <w:pPr>
        <w:rPr>
          <w:sz w:val="20"/>
          <w:lang w:val="fr-CA"/>
        </w:rPr>
      </w:pPr>
    </w:p>
    <w:p w:rsidR="009D44AB" w:rsidRPr="009D44AB" w:rsidRDefault="00BB65F4" w:rsidP="006A22CA">
      <w:pPr>
        <w:ind w:left="142" w:hanging="142"/>
        <w:jc w:val="both"/>
        <w:rPr>
          <w:sz w:val="20"/>
          <w:lang w:val="fr-CA"/>
        </w:rPr>
      </w:pPr>
      <w:r>
        <w:rPr>
          <w:sz w:val="20"/>
        </w:rPr>
        <w:pict>
          <v:rect id="_x0000_i1039" style="width:2in;height:1pt" o:hrpct="0" o:hralign="center" o:hrstd="t" o:hrnoshade="t" o:hr="t" fillcolor="black [3213]" stroked="f"/>
        </w:pict>
      </w:r>
    </w:p>
    <w:p w:rsidR="009D44AB" w:rsidRPr="009D44AB" w:rsidRDefault="009D44AB" w:rsidP="006A22CA">
      <w:pPr>
        <w:ind w:left="142" w:hanging="142"/>
        <w:jc w:val="both"/>
        <w:rPr>
          <w:sz w:val="20"/>
          <w:lang w:val="fr-CA"/>
        </w:rPr>
      </w:pPr>
    </w:p>
    <w:tbl>
      <w:tblPr>
        <w:tblW w:w="7318"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1"/>
        <w:gridCol w:w="4428"/>
      </w:tblGrid>
      <w:tr w:rsidR="009D44AB" w:rsidRPr="009D44AB" w:rsidTr="005C601B">
        <w:trPr>
          <w:gridAfter w:val="1"/>
          <w:wAfter w:w="1616" w:type="pct"/>
        </w:trPr>
        <w:tc>
          <w:tcPr>
            <w:tcW w:w="367" w:type="pct"/>
          </w:tcPr>
          <w:p w:rsidR="009D44AB" w:rsidRPr="009D44AB" w:rsidRDefault="009D44AB" w:rsidP="00F9479E">
            <w:pPr>
              <w:rPr>
                <w:sz w:val="20"/>
              </w:rPr>
            </w:pPr>
            <w:r w:rsidRPr="009D44AB">
              <w:rPr>
                <w:rStyle w:val="SCCFileNumberChar"/>
                <w:sz w:val="20"/>
                <w:szCs w:val="20"/>
              </w:rPr>
              <w:t>38727</w:t>
            </w:r>
          </w:p>
        </w:tc>
        <w:tc>
          <w:tcPr>
            <w:tcW w:w="3017" w:type="pct"/>
            <w:gridSpan w:val="3"/>
          </w:tcPr>
          <w:p w:rsidR="009D44AB" w:rsidRPr="009D44AB" w:rsidRDefault="009D44AB" w:rsidP="009D44AB">
            <w:pPr>
              <w:pStyle w:val="SCCLsocParty"/>
              <w:jc w:val="left"/>
              <w:rPr>
                <w:b/>
                <w:sz w:val="20"/>
                <w:szCs w:val="20"/>
                <w:lang w:val="en-US"/>
              </w:rPr>
            </w:pPr>
            <w:r w:rsidRPr="009D44AB">
              <w:rPr>
                <w:b/>
                <w:sz w:val="20"/>
                <w:szCs w:val="20"/>
                <w:lang w:val="en-US"/>
              </w:rPr>
              <w:t xml:space="preserve">Myriam </w:t>
            </w:r>
            <w:proofErr w:type="spellStart"/>
            <w:r w:rsidRPr="009D44AB">
              <w:rPr>
                <w:b/>
                <w:sz w:val="20"/>
                <w:szCs w:val="20"/>
                <w:lang w:val="en-US"/>
              </w:rPr>
              <w:t>Michail</w:t>
            </w:r>
            <w:proofErr w:type="spellEnd"/>
            <w:r w:rsidRPr="009D44AB">
              <w:rPr>
                <w:b/>
                <w:sz w:val="20"/>
                <w:szCs w:val="20"/>
                <w:lang w:val="en-US"/>
              </w:rPr>
              <w:t xml:space="preserve"> v. Ontario English Catholic Teachers’ Association, Marshall Jarvis, Bruno </w:t>
            </w:r>
            <w:proofErr w:type="spellStart"/>
            <w:r w:rsidRPr="009D44AB">
              <w:rPr>
                <w:b/>
                <w:sz w:val="20"/>
                <w:szCs w:val="20"/>
                <w:lang w:val="en-US"/>
              </w:rPr>
              <w:t>Muzzi</w:t>
            </w:r>
            <w:proofErr w:type="spellEnd"/>
            <w:r w:rsidRPr="009D44AB">
              <w:rPr>
                <w:b/>
                <w:sz w:val="20"/>
                <w:szCs w:val="20"/>
                <w:lang w:val="en-US"/>
              </w:rPr>
              <w:t xml:space="preserve">, Fern Hogan, Joanne </w:t>
            </w:r>
            <w:proofErr w:type="spellStart"/>
            <w:r w:rsidRPr="009D44AB">
              <w:rPr>
                <w:b/>
                <w:sz w:val="20"/>
                <w:szCs w:val="20"/>
                <w:lang w:val="en-US"/>
              </w:rPr>
              <w:t>Schleen</w:t>
            </w:r>
            <w:proofErr w:type="spellEnd"/>
            <w:r w:rsidRPr="009D44AB">
              <w:rPr>
                <w:b/>
                <w:sz w:val="20"/>
                <w:szCs w:val="20"/>
                <w:lang w:val="en-US"/>
              </w:rPr>
              <w:t xml:space="preserve">, Shelley Malone, Sheila Brescia, London District Catholic School Board, Ontario </w:t>
            </w:r>
            <w:proofErr w:type="spellStart"/>
            <w:r w:rsidRPr="009D44AB">
              <w:rPr>
                <w:b/>
                <w:sz w:val="20"/>
                <w:szCs w:val="20"/>
                <w:lang w:val="en-US"/>
              </w:rPr>
              <w:t>Labour</w:t>
            </w:r>
            <w:proofErr w:type="spellEnd"/>
            <w:r w:rsidRPr="009D44AB">
              <w:rPr>
                <w:b/>
                <w:sz w:val="20"/>
                <w:szCs w:val="20"/>
                <w:lang w:val="en-US"/>
              </w:rPr>
              <w:t xml:space="preserve"> Relations Board, Attorney General of Canada, Attorney General of Ontario</w:t>
            </w:r>
          </w:p>
          <w:p w:rsidR="009D44AB" w:rsidRPr="009D44AB" w:rsidRDefault="009D44AB">
            <w:pPr>
              <w:rPr>
                <w:sz w:val="20"/>
              </w:rPr>
            </w:pPr>
            <w:r w:rsidRPr="009D44AB">
              <w:rPr>
                <w:sz w:val="20"/>
              </w:rPr>
              <w:t>(Ont.) (Civil) (By Leave)</w:t>
            </w:r>
          </w:p>
        </w:tc>
      </w:tr>
      <w:tr w:rsidR="009D44AB" w:rsidRPr="009D44AB" w:rsidTr="005C601B">
        <w:trPr>
          <w:gridAfter w:val="1"/>
          <w:wAfter w:w="1616" w:type="pct"/>
        </w:trPr>
        <w:tc>
          <w:tcPr>
            <w:tcW w:w="3384" w:type="pct"/>
            <w:gridSpan w:val="4"/>
          </w:tcPr>
          <w:p w:rsidR="009D44AB" w:rsidRPr="009D44AB" w:rsidRDefault="009D44AB" w:rsidP="005C601B">
            <w:pPr>
              <w:rPr>
                <w:sz w:val="20"/>
              </w:rPr>
            </w:pPr>
            <w:r w:rsidRPr="009D44AB">
              <w:rPr>
                <w:i/>
                <w:sz w:val="20"/>
              </w:rPr>
              <w:t>Charter of Rights</w:t>
            </w:r>
            <w:r w:rsidRPr="009D44AB">
              <w:rPr>
                <w:sz w:val="20"/>
              </w:rPr>
              <w:t xml:space="preserve"> — Freedom of expression — Applicant not accepting settlement reached by her Union regarding settlement offer it accepted on her behalf — Applicant bringing application for judicial review of administrative decisions on labour law matter before Superior Court of Justice — Whether s. 45(1) of the </w:t>
            </w:r>
            <w:r w:rsidRPr="009D44AB">
              <w:rPr>
                <w:i/>
                <w:sz w:val="20"/>
              </w:rPr>
              <w:t xml:space="preserve">Ontario Labour Relations Act, 1995, </w:t>
            </w:r>
            <w:r w:rsidRPr="009D44AB">
              <w:rPr>
                <w:sz w:val="20"/>
              </w:rPr>
              <w:t xml:space="preserve">S.O. 1995, c. 1 granting the right to union officials to sign a settlement on behalf of union members, disposing of their constitutional and human rights and depriving them of their fundamental right to make their own decisions, infringe their rights under s. 2(b), 7, 15(1) and 24(1) of the </w:t>
            </w:r>
            <w:r w:rsidRPr="009D44AB">
              <w:rPr>
                <w:i/>
                <w:sz w:val="20"/>
              </w:rPr>
              <w:t>Charter</w:t>
            </w:r>
            <w:r w:rsidRPr="009D44AB">
              <w:rPr>
                <w:sz w:val="20"/>
              </w:rPr>
              <w:t>? — If the employee refuses to endorse an unlawful settlement, is it constitutional that employee be denied access to courts and be left without recourse and remedy? — Should Arbitrators/ Judges abuse their discretion and be allowed to refuse to report/publish decisions in total disregard to open justice fundamental principle and right of public to be informed? — What recourse does public have?</w:t>
            </w:r>
          </w:p>
        </w:tc>
      </w:tr>
      <w:tr w:rsidR="009D44AB" w:rsidRPr="009D44AB" w:rsidTr="005C601B">
        <w:trPr>
          <w:gridAfter w:val="1"/>
          <w:wAfter w:w="1616" w:type="pct"/>
        </w:trPr>
        <w:tc>
          <w:tcPr>
            <w:tcW w:w="3384" w:type="pct"/>
            <w:gridSpan w:val="4"/>
          </w:tcPr>
          <w:p w:rsidR="009D44AB" w:rsidRPr="009D44AB" w:rsidRDefault="009D44AB" w:rsidP="00C01DCD">
            <w:pPr>
              <w:rPr>
                <w:sz w:val="20"/>
              </w:rPr>
            </w:pPr>
          </w:p>
        </w:tc>
      </w:tr>
      <w:tr w:rsidR="009D44AB" w:rsidRPr="009D44AB" w:rsidTr="005C601B">
        <w:trPr>
          <w:gridAfter w:val="1"/>
          <w:wAfter w:w="1616" w:type="pct"/>
        </w:trPr>
        <w:tc>
          <w:tcPr>
            <w:tcW w:w="3384" w:type="pct"/>
            <w:gridSpan w:val="4"/>
          </w:tcPr>
          <w:p w:rsidR="009D44AB" w:rsidRPr="009D44AB" w:rsidRDefault="009D44AB" w:rsidP="005C601B">
            <w:pPr>
              <w:rPr>
                <w:sz w:val="20"/>
              </w:rPr>
            </w:pPr>
            <w:r w:rsidRPr="009D44AB">
              <w:rPr>
                <w:sz w:val="20"/>
              </w:rPr>
              <w:t>Ms. </w:t>
            </w:r>
            <w:proofErr w:type="spellStart"/>
            <w:r w:rsidRPr="009D44AB">
              <w:rPr>
                <w:sz w:val="20"/>
              </w:rPr>
              <w:t>Michail</w:t>
            </w:r>
            <w:proofErr w:type="spellEnd"/>
            <w:r w:rsidRPr="009D44AB">
              <w:rPr>
                <w:sz w:val="20"/>
              </w:rPr>
              <w:t xml:space="preserve"> sought judicial review of decisions made by the Ontario Labour Relations Board with respect to grievances that she had filed against her former employer, the London District Catholic School Board.  She also filed an application against her Union, alleging that it had failed to fairly represent her, that was dismissed. Ms. </w:t>
            </w:r>
            <w:proofErr w:type="spellStart"/>
            <w:r w:rsidRPr="009D44AB">
              <w:rPr>
                <w:sz w:val="20"/>
              </w:rPr>
              <w:t>Michail</w:t>
            </w:r>
            <w:proofErr w:type="spellEnd"/>
            <w:r w:rsidRPr="009D44AB">
              <w:rPr>
                <w:sz w:val="20"/>
              </w:rPr>
              <w:t xml:space="preserve"> commenced judicial review proceedings in the Superior Court of Justice seeking various orders, declarations and remedies. She also challenged the constitutionality of provisions of the </w:t>
            </w:r>
            <w:r w:rsidRPr="009D44AB">
              <w:rPr>
                <w:i/>
                <w:sz w:val="20"/>
              </w:rPr>
              <w:t>Labour Relations Act, 1995</w:t>
            </w:r>
            <w:r w:rsidRPr="009D44AB">
              <w:rPr>
                <w:sz w:val="20"/>
              </w:rPr>
              <w:t>. The Superior Court dismissed her application as her judicial review application was properly brought before Divisional Court. The Court of Appeal subsequently granted the respondents’ motion to quash her appeal.</w:t>
            </w:r>
          </w:p>
          <w:p w:rsidR="009D44AB" w:rsidRPr="009D44AB" w:rsidRDefault="009D44AB" w:rsidP="005C601B">
            <w:pPr>
              <w:rPr>
                <w:sz w:val="20"/>
              </w:rPr>
            </w:pPr>
          </w:p>
        </w:tc>
      </w:tr>
      <w:tr w:rsidR="009D44AB" w:rsidRPr="009D44AB" w:rsidTr="005C601B">
        <w:trPr>
          <w:gridAfter w:val="1"/>
          <w:wAfter w:w="1616" w:type="pct"/>
        </w:trPr>
        <w:tc>
          <w:tcPr>
            <w:tcW w:w="1642" w:type="pct"/>
            <w:gridSpan w:val="2"/>
          </w:tcPr>
          <w:p w:rsidR="009D44AB" w:rsidRPr="009D44AB" w:rsidRDefault="009D44AB">
            <w:pPr>
              <w:rPr>
                <w:sz w:val="20"/>
              </w:rPr>
            </w:pPr>
            <w:r w:rsidRPr="009D44AB">
              <w:rPr>
                <w:sz w:val="20"/>
              </w:rPr>
              <w:t>June 26, 2017</w:t>
            </w:r>
          </w:p>
          <w:p w:rsidR="009D44AB" w:rsidRPr="009D44AB" w:rsidRDefault="009D44AB">
            <w:pPr>
              <w:rPr>
                <w:sz w:val="20"/>
              </w:rPr>
            </w:pPr>
            <w:r w:rsidRPr="009D44AB">
              <w:rPr>
                <w:sz w:val="20"/>
              </w:rPr>
              <w:t>Ontario Superior Court of Justice</w:t>
            </w:r>
          </w:p>
          <w:p w:rsidR="009D44AB" w:rsidRPr="009D44AB" w:rsidRDefault="009D44AB">
            <w:pPr>
              <w:rPr>
                <w:sz w:val="20"/>
              </w:rPr>
            </w:pPr>
            <w:r w:rsidRPr="009D44AB">
              <w:rPr>
                <w:sz w:val="20"/>
              </w:rPr>
              <w:t>(Grace A.D.)</w:t>
            </w:r>
          </w:p>
          <w:p w:rsidR="009D44AB" w:rsidRPr="009D44AB" w:rsidRDefault="00BB65F4" w:rsidP="005C601B">
            <w:pPr>
              <w:rPr>
                <w:sz w:val="20"/>
              </w:rPr>
            </w:pPr>
            <w:hyperlink r:id="rId48" w:history="1">
              <w:r w:rsidR="009D44AB" w:rsidRPr="009D44AB">
                <w:rPr>
                  <w:rStyle w:val="Hyperlink"/>
                  <w:sz w:val="20"/>
                </w:rPr>
                <w:t>2017 ONSC 3986</w:t>
              </w:r>
            </w:hyperlink>
          </w:p>
          <w:p w:rsidR="009D44AB" w:rsidRPr="009D44AB" w:rsidRDefault="009D44AB" w:rsidP="00A414F4">
            <w:pPr>
              <w:rPr>
                <w:sz w:val="20"/>
              </w:rPr>
            </w:pPr>
          </w:p>
        </w:tc>
        <w:tc>
          <w:tcPr>
            <w:tcW w:w="165" w:type="pct"/>
          </w:tcPr>
          <w:p w:rsidR="009D44AB" w:rsidRPr="009D44AB" w:rsidRDefault="009D44AB" w:rsidP="00F9479E">
            <w:pPr>
              <w:rPr>
                <w:sz w:val="20"/>
              </w:rPr>
            </w:pPr>
          </w:p>
        </w:tc>
        <w:tc>
          <w:tcPr>
            <w:tcW w:w="1577" w:type="pct"/>
          </w:tcPr>
          <w:p w:rsidR="009D44AB" w:rsidRPr="009D44AB" w:rsidRDefault="009D44AB">
            <w:pPr>
              <w:rPr>
                <w:sz w:val="20"/>
              </w:rPr>
            </w:pPr>
            <w:r w:rsidRPr="009D44AB">
              <w:rPr>
                <w:sz w:val="20"/>
              </w:rPr>
              <w:t>Applicant’s motion for leave to file her application for judicial review with Superior Court of Justice dismissed</w:t>
            </w:r>
          </w:p>
          <w:p w:rsidR="009D44AB" w:rsidRPr="009D44AB" w:rsidRDefault="009D44AB" w:rsidP="006F4C2D">
            <w:pPr>
              <w:rPr>
                <w:sz w:val="20"/>
              </w:rPr>
            </w:pPr>
          </w:p>
        </w:tc>
      </w:tr>
      <w:tr w:rsidR="009D44AB" w:rsidRPr="009D44AB" w:rsidTr="005C601B">
        <w:trPr>
          <w:gridAfter w:val="1"/>
          <w:wAfter w:w="1616" w:type="pct"/>
        </w:trPr>
        <w:tc>
          <w:tcPr>
            <w:tcW w:w="1642" w:type="pct"/>
            <w:gridSpan w:val="2"/>
          </w:tcPr>
          <w:p w:rsidR="009D44AB" w:rsidRPr="009D44AB" w:rsidRDefault="009D44AB">
            <w:pPr>
              <w:rPr>
                <w:sz w:val="20"/>
              </w:rPr>
            </w:pPr>
            <w:r w:rsidRPr="009D44AB">
              <w:rPr>
                <w:sz w:val="20"/>
              </w:rPr>
              <w:t>September 4, 2018</w:t>
            </w:r>
          </w:p>
          <w:p w:rsidR="009D44AB" w:rsidRPr="009D44AB" w:rsidRDefault="009D44AB">
            <w:pPr>
              <w:rPr>
                <w:sz w:val="20"/>
              </w:rPr>
            </w:pPr>
            <w:r w:rsidRPr="009D44AB">
              <w:rPr>
                <w:sz w:val="20"/>
              </w:rPr>
              <w:t>Court of Appeal for Ontario</w:t>
            </w:r>
          </w:p>
          <w:p w:rsidR="009D44AB" w:rsidRPr="009D44AB" w:rsidRDefault="009D44AB">
            <w:pPr>
              <w:rPr>
                <w:sz w:val="20"/>
              </w:rPr>
            </w:pPr>
            <w:r w:rsidRPr="009D44AB">
              <w:rPr>
                <w:sz w:val="20"/>
              </w:rPr>
              <w:t>(Paciocco J.A.)</w:t>
            </w:r>
          </w:p>
          <w:p w:rsidR="009D44AB" w:rsidRPr="009D44AB" w:rsidRDefault="009D44AB" w:rsidP="005C601B">
            <w:pPr>
              <w:rPr>
                <w:sz w:val="20"/>
              </w:rPr>
            </w:pPr>
            <w:r w:rsidRPr="009D44AB">
              <w:rPr>
                <w:sz w:val="20"/>
              </w:rPr>
              <w:t>Unreported</w:t>
            </w:r>
          </w:p>
          <w:p w:rsidR="009D44AB" w:rsidRPr="009D44AB" w:rsidRDefault="009D44AB" w:rsidP="00A414F4">
            <w:pPr>
              <w:rPr>
                <w:sz w:val="20"/>
              </w:rPr>
            </w:pPr>
          </w:p>
        </w:tc>
        <w:tc>
          <w:tcPr>
            <w:tcW w:w="165" w:type="pct"/>
          </w:tcPr>
          <w:p w:rsidR="009D44AB" w:rsidRPr="009D44AB" w:rsidRDefault="009D44AB" w:rsidP="00F9479E">
            <w:pPr>
              <w:rPr>
                <w:sz w:val="20"/>
              </w:rPr>
            </w:pPr>
          </w:p>
        </w:tc>
        <w:tc>
          <w:tcPr>
            <w:tcW w:w="1577" w:type="pct"/>
          </w:tcPr>
          <w:p w:rsidR="009D44AB" w:rsidRPr="009D44AB" w:rsidRDefault="009D44AB" w:rsidP="005C601B">
            <w:pPr>
              <w:rPr>
                <w:sz w:val="20"/>
              </w:rPr>
            </w:pPr>
            <w:r w:rsidRPr="009D44AB">
              <w:rPr>
                <w:sz w:val="20"/>
              </w:rPr>
              <w:t>Applicant’s motions dismissed; On consent, applicant’s motion for extension of time in which to perfect her appeal granted</w:t>
            </w:r>
          </w:p>
        </w:tc>
      </w:tr>
      <w:tr w:rsidR="009D44AB" w:rsidRPr="009D44AB" w:rsidTr="005C601B">
        <w:trPr>
          <w:gridAfter w:val="1"/>
          <w:wAfter w:w="1616" w:type="pct"/>
        </w:trPr>
        <w:tc>
          <w:tcPr>
            <w:tcW w:w="1642" w:type="pct"/>
            <w:gridSpan w:val="2"/>
          </w:tcPr>
          <w:p w:rsidR="009D44AB" w:rsidRPr="009D44AB" w:rsidRDefault="009D44AB">
            <w:pPr>
              <w:rPr>
                <w:sz w:val="20"/>
              </w:rPr>
            </w:pPr>
            <w:r w:rsidRPr="009D44AB">
              <w:rPr>
                <w:sz w:val="20"/>
              </w:rPr>
              <w:lastRenderedPageBreak/>
              <w:t>October 25, 2018</w:t>
            </w:r>
          </w:p>
          <w:p w:rsidR="009D44AB" w:rsidRPr="009D44AB" w:rsidRDefault="009D44AB">
            <w:pPr>
              <w:rPr>
                <w:sz w:val="20"/>
              </w:rPr>
            </w:pPr>
            <w:r w:rsidRPr="009D44AB">
              <w:rPr>
                <w:sz w:val="20"/>
              </w:rPr>
              <w:t>Court of Appeal for Ontario</w:t>
            </w:r>
          </w:p>
          <w:p w:rsidR="009D44AB" w:rsidRPr="009D44AB" w:rsidRDefault="009D44AB">
            <w:pPr>
              <w:rPr>
                <w:sz w:val="20"/>
              </w:rPr>
            </w:pPr>
            <w:r w:rsidRPr="009D44AB">
              <w:rPr>
                <w:sz w:val="20"/>
              </w:rPr>
              <w:t>(Feldman, Pardu and Roberts JJ.A.)</w:t>
            </w:r>
          </w:p>
          <w:p w:rsidR="009D44AB" w:rsidRPr="009D44AB" w:rsidRDefault="00BB65F4" w:rsidP="005C601B">
            <w:pPr>
              <w:rPr>
                <w:rStyle w:val="Hyperlink"/>
                <w:sz w:val="20"/>
              </w:rPr>
            </w:pPr>
            <w:hyperlink r:id="rId49" w:history="1">
              <w:r w:rsidR="009D44AB" w:rsidRPr="009D44AB">
                <w:rPr>
                  <w:rStyle w:val="Hyperlink"/>
                  <w:sz w:val="20"/>
                </w:rPr>
                <w:t>2018 ONCA 857</w:t>
              </w:r>
            </w:hyperlink>
          </w:p>
          <w:p w:rsidR="009D44AB" w:rsidRPr="009D44AB" w:rsidRDefault="009D44AB" w:rsidP="00A414F4">
            <w:pPr>
              <w:rPr>
                <w:sz w:val="20"/>
              </w:rPr>
            </w:pPr>
          </w:p>
        </w:tc>
        <w:tc>
          <w:tcPr>
            <w:tcW w:w="165" w:type="pct"/>
          </w:tcPr>
          <w:p w:rsidR="009D44AB" w:rsidRPr="009D44AB" w:rsidRDefault="009D44AB" w:rsidP="00F9479E">
            <w:pPr>
              <w:rPr>
                <w:sz w:val="20"/>
              </w:rPr>
            </w:pPr>
          </w:p>
        </w:tc>
        <w:tc>
          <w:tcPr>
            <w:tcW w:w="1577" w:type="pct"/>
          </w:tcPr>
          <w:p w:rsidR="009D44AB" w:rsidRPr="009D44AB" w:rsidRDefault="009D44AB">
            <w:pPr>
              <w:rPr>
                <w:sz w:val="20"/>
              </w:rPr>
            </w:pPr>
            <w:r w:rsidRPr="009D44AB">
              <w:rPr>
                <w:sz w:val="20"/>
              </w:rPr>
              <w:t>Respondent’s motion to quash applicant’s appeal of three interlocutory orders granted</w:t>
            </w:r>
          </w:p>
          <w:p w:rsidR="009D44AB" w:rsidRPr="009D44AB" w:rsidRDefault="009D44AB" w:rsidP="006F4C2D">
            <w:pPr>
              <w:rPr>
                <w:sz w:val="20"/>
              </w:rPr>
            </w:pPr>
          </w:p>
        </w:tc>
      </w:tr>
      <w:tr w:rsidR="009D44AB" w:rsidRPr="009D44AB" w:rsidTr="005C601B">
        <w:trPr>
          <w:gridAfter w:val="1"/>
          <w:wAfter w:w="1616" w:type="pct"/>
        </w:trPr>
        <w:tc>
          <w:tcPr>
            <w:tcW w:w="1642" w:type="pct"/>
            <w:gridSpan w:val="2"/>
          </w:tcPr>
          <w:p w:rsidR="009D44AB" w:rsidRPr="009D44AB" w:rsidRDefault="009D44AB">
            <w:pPr>
              <w:rPr>
                <w:sz w:val="20"/>
              </w:rPr>
            </w:pPr>
            <w:r w:rsidRPr="009D44AB">
              <w:rPr>
                <w:sz w:val="20"/>
              </w:rPr>
              <w:t>November 23, 2018</w:t>
            </w:r>
          </w:p>
          <w:p w:rsidR="009D44AB" w:rsidRPr="009D44AB" w:rsidRDefault="009D44AB">
            <w:pPr>
              <w:rPr>
                <w:sz w:val="20"/>
              </w:rPr>
            </w:pPr>
            <w:r w:rsidRPr="009D44AB">
              <w:rPr>
                <w:sz w:val="20"/>
              </w:rPr>
              <w:t>Court of Appeal for Ontario</w:t>
            </w:r>
          </w:p>
          <w:p w:rsidR="009D44AB" w:rsidRPr="009D44AB" w:rsidRDefault="009D44AB">
            <w:pPr>
              <w:rPr>
                <w:sz w:val="20"/>
              </w:rPr>
            </w:pPr>
            <w:r w:rsidRPr="009D44AB">
              <w:rPr>
                <w:sz w:val="20"/>
              </w:rPr>
              <w:t>(Brown J.A.)</w:t>
            </w:r>
          </w:p>
          <w:p w:rsidR="009D44AB" w:rsidRPr="009D44AB" w:rsidRDefault="00BB65F4" w:rsidP="005C601B">
            <w:pPr>
              <w:rPr>
                <w:sz w:val="20"/>
              </w:rPr>
            </w:pPr>
            <w:hyperlink r:id="rId50" w:history="1">
              <w:r w:rsidR="009D44AB" w:rsidRPr="009D44AB">
                <w:rPr>
                  <w:rStyle w:val="Hyperlink"/>
                  <w:sz w:val="20"/>
                </w:rPr>
                <w:t>2018 ONCA 950</w:t>
              </w:r>
            </w:hyperlink>
          </w:p>
          <w:p w:rsidR="009D44AB" w:rsidRPr="009D44AB" w:rsidRDefault="009D44AB" w:rsidP="00A414F4">
            <w:pPr>
              <w:rPr>
                <w:sz w:val="20"/>
              </w:rPr>
            </w:pPr>
          </w:p>
        </w:tc>
        <w:tc>
          <w:tcPr>
            <w:tcW w:w="165" w:type="pct"/>
          </w:tcPr>
          <w:p w:rsidR="009D44AB" w:rsidRPr="009D44AB" w:rsidRDefault="009D44AB" w:rsidP="00F9479E">
            <w:pPr>
              <w:rPr>
                <w:sz w:val="20"/>
              </w:rPr>
            </w:pPr>
          </w:p>
        </w:tc>
        <w:tc>
          <w:tcPr>
            <w:tcW w:w="1577" w:type="pct"/>
          </w:tcPr>
          <w:p w:rsidR="009D44AB" w:rsidRPr="009D44AB" w:rsidRDefault="009D44AB">
            <w:pPr>
              <w:rPr>
                <w:sz w:val="20"/>
              </w:rPr>
            </w:pPr>
            <w:r w:rsidRPr="009D44AB">
              <w:rPr>
                <w:sz w:val="20"/>
              </w:rPr>
              <w:t xml:space="preserve">Applicant’s motions regarding, </w:t>
            </w:r>
            <w:r w:rsidRPr="009D44AB">
              <w:rPr>
                <w:i/>
                <w:sz w:val="20"/>
              </w:rPr>
              <w:t>inter alia</w:t>
            </w:r>
            <w:r w:rsidRPr="009D44AB">
              <w:rPr>
                <w:sz w:val="20"/>
              </w:rPr>
              <w:t>, audio recordings of court proceedings dismissed for lack of jurisdiction.</w:t>
            </w:r>
          </w:p>
          <w:p w:rsidR="009D44AB" w:rsidRPr="009D44AB" w:rsidRDefault="009D44AB" w:rsidP="006F4C2D">
            <w:pPr>
              <w:rPr>
                <w:sz w:val="20"/>
              </w:rPr>
            </w:pPr>
          </w:p>
        </w:tc>
      </w:tr>
      <w:tr w:rsidR="009D44AB" w:rsidRPr="009D44AB" w:rsidTr="005C601B">
        <w:trPr>
          <w:gridAfter w:val="1"/>
          <w:wAfter w:w="1616" w:type="pct"/>
        </w:trPr>
        <w:tc>
          <w:tcPr>
            <w:tcW w:w="1642" w:type="pct"/>
            <w:gridSpan w:val="2"/>
          </w:tcPr>
          <w:p w:rsidR="009D44AB" w:rsidRPr="009D44AB" w:rsidRDefault="009D44AB">
            <w:pPr>
              <w:rPr>
                <w:sz w:val="20"/>
              </w:rPr>
            </w:pPr>
            <w:r w:rsidRPr="009D44AB">
              <w:rPr>
                <w:sz w:val="20"/>
              </w:rPr>
              <w:t>April 24, 2019</w:t>
            </w:r>
          </w:p>
          <w:p w:rsidR="009D44AB" w:rsidRPr="009D44AB" w:rsidRDefault="009D44AB">
            <w:pPr>
              <w:rPr>
                <w:sz w:val="20"/>
              </w:rPr>
            </w:pPr>
            <w:r w:rsidRPr="009D44AB">
              <w:rPr>
                <w:sz w:val="20"/>
              </w:rPr>
              <w:t>Court of Appeal for Ontario</w:t>
            </w:r>
          </w:p>
          <w:p w:rsidR="009D44AB" w:rsidRPr="009D44AB" w:rsidRDefault="009D44AB">
            <w:pPr>
              <w:rPr>
                <w:sz w:val="20"/>
              </w:rPr>
            </w:pPr>
            <w:r w:rsidRPr="009D44AB">
              <w:rPr>
                <w:sz w:val="20"/>
              </w:rPr>
              <w:t>(Rouleau, Miller and Fairburn JJ.A.)</w:t>
            </w:r>
          </w:p>
          <w:p w:rsidR="009D44AB" w:rsidRPr="009D44AB" w:rsidRDefault="00BB65F4" w:rsidP="005C601B">
            <w:pPr>
              <w:rPr>
                <w:sz w:val="20"/>
              </w:rPr>
            </w:pPr>
            <w:hyperlink r:id="rId51" w:history="1">
              <w:r w:rsidR="009D44AB" w:rsidRPr="009D44AB">
                <w:rPr>
                  <w:rStyle w:val="Hyperlink"/>
                  <w:sz w:val="20"/>
                </w:rPr>
                <w:t>2019 ONCA 319</w:t>
              </w:r>
            </w:hyperlink>
          </w:p>
          <w:p w:rsidR="009D44AB" w:rsidRPr="009D44AB" w:rsidRDefault="009D44AB" w:rsidP="00A414F4">
            <w:pPr>
              <w:rPr>
                <w:sz w:val="20"/>
              </w:rPr>
            </w:pPr>
          </w:p>
        </w:tc>
        <w:tc>
          <w:tcPr>
            <w:tcW w:w="165" w:type="pct"/>
          </w:tcPr>
          <w:p w:rsidR="009D44AB" w:rsidRPr="009D44AB" w:rsidRDefault="009D44AB" w:rsidP="00F9479E">
            <w:pPr>
              <w:rPr>
                <w:sz w:val="20"/>
              </w:rPr>
            </w:pPr>
          </w:p>
        </w:tc>
        <w:tc>
          <w:tcPr>
            <w:tcW w:w="1577" w:type="pct"/>
          </w:tcPr>
          <w:p w:rsidR="009D44AB" w:rsidRPr="009D44AB" w:rsidRDefault="009D44AB">
            <w:pPr>
              <w:rPr>
                <w:sz w:val="20"/>
              </w:rPr>
            </w:pPr>
            <w:r w:rsidRPr="009D44AB">
              <w:rPr>
                <w:sz w:val="20"/>
              </w:rPr>
              <w:t>Applicant’s motion to obtain and disseminate audio recordings of court proceedings dismissed; Applicant’s motion to review decisions of motion judge dismissed</w:t>
            </w:r>
          </w:p>
          <w:p w:rsidR="009D44AB" w:rsidRPr="009D44AB" w:rsidRDefault="009D44AB" w:rsidP="006F4C2D">
            <w:pPr>
              <w:rPr>
                <w:sz w:val="20"/>
              </w:rPr>
            </w:pPr>
          </w:p>
        </w:tc>
      </w:tr>
      <w:tr w:rsidR="009D44AB" w:rsidRPr="009D44AB" w:rsidTr="005C601B">
        <w:tc>
          <w:tcPr>
            <w:tcW w:w="1642" w:type="pct"/>
            <w:gridSpan w:val="2"/>
          </w:tcPr>
          <w:p w:rsidR="009D44AB" w:rsidRPr="009D44AB" w:rsidRDefault="009D44AB" w:rsidP="005C601B">
            <w:pPr>
              <w:rPr>
                <w:sz w:val="20"/>
              </w:rPr>
            </w:pPr>
            <w:r w:rsidRPr="009D44AB">
              <w:rPr>
                <w:sz w:val="20"/>
              </w:rPr>
              <w:t>September 26, 2019</w:t>
            </w:r>
          </w:p>
          <w:p w:rsidR="009D44AB" w:rsidRPr="009D44AB" w:rsidRDefault="009D44AB" w:rsidP="005C601B">
            <w:pPr>
              <w:rPr>
                <w:sz w:val="20"/>
              </w:rPr>
            </w:pPr>
            <w:r w:rsidRPr="009D44AB">
              <w:rPr>
                <w:sz w:val="20"/>
              </w:rPr>
              <w:t>Supreme Court of Canada</w:t>
            </w:r>
          </w:p>
          <w:p w:rsidR="009D44AB" w:rsidRPr="009D44AB" w:rsidRDefault="009D44AB" w:rsidP="005C601B">
            <w:pPr>
              <w:rPr>
                <w:sz w:val="20"/>
              </w:rPr>
            </w:pPr>
          </w:p>
          <w:p w:rsidR="009D44AB" w:rsidRPr="009D44AB" w:rsidRDefault="009D44AB" w:rsidP="005C601B">
            <w:pPr>
              <w:rPr>
                <w:sz w:val="20"/>
              </w:rPr>
            </w:pPr>
          </w:p>
        </w:tc>
        <w:tc>
          <w:tcPr>
            <w:tcW w:w="165" w:type="pct"/>
          </w:tcPr>
          <w:p w:rsidR="009D44AB" w:rsidRPr="009D44AB" w:rsidRDefault="009D44AB" w:rsidP="005C601B">
            <w:pPr>
              <w:rPr>
                <w:sz w:val="20"/>
              </w:rPr>
            </w:pPr>
          </w:p>
        </w:tc>
        <w:tc>
          <w:tcPr>
            <w:tcW w:w="1577" w:type="pct"/>
          </w:tcPr>
          <w:p w:rsidR="009D44AB" w:rsidRPr="009D44AB" w:rsidRDefault="009D44AB" w:rsidP="005C601B">
            <w:pPr>
              <w:rPr>
                <w:sz w:val="20"/>
              </w:rPr>
            </w:pPr>
            <w:r w:rsidRPr="009D44AB">
              <w:rPr>
                <w:sz w:val="20"/>
              </w:rPr>
              <w:t>Motion for extension of time in which to serve and file second application for leave to appeal and second application for leave to appeal filed</w:t>
            </w:r>
          </w:p>
          <w:p w:rsidR="009D44AB" w:rsidRPr="009D44AB" w:rsidRDefault="009D44AB" w:rsidP="005C601B">
            <w:pPr>
              <w:rPr>
                <w:sz w:val="20"/>
              </w:rPr>
            </w:pPr>
          </w:p>
        </w:tc>
        <w:tc>
          <w:tcPr>
            <w:tcW w:w="1616" w:type="pct"/>
          </w:tcPr>
          <w:p w:rsidR="009D44AB" w:rsidRPr="009D44AB" w:rsidRDefault="009D44AB" w:rsidP="005C601B">
            <w:pPr>
              <w:rPr>
                <w:sz w:val="20"/>
              </w:rPr>
            </w:pPr>
          </w:p>
        </w:tc>
      </w:tr>
      <w:tr w:rsidR="009D44AB" w:rsidRPr="009D44AB" w:rsidTr="005C601B">
        <w:trPr>
          <w:gridAfter w:val="1"/>
          <w:wAfter w:w="1616" w:type="pct"/>
        </w:trPr>
        <w:tc>
          <w:tcPr>
            <w:tcW w:w="1642" w:type="pct"/>
            <w:gridSpan w:val="2"/>
          </w:tcPr>
          <w:p w:rsidR="009D44AB" w:rsidRPr="009D44AB" w:rsidRDefault="009D44AB" w:rsidP="005C601B">
            <w:pPr>
              <w:rPr>
                <w:sz w:val="20"/>
              </w:rPr>
            </w:pPr>
            <w:r w:rsidRPr="009D44AB">
              <w:rPr>
                <w:sz w:val="20"/>
              </w:rPr>
              <w:t>October 17, 2019</w:t>
            </w:r>
          </w:p>
          <w:p w:rsidR="009D44AB" w:rsidRPr="009D44AB" w:rsidRDefault="009D44AB" w:rsidP="005C601B">
            <w:pPr>
              <w:rPr>
                <w:sz w:val="20"/>
              </w:rPr>
            </w:pPr>
            <w:r w:rsidRPr="009D44AB">
              <w:rPr>
                <w:sz w:val="20"/>
              </w:rPr>
              <w:t>Supreme Court of Canada</w:t>
            </w:r>
          </w:p>
        </w:tc>
        <w:tc>
          <w:tcPr>
            <w:tcW w:w="165" w:type="pct"/>
          </w:tcPr>
          <w:p w:rsidR="009D44AB" w:rsidRPr="009D44AB" w:rsidRDefault="009D44AB" w:rsidP="005C601B">
            <w:pPr>
              <w:rPr>
                <w:sz w:val="20"/>
              </w:rPr>
            </w:pPr>
          </w:p>
        </w:tc>
        <w:tc>
          <w:tcPr>
            <w:tcW w:w="1577" w:type="pct"/>
          </w:tcPr>
          <w:p w:rsidR="009D44AB" w:rsidRPr="009D44AB" w:rsidRDefault="009D44AB" w:rsidP="005C601B">
            <w:pPr>
              <w:rPr>
                <w:sz w:val="20"/>
              </w:rPr>
            </w:pPr>
            <w:r w:rsidRPr="009D44AB">
              <w:rPr>
                <w:sz w:val="20"/>
              </w:rPr>
              <w:t>First application for leave to appeal dismissed.</w:t>
            </w:r>
          </w:p>
          <w:p w:rsidR="009D44AB" w:rsidRPr="009D44AB" w:rsidRDefault="009D44AB" w:rsidP="005C601B">
            <w:pPr>
              <w:rPr>
                <w:sz w:val="20"/>
              </w:rPr>
            </w:pPr>
          </w:p>
        </w:tc>
      </w:tr>
    </w:tbl>
    <w:p w:rsidR="009D44AB" w:rsidRDefault="00BB65F4" w:rsidP="00097BBF">
      <w:pPr>
        <w:rPr>
          <w:sz w:val="20"/>
        </w:rPr>
      </w:pPr>
      <w:r>
        <w:rPr>
          <w:sz w:val="20"/>
        </w:rPr>
        <w:pict>
          <v:rect id="_x0000_i1040" style="width:2in;height:1pt" o:hrpct="0" o:hralign="center" o:hrstd="t" o:hrnoshade="t" o:hr="t" fillcolor="black [3213]" stroked="f"/>
        </w:pict>
      </w:r>
    </w:p>
    <w:p w:rsidR="009D44AB" w:rsidRDefault="009D44AB" w:rsidP="00097BBF">
      <w:pPr>
        <w:rPr>
          <w:sz w:val="20"/>
        </w:rPr>
      </w:pPr>
    </w:p>
    <w:p w:rsidR="009D44AB" w:rsidRPr="009D44AB" w:rsidRDefault="009D44AB" w:rsidP="00097BBF">
      <w:pPr>
        <w:rPr>
          <w:sz w:val="20"/>
        </w:rPr>
      </w:pPr>
    </w:p>
    <w:tbl>
      <w:tblPr>
        <w:tblW w:w="7318"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1"/>
        <w:gridCol w:w="4428"/>
      </w:tblGrid>
      <w:tr w:rsidR="009D44AB" w:rsidRPr="009D44AB" w:rsidTr="005C601B">
        <w:trPr>
          <w:gridAfter w:val="1"/>
          <w:wAfter w:w="1616" w:type="pct"/>
        </w:trPr>
        <w:tc>
          <w:tcPr>
            <w:tcW w:w="367" w:type="pct"/>
          </w:tcPr>
          <w:p w:rsidR="009D44AB" w:rsidRPr="009D44AB" w:rsidRDefault="009D44AB" w:rsidP="005E19D6">
            <w:pPr>
              <w:rPr>
                <w:sz w:val="20"/>
                <w:lang w:val="fr-CA"/>
              </w:rPr>
            </w:pPr>
            <w:r w:rsidRPr="009D44AB">
              <w:rPr>
                <w:rStyle w:val="SCCFileNumberChar"/>
                <w:sz w:val="20"/>
                <w:szCs w:val="20"/>
                <w:lang w:val="fr-CA"/>
              </w:rPr>
              <w:t>38727</w:t>
            </w:r>
          </w:p>
        </w:tc>
        <w:tc>
          <w:tcPr>
            <w:tcW w:w="3017" w:type="pct"/>
            <w:gridSpan w:val="3"/>
          </w:tcPr>
          <w:p w:rsidR="009D44AB" w:rsidRPr="009D44AB" w:rsidRDefault="009D44AB" w:rsidP="009D44AB">
            <w:pPr>
              <w:pStyle w:val="SCCLsocParty"/>
              <w:jc w:val="left"/>
              <w:rPr>
                <w:b/>
                <w:sz w:val="20"/>
                <w:szCs w:val="20"/>
              </w:rPr>
            </w:pPr>
            <w:r w:rsidRPr="009D44AB">
              <w:rPr>
                <w:b/>
                <w:sz w:val="20"/>
                <w:szCs w:val="20"/>
              </w:rPr>
              <w:t>Myriam Michail c. Association des enseignantes et des enseignants catholiques anglo-ontariens, Marshall Jarvis, Bruno Muzzi, Fern Hogan, Joanne Schleen, Shelley Malone, Sheila Brescia, London District Catholic School Board, Commission des relations de travail de l'Ontario, procureur général du Canada, procureur général de l’Ontario</w:t>
            </w:r>
          </w:p>
          <w:p w:rsidR="009D44AB" w:rsidRPr="009D44AB" w:rsidRDefault="009D44AB" w:rsidP="005E19D6">
            <w:pPr>
              <w:rPr>
                <w:sz w:val="20"/>
                <w:lang w:val="fr-CA"/>
              </w:rPr>
            </w:pPr>
            <w:r w:rsidRPr="009D44AB">
              <w:rPr>
                <w:sz w:val="20"/>
                <w:lang w:val="fr-CA"/>
              </w:rPr>
              <w:t>(Ont.) (Civile) (Autorisation)</w:t>
            </w:r>
          </w:p>
        </w:tc>
      </w:tr>
      <w:tr w:rsidR="009D44AB" w:rsidRPr="00EC12BA" w:rsidTr="005C601B">
        <w:trPr>
          <w:gridAfter w:val="1"/>
          <w:wAfter w:w="1616" w:type="pct"/>
        </w:trPr>
        <w:tc>
          <w:tcPr>
            <w:tcW w:w="3384" w:type="pct"/>
            <w:gridSpan w:val="4"/>
          </w:tcPr>
          <w:p w:rsidR="009D44AB" w:rsidRPr="009D44AB" w:rsidRDefault="009D44AB" w:rsidP="005E19D6">
            <w:pPr>
              <w:rPr>
                <w:sz w:val="20"/>
                <w:lang w:val="fr-CA"/>
              </w:rPr>
            </w:pPr>
            <w:r w:rsidRPr="009D44AB">
              <w:rPr>
                <w:i/>
                <w:sz w:val="20"/>
                <w:lang w:val="fr-CA"/>
              </w:rPr>
              <w:t>Charte des droits</w:t>
            </w:r>
            <w:r w:rsidRPr="009D44AB">
              <w:rPr>
                <w:sz w:val="20"/>
                <w:lang w:val="fr-CA"/>
              </w:rPr>
              <w:t xml:space="preserve"> — Liberté d’expression — La demanderesse n’accepte pas le règlement conclu par son syndicat relativement à l’offre de règlement que celui</w:t>
            </w:r>
            <w:r w:rsidRPr="009D44AB">
              <w:rPr>
                <w:sz w:val="20"/>
                <w:lang w:val="fr-CA"/>
              </w:rPr>
              <w:noBreakHyphen/>
              <w:t xml:space="preserve">ci a acceptée en son nom — La demanderesse présente à la Cour supérieure de justice une demande de contrôle judiciaire des décisions administratives portant sur une question de droit du travail — Le par. 45(1) de la </w:t>
            </w:r>
            <w:r w:rsidRPr="009D44AB">
              <w:rPr>
                <w:i/>
                <w:sz w:val="20"/>
                <w:lang w:val="fr-CA"/>
              </w:rPr>
              <w:t xml:space="preserve">Loi de 1995 sur les relations de travail, </w:t>
            </w:r>
            <w:r w:rsidRPr="009D44AB">
              <w:rPr>
                <w:sz w:val="20"/>
                <w:lang w:val="fr-CA"/>
              </w:rPr>
              <w:t>L.O. 1995 accordant aux représentants syndicaux le droit de signer une convention de règlement au nom d’une syndiquée, disposant de ses droits constitutionnels et de ses droits de la personne et la privant de son droit constitutionnel de prendre ses propres décisions, porte</w:t>
            </w:r>
            <w:r w:rsidRPr="009D44AB">
              <w:rPr>
                <w:sz w:val="20"/>
                <w:lang w:val="fr-CA"/>
              </w:rPr>
              <w:noBreakHyphen/>
              <w:t>t</w:t>
            </w:r>
            <w:r w:rsidRPr="009D44AB">
              <w:rPr>
                <w:sz w:val="20"/>
                <w:lang w:val="fr-CA"/>
              </w:rPr>
              <w:noBreakHyphen/>
              <w:t xml:space="preserve">il atteinte aux droits que lui garantissent l’al. 2(b), l’art. 7 et les par. 15(1) et 24(1) de la </w:t>
            </w:r>
            <w:r w:rsidRPr="009D44AB">
              <w:rPr>
                <w:i/>
                <w:sz w:val="20"/>
                <w:lang w:val="fr-CA"/>
              </w:rPr>
              <w:t>Charte</w:t>
            </w:r>
            <w:r w:rsidRPr="009D44AB">
              <w:rPr>
                <w:sz w:val="20"/>
                <w:lang w:val="fr-CA"/>
              </w:rPr>
              <w:t>? — Si l’employée refuse de souscrire à un règlement illégal, est</w:t>
            </w:r>
            <w:r w:rsidRPr="009D44AB">
              <w:rPr>
                <w:sz w:val="20"/>
                <w:lang w:val="fr-CA"/>
              </w:rPr>
              <w:noBreakHyphen/>
              <w:t>il constitutionnel de refuser à l’employée l’accès aux tribunaux et de la laisser sans recours ni réparation? — Les arbitres et les juges peuvent</w:t>
            </w:r>
            <w:r w:rsidRPr="009D44AB">
              <w:rPr>
                <w:sz w:val="20"/>
                <w:lang w:val="fr-CA"/>
              </w:rPr>
              <w:noBreakHyphen/>
              <w:t>ils abuser de leur pouvoir discrétionnaire et être autorisés à refuser de publier leurs décisions au mépris total du principe fondamental de la publicité du processus judiciaire et du droit du public d’être informé? — Quel recours a le public?</w:t>
            </w:r>
          </w:p>
        </w:tc>
      </w:tr>
      <w:tr w:rsidR="009D44AB" w:rsidRPr="00EC12BA" w:rsidTr="005C601B">
        <w:trPr>
          <w:gridAfter w:val="1"/>
          <w:wAfter w:w="1616" w:type="pct"/>
        </w:trPr>
        <w:tc>
          <w:tcPr>
            <w:tcW w:w="3384" w:type="pct"/>
            <w:gridSpan w:val="4"/>
          </w:tcPr>
          <w:p w:rsidR="009D44AB" w:rsidRPr="009D44AB" w:rsidRDefault="009D44AB" w:rsidP="005E19D6">
            <w:pPr>
              <w:rPr>
                <w:sz w:val="20"/>
                <w:lang w:val="fr-CA"/>
              </w:rPr>
            </w:pPr>
          </w:p>
        </w:tc>
      </w:tr>
      <w:tr w:rsidR="009D44AB" w:rsidRPr="00EC12BA" w:rsidTr="005C601B">
        <w:trPr>
          <w:gridAfter w:val="1"/>
          <w:wAfter w:w="1616" w:type="pct"/>
        </w:trPr>
        <w:tc>
          <w:tcPr>
            <w:tcW w:w="3384" w:type="pct"/>
            <w:gridSpan w:val="4"/>
          </w:tcPr>
          <w:p w:rsidR="009D44AB" w:rsidRPr="009D44AB" w:rsidRDefault="009D44AB" w:rsidP="005E19D6">
            <w:pPr>
              <w:rPr>
                <w:sz w:val="20"/>
                <w:lang w:val="fr-CA"/>
              </w:rPr>
            </w:pPr>
            <w:r w:rsidRPr="009D44AB">
              <w:rPr>
                <w:sz w:val="20"/>
                <w:lang w:val="fr-CA"/>
              </w:rPr>
              <w:t>Madame Michail a sollicité le contrôle judiciaire de décisions prises par la Commission des relations de travail de l’Ontario à l’égard de griefs qu’elle avait déposés contre son ancien employeur, le London District Catholic School Board. Elle a en outre déposé une demande contre son syndicat, alléguant que celui</w:t>
            </w:r>
            <w:r w:rsidRPr="009D44AB">
              <w:rPr>
                <w:sz w:val="20"/>
                <w:lang w:val="fr-CA"/>
              </w:rPr>
              <w:noBreakHyphen/>
              <w:t xml:space="preserve">ci avait omis de la représenter équitablement, demande qui a été rejetée. Madame Michail a introduit une demande de contrôle judiciaire en Cour supérieure de justice, sollicitant diverses ordonnances, jugements déclaratoires et réparations. Elle en de plus contesté la constitutionnalité de dispositions de la </w:t>
            </w:r>
            <w:r w:rsidRPr="009D44AB">
              <w:rPr>
                <w:i/>
                <w:sz w:val="20"/>
                <w:lang w:val="fr-CA"/>
              </w:rPr>
              <w:t xml:space="preserve">Loi de 1995 sur les relations de travail, </w:t>
            </w:r>
            <w:r w:rsidRPr="009D44AB">
              <w:rPr>
                <w:sz w:val="20"/>
                <w:lang w:val="fr-CA"/>
              </w:rPr>
              <w:t>L.O. 1995, ch. 1.</w:t>
            </w:r>
          </w:p>
          <w:p w:rsidR="009D44AB" w:rsidRPr="009D44AB" w:rsidRDefault="009D44AB" w:rsidP="005E19D6">
            <w:pPr>
              <w:rPr>
                <w:sz w:val="20"/>
                <w:lang w:val="fr-CA"/>
              </w:rPr>
            </w:pPr>
          </w:p>
          <w:p w:rsidR="009D44AB" w:rsidRPr="009D44AB" w:rsidRDefault="009D44AB" w:rsidP="005E19D6">
            <w:pPr>
              <w:rPr>
                <w:sz w:val="20"/>
                <w:lang w:val="fr-CA"/>
              </w:rPr>
            </w:pPr>
            <w:r w:rsidRPr="009D44AB">
              <w:rPr>
                <w:sz w:val="20"/>
                <w:lang w:val="fr-CA"/>
              </w:rPr>
              <w:t>La Cour supérieure a rejeté sa demande de contrôle judiciaire, statuant que celle</w:t>
            </w:r>
            <w:r w:rsidRPr="009D44AB">
              <w:rPr>
                <w:sz w:val="20"/>
                <w:lang w:val="fr-CA"/>
              </w:rPr>
              <w:noBreakHyphen/>
              <w:t>ci aurait dû être présentée devant la Cour divisionnaire. La Cour d’appel a subséquemment accueilli la motion des intimés en annulation de son appel.</w:t>
            </w:r>
          </w:p>
          <w:p w:rsidR="009D44AB" w:rsidRPr="009D44AB" w:rsidRDefault="009D44AB" w:rsidP="005E19D6">
            <w:pPr>
              <w:rPr>
                <w:sz w:val="20"/>
                <w:lang w:val="fr-CA"/>
              </w:rPr>
            </w:pPr>
          </w:p>
        </w:tc>
      </w:tr>
      <w:tr w:rsidR="009D44AB" w:rsidRPr="00EC12BA" w:rsidTr="005C601B">
        <w:trPr>
          <w:gridAfter w:val="1"/>
          <w:wAfter w:w="1616" w:type="pct"/>
        </w:trPr>
        <w:tc>
          <w:tcPr>
            <w:tcW w:w="1642" w:type="pct"/>
            <w:gridSpan w:val="2"/>
          </w:tcPr>
          <w:p w:rsidR="009D44AB" w:rsidRPr="009D44AB" w:rsidRDefault="009D44AB" w:rsidP="005E19D6">
            <w:pPr>
              <w:rPr>
                <w:sz w:val="20"/>
                <w:lang w:val="fr-CA"/>
              </w:rPr>
            </w:pPr>
            <w:r w:rsidRPr="009D44AB">
              <w:rPr>
                <w:sz w:val="20"/>
                <w:lang w:val="fr-CA"/>
              </w:rPr>
              <w:lastRenderedPageBreak/>
              <w:t>26 juin 2017</w:t>
            </w:r>
          </w:p>
          <w:p w:rsidR="009D44AB" w:rsidRPr="009D44AB" w:rsidRDefault="009D44AB" w:rsidP="005E19D6">
            <w:pPr>
              <w:rPr>
                <w:sz w:val="20"/>
                <w:lang w:val="fr-CA"/>
              </w:rPr>
            </w:pPr>
            <w:r w:rsidRPr="009D44AB">
              <w:rPr>
                <w:sz w:val="20"/>
                <w:lang w:val="fr-CA"/>
              </w:rPr>
              <w:t>Cour supérieure de justice de l’Ontario</w:t>
            </w:r>
          </w:p>
          <w:p w:rsidR="009D44AB" w:rsidRPr="009D44AB" w:rsidRDefault="009D44AB" w:rsidP="005E19D6">
            <w:pPr>
              <w:rPr>
                <w:sz w:val="20"/>
                <w:lang w:val="fr-CA"/>
              </w:rPr>
            </w:pPr>
            <w:r w:rsidRPr="009D44AB">
              <w:rPr>
                <w:sz w:val="20"/>
                <w:lang w:val="fr-CA"/>
              </w:rPr>
              <w:t>(Juge Grace)</w:t>
            </w:r>
          </w:p>
          <w:p w:rsidR="009D44AB" w:rsidRPr="009D44AB" w:rsidRDefault="00BB65F4" w:rsidP="005E19D6">
            <w:pPr>
              <w:rPr>
                <w:sz w:val="20"/>
                <w:lang w:val="fr-CA"/>
              </w:rPr>
            </w:pPr>
            <w:hyperlink r:id="rId52" w:history="1">
              <w:r w:rsidR="009D44AB" w:rsidRPr="009D44AB">
                <w:rPr>
                  <w:rStyle w:val="Hyperlink"/>
                  <w:sz w:val="20"/>
                  <w:lang w:val="fr-CA"/>
                </w:rPr>
                <w:t>2017 ONSC 3986</w:t>
              </w:r>
            </w:hyperlink>
          </w:p>
          <w:p w:rsidR="009D44AB" w:rsidRPr="009D44AB" w:rsidRDefault="009D44AB" w:rsidP="005E19D6">
            <w:pPr>
              <w:rPr>
                <w:sz w:val="20"/>
                <w:lang w:val="fr-CA"/>
              </w:rPr>
            </w:pP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Rejet de la motion de la demanderesse en autorisation de déposer sa demande de contrôle judiciaire à la Cour supérieure de justice</w:t>
            </w:r>
          </w:p>
          <w:p w:rsidR="009D44AB" w:rsidRPr="009D44AB" w:rsidRDefault="009D44AB" w:rsidP="005E19D6">
            <w:pPr>
              <w:rPr>
                <w:sz w:val="20"/>
                <w:lang w:val="fr-CA"/>
              </w:rPr>
            </w:pPr>
          </w:p>
        </w:tc>
      </w:tr>
      <w:tr w:rsidR="009D44AB" w:rsidRPr="00EC12BA" w:rsidTr="005C601B">
        <w:trPr>
          <w:gridAfter w:val="1"/>
          <w:wAfter w:w="1616" w:type="pct"/>
        </w:trPr>
        <w:tc>
          <w:tcPr>
            <w:tcW w:w="1642" w:type="pct"/>
            <w:gridSpan w:val="2"/>
          </w:tcPr>
          <w:p w:rsidR="009D44AB" w:rsidRPr="009D44AB" w:rsidRDefault="009D44AB" w:rsidP="005E19D6">
            <w:pPr>
              <w:rPr>
                <w:sz w:val="20"/>
                <w:lang w:val="fr-CA"/>
              </w:rPr>
            </w:pPr>
            <w:r w:rsidRPr="009D44AB">
              <w:rPr>
                <w:sz w:val="20"/>
                <w:lang w:val="fr-CA"/>
              </w:rPr>
              <w:t>4 septembre 2018</w:t>
            </w:r>
          </w:p>
          <w:p w:rsidR="009D44AB" w:rsidRPr="009D44AB" w:rsidRDefault="009D44AB" w:rsidP="005E19D6">
            <w:pPr>
              <w:rPr>
                <w:sz w:val="20"/>
                <w:lang w:val="fr-CA"/>
              </w:rPr>
            </w:pPr>
            <w:r w:rsidRPr="009D44AB">
              <w:rPr>
                <w:sz w:val="20"/>
                <w:lang w:val="fr-CA"/>
              </w:rPr>
              <w:t>Cour d’appel de l’Ontario</w:t>
            </w:r>
          </w:p>
          <w:p w:rsidR="009D44AB" w:rsidRPr="009D44AB" w:rsidRDefault="009D44AB" w:rsidP="005E19D6">
            <w:pPr>
              <w:rPr>
                <w:sz w:val="20"/>
                <w:lang w:val="fr-CA"/>
              </w:rPr>
            </w:pPr>
            <w:r w:rsidRPr="009D44AB">
              <w:rPr>
                <w:sz w:val="20"/>
                <w:lang w:val="fr-CA"/>
              </w:rPr>
              <w:t>(Juge Paciocco)</w:t>
            </w:r>
          </w:p>
          <w:p w:rsidR="009D44AB" w:rsidRPr="009D44AB" w:rsidRDefault="009D44AB" w:rsidP="005E19D6">
            <w:pPr>
              <w:rPr>
                <w:sz w:val="20"/>
                <w:lang w:val="fr-CA"/>
              </w:rPr>
            </w:pPr>
            <w:r w:rsidRPr="009D44AB">
              <w:rPr>
                <w:sz w:val="20"/>
                <w:lang w:val="fr-CA"/>
              </w:rPr>
              <w:t>Non publié</w:t>
            </w:r>
          </w:p>
          <w:p w:rsidR="009D44AB" w:rsidRPr="009D44AB" w:rsidRDefault="009D44AB" w:rsidP="005E19D6">
            <w:pPr>
              <w:rPr>
                <w:sz w:val="20"/>
                <w:lang w:val="fr-CA"/>
              </w:rPr>
            </w:pP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Arrêt rejetant les motions de la demanderesse et accueillant, sur consentement, la motion de la demanderesse en prorogation du délai pour mettre son appel en état</w:t>
            </w:r>
          </w:p>
        </w:tc>
      </w:tr>
      <w:tr w:rsidR="009D44AB" w:rsidRPr="00EC12BA" w:rsidTr="005C601B">
        <w:trPr>
          <w:gridAfter w:val="1"/>
          <w:wAfter w:w="1616" w:type="pct"/>
        </w:trPr>
        <w:tc>
          <w:tcPr>
            <w:tcW w:w="1642" w:type="pct"/>
            <w:gridSpan w:val="2"/>
          </w:tcPr>
          <w:p w:rsidR="009D44AB" w:rsidRPr="009D44AB" w:rsidRDefault="009D44AB" w:rsidP="005E19D6">
            <w:pPr>
              <w:rPr>
                <w:sz w:val="20"/>
                <w:lang w:val="fr-CA"/>
              </w:rPr>
            </w:pPr>
            <w:r w:rsidRPr="009D44AB">
              <w:rPr>
                <w:sz w:val="20"/>
                <w:lang w:val="fr-CA"/>
              </w:rPr>
              <w:t>25 octobre 2018</w:t>
            </w:r>
          </w:p>
          <w:p w:rsidR="009D44AB" w:rsidRPr="009D44AB" w:rsidRDefault="009D44AB" w:rsidP="005E19D6">
            <w:pPr>
              <w:rPr>
                <w:sz w:val="20"/>
                <w:lang w:val="fr-CA"/>
              </w:rPr>
            </w:pPr>
            <w:r w:rsidRPr="009D44AB">
              <w:rPr>
                <w:sz w:val="20"/>
                <w:lang w:val="fr-CA"/>
              </w:rPr>
              <w:t>Cour d’appel de l’Ontario</w:t>
            </w:r>
          </w:p>
          <w:p w:rsidR="009D44AB" w:rsidRPr="009D44AB" w:rsidRDefault="009D44AB" w:rsidP="005E19D6">
            <w:pPr>
              <w:rPr>
                <w:sz w:val="20"/>
                <w:lang w:val="fr-CA"/>
              </w:rPr>
            </w:pPr>
            <w:r w:rsidRPr="009D44AB">
              <w:rPr>
                <w:sz w:val="20"/>
                <w:lang w:val="fr-CA"/>
              </w:rPr>
              <w:t>(Juges Feldman, Pardu et Roberts)</w:t>
            </w:r>
          </w:p>
          <w:p w:rsidR="009D44AB" w:rsidRPr="009D44AB" w:rsidRDefault="00BB65F4" w:rsidP="005E19D6">
            <w:pPr>
              <w:rPr>
                <w:rStyle w:val="Hyperlink"/>
                <w:sz w:val="20"/>
                <w:lang w:val="fr-CA"/>
              </w:rPr>
            </w:pPr>
            <w:hyperlink r:id="rId53" w:history="1">
              <w:r w:rsidR="009D44AB" w:rsidRPr="009D44AB">
                <w:rPr>
                  <w:rStyle w:val="Hyperlink"/>
                  <w:sz w:val="20"/>
                  <w:lang w:val="fr-CA"/>
                </w:rPr>
                <w:t>2018 ONCA 857</w:t>
              </w:r>
            </w:hyperlink>
          </w:p>
          <w:p w:rsidR="009D44AB" w:rsidRPr="009D44AB" w:rsidRDefault="009D44AB" w:rsidP="005E19D6">
            <w:pPr>
              <w:rPr>
                <w:sz w:val="20"/>
                <w:lang w:val="fr-CA"/>
              </w:rPr>
            </w:pP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Arrêt accueillant la motion des intimés en annulation de l’appel de trois ordonnances interlocutoires interjeté par la demanderesse</w:t>
            </w:r>
          </w:p>
          <w:p w:rsidR="009D44AB" w:rsidRPr="009D44AB" w:rsidRDefault="009D44AB" w:rsidP="005E19D6">
            <w:pPr>
              <w:rPr>
                <w:sz w:val="20"/>
                <w:lang w:val="fr-CA"/>
              </w:rPr>
            </w:pPr>
          </w:p>
        </w:tc>
      </w:tr>
      <w:tr w:rsidR="009D44AB" w:rsidRPr="00EC12BA" w:rsidTr="005C601B">
        <w:trPr>
          <w:gridAfter w:val="1"/>
          <w:wAfter w:w="1616" w:type="pct"/>
        </w:trPr>
        <w:tc>
          <w:tcPr>
            <w:tcW w:w="1642" w:type="pct"/>
            <w:gridSpan w:val="2"/>
          </w:tcPr>
          <w:p w:rsidR="009D44AB" w:rsidRPr="009D44AB" w:rsidRDefault="009D44AB" w:rsidP="005E19D6">
            <w:pPr>
              <w:rPr>
                <w:sz w:val="20"/>
                <w:lang w:val="fr-CA"/>
              </w:rPr>
            </w:pPr>
            <w:r w:rsidRPr="009D44AB">
              <w:rPr>
                <w:sz w:val="20"/>
                <w:lang w:val="fr-CA"/>
              </w:rPr>
              <w:t>23 novembre 2018</w:t>
            </w:r>
          </w:p>
          <w:p w:rsidR="009D44AB" w:rsidRPr="009D44AB" w:rsidRDefault="009D44AB" w:rsidP="005E19D6">
            <w:pPr>
              <w:rPr>
                <w:sz w:val="20"/>
                <w:lang w:val="fr-CA"/>
              </w:rPr>
            </w:pPr>
            <w:r w:rsidRPr="009D44AB">
              <w:rPr>
                <w:sz w:val="20"/>
                <w:lang w:val="fr-CA"/>
              </w:rPr>
              <w:t>Cour d’appel de l’Ontario</w:t>
            </w:r>
          </w:p>
          <w:p w:rsidR="009D44AB" w:rsidRPr="009D44AB" w:rsidRDefault="009D44AB" w:rsidP="005E19D6">
            <w:pPr>
              <w:rPr>
                <w:sz w:val="20"/>
                <w:lang w:val="fr-CA"/>
              </w:rPr>
            </w:pPr>
            <w:r w:rsidRPr="009D44AB">
              <w:rPr>
                <w:sz w:val="20"/>
                <w:lang w:val="fr-CA"/>
              </w:rPr>
              <w:t>(Juge Brown)</w:t>
            </w:r>
          </w:p>
          <w:p w:rsidR="009D44AB" w:rsidRPr="009D44AB" w:rsidRDefault="00BB65F4" w:rsidP="005E19D6">
            <w:pPr>
              <w:rPr>
                <w:sz w:val="20"/>
                <w:lang w:val="fr-CA"/>
              </w:rPr>
            </w:pPr>
            <w:hyperlink r:id="rId54" w:history="1">
              <w:r w:rsidR="009D44AB" w:rsidRPr="009D44AB">
                <w:rPr>
                  <w:rStyle w:val="Hyperlink"/>
                  <w:sz w:val="20"/>
                  <w:lang w:val="fr-CA"/>
                </w:rPr>
                <w:t>2018 ONCA 950</w:t>
              </w:r>
            </w:hyperlink>
          </w:p>
          <w:p w:rsidR="009D44AB" w:rsidRPr="009D44AB" w:rsidRDefault="009D44AB" w:rsidP="005E19D6">
            <w:pPr>
              <w:rPr>
                <w:sz w:val="20"/>
                <w:lang w:val="fr-CA"/>
              </w:rPr>
            </w:pP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Rejet, pour absence de compétence, des motions de la demanderesse portant notamment sur des enregistrements sonores de l’audience.</w:t>
            </w:r>
          </w:p>
          <w:p w:rsidR="009D44AB" w:rsidRPr="009D44AB" w:rsidRDefault="009D44AB" w:rsidP="005E19D6">
            <w:pPr>
              <w:rPr>
                <w:sz w:val="20"/>
                <w:lang w:val="fr-CA"/>
              </w:rPr>
            </w:pPr>
          </w:p>
        </w:tc>
      </w:tr>
      <w:tr w:rsidR="009D44AB" w:rsidRPr="00EC12BA" w:rsidTr="005C601B">
        <w:trPr>
          <w:gridAfter w:val="1"/>
          <w:wAfter w:w="1616" w:type="pct"/>
        </w:trPr>
        <w:tc>
          <w:tcPr>
            <w:tcW w:w="1642" w:type="pct"/>
            <w:gridSpan w:val="2"/>
          </w:tcPr>
          <w:p w:rsidR="009D44AB" w:rsidRPr="009D44AB" w:rsidRDefault="009D44AB" w:rsidP="005E19D6">
            <w:pPr>
              <w:rPr>
                <w:sz w:val="20"/>
                <w:lang w:val="fr-CA"/>
              </w:rPr>
            </w:pPr>
            <w:r w:rsidRPr="009D44AB">
              <w:rPr>
                <w:sz w:val="20"/>
                <w:lang w:val="fr-CA"/>
              </w:rPr>
              <w:t>24 avril 2019</w:t>
            </w:r>
          </w:p>
          <w:p w:rsidR="009D44AB" w:rsidRPr="009D44AB" w:rsidRDefault="009D44AB" w:rsidP="005E19D6">
            <w:pPr>
              <w:rPr>
                <w:sz w:val="20"/>
                <w:lang w:val="fr-CA"/>
              </w:rPr>
            </w:pPr>
            <w:r w:rsidRPr="009D44AB">
              <w:rPr>
                <w:sz w:val="20"/>
                <w:lang w:val="fr-CA"/>
              </w:rPr>
              <w:t>Cour d’appel de l’Ontario</w:t>
            </w:r>
          </w:p>
          <w:p w:rsidR="009D44AB" w:rsidRPr="009D44AB" w:rsidRDefault="009D44AB" w:rsidP="005E19D6">
            <w:pPr>
              <w:rPr>
                <w:sz w:val="20"/>
                <w:lang w:val="fr-CA"/>
              </w:rPr>
            </w:pPr>
            <w:r w:rsidRPr="009D44AB">
              <w:rPr>
                <w:sz w:val="20"/>
                <w:lang w:val="fr-CA"/>
              </w:rPr>
              <w:t>(Juges Rouleau, Miller et Fairburn)</w:t>
            </w:r>
          </w:p>
          <w:p w:rsidR="009D44AB" w:rsidRPr="009D44AB" w:rsidRDefault="00BB65F4" w:rsidP="005E19D6">
            <w:pPr>
              <w:rPr>
                <w:sz w:val="20"/>
                <w:lang w:val="fr-CA"/>
              </w:rPr>
            </w:pPr>
            <w:hyperlink r:id="rId55" w:history="1">
              <w:r w:rsidR="009D44AB" w:rsidRPr="009D44AB">
                <w:rPr>
                  <w:rStyle w:val="Hyperlink"/>
                  <w:sz w:val="20"/>
                  <w:lang w:val="fr-CA"/>
                </w:rPr>
                <w:t>2019 ONCA 319</w:t>
              </w:r>
            </w:hyperlink>
          </w:p>
          <w:p w:rsidR="009D44AB" w:rsidRPr="009D44AB" w:rsidRDefault="009D44AB" w:rsidP="005E19D6">
            <w:pPr>
              <w:rPr>
                <w:sz w:val="20"/>
                <w:lang w:val="fr-CA"/>
              </w:rPr>
            </w:pP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 xml:space="preserve">Rejet de la motion de la demanderesse pour obtenir et diffuser des enregistrements sonores de l’audience et rejet de la motion de la demanderesse en révision des décisions du juge des requêtes </w:t>
            </w:r>
          </w:p>
          <w:p w:rsidR="009D44AB" w:rsidRPr="009D44AB" w:rsidRDefault="009D44AB" w:rsidP="005E19D6">
            <w:pPr>
              <w:rPr>
                <w:sz w:val="20"/>
                <w:lang w:val="fr-CA"/>
              </w:rPr>
            </w:pPr>
          </w:p>
        </w:tc>
      </w:tr>
      <w:tr w:rsidR="009D44AB" w:rsidRPr="00EC12BA" w:rsidTr="005C601B">
        <w:tc>
          <w:tcPr>
            <w:tcW w:w="1642" w:type="pct"/>
            <w:gridSpan w:val="2"/>
          </w:tcPr>
          <w:p w:rsidR="009D44AB" w:rsidRPr="009D44AB" w:rsidRDefault="009D44AB" w:rsidP="005E19D6">
            <w:pPr>
              <w:rPr>
                <w:sz w:val="20"/>
                <w:lang w:val="fr-CA"/>
              </w:rPr>
            </w:pPr>
            <w:r w:rsidRPr="009D44AB">
              <w:rPr>
                <w:sz w:val="20"/>
                <w:lang w:val="fr-CA"/>
              </w:rPr>
              <w:t>26 septembre 2019</w:t>
            </w:r>
          </w:p>
          <w:p w:rsidR="009D44AB" w:rsidRPr="009D44AB" w:rsidRDefault="009D44AB" w:rsidP="005E19D6">
            <w:pPr>
              <w:rPr>
                <w:sz w:val="20"/>
                <w:lang w:val="fr-CA"/>
              </w:rPr>
            </w:pPr>
            <w:r w:rsidRPr="009D44AB">
              <w:rPr>
                <w:sz w:val="20"/>
                <w:lang w:val="fr-CA"/>
              </w:rPr>
              <w:t>Cour suprême du Canada</w:t>
            </w:r>
          </w:p>
          <w:p w:rsidR="009D44AB" w:rsidRPr="009D44AB" w:rsidRDefault="009D44AB" w:rsidP="005E19D6">
            <w:pPr>
              <w:rPr>
                <w:sz w:val="20"/>
                <w:lang w:val="fr-CA"/>
              </w:rPr>
            </w:pPr>
          </w:p>
          <w:p w:rsidR="009D44AB" w:rsidRPr="009D44AB" w:rsidRDefault="009D44AB" w:rsidP="005E19D6">
            <w:pPr>
              <w:rPr>
                <w:sz w:val="20"/>
                <w:lang w:val="fr-CA"/>
              </w:rPr>
            </w:pP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Dépôt de la requête en prorogation du délai de signification et de dépôt de la deuxième demande d’autorisation d’appel et de la deuxième demande d’autorisation d’appel</w:t>
            </w:r>
          </w:p>
          <w:p w:rsidR="009D44AB" w:rsidRPr="009D44AB" w:rsidRDefault="009D44AB" w:rsidP="005E19D6">
            <w:pPr>
              <w:rPr>
                <w:sz w:val="20"/>
                <w:lang w:val="fr-CA"/>
              </w:rPr>
            </w:pPr>
          </w:p>
        </w:tc>
        <w:tc>
          <w:tcPr>
            <w:tcW w:w="1616" w:type="pct"/>
          </w:tcPr>
          <w:p w:rsidR="009D44AB" w:rsidRPr="009D44AB" w:rsidRDefault="009D44AB" w:rsidP="005E19D6">
            <w:pPr>
              <w:rPr>
                <w:sz w:val="20"/>
                <w:lang w:val="fr-CA"/>
              </w:rPr>
            </w:pPr>
          </w:p>
        </w:tc>
      </w:tr>
      <w:tr w:rsidR="009D44AB" w:rsidRPr="00EC12BA" w:rsidTr="005C601B">
        <w:trPr>
          <w:gridAfter w:val="1"/>
          <w:wAfter w:w="1616" w:type="pct"/>
        </w:trPr>
        <w:tc>
          <w:tcPr>
            <w:tcW w:w="1642" w:type="pct"/>
            <w:gridSpan w:val="2"/>
          </w:tcPr>
          <w:p w:rsidR="009D44AB" w:rsidRPr="009D44AB" w:rsidRDefault="009D44AB" w:rsidP="005E19D6">
            <w:pPr>
              <w:rPr>
                <w:sz w:val="20"/>
                <w:lang w:val="fr-CA"/>
              </w:rPr>
            </w:pPr>
            <w:r w:rsidRPr="009D44AB">
              <w:rPr>
                <w:sz w:val="20"/>
                <w:lang w:val="fr-CA"/>
              </w:rPr>
              <w:t>17 octobre 2019</w:t>
            </w:r>
          </w:p>
          <w:p w:rsidR="009D44AB" w:rsidRPr="009D44AB" w:rsidRDefault="009D44AB" w:rsidP="005E19D6">
            <w:pPr>
              <w:rPr>
                <w:sz w:val="20"/>
                <w:lang w:val="fr-CA"/>
              </w:rPr>
            </w:pPr>
            <w:r w:rsidRPr="009D44AB">
              <w:rPr>
                <w:sz w:val="20"/>
                <w:lang w:val="fr-CA"/>
              </w:rPr>
              <w:t>Cour suprême du Canada</w:t>
            </w:r>
          </w:p>
        </w:tc>
        <w:tc>
          <w:tcPr>
            <w:tcW w:w="165" w:type="pct"/>
          </w:tcPr>
          <w:p w:rsidR="009D44AB" w:rsidRPr="009D44AB" w:rsidRDefault="009D44AB" w:rsidP="005E19D6">
            <w:pPr>
              <w:rPr>
                <w:sz w:val="20"/>
                <w:lang w:val="fr-CA"/>
              </w:rPr>
            </w:pPr>
          </w:p>
        </w:tc>
        <w:tc>
          <w:tcPr>
            <w:tcW w:w="1577" w:type="pct"/>
          </w:tcPr>
          <w:p w:rsidR="009D44AB" w:rsidRPr="009D44AB" w:rsidRDefault="009D44AB" w:rsidP="005E19D6">
            <w:pPr>
              <w:rPr>
                <w:sz w:val="20"/>
                <w:lang w:val="fr-CA"/>
              </w:rPr>
            </w:pPr>
            <w:r w:rsidRPr="009D44AB">
              <w:rPr>
                <w:sz w:val="20"/>
                <w:lang w:val="fr-CA"/>
              </w:rPr>
              <w:t>Rejet de la première demande d’autorisation d’appel.</w:t>
            </w:r>
          </w:p>
          <w:p w:rsidR="009D44AB" w:rsidRPr="009D44AB" w:rsidRDefault="009D44AB" w:rsidP="005E19D6">
            <w:pPr>
              <w:rPr>
                <w:sz w:val="20"/>
                <w:lang w:val="fr-CA"/>
              </w:rPr>
            </w:pPr>
          </w:p>
        </w:tc>
      </w:tr>
    </w:tbl>
    <w:p w:rsidR="009D44AB" w:rsidRPr="009D44AB" w:rsidRDefault="009D44AB" w:rsidP="005E19D6">
      <w:pPr>
        <w:rPr>
          <w:sz w:val="20"/>
          <w:lang w:val="fr-CA"/>
        </w:rPr>
      </w:pPr>
    </w:p>
    <w:p w:rsidR="009D44AB" w:rsidRDefault="00BB65F4" w:rsidP="006A22CA">
      <w:pPr>
        <w:ind w:left="142" w:hanging="142"/>
        <w:jc w:val="both"/>
        <w:rPr>
          <w:sz w:val="20"/>
        </w:rPr>
      </w:pPr>
      <w:r>
        <w:rPr>
          <w:sz w:val="20"/>
        </w:rPr>
        <w:pict>
          <v:rect id="_x0000_i1041" style="width:2in;height:1pt" o:hrpct="0" o:hralign="center" o:hrstd="t" o:hrnoshade="t" o:hr="t" fillcolor="black [3213]" stroked="f"/>
        </w:pict>
      </w:r>
    </w:p>
    <w:p w:rsidR="009D44AB" w:rsidRDefault="009D44AB" w:rsidP="006A22CA">
      <w:pPr>
        <w:ind w:left="142" w:hanging="142"/>
        <w:jc w:val="both"/>
        <w:rPr>
          <w:sz w:val="20"/>
        </w:rPr>
      </w:pPr>
    </w:p>
    <w:p w:rsidR="009D44AB" w:rsidRPr="009D44AB" w:rsidRDefault="009D44AB" w:rsidP="006A22C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4AB" w:rsidRPr="009D44AB" w:rsidTr="00E95A6A">
        <w:tc>
          <w:tcPr>
            <w:tcW w:w="543" w:type="pct"/>
          </w:tcPr>
          <w:p w:rsidR="009D44AB" w:rsidRPr="009D44AB" w:rsidRDefault="009D44AB" w:rsidP="00F9479E">
            <w:pPr>
              <w:rPr>
                <w:sz w:val="20"/>
              </w:rPr>
            </w:pPr>
            <w:r w:rsidRPr="009D44AB">
              <w:rPr>
                <w:rStyle w:val="SCCFileNumberChar"/>
                <w:sz w:val="20"/>
                <w:szCs w:val="20"/>
              </w:rPr>
              <w:t>38856</w:t>
            </w:r>
          </w:p>
        </w:tc>
        <w:tc>
          <w:tcPr>
            <w:tcW w:w="4457" w:type="pct"/>
            <w:gridSpan w:val="3"/>
          </w:tcPr>
          <w:p w:rsidR="009D44AB" w:rsidRPr="009D44AB" w:rsidRDefault="009D44AB" w:rsidP="009D44AB">
            <w:pPr>
              <w:pStyle w:val="SCCLsocParty"/>
              <w:jc w:val="left"/>
              <w:rPr>
                <w:b/>
                <w:sz w:val="20"/>
                <w:szCs w:val="20"/>
                <w:lang w:val="en-US"/>
              </w:rPr>
            </w:pPr>
            <w:r w:rsidRPr="009D44AB">
              <w:rPr>
                <w:b/>
                <w:sz w:val="20"/>
                <w:szCs w:val="20"/>
                <w:lang w:val="en-US"/>
              </w:rPr>
              <w:t>Bradley Clayton Hunt v. Peel Mutual Insurance Company</w:t>
            </w:r>
          </w:p>
          <w:p w:rsidR="009D44AB" w:rsidRPr="009D44AB" w:rsidRDefault="009D44AB">
            <w:pPr>
              <w:rPr>
                <w:sz w:val="20"/>
              </w:rPr>
            </w:pPr>
            <w:r w:rsidRPr="009D44AB">
              <w:rPr>
                <w:sz w:val="20"/>
              </w:rPr>
              <w:t>(Ont.) (Civil) (By Leave)</w:t>
            </w:r>
          </w:p>
        </w:tc>
      </w:tr>
      <w:tr w:rsidR="009D44AB" w:rsidRPr="009D44AB" w:rsidTr="00E95A6A">
        <w:tc>
          <w:tcPr>
            <w:tcW w:w="5000" w:type="pct"/>
            <w:gridSpan w:val="4"/>
          </w:tcPr>
          <w:p w:rsidR="009D44AB" w:rsidRPr="009D44AB" w:rsidRDefault="009D44AB" w:rsidP="00DD0880">
            <w:pPr>
              <w:rPr>
                <w:sz w:val="20"/>
              </w:rPr>
            </w:pPr>
            <w:r w:rsidRPr="009D44AB">
              <w:rPr>
                <w:sz w:val="20"/>
              </w:rPr>
              <w:t xml:space="preserve">Insurance — Automobile insurance — Duty to defend — Parent permitted child to be transported in vehicle driven by allegedly impaired driver — Allegation of negligent parenting — What it means to directly or indirectly use an automobile under s. 239 of the </w:t>
            </w:r>
            <w:r w:rsidRPr="009D44AB">
              <w:rPr>
                <w:i/>
                <w:sz w:val="20"/>
              </w:rPr>
              <w:t>Insurance Act</w:t>
            </w:r>
            <w:r w:rsidRPr="009D44AB">
              <w:rPr>
                <w:sz w:val="20"/>
              </w:rPr>
              <w:t xml:space="preserve"> — Whether the framing of a claim should dictate coverage for injuries sustained in a motor vehicle accident when the broad coverage granted by a statute is against any liability imposed by law — To what extent motor vehicle insurance covers one passenger against claims made by another passenger — Nature of the proper test for causation in determining whether liability is for a loss directly or indirectly as a result of the use of a motor vehicle.</w:t>
            </w:r>
          </w:p>
        </w:tc>
      </w:tr>
      <w:tr w:rsidR="009D44AB" w:rsidRPr="009D44AB" w:rsidTr="00E95A6A">
        <w:tc>
          <w:tcPr>
            <w:tcW w:w="5000" w:type="pct"/>
            <w:gridSpan w:val="4"/>
          </w:tcPr>
          <w:p w:rsidR="009D44AB" w:rsidRPr="009D44AB" w:rsidRDefault="009D44AB" w:rsidP="00C01DCD">
            <w:pPr>
              <w:rPr>
                <w:sz w:val="20"/>
              </w:rPr>
            </w:pPr>
          </w:p>
          <w:p w:rsidR="009D44AB" w:rsidRPr="009D44AB" w:rsidRDefault="009D44AB" w:rsidP="002B13D9">
            <w:pPr>
              <w:rPr>
                <w:sz w:val="20"/>
              </w:rPr>
            </w:pPr>
            <w:r w:rsidRPr="009D44AB">
              <w:rPr>
                <w:sz w:val="20"/>
              </w:rPr>
              <w:t xml:space="preserve">In July 2014, Mr. Hunt and his daughter </w:t>
            </w:r>
            <w:proofErr w:type="spellStart"/>
            <w:r w:rsidRPr="009D44AB">
              <w:rPr>
                <w:sz w:val="20"/>
              </w:rPr>
              <w:t>Amealia</w:t>
            </w:r>
            <w:proofErr w:type="spellEnd"/>
            <w:r w:rsidRPr="009D44AB">
              <w:rPr>
                <w:sz w:val="20"/>
              </w:rPr>
              <w:t xml:space="preserve"> Hunt were passengers in a vehicle owned and operated by Tammy-Lynn Dingman when Ms. Dingman crossed the centre line and collided with another vehicle. Ms. Hunt, Mr. Hunt and Ms. Dingman all sustained personal injuries as a result of the collision. Ms. Dingman was alleged to have been driving under the influence of alcohol. Ms. Dingman was insured under a policy issued by Peel Mutual Insurance Company. Ms. Hunt launched a suit against Ms. Dingman and Mr. Hunt in relation to the injuries she sustained. As against Mr. Hunt, she alleged that he had engaged in negligent parenting when he permitted her to be transported in the motor vehicle of an impaired driver. Mr. Hunt moved for a declaration that Peel Mutual has a duty to defend him against Ms. Hunt’s lawsuit because he is an “insured person” within the meaning of the </w:t>
            </w:r>
            <w:r w:rsidRPr="009D44AB">
              <w:rPr>
                <w:i/>
                <w:sz w:val="20"/>
              </w:rPr>
              <w:lastRenderedPageBreak/>
              <w:t>Insurance Act</w:t>
            </w:r>
            <w:r w:rsidRPr="009D44AB">
              <w:rPr>
                <w:sz w:val="20"/>
              </w:rPr>
              <w:t>, R.S.O. 1990, c. 18, s. 239, or because there was a real possibility that he was met that criterion. Peel Mutual argued that it had no such obligation because the allegations of negligence in the suit brought by Ms. Hunt do not involve the “use or operation” of Ms. Dingman’s motor vehicle by him. The motion was denied, as was Mr. Hunt’s appeal.</w:t>
            </w:r>
          </w:p>
        </w:tc>
      </w:tr>
      <w:tr w:rsidR="009D44AB" w:rsidRPr="009D44AB" w:rsidTr="00E95A6A">
        <w:tc>
          <w:tcPr>
            <w:tcW w:w="5000" w:type="pct"/>
            <w:gridSpan w:val="4"/>
          </w:tcPr>
          <w:p w:rsidR="009D44AB" w:rsidRPr="009D44AB" w:rsidRDefault="009D44AB" w:rsidP="00AB1BE6">
            <w:pPr>
              <w:rPr>
                <w:sz w:val="20"/>
              </w:rPr>
            </w:pPr>
          </w:p>
        </w:tc>
      </w:tr>
      <w:tr w:rsidR="009D44AB" w:rsidRPr="009D44AB" w:rsidTr="00E95A6A">
        <w:tc>
          <w:tcPr>
            <w:tcW w:w="2427" w:type="pct"/>
            <w:gridSpan w:val="2"/>
          </w:tcPr>
          <w:p w:rsidR="009D44AB" w:rsidRPr="009D44AB" w:rsidRDefault="009D44AB" w:rsidP="00B62A50">
            <w:pPr>
              <w:rPr>
                <w:sz w:val="20"/>
              </w:rPr>
            </w:pPr>
            <w:r w:rsidRPr="009D44AB">
              <w:rPr>
                <w:sz w:val="20"/>
              </w:rPr>
              <w:t>January 7, 2019</w:t>
            </w:r>
          </w:p>
          <w:p w:rsidR="009D44AB" w:rsidRPr="009D44AB" w:rsidRDefault="009D44AB" w:rsidP="00B62A50">
            <w:pPr>
              <w:rPr>
                <w:sz w:val="20"/>
              </w:rPr>
            </w:pPr>
            <w:r w:rsidRPr="009D44AB">
              <w:rPr>
                <w:sz w:val="20"/>
              </w:rPr>
              <w:t>Ontario Superior Court of Justice</w:t>
            </w:r>
          </w:p>
          <w:p w:rsidR="009D44AB" w:rsidRPr="009D44AB" w:rsidRDefault="009D44AB" w:rsidP="00B62A50">
            <w:pPr>
              <w:rPr>
                <w:sz w:val="20"/>
              </w:rPr>
            </w:pPr>
            <w:r w:rsidRPr="009D44AB">
              <w:rPr>
                <w:sz w:val="20"/>
              </w:rPr>
              <w:t>(Flynn J.)</w:t>
            </w:r>
          </w:p>
          <w:p w:rsidR="009D44AB" w:rsidRPr="009D44AB" w:rsidRDefault="009D44AB" w:rsidP="00B62A50">
            <w:pPr>
              <w:rPr>
                <w:sz w:val="20"/>
              </w:rPr>
            </w:pPr>
            <w:r w:rsidRPr="009D44AB">
              <w:rPr>
                <w:sz w:val="20"/>
              </w:rPr>
              <w:t>2019 ONSC 143</w:t>
            </w:r>
          </w:p>
          <w:p w:rsidR="009D44AB" w:rsidRPr="009D44AB" w:rsidRDefault="009D44AB" w:rsidP="00B62A50">
            <w:pPr>
              <w:rPr>
                <w:sz w:val="20"/>
              </w:rPr>
            </w:pPr>
          </w:p>
        </w:tc>
        <w:tc>
          <w:tcPr>
            <w:tcW w:w="243" w:type="pct"/>
          </w:tcPr>
          <w:p w:rsidR="009D44AB" w:rsidRPr="009D44AB" w:rsidRDefault="009D44AB" w:rsidP="00B62A50">
            <w:pPr>
              <w:rPr>
                <w:sz w:val="20"/>
              </w:rPr>
            </w:pPr>
          </w:p>
        </w:tc>
        <w:tc>
          <w:tcPr>
            <w:tcW w:w="2330" w:type="pct"/>
          </w:tcPr>
          <w:p w:rsidR="009D44AB" w:rsidRPr="009D44AB" w:rsidRDefault="009D44AB" w:rsidP="00B62A50">
            <w:pPr>
              <w:rPr>
                <w:sz w:val="20"/>
              </w:rPr>
            </w:pPr>
            <w:r w:rsidRPr="009D44AB">
              <w:rPr>
                <w:sz w:val="20"/>
              </w:rPr>
              <w:t>Motion for declaration that Mr. Hunt was “insured person” under relevant policy of insurance and that insurance company must defend and indemnify him dismissed</w:t>
            </w:r>
          </w:p>
          <w:p w:rsidR="009D44AB" w:rsidRPr="009D44AB" w:rsidRDefault="009D44AB" w:rsidP="00B62A50">
            <w:pPr>
              <w:rPr>
                <w:sz w:val="20"/>
              </w:rPr>
            </w:pPr>
          </w:p>
        </w:tc>
      </w:tr>
      <w:tr w:rsidR="009D44AB" w:rsidRPr="009D44AB" w:rsidTr="00E95A6A">
        <w:tc>
          <w:tcPr>
            <w:tcW w:w="2427" w:type="pct"/>
            <w:gridSpan w:val="2"/>
          </w:tcPr>
          <w:p w:rsidR="009D44AB" w:rsidRPr="009D44AB" w:rsidRDefault="009D44AB" w:rsidP="00B62A50">
            <w:pPr>
              <w:rPr>
                <w:sz w:val="20"/>
              </w:rPr>
            </w:pPr>
            <w:r w:rsidRPr="009D44AB">
              <w:rPr>
                <w:sz w:val="20"/>
              </w:rPr>
              <w:t>August 14, 2019</w:t>
            </w:r>
          </w:p>
          <w:p w:rsidR="009D44AB" w:rsidRPr="009D44AB" w:rsidRDefault="009D44AB" w:rsidP="00B62A50">
            <w:pPr>
              <w:rPr>
                <w:sz w:val="20"/>
              </w:rPr>
            </w:pPr>
            <w:r w:rsidRPr="009D44AB">
              <w:rPr>
                <w:sz w:val="20"/>
              </w:rPr>
              <w:t>Court of Appeal for Ontario</w:t>
            </w:r>
          </w:p>
          <w:p w:rsidR="009D44AB" w:rsidRPr="009D44AB" w:rsidRDefault="009D44AB" w:rsidP="00B62A50">
            <w:pPr>
              <w:rPr>
                <w:sz w:val="20"/>
              </w:rPr>
            </w:pPr>
            <w:r w:rsidRPr="009D44AB">
              <w:rPr>
                <w:sz w:val="20"/>
              </w:rPr>
              <w:t>(Paciocco, Harvison, Zarnett JJ.)</w:t>
            </w:r>
          </w:p>
          <w:p w:rsidR="009D44AB" w:rsidRPr="009D44AB" w:rsidRDefault="009D44AB" w:rsidP="00B62A50">
            <w:pPr>
              <w:rPr>
                <w:sz w:val="20"/>
              </w:rPr>
            </w:pPr>
            <w:r w:rsidRPr="009D44AB">
              <w:rPr>
                <w:sz w:val="20"/>
              </w:rPr>
              <w:t>2019 ONCA 656</w:t>
            </w:r>
          </w:p>
          <w:p w:rsidR="009D44AB" w:rsidRPr="009D44AB" w:rsidRDefault="009D44AB" w:rsidP="00B62A50">
            <w:pPr>
              <w:rPr>
                <w:sz w:val="20"/>
              </w:rPr>
            </w:pPr>
          </w:p>
        </w:tc>
        <w:tc>
          <w:tcPr>
            <w:tcW w:w="243" w:type="pct"/>
          </w:tcPr>
          <w:p w:rsidR="009D44AB" w:rsidRPr="009D44AB" w:rsidRDefault="009D44AB" w:rsidP="00B62A50">
            <w:pPr>
              <w:rPr>
                <w:sz w:val="20"/>
              </w:rPr>
            </w:pPr>
          </w:p>
        </w:tc>
        <w:tc>
          <w:tcPr>
            <w:tcW w:w="2330" w:type="pct"/>
          </w:tcPr>
          <w:p w:rsidR="009D44AB" w:rsidRPr="009D44AB" w:rsidRDefault="009D44AB" w:rsidP="00B62A50">
            <w:pPr>
              <w:rPr>
                <w:sz w:val="20"/>
              </w:rPr>
            </w:pPr>
            <w:r w:rsidRPr="009D44AB">
              <w:rPr>
                <w:sz w:val="20"/>
              </w:rPr>
              <w:t>Appeal dismissed</w:t>
            </w:r>
          </w:p>
          <w:p w:rsidR="009D44AB" w:rsidRPr="009D44AB" w:rsidRDefault="009D44AB" w:rsidP="00B62A50">
            <w:pPr>
              <w:rPr>
                <w:sz w:val="20"/>
              </w:rPr>
            </w:pPr>
          </w:p>
        </w:tc>
      </w:tr>
      <w:tr w:rsidR="009D44AB" w:rsidRPr="009D44AB" w:rsidTr="00E95A6A">
        <w:tc>
          <w:tcPr>
            <w:tcW w:w="2427" w:type="pct"/>
            <w:gridSpan w:val="2"/>
          </w:tcPr>
          <w:p w:rsidR="009D44AB" w:rsidRPr="009D44AB" w:rsidRDefault="009D44AB" w:rsidP="00B62A50">
            <w:pPr>
              <w:rPr>
                <w:sz w:val="20"/>
              </w:rPr>
            </w:pPr>
            <w:r w:rsidRPr="009D44AB">
              <w:rPr>
                <w:sz w:val="20"/>
              </w:rPr>
              <w:t>October 10, 2019</w:t>
            </w:r>
          </w:p>
          <w:p w:rsidR="009D44AB" w:rsidRPr="009D44AB" w:rsidRDefault="009D44AB" w:rsidP="00B62A50">
            <w:pPr>
              <w:rPr>
                <w:sz w:val="20"/>
              </w:rPr>
            </w:pPr>
            <w:r w:rsidRPr="009D44AB">
              <w:rPr>
                <w:sz w:val="20"/>
              </w:rPr>
              <w:t>Supreme Court of Canada</w:t>
            </w:r>
          </w:p>
        </w:tc>
        <w:tc>
          <w:tcPr>
            <w:tcW w:w="243" w:type="pct"/>
          </w:tcPr>
          <w:p w:rsidR="009D44AB" w:rsidRPr="009D44AB" w:rsidRDefault="009D44AB" w:rsidP="00B62A50">
            <w:pPr>
              <w:rPr>
                <w:sz w:val="20"/>
              </w:rPr>
            </w:pPr>
          </w:p>
        </w:tc>
        <w:tc>
          <w:tcPr>
            <w:tcW w:w="2330" w:type="pct"/>
          </w:tcPr>
          <w:p w:rsidR="009D44AB" w:rsidRPr="009D44AB" w:rsidRDefault="009D44AB" w:rsidP="00B62A50">
            <w:pPr>
              <w:rPr>
                <w:sz w:val="20"/>
              </w:rPr>
            </w:pPr>
            <w:r w:rsidRPr="009D44AB">
              <w:rPr>
                <w:sz w:val="20"/>
              </w:rPr>
              <w:t>Application for leave to appeal filed</w:t>
            </w:r>
          </w:p>
          <w:p w:rsidR="009D44AB" w:rsidRPr="009D44AB" w:rsidRDefault="009D44AB" w:rsidP="00B62A50">
            <w:pPr>
              <w:rPr>
                <w:sz w:val="20"/>
              </w:rPr>
            </w:pPr>
          </w:p>
        </w:tc>
      </w:tr>
    </w:tbl>
    <w:p w:rsidR="009D44AB" w:rsidRDefault="009D44AB" w:rsidP="00097BBF">
      <w:pPr>
        <w:rPr>
          <w:sz w:val="20"/>
        </w:rPr>
      </w:pPr>
    </w:p>
    <w:p w:rsidR="009D44AB" w:rsidRDefault="00BB65F4" w:rsidP="00097BBF">
      <w:pPr>
        <w:rPr>
          <w:sz w:val="20"/>
        </w:rPr>
      </w:pPr>
      <w:r>
        <w:rPr>
          <w:sz w:val="20"/>
        </w:rPr>
        <w:pict>
          <v:rect id="_x0000_i1042" style="width:2in;height:1pt" o:hrpct="0" o:hralign="center" o:hrstd="t" o:hrnoshade="t" o:hr="t" fillcolor="black [3213]" stroked="f"/>
        </w:pict>
      </w:r>
    </w:p>
    <w:p w:rsidR="009D44AB" w:rsidRPr="009D44AB" w:rsidRDefault="009D44AB"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4AB" w:rsidRPr="009D44AB" w:rsidTr="00E95A6A">
        <w:tc>
          <w:tcPr>
            <w:tcW w:w="543" w:type="pct"/>
          </w:tcPr>
          <w:p w:rsidR="009D44AB" w:rsidRPr="009D44AB" w:rsidRDefault="009D44AB" w:rsidP="00B469D6">
            <w:pPr>
              <w:rPr>
                <w:sz w:val="20"/>
                <w:lang w:val="fr-CA"/>
              </w:rPr>
            </w:pPr>
            <w:r w:rsidRPr="009D44AB">
              <w:rPr>
                <w:rStyle w:val="SCCFileNumberChar"/>
                <w:sz w:val="20"/>
                <w:szCs w:val="20"/>
                <w:lang w:val="fr-CA"/>
              </w:rPr>
              <w:t>38856</w:t>
            </w:r>
          </w:p>
        </w:tc>
        <w:tc>
          <w:tcPr>
            <w:tcW w:w="4457" w:type="pct"/>
            <w:gridSpan w:val="3"/>
          </w:tcPr>
          <w:p w:rsidR="009D44AB" w:rsidRPr="009D44AB" w:rsidRDefault="009D44AB" w:rsidP="009D44AB">
            <w:pPr>
              <w:pStyle w:val="SCCLsocParty"/>
              <w:jc w:val="left"/>
              <w:rPr>
                <w:b/>
                <w:sz w:val="20"/>
                <w:szCs w:val="20"/>
                <w:lang w:val="en-US"/>
              </w:rPr>
            </w:pPr>
            <w:r w:rsidRPr="009D44AB">
              <w:rPr>
                <w:b/>
                <w:sz w:val="20"/>
                <w:szCs w:val="20"/>
                <w:lang w:val="en-US"/>
              </w:rPr>
              <w:t>Bradley Clayton Hunt c. Peel Mutual Insurance Company</w:t>
            </w:r>
          </w:p>
          <w:p w:rsidR="009D44AB" w:rsidRPr="009D44AB" w:rsidRDefault="009D44AB" w:rsidP="00B469D6">
            <w:pPr>
              <w:rPr>
                <w:sz w:val="20"/>
                <w:lang w:val="fr-CA"/>
              </w:rPr>
            </w:pPr>
            <w:r w:rsidRPr="009D44AB">
              <w:rPr>
                <w:sz w:val="20"/>
                <w:lang w:val="fr-CA"/>
              </w:rPr>
              <w:t>(Ont.) (Civile) (Autorisation)</w:t>
            </w:r>
          </w:p>
        </w:tc>
      </w:tr>
      <w:tr w:rsidR="009D44AB" w:rsidRPr="00EC12BA" w:rsidTr="00E95A6A">
        <w:tc>
          <w:tcPr>
            <w:tcW w:w="5000" w:type="pct"/>
            <w:gridSpan w:val="4"/>
          </w:tcPr>
          <w:p w:rsidR="009D44AB" w:rsidRPr="009D44AB" w:rsidRDefault="009D44AB" w:rsidP="00B469D6">
            <w:pPr>
              <w:rPr>
                <w:sz w:val="20"/>
                <w:lang w:val="fr-CA"/>
              </w:rPr>
            </w:pPr>
            <w:r w:rsidRPr="009D44AB">
              <w:rPr>
                <w:sz w:val="20"/>
                <w:lang w:val="fr-CA"/>
              </w:rPr>
              <w:t xml:space="preserve">Assurance — Assurance automobile — Obligation de défendre — Un parent a permis que son enfant soit transportée dans un véhicule conduit par une conductrice dont les facultés auraient été affaiblies — Allégation de négligence dans l’exercice du rôle de parent — Ce qu’il faut entendre par « utiliser directement ou indirectement » une automobile au sens de l’art. 239 de la </w:t>
            </w:r>
            <w:r w:rsidRPr="009D44AB">
              <w:rPr>
                <w:i/>
                <w:sz w:val="20"/>
                <w:lang w:val="fr-CA"/>
              </w:rPr>
              <w:t>Loi sur les assurances</w:t>
            </w:r>
            <w:r w:rsidRPr="009D44AB">
              <w:rPr>
                <w:sz w:val="20"/>
                <w:lang w:val="fr-CA"/>
              </w:rPr>
              <w:t xml:space="preserve"> — Dans la formulation d’une réclamation, faut-il préciser la couverture garantissant contre les blessures subies dans un accident de véhicule automobile lorsque la couverture large accordée par une loi garantit contre la responsabilité que la loi impose? — Dans quelle mesure une assurance automobile couvre-t-elle un passager contre les réclamations faites par un autre passager? — Nature du critère à appliquer pour analyser le lien de causalité afin de déterminer si la responsabilité est au titre d’une perte résultant directement ou indirectement de l’usage d’un véhicule automobile?</w:t>
            </w:r>
          </w:p>
        </w:tc>
      </w:tr>
      <w:tr w:rsidR="009D44AB" w:rsidRPr="00EC12BA" w:rsidTr="00E95A6A">
        <w:tc>
          <w:tcPr>
            <w:tcW w:w="5000" w:type="pct"/>
            <w:gridSpan w:val="4"/>
          </w:tcPr>
          <w:p w:rsidR="009D44AB" w:rsidRPr="009D44AB" w:rsidRDefault="009D44AB" w:rsidP="00B469D6">
            <w:pPr>
              <w:rPr>
                <w:sz w:val="20"/>
                <w:lang w:val="fr-CA"/>
              </w:rPr>
            </w:pPr>
          </w:p>
          <w:p w:rsidR="009D44AB" w:rsidRPr="009D44AB" w:rsidRDefault="009D44AB" w:rsidP="00B469D6">
            <w:pPr>
              <w:rPr>
                <w:sz w:val="20"/>
                <w:lang w:val="fr-CA"/>
              </w:rPr>
            </w:pPr>
            <w:r w:rsidRPr="009D44AB">
              <w:rPr>
                <w:sz w:val="20"/>
                <w:lang w:val="fr-CA"/>
              </w:rPr>
              <w:t>En juillet 2014, M. Hunt et sa fille Amealia Hunt étaient passagers à bord d’un véhicule conduit par Tammy</w:t>
            </w:r>
            <w:r w:rsidRPr="009D44AB">
              <w:rPr>
                <w:sz w:val="20"/>
                <w:lang w:val="fr-CA"/>
              </w:rPr>
              <w:noBreakHyphen/>
              <w:t xml:space="preserve">Lynn Dingman et appartenant à cette dernière, lorsque Mme Dingman a traversé la ligne médiane et est entrée en collision avec un autre véhicule. Mademoiselle Hunt, M. Hunt et Mme Dingman ont tous subi des blessures corporelles à la suite de cette collision. On allègue que Mme Dingman conduisait avec les facultés affaiblies par l’alcool. Madame Dingman était assurée en vertu d’une police établie par Peel Mutual Insurance Company. Mademoiselle Hunt a intenté une poursuite contre Mme Dingman et M. Hunt en lien avec les blessures qu’elle a subies. Elle reproche à M. Hunt d’avoir été négligent dans l’exercice de son rôle de parent lorsqu’il lui a permis d’être transportée dans le véhicule automobile d’une conductrice ayant les facultés affaiblies. Par motion, M. Hunt a sollicité un jugement déclarant que Peel Mutual avait une obligation de défendre contre la poursuite de Mme Hunt, car il est « assuré » au sens de la </w:t>
            </w:r>
            <w:r w:rsidRPr="009D44AB">
              <w:rPr>
                <w:i/>
                <w:sz w:val="20"/>
                <w:lang w:val="fr-CA"/>
              </w:rPr>
              <w:t>Loi sur les assurances</w:t>
            </w:r>
            <w:r w:rsidRPr="009D44AB">
              <w:rPr>
                <w:sz w:val="20"/>
                <w:lang w:val="fr-CA"/>
              </w:rPr>
              <w:t>, L.R.O. 1990, ch. 18, art. 239, ou parce qu’il lui était réellement possible de respecter ce critère. Peel Mutual a plaidé qu’elle n’avait pas cette obligation, parce que les allégations de négligence dans la poursuite intentée par Mlle Hunt ne mettaient pas en cause l’« usage ou la conduite », par M. Hunt, du véhicule automobile de Mme Dingman. La motion a été rejetée, tout comme l’appel de M. Hunt.</w:t>
            </w:r>
          </w:p>
        </w:tc>
      </w:tr>
      <w:tr w:rsidR="009D44AB" w:rsidRPr="00EC12BA" w:rsidTr="00E95A6A">
        <w:tc>
          <w:tcPr>
            <w:tcW w:w="5000" w:type="pct"/>
            <w:gridSpan w:val="4"/>
          </w:tcPr>
          <w:p w:rsidR="009D44AB" w:rsidRPr="009D44AB" w:rsidRDefault="009D44AB" w:rsidP="00B469D6">
            <w:pPr>
              <w:rPr>
                <w:sz w:val="20"/>
                <w:lang w:val="fr-CA"/>
              </w:rPr>
            </w:pPr>
          </w:p>
        </w:tc>
      </w:tr>
      <w:tr w:rsidR="009D44AB" w:rsidRPr="00EC12BA" w:rsidTr="00E95A6A">
        <w:tc>
          <w:tcPr>
            <w:tcW w:w="2427" w:type="pct"/>
            <w:gridSpan w:val="2"/>
          </w:tcPr>
          <w:p w:rsidR="009D44AB" w:rsidRPr="009D44AB" w:rsidRDefault="009D44AB" w:rsidP="00B469D6">
            <w:pPr>
              <w:rPr>
                <w:sz w:val="20"/>
                <w:lang w:val="fr-CA"/>
              </w:rPr>
            </w:pPr>
            <w:r w:rsidRPr="009D44AB">
              <w:rPr>
                <w:sz w:val="20"/>
                <w:lang w:val="fr-CA"/>
              </w:rPr>
              <w:t>7 janvier 2019</w:t>
            </w:r>
          </w:p>
          <w:p w:rsidR="009D44AB" w:rsidRPr="009D44AB" w:rsidRDefault="009D44AB" w:rsidP="00B469D6">
            <w:pPr>
              <w:rPr>
                <w:sz w:val="20"/>
                <w:lang w:val="fr-CA"/>
              </w:rPr>
            </w:pPr>
            <w:r w:rsidRPr="009D44AB">
              <w:rPr>
                <w:sz w:val="20"/>
                <w:lang w:val="fr-CA"/>
              </w:rPr>
              <w:t>Cour supérieure de justice de l’Ontario</w:t>
            </w:r>
          </w:p>
          <w:p w:rsidR="009D44AB" w:rsidRPr="009D44AB" w:rsidRDefault="009D44AB" w:rsidP="00B469D6">
            <w:pPr>
              <w:rPr>
                <w:sz w:val="20"/>
                <w:lang w:val="fr-CA"/>
              </w:rPr>
            </w:pPr>
            <w:r w:rsidRPr="009D44AB">
              <w:rPr>
                <w:sz w:val="20"/>
                <w:lang w:val="fr-CA"/>
              </w:rPr>
              <w:t>(Juge Flynn)</w:t>
            </w:r>
          </w:p>
          <w:p w:rsidR="009D44AB" w:rsidRPr="009D44AB" w:rsidRDefault="009D44AB" w:rsidP="00B469D6">
            <w:pPr>
              <w:rPr>
                <w:sz w:val="20"/>
                <w:lang w:val="fr-CA"/>
              </w:rPr>
            </w:pPr>
            <w:r w:rsidRPr="009D44AB">
              <w:rPr>
                <w:sz w:val="20"/>
                <w:lang w:val="fr-CA"/>
              </w:rPr>
              <w:t>2019 ONSC 143</w:t>
            </w:r>
          </w:p>
          <w:p w:rsidR="009D44AB" w:rsidRPr="009D44AB" w:rsidRDefault="009D44AB" w:rsidP="00B469D6">
            <w:pPr>
              <w:rPr>
                <w:sz w:val="20"/>
                <w:lang w:val="fr-CA"/>
              </w:rPr>
            </w:pPr>
          </w:p>
        </w:tc>
        <w:tc>
          <w:tcPr>
            <w:tcW w:w="243" w:type="pct"/>
          </w:tcPr>
          <w:p w:rsidR="009D44AB" w:rsidRPr="009D44AB" w:rsidRDefault="009D44AB" w:rsidP="00B469D6">
            <w:pPr>
              <w:rPr>
                <w:sz w:val="20"/>
                <w:lang w:val="fr-CA"/>
              </w:rPr>
            </w:pPr>
          </w:p>
        </w:tc>
        <w:tc>
          <w:tcPr>
            <w:tcW w:w="2330" w:type="pct"/>
          </w:tcPr>
          <w:p w:rsidR="009D44AB" w:rsidRPr="009D44AB" w:rsidRDefault="009D44AB" w:rsidP="00B469D6">
            <w:pPr>
              <w:rPr>
                <w:sz w:val="20"/>
                <w:lang w:val="fr-CA"/>
              </w:rPr>
            </w:pPr>
            <w:r w:rsidRPr="009D44AB">
              <w:rPr>
                <w:sz w:val="20"/>
                <w:lang w:val="fr-CA"/>
              </w:rPr>
              <w:t>Rejet de la motion sollicitant un jugement déclarant que M. Hunt était un « assuré » au sens de la police d’assurance pertinente et que la compagnie d’assurance doit le défendre et l’indemniser</w:t>
            </w:r>
          </w:p>
          <w:p w:rsidR="009D44AB" w:rsidRPr="009D44AB" w:rsidRDefault="009D44AB" w:rsidP="00B469D6">
            <w:pPr>
              <w:rPr>
                <w:sz w:val="20"/>
                <w:lang w:val="fr-CA"/>
              </w:rPr>
            </w:pPr>
          </w:p>
        </w:tc>
      </w:tr>
      <w:tr w:rsidR="009D44AB" w:rsidRPr="009D44AB" w:rsidTr="00E95A6A">
        <w:tc>
          <w:tcPr>
            <w:tcW w:w="2427" w:type="pct"/>
            <w:gridSpan w:val="2"/>
          </w:tcPr>
          <w:p w:rsidR="009D44AB" w:rsidRPr="009D44AB" w:rsidRDefault="009D44AB" w:rsidP="00B469D6">
            <w:pPr>
              <w:rPr>
                <w:sz w:val="20"/>
                <w:lang w:val="fr-CA"/>
              </w:rPr>
            </w:pPr>
            <w:r w:rsidRPr="009D44AB">
              <w:rPr>
                <w:sz w:val="20"/>
                <w:lang w:val="fr-CA"/>
              </w:rPr>
              <w:t>14 août 2019</w:t>
            </w:r>
          </w:p>
          <w:p w:rsidR="009D44AB" w:rsidRPr="009D44AB" w:rsidRDefault="009D44AB" w:rsidP="00B469D6">
            <w:pPr>
              <w:rPr>
                <w:sz w:val="20"/>
                <w:lang w:val="fr-CA"/>
              </w:rPr>
            </w:pPr>
            <w:r w:rsidRPr="009D44AB">
              <w:rPr>
                <w:sz w:val="20"/>
                <w:lang w:val="fr-CA"/>
              </w:rPr>
              <w:t>Cour d’appel de l’Ontario</w:t>
            </w:r>
          </w:p>
          <w:p w:rsidR="009D44AB" w:rsidRPr="009D44AB" w:rsidRDefault="009D44AB" w:rsidP="00B469D6">
            <w:pPr>
              <w:rPr>
                <w:sz w:val="20"/>
                <w:lang w:val="fr-CA"/>
              </w:rPr>
            </w:pPr>
            <w:r w:rsidRPr="009D44AB">
              <w:rPr>
                <w:sz w:val="20"/>
                <w:lang w:val="fr-CA"/>
              </w:rPr>
              <w:lastRenderedPageBreak/>
              <w:t>(Juges Paciocco, Harvison et Zarnett)</w:t>
            </w:r>
          </w:p>
          <w:p w:rsidR="009D44AB" w:rsidRPr="009D44AB" w:rsidRDefault="009D44AB" w:rsidP="00B469D6">
            <w:pPr>
              <w:rPr>
                <w:sz w:val="20"/>
                <w:lang w:val="fr-CA"/>
              </w:rPr>
            </w:pPr>
            <w:r w:rsidRPr="009D44AB">
              <w:rPr>
                <w:sz w:val="20"/>
                <w:lang w:val="fr-CA"/>
              </w:rPr>
              <w:t>2019 ONCA 656</w:t>
            </w:r>
          </w:p>
          <w:p w:rsidR="009D44AB" w:rsidRPr="009D44AB" w:rsidRDefault="009D44AB" w:rsidP="00B469D6">
            <w:pPr>
              <w:rPr>
                <w:sz w:val="20"/>
                <w:lang w:val="fr-CA"/>
              </w:rPr>
            </w:pPr>
          </w:p>
        </w:tc>
        <w:tc>
          <w:tcPr>
            <w:tcW w:w="243" w:type="pct"/>
          </w:tcPr>
          <w:p w:rsidR="009D44AB" w:rsidRPr="009D44AB" w:rsidRDefault="009D44AB" w:rsidP="00B469D6">
            <w:pPr>
              <w:rPr>
                <w:sz w:val="20"/>
                <w:lang w:val="fr-CA"/>
              </w:rPr>
            </w:pPr>
          </w:p>
        </w:tc>
        <w:tc>
          <w:tcPr>
            <w:tcW w:w="2330" w:type="pct"/>
          </w:tcPr>
          <w:p w:rsidR="009D44AB" w:rsidRPr="009D44AB" w:rsidRDefault="009D44AB" w:rsidP="00B469D6">
            <w:pPr>
              <w:rPr>
                <w:sz w:val="20"/>
                <w:lang w:val="fr-CA"/>
              </w:rPr>
            </w:pPr>
            <w:r w:rsidRPr="009D44AB">
              <w:rPr>
                <w:sz w:val="20"/>
                <w:lang w:val="fr-CA"/>
              </w:rPr>
              <w:t>Rejet de l’appel</w:t>
            </w:r>
          </w:p>
          <w:p w:rsidR="009D44AB" w:rsidRPr="009D44AB" w:rsidRDefault="009D44AB" w:rsidP="00B469D6">
            <w:pPr>
              <w:rPr>
                <w:sz w:val="20"/>
                <w:lang w:val="fr-CA"/>
              </w:rPr>
            </w:pPr>
          </w:p>
        </w:tc>
      </w:tr>
      <w:tr w:rsidR="009D44AB" w:rsidRPr="00EC12BA" w:rsidTr="00E95A6A">
        <w:tc>
          <w:tcPr>
            <w:tcW w:w="2427" w:type="pct"/>
            <w:gridSpan w:val="2"/>
          </w:tcPr>
          <w:p w:rsidR="009D44AB" w:rsidRPr="009D44AB" w:rsidRDefault="009D44AB" w:rsidP="00B469D6">
            <w:pPr>
              <w:rPr>
                <w:sz w:val="20"/>
                <w:lang w:val="fr-CA"/>
              </w:rPr>
            </w:pPr>
            <w:r w:rsidRPr="009D44AB">
              <w:rPr>
                <w:sz w:val="20"/>
                <w:lang w:val="fr-CA"/>
              </w:rPr>
              <w:t>10 octobre 2019</w:t>
            </w:r>
          </w:p>
          <w:p w:rsidR="009D44AB" w:rsidRPr="009D44AB" w:rsidRDefault="009D44AB" w:rsidP="00B469D6">
            <w:pPr>
              <w:rPr>
                <w:sz w:val="20"/>
                <w:lang w:val="fr-CA"/>
              </w:rPr>
            </w:pPr>
            <w:r w:rsidRPr="009D44AB">
              <w:rPr>
                <w:sz w:val="20"/>
                <w:lang w:val="fr-CA"/>
              </w:rPr>
              <w:t>Cour suprême du Canada</w:t>
            </w:r>
          </w:p>
        </w:tc>
        <w:tc>
          <w:tcPr>
            <w:tcW w:w="243" w:type="pct"/>
          </w:tcPr>
          <w:p w:rsidR="009D44AB" w:rsidRPr="009D44AB" w:rsidRDefault="009D44AB" w:rsidP="00B469D6">
            <w:pPr>
              <w:rPr>
                <w:sz w:val="20"/>
                <w:lang w:val="fr-CA"/>
              </w:rPr>
            </w:pPr>
          </w:p>
        </w:tc>
        <w:tc>
          <w:tcPr>
            <w:tcW w:w="2330" w:type="pct"/>
          </w:tcPr>
          <w:p w:rsidR="009D44AB" w:rsidRPr="009D44AB" w:rsidRDefault="009D44AB" w:rsidP="00B469D6">
            <w:pPr>
              <w:rPr>
                <w:sz w:val="20"/>
                <w:lang w:val="fr-CA"/>
              </w:rPr>
            </w:pPr>
            <w:r w:rsidRPr="009D44AB">
              <w:rPr>
                <w:sz w:val="20"/>
                <w:lang w:val="fr-CA"/>
              </w:rPr>
              <w:t>Dépôt de la demande d’autorisation d’appel</w:t>
            </w:r>
          </w:p>
          <w:p w:rsidR="009D44AB" w:rsidRPr="009D44AB" w:rsidRDefault="009D44AB" w:rsidP="00B469D6">
            <w:pPr>
              <w:rPr>
                <w:sz w:val="20"/>
                <w:lang w:val="fr-CA"/>
              </w:rPr>
            </w:pPr>
          </w:p>
        </w:tc>
      </w:tr>
    </w:tbl>
    <w:p w:rsidR="009D44AB" w:rsidRPr="009D44AB" w:rsidRDefault="009D44AB" w:rsidP="00B469D6">
      <w:pPr>
        <w:rPr>
          <w:sz w:val="20"/>
          <w:lang w:val="fr-CA"/>
        </w:rPr>
      </w:pPr>
    </w:p>
    <w:p w:rsidR="009D44AB" w:rsidRPr="009D44AB" w:rsidRDefault="00BB65F4" w:rsidP="006A22CA">
      <w:pPr>
        <w:ind w:left="142" w:hanging="142"/>
        <w:jc w:val="both"/>
        <w:rPr>
          <w:sz w:val="20"/>
          <w:lang w:val="fr-CA"/>
        </w:rPr>
      </w:pPr>
      <w:r>
        <w:rPr>
          <w:sz w:val="20"/>
        </w:rPr>
        <w:pict>
          <v:rect id="_x0000_i1043" style="width:2in;height:1pt" o:hrpct="0" o:hralign="center" o:hrstd="t" o:hrnoshade="t" o:hr="t" fillcolor="black [3213]" stroked="f"/>
        </w:pict>
      </w:r>
    </w:p>
    <w:p w:rsidR="009D44AB" w:rsidRPr="009D44AB" w:rsidRDefault="009D44AB" w:rsidP="006A22CA">
      <w:pPr>
        <w:ind w:left="142" w:hanging="142"/>
        <w:jc w:val="both"/>
        <w:rPr>
          <w:sz w:val="20"/>
          <w:lang w:val="fr-CA"/>
        </w:rPr>
      </w:pPr>
    </w:p>
    <w:p w:rsidR="009D44AB" w:rsidRPr="009D44AB" w:rsidRDefault="009D44AB" w:rsidP="006A22CA">
      <w:pPr>
        <w:ind w:left="142" w:hanging="142"/>
        <w:jc w:val="both"/>
        <w:rPr>
          <w:sz w:val="20"/>
          <w:lang w:val="fr-CA"/>
        </w:rPr>
      </w:pPr>
    </w:p>
    <w:p w:rsidR="009D44AB" w:rsidRDefault="009D44AB" w:rsidP="006A22CA">
      <w:pPr>
        <w:ind w:left="142" w:hanging="142"/>
        <w:jc w:val="both"/>
        <w:rPr>
          <w:sz w:val="20"/>
        </w:rPr>
      </w:pPr>
    </w:p>
    <w:p w:rsidR="009D44AB" w:rsidRPr="009D44AB" w:rsidRDefault="009D44AB" w:rsidP="006A22CA">
      <w:pPr>
        <w:ind w:left="142" w:hanging="142"/>
        <w:jc w:val="both"/>
        <w:rPr>
          <w:sz w:val="20"/>
        </w:rPr>
      </w:pPr>
    </w:p>
    <w:p w:rsidR="00D3344A" w:rsidRPr="00EC12BA" w:rsidRDefault="00D3344A" w:rsidP="00D3344A">
      <w:pPr>
        <w:widowControl w:val="0"/>
        <w:outlineLvl w:val="0"/>
      </w:pPr>
      <w:r w:rsidRPr="00EC12BA">
        <w:t xml:space="preserve">Supreme Court of Canada / Cour suprême du </w:t>
      </w:r>
      <w:proofErr w:type="gramStart"/>
      <w:r w:rsidRPr="00EC12BA">
        <w:t>Canad</w:t>
      </w:r>
      <w:r w:rsidR="00EE289F" w:rsidRPr="00EC12BA">
        <w:t>a</w:t>
      </w:r>
      <w:r w:rsidRPr="00EC12BA">
        <w:t xml:space="preserve"> :</w:t>
      </w:r>
      <w:proofErr w:type="gramEnd"/>
    </w:p>
    <w:p w:rsidR="00D3344A" w:rsidRPr="00EC12BA" w:rsidRDefault="00BB65F4" w:rsidP="00D3344A">
      <w:pPr>
        <w:widowControl w:val="0"/>
        <w:outlineLvl w:val="0"/>
        <w:rPr>
          <w:u w:val="single"/>
        </w:rPr>
      </w:pPr>
      <w:hyperlink r:id="rId56" w:history="1">
        <w:r w:rsidR="009B7391" w:rsidRPr="00EC12BA">
          <w:rPr>
            <w:rStyle w:val="Hyperlink"/>
          </w:rPr>
          <w:t>comments-commentaires@scc-csc.ca</w:t>
        </w:r>
      </w:hyperlink>
    </w:p>
    <w:p w:rsidR="00D3344A" w:rsidRPr="00EC12BA" w:rsidRDefault="0065588C" w:rsidP="00D3344A">
      <w:pPr>
        <w:widowControl w:val="0"/>
        <w:outlineLvl w:val="0"/>
      </w:pPr>
      <w:r w:rsidRPr="00EC12BA">
        <w:t>613-</w:t>
      </w:r>
      <w:r w:rsidR="00D3344A" w:rsidRPr="00EC12BA">
        <w:t>995-4330</w:t>
      </w:r>
    </w:p>
    <w:p w:rsidR="00497B5E" w:rsidRPr="009D44AB" w:rsidRDefault="00497B5E" w:rsidP="00497B5E">
      <w:pPr>
        <w:widowControl w:val="0"/>
        <w:rPr>
          <w:sz w:val="20"/>
        </w:rPr>
      </w:pPr>
    </w:p>
    <w:p w:rsidR="00F6251B" w:rsidRPr="009D44AB" w:rsidRDefault="003F43E6" w:rsidP="00F6251B">
      <w:pPr>
        <w:pStyle w:val="Footer"/>
        <w:jc w:val="center"/>
        <w:rPr>
          <w:sz w:val="20"/>
        </w:rPr>
      </w:pPr>
      <w:r w:rsidRPr="009D44AB">
        <w:rPr>
          <w:sz w:val="20"/>
        </w:rPr>
        <w:t>- 30 -</w:t>
      </w:r>
    </w:p>
    <w:sectPr w:rsidR="00F6251B" w:rsidRPr="009D44AB" w:rsidSect="006313B9">
      <w:headerReference w:type="even" r:id="rId57"/>
      <w:headerReference w:type="default" r:id="rId58"/>
      <w:footerReference w:type="even" r:id="rId59"/>
      <w:footerReference w:type="default" r:id="rId60"/>
      <w:headerReference w:type="first" r:id="rId61"/>
      <w:footerReference w:type="first" r:id="rId62"/>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61754"/>
    <w:multiLevelType w:val="hybridMultilevel"/>
    <w:tmpl w:val="D3B8D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462B"/>
    <w:multiLevelType w:val="hybridMultilevel"/>
    <w:tmpl w:val="2488D2A2"/>
    <w:lvl w:ilvl="0" w:tplc="189A4E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20"/>
  </w:num>
  <w:num w:numId="5">
    <w:abstractNumId w:val="2"/>
  </w:num>
  <w:num w:numId="6">
    <w:abstractNumId w:val="21"/>
  </w:num>
  <w:num w:numId="7">
    <w:abstractNumId w:val="17"/>
  </w:num>
  <w:num w:numId="8">
    <w:abstractNumId w:val="16"/>
  </w:num>
  <w:num w:numId="9">
    <w:abstractNumId w:val="14"/>
  </w:num>
  <w:num w:numId="10">
    <w:abstractNumId w:val="13"/>
  </w:num>
  <w:num w:numId="11">
    <w:abstractNumId w:val="23"/>
  </w:num>
  <w:num w:numId="12">
    <w:abstractNumId w:val="1"/>
  </w:num>
  <w:num w:numId="13">
    <w:abstractNumId w:val="9"/>
  </w:num>
  <w:num w:numId="14">
    <w:abstractNumId w:val="4"/>
  </w:num>
  <w:num w:numId="15">
    <w:abstractNumId w:val="6"/>
  </w:num>
  <w:num w:numId="16">
    <w:abstractNumId w:val="11"/>
  </w:num>
  <w:num w:numId="17">
    <w:abstractNumId w:val="10"/>
  </w:num>
  <w:num w:numId="18">
    <w:abstractNumId w:val="0"/>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12"/>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1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5BF"/>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93"/>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5A1B"/>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477D7"/>
    <w:rsid w:val="0025030E"/>
    <w:rsid w:val="00250F72"/>
    <w:rsid w:val="002514CA"/>
    <w:rsid w:val="00252675"/>
    <w:rsid w:val="00252803"/>
    <w:rsid w:val="00252FDB"/>
    <w:rsid w:val="0025369C"/>
    <w:rsid w:val="00253B15"/>
    <w:rsid w:val="00254AAA"/>
    <w:rsid w:val="00255E07"/>
    <w:rsid w:val="002567CD"/>
    <w:rsid w:val="00257287"/>
    <w:rsid w:val="00257322"/>
    <w:rsid w:val="002574ED"/>
    <w:rsid w:val="002576B5"/>
    <w:rsid w:val="0025785E"/>
    <w:rsid w:val="00260B9A"/>
    <w:rsid w:val="00260E64"/>
    <w:rsid w:val="002612BE"/>
    <w:rsid w:val="002613AC"/>
    <w:rsid w:val="0026148A"/>
    <w:rsid w:val="002614AF"/>
    <w:rsid w:val="00261D3C"/>
    <w:rsid w:val="00262C42"/>
    <w:rsid w:val="0026349D"/>
    <w:rsid w:val="00263AF2"/>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7FB"/>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B0F"/>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7F6"/>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4C7"/>
    <w:rsid w:val="00495713"/>
    <w:rsid w:val="004957BA"/>
    <w:rsid w:val="0049590A"/>
    <w:rsid w:val="00495CE9"/>
    <w:rsid w:val="004962C7"/>
    <w:rsid w:val="004963CC"/>
    <w:rsid w:val="004967D4"/>
    <w:rsid w:val="004970C9"/>
    <w:rsid w:val="00497428"/>
    <w:rsid w:val="00497574"/>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675E"/>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47"/>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6E4"/>
    <w:rsid w:val="005E5730"/>
    <w:rsid w:val="005E62CE"/>
    <w:rsid w:val="005E73A1"/>
    <w:rsid w:val="005E7458"/>
    <w:rsid w:val="005E76FD"/>
    <w:rsid w:val="005F013F"/>
    <w:rsid w:val="005F0547"/>
    <w:rsid w:val="005F06EC"/>
    <w:rsid w:val="005F0799"/>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D33"/>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59B"/>
    <w:rsid w:val="00653F72"/>
    <w:rsid w:val="006546B9"/>
    <w:rsid w:val="00654B60"/>
    <w:rsid w:val="00655090"/>
    <w:rsid w:val="0065588C"/>
    <w:rsid w:val="00656911"/>
    <w:rsid w:val="00656F58"/>
    <w:rsid w:val="00657727"/>
    <w:rsid w:val="00660969"/>
    <w:rsid w:val="00660B48"/>
    <w:rsid w:val="00661BB7"/>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6996"/>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1E87"/>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14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19E6"/>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630"/>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54C6"/>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7A9"/>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5BA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AF4"/>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4AB"/>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1E97"/>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8C9"/>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5D18"/>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5F4"/>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07F17"/>
    <w:rsid w:val="00C110FB"/>
    <w:rsid w:val="00C1171A"/>
    <w:rsid w:val="00C1312A"/>
    <w:rsid w:val="00C138FD"/>
    <w:rsid w:val="00C13EFE"/>
    <w:rsid w:val="00C143CD"/>
    <w:rsid w:val="00C14B68"/>
    <w:rsid w:val="00C14FA2"/>
    <w:rsid w:val="00C15480"/>
    <w:rsid w:val="00C166E5"/>
    <w:rsid w:val="00C17CC9"/>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ADF"/>
    <w:rsid w:val="00C911A9"/>
    <w:rsid w:val="00C9135D"/>
    <w:rsid w:val="00C914F8"/>
    <w:rsid w:val="00C9209C"/>
    <w:rsid w:val="00C9319C"/>
    <w:rsid w:val="00C935F6"/>
    <w:rsid w:val="00C93ED0"/>
    <w:rsid w:val="00C9420E"/>
    <w:rsid w:val="00C95234"/>
    <w:rsid w:val="00C971B3"/>
    <w:rsid w:val="00C97715"/>
    <w:rsid w:val="00C9788C"/>
    <w:rsid w:val="00C97C59"/>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2E0"/>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30D8"/>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12BA"/>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970"/>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E7E82"/>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858" TargetMode="External"/><Relationship Id="rId18" Type="http://schemas.openxmlformats.org/officeDocument/2006/relationships/hyperlink" Target="https://www.canlii.org/en/ab/abqb/doc/2017/2017abqb128/2017abqb128.html?autocompleteStr=Radita&amp;autocompletePos=2" TargetMode="External"/><Relationship Id="rId26" Type="http://schemas.openxmlformats.org/officeDocument/2006/relationships/hyperlink" Target="https://www.canlii.org/fr/qc/qccs/doc/2018/2018qccs2539/2018qccs2539.html?searchUrlHash=AAAAAQAPZGF2aXMgdWNjbyBzYWNjAAAAAAE&amp;resultIndex=1" TargetMode="External"/><Relationship Id="rId39" Type="http://schemas.openxmlformats.org/officeDocument/2006/relationships/hyperlink" Target="https://www.canlii.org/en/on/onca/doc/2019/2019onca342/2019onca342.html?autocompleteStr=2019%20ONCA%20342&amp;autocompletePos=1" TargetMode="External"/><Relationship Id="rId21" Type="http://schemas.openxmlformats.org/officeDocument/2006/relationships/hyperlink" Target="https://www.canlii.org/en/ab/abca/doc/2019/2019abca77/2019abca77.html?resultIndex=1" TargetMode="External"/><Relationship Id="rId34" Type="http://schemas.openxmlformats.org/officeDocument/2006/relationships/hyperlink" Target="https://www.canlii.org/en/bc/bcsc/doc/2016/2016bcsc185/2016bcsc185.html?resultIndex=1" TargetMode="External"/><Relationship Id="rId42" Type="http://schemas.openxmlformats.org/officeDocument/2006/relationships/hyperlink" Target="https://www.canlii.org/en/on/onca/doc/2019/2019onca243/2019onca243.html?autocompleteStr=2019%20ONCA%20243&amp;autocompletePos=1" TargetMode="External"/><Relationship Id="rId47" Type="http://schemas.openxmlformats.org/officeDocument/2006/relationships/hyperlink" Target="https://www.canlii.org/en/bc/bcca/doc/2019/2019bcca228/2019bcca228.html?autocompleteStr=2019%20BCCA%20228&amp;autocompletePos=1" TargetMode="External"/><Relationship Id="rId50" Type="http://schemas.openxmlformats.org/officeDocument/2006/relationships/hyperlink" Target="http://canlii.ca/t/hznk3" TargetMode="External"/><Relationship Id="rId55" Type="http://schemas.openxmlformats.org/officeDocument/2006/relationships/hyperlink" Target="http://canlii.ca/t/hzxd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8727" TargetMode="External"/><Relationship Id="rId20" Type="http://schemas.openxmlformats.org/officeDocument/2006/relationships/hyperlink" Target="https://www.canlii.org/en/ab/abqb/doc/2017/2017abqb128/2017abqb128.html?autocompleteStr=Radita&amp;autocompletePos=2" TargetMode="External"/><Relationship Id="rId29" Type="http://schemas.openxmlformats.org/officeDocument/2006/relationships/hyperlink" Target="https://www.canlii.org/fr/qc/qcca/doc/2019/2019qcca979/2019qcca979.html?autocompleteStr=2019%20QCCA%20979%20&amp;autocompletePos=1" TargetMode="External"/><Relationship Id="rId41" Type="http://schemas.openxmlformats.org/officeDocument/2006/relationships/hyperlink" Target="https://www.canlii.org/en/on/onca/doc/2018/2018onca1038/2018onca1038.html?autocompleteStr=2018%20ONCA%201038&amp;autocompletePos=1" TargetMode="External"/><Relationship Id="rId54" Type="http://schemas.openxmlformats.org/officeDocument/2006/relationships/hyperlink" Target="http://canlii.ca/t/hznk3"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777" TargetMode="External"/><Relationship Id="rId24" Type="http://schemas.openxmlformats.org/officeDocument/2006/relationships/hyperlink" Target="http://canlii.ca/t/j106q" TargetMode="External"/><Relationship Id="rId32" Type="http://schemas.openxmlformats.org/officeDocument/2006/relationships/hyperlink" Target="https://www.canlii.org/en/bc/bcsc/doc/2016/2016bcsc185/2016bcsc185.html?resultIndex=1" TargetMode="External"/><Relationship Id="rId37" Type="http://schemas.openxmlformats.org/officeDocument/2006/relationships/hyperlink" Target="https://www.canlii.org/en/on/onca/doc/2018/2018onca1038/2018onca1038.html?autocompleteStr=2018%20ONCA%201038&amp;autocompletePos=1" TargetMode="External"/><Relationship Id="rId40" Type="http://schemas.openxmlformats.org/officeDocument/2006/relationships/hyperlink" Target="https://www.canlii.org/en/on/onsc/doc/2017/2017onsc7491/2017onsc7491.html?autocompleteStr=2017%20ONSC%207491&amp;autocompletePos=1" TargetMode="External"/><Relationship Id="rId45" Type="http://schemas.openxmlformats.org/officeDocument/2006/relationships/hyperlink" Target="https://www.canlii.org/en/bc/bcca/doc/2019/2019bcca228/2019bcca228.html?autocompleteStr=2019%20BCCA%20228&amp;autocompletePos=1" TargetMode="External"/><Relationship Id="rId53" Type="http://schemas.openxmlformats.org/officeDocument/2006/relationships/hyperlink" Target="http://canlii.ca/t/hvpn5"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8814" TargetMode="External"/><Relationship Id="rId23" Type="http://schemas.openxmlformats.org/officeDocument/2006/relationships/hyperlink" Target="http://canlii.ca/t/hz7rj" TargetMode="External"/><Relationship Id="rId28" Type="http://schemas.openxmlformats.org/officeDocument/2006/relationships/hyperlink" Target="https://www.canlii.org/fr/qc/qccs/doc/2018/2018qccs2539/2018qccs2539.html?searchUrlHash=AAAAAQAPZGF2aXMgdWNjbyBzYWNjAAAAAAE&amp;resultIndex=1" TargetMode="External"/><Relationship Id="rId36" Type="http://schemas.openxmlformats.org/officeDocument/2006/relationships/hyperlink" Target="https://www.canlii.org/en/on/onsc/doc/2017/2017onsc7491/2017onsc7491.html?autocompleteStr=2017%20ONSC%207491&amp;autocompletePos=1" TargetMode="External"/><Relationship Id="rId49" Type="http://schemas.openxmlformats.org/officeDocument/2006/relationships/hyperlink" Target="http://canlii.ca/t/hvpn5"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www.scc-csc.ca/case-dossier/info/sum-som-eng.aspx?cas=38886" TargetMode="External"/><Relationship Id="rId19" Type="http://schemas.openxmlformats.org/officeDocument/2006/relationships/hyperlink" Target="https://www.canlii.org/en/ab/abca/doc/2019/2019abca77/2019abca77.html?resultIndex=1" TargetMode="External"/><Relationship Id="rId31" Type="http://schemas.openxmlformats.org/officeDocument/2006/relationships/hyperlink" Target="https://www.canlii.org/en/ab/abca/doc/2019/2019abca294/2019abca294.html?searchUrlHash=AAAAAQANMjAxOSBBQkNBIDI5NAAAAAAB&amp;resultIndex=1" TargetMode="External"/><Relationship Id="rId44" Type="http://schemas.openxmlformats.org/officeDocument/2006/relationships/hyperlink" Target="https://www.canlii.org/en/bc/bcsc/doc/2018/2018bcsc62/2018bcsc62.html?autocompleteStr=2018%20BCSC%2062&amp;autocompletePos=1" TargetMode="External"/><Relationship Id="rId52" Type="http://schemas.openxmlformats.org/officeDocument/2006/relationships/hyperlink" Target="http://canlii.ca/t/h4jwm"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901" TargetMode="External"/><Relationship Id="rId14" Type="http://schemas.openxmlformats.org/officeDocument/2006/relationships/hyperlink" Target="https://www.scc-csc.ca/case-dossier/info/sum-som-eng.aspx?cas=38574" TargetMode="External"/><Relationship Id="rId22" Type="http://schemas.openxmlformats.org/officeDocument/2006/relationships/hyperlink" Target="http://canlii.ca/t/hz7rj" TargetMode="External"/><Relationship Id="rId27" Type="http://schemas.openxmlformats.org/officeDocument/2006/relationships/hyperlink" Target="https://www.canlii.org/en/qc/qcca/doc/2019/2019qcca979/2019qcca979.html" TargetMode="External"/><Relationship Id="rId30" Type="http://schemas.openxmlformats.org/officeDocument/2006/relationships/hyperlink" Target="https://www.canlii.org/en/ab/abca/doc/2019/2019abca294/2019abca294.html?searchUrlHash=AAAAAQANMjAxOSBBQkNBIDI5NAAAAAAB&amp;resultIndex=1" TargetMode="External"/><Relationship Id="rId35" Type="http://schemas.openxmlformats.org/officeDocument/2006/relationships/hyperlink" Target="https://www.canlii.org/en/bc/bcca/doc/2019/2019bcca285/2019bcca285.html?resultIndex=1" TargetMode="External"/><Relationship Id="rId43" Type="http://schemas.openxmlformats.org/officeDocument/2006/relationships/hyperlink" Target="https://www.canlii.org/en/on/onca/doc/2019/2019onca342/2019onca342.html?autocompleteStr=2019%20ONCA%20342&amp;autocompletePos=1" TargetMode="External"/><Relationship Id="rId48" Type="http://schemas.openxmlformats.org/officeDocument/2006/relationships/hyperlink" Target="http://canlii.ca/t/h4jwm" TargetMode="External"/><Relationship Id="rId56" Type="http://schemas.openxmlformats.org/officeDocument/2006/relationships/hyperlink" Target="mailto:comments-commentaires@scc-csc.ca" TargetMode="External"/><Relationship Id="rId64" Type="http://schemas.openxmlformats.org/officeDocument/2006/relationships/theme" Target="theme/theme1.xml"/><Relationship Id="rId8" Type="http://schemas.openxmlformats.org/officeDocument/2006/relationships/hyperlink" Target="https://www.scc-csc.ca/case-dossier/info/sum-som-eng.aspx?cas=38879" TargetMode="External"/><Relationship Id="rId51" Type="http://schemas.openxmlformats.org/officeDocument/2006/relationships/hyperlink" Target="http://canlii.ca/t/hzxd1" TargetMode="External"/><Relationship Id="rId3" Type="http://schemas.openxmlformats.org/officeDocument/2006/relationships/styles" Target="styles.xml"/><Relationship Id="rId12" Type="http://schemas.openxmlformats.org/officeDocument/2006/relationships/hyperlink" Target="https://www.scc-csc.ca/case-dossier/info/sum-som-eng.aspx?cas=38835" TargetMode="External"/><Relationship Id="rId17" Type="http://schemas.openxmlformats.org/officeDocument/2006/relationships/hyperlink" Target="https://www.scc-csc.ca/case-dossier/info/sum-som-eng.aspx?cas=38856" TargetMode="External"/><Relationship Id="rId25" Type="http://schemas.openxmlformats.org/officeDocument/2006/relationships/hyperlink" Target="http://canlii.ca/t/j106q" TargetMode="External"/><Relationship Id="rId33" Type="http://schemas.openxmlformats.org/officeDocument/2006/relationships/hyperlink" Target="https://www.canlii.org/en/bc/bcca/doc/2019/2019bcca285/2019bcca285.html?resultIndex=1" TargetMode="External"/><Relationship Id="rId38" Type="http://schemas.openxmlformats.org/officeDocument/2006/relationships/hyperlink" Target="https://www.canlii.org/en/on/onca/doc/2019/2019onca243/2019onca243.html?autocompleteStr=2019%20ONCA%20243&amp;autocompletePos=1" TargetMode="External"/><Relationship Id="rId46" Type="http://schemas.openxmlformats.org/officeDocument/2006/relationships/hyperlink" Target="https://www.canlii.org/en/bc/bcsc/doc/2018/2018bcsc62/2018bcsc62.html?autocompleteStr=2018%20BCSC%2062&amp;autocompletePos=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B670-0872-45F1-AB2F-E1C7F8AF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10537</Words>
  <Characters>60062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70459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2020-02-10T15:54:00Z</dcterms:modified>
</cp:coreProperties>
</file>