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F6209" w:rsidRDefault="003F43E6" w:rsidP="003F43E6">
      <w:pPr>
        <w:pStyle w:val="Header"/>
        <w:jc w:val="center"/>
        <w:rPr>
          <w:b/>
          <w:sz w:val="32"/>
        </w:rPr>
      </w:pPr>
      <w:r w:rsidRPr="006F6209">
        <w:rPr>
          <w:b/>
          <w:sz w:val="32"/>
        </w:rPr>
        <w:t>Supreme Court of Canada / Cour suprême du Canada</w:t>
      </w:r>
    </w:p>
    <w:p w:rsidR="003F43E6" w:rsidRPr="006F6209" w:rsidRDefault="003F43E6" w:rsidP="006F2579">
      <w:pPr>
        <w:widowControl w:val="0"/>
        <w:rPr>
          <w:i/>
        </w:rPr>
      </w:pPr>
    </w:p>
    <w:p w:rsidR="003F43E6" w:rsidRPr="006F6209" w:rsidRDefault="003F43E6" w:rsidP="006F2579">
      <w:pPr>
        <w:widowControl w:val="0"/>
        <w:rPr>
          <w:i/>
        </w:rPr>
      </w:pPr>
    </w:p>
    <w:p w:rsidR="006F2579" w:rsidRPr="006F6209" w:rsidRDefault="006F2579" w:rsidP="006F2579">
      <w:pPr>
        <w:widowControl w:val="0"/>
        <w:rPr>
          <w:i/>
          <w:sz w:val="20"/>
          <w:lang w:val="fr-CA"/>
        </w:rPr>
      </w:pPr>
      <w:r w:rsidRPr="006F6209">
        <w:rPr>
          <w:i/>
          <w:sz w:val="20"/>
          <w:lang w:val="fr-CA"/>
        </w:rPr>
        <w:t>(</w:t>
      </w:r>
      <w:r w:rsidR="008F3C5D" w:rsidRPr="006F6209">
        <w:rPr>
          <w:i/>
          <w:sz w:val="20"/>
          <w:lang w:val="fr-CA"/>
        </w:rPr>
        <w:t>L</w:t>
      </w:r>
      <w:r w:rsidRPr="006F6209">
        <w:rPr>
          <w:i/>
          <w:sz w:val="20"/>
          <w:lang w:val="fr-CA"/>
        </w:rPr>
        <w:t>e français suit)</w:t>
      </w:r>
    </w:p>
    <w:p w:rsidR="006F2579" w:rsidRPr="006F6209" w:rsidRDefault="006F2579" w:rsidP="006F2579">
      <w:pPr>
        <w:widowControl w:val="0"/>
        <w:rPr>
          <w:lang w:val="fr-CA"/>
        </w:rPr>
      </w:pPr>
    </w:p>
    <w:p w:rsidR="006F2579" w:rsidRPr="006F6209" w:rsidRDefault="00C007C3" w:rsidP="006F2579">
      <w:pPr>
        <w:widowControl w:val="0"/>
        <w:jc w:val="center"/>
        <w:rPr>
          <w:b/>
          <w:lang w:val="fr-CA"/>
        </w:rPr>
      </w:pPr>
      <w:r w:rsidRPr="006F6209">
        <w:fldChar w:fldCharType="begin"/>
      </w:r>
      <w:r w:rsidR="006F2579" w:rsidRPr="006F6209">
        <w:rPr>
          <w:lang w:val="fr-CA"/>
        </w:rPr>
        <w:instrText xml:space="preserve"> SEQ CHAPTER \h \r 1</w:instrText>
      </w:r>
      <w:r w:rsidRPr="006F6209">
        <w:fldChar w:fldCharType="end"/>
      </w:r>
      <w:r w:rsidR="002767DF" w:rsidRPr="006F6209">
        <w:rPr>
          <w:b/>
          <w:lang w:val="fr-CA"/>
        </w:rPr>
        <w:t xml:space="preserve">JUDGMENTS </w:t>
      </w:r>
      <w:r w:rsidR="004C4C26" w:rsidRPr="006F6209">
        <w:rPr>
          <w:b/>
          <w:lang w:val="fr-CA"/>
        </w:rPr>
        <w:t>IN LEAVE APPLICATION</w:t>
      </w:r>
      <w:r w:rsidR="002375D8" w:rsidRPr="006F6209">
        <w:rPr>
          <w:b/>
          <w:lang w:val="fr-CA"/>
        </w:rPr>
        <w:t>S</w:t>
      </w:r>
    </w:p>
    <w:p w:rsidR="006F2579" w:rsidRPr="006F6209" w:rsidRDefault="006F2579" w:rsidP="006F2579">
      <w:pPr>
        <w:widowControl w:val="0"/>
        <w:rPr>
          <w:lang w:val="fr-CA"/>
        </w:rPr>
      </w:pPr>
    </w:p>
    <w:p w:rsidR="006F2579" w:rsidRPr="006F6209" w:rsidRDefault="000E17FF" w:rsidP="006F2579">
      <w:pPr>
        <w:widowControl w:val="0"/>
      </w:pPr>
      <w:r w:rsidRPr="006F6209">
        <w:rPr>
          <w:b/>
        </w:rPr>
        <w:t>April</w:t>
      </w:r>
      <w:r w:rsidR="00C9475D" w:rsidRPr="006F6209">
        <w:rPr>
          <w:b/>
        </w:rPr>
        <w:t xml:space="preserve"> </w:t>
      </w:r>
      <w:r w:rsidRPr="006F6209">
        <w:rPr>
          <w:b/>
        </w:rPr>
        <w:t>9</w:t>
      </w:r>
      <w:r w:rsidR="00170148" w:rsidRPr="006F6209">
        <w:rPr>
          <w:b/>
        </w:rPr>
        <w:t>,</w:t>
      </w:r>
      <w:r w:rsidR="008825DB" w:rsidRPr="006F6209">
        <w:rPr>
          <w:b/>
        </w:rPr>
        <w:t xml:space="preserve"> 20</w:t>
      </w:r>
      <w:r w:rsidR="002902CC" w:rsidRPr="006F6209">
        <w:rPr>
          <w:b/>
        </w:rPr>
        <w:t>20</w:t>
      </w:r>
    </w:p>
    <w:p w:rsidR="006F2579" w:rsidRPr="006F6209" w:rsidRDefault="006F2579" w:rsidP="006F2579">
      <w:pPr>
        <w:widowControl w:val="0"/>
        <w:rPr>
          <w:b/>
        </w:rPr>
      </w:pPr>
      <w:r w:rsidRPr="006F6209">
        <w:rPr>
          <w:b/>
        </w:rPr>
        <w:t>For immediate release</w:t>
      </w:r>
    </w:p>
    <w:p w:rsidR="006F2579" w:rsidRPr="006F6209" w:rsidRDefault="006F2579" w:rsidP="006F2579">
      <w:pPr>
        <w:widowControl w:val="0"/>
      </w:pPr>
    </w:p>
    <w:p w:rsidR="002767DF" w:rsidRPr="006F6209" w:rsidRDefault="002767DF" w:rsidP="002767DF">
      <w:pPr>
        <w:widowControl w:val="0"/>
      </w:pPr>
      <w:r w:rsidRPr="006F6209">
        <w:rPr>
          <w:b/>
        </w:rPr>
        <w:t>OTTAWA</w:t>
      </w:r>
      <w:r w:rsidRPr="006F6209">
        <w:t xml:space="preserve"> – The Suprem</w:t>
      </w:r>
      <w:r w:rsidR="00580213" w:rsidRPr="006F6209">
        <w:t>e</w:t>
      </w:r>
      <w:r w:rsidRPr="006F6209">
        <w:t xml:space="preserve"> Court of Canada has today deposited with the Registrar judgment</w:t>
      </w:r>
      <w:r w:rsidR="004D3B41" w:rsidRPr="006F6209">
        <w:t>s</w:t>
      </w:r>
      <w:r w:rsidRPr="006F6209">
        <w:t xml:space="preserve"> in the following </w:t>
      </w:r>
      <w:r w:rsidR="00063949" w:rsidRPr="006F6209">
        <w:t xml:space="preserve">leave </w:t>
      </w:r>
      <w:r w:rsidRPr="006F6209">
        <w:t>application</w:t>
      </w:r>
      <w:r w:rsidR="00CC044F" w:rsidRPr="006F6209">
        <w:t>s</w:t>
      </w:r>
      <w:r w:rsidRPr="006F6209">
        <w:t>.</w:t>
      </w:r>
    </w:p>
    <w:p w:rsidR="006F2579" w:rsidRPr="006F6209" w:rsidRDefault="006F2579" w:rsidP="006F2579">
      <w:pPr>
        <w:widowControl w:val="0"/>
      </w:pPr>
    </w:p>
    <w:p w:rsidR="006F2579" w:rsidRPr="006F6209" w:rsidRDefault="006F2579" w:rsidP="006F2579">
      <w:pPr>
        <w:widowControl w:val="0"/>
      </w:pPr>
    </w:p>
    <w:p w:rsidR="002767DF" w:rsidRPr="006F6209" w:rsidRDefault="002767DF" w:rsidP="002767DF">
      <w:pPr>
        <w:widowControl w:val="0"/>
        <w:jc w:val="center"/>
        <w:rPr>
          <w:lang w:val="fr-CA"/>
        </w:rPr>
      </w:pPr>
      <w:r w:rsidRPr="006F6209">
        <w:rPr>
          <w:b/>
          <w:lang w:val="fr-CA"/>
        </w:rPr>
        <w:t>JUGEMENT</w:t>
      </w:r>
      <w:r w:rsidR="004C4C26" w:rsidRPr="006F6209">
        <w:rPr>
          <w:b/>
          <w:lang w:val="fr-CA"/>
        </w:rPr>
        <w:t>S SUR DEMANDE</w:t>
      </w:r>
      <w:r w:rsidR="00CC044F" w:rsidRPr="006F6209">
        <w:rPr>
          <w:b/>
          <w:lang w:val="fr-CA"/>
        </w:rPr>
        <w:t>S</w:t>
      </w:r>
      <w:r w:rsidRPr="006F6209">
        <w:rPr>
          <w:b/>
          <w:lang w:val="fr-CA"/>
        </w:rPr>
        <w:t xml:space="preserve"> D’AUTORISATION</w:t>
      </w:r>
    </w:p>
    <w:p w:rsidR="006F2579" w:rsidRPr="006F6209" w:rsidRDefault="006F2579" w:rsidP="006F2579">
      <w:pPr>
        <w:widowControl w:val="0"/>
        <w:rPr>
          <w:lang w:val="fr-CA"/>
        </w:rPr>
      </w:pPr>
    </w:p>
    <w:p w:rsidR="006F2579" w:rsidRPr="006F6209" w:rsidRDefault="006F2579" w:rsidP="006F2579">
      <w:pPr>
        <w:widowControl w:val="0"/>
        <w:rPr>
          <w:lang w:val="fr-CA"/>
        </w:rPr>
      </w:pPr>
      <w:r w:rsidRPr="006F6209">
        <w:rPr>
          <w:b/>
          <w:lang w:val="fr-CA"/>
        </w:rPr>
        <w:t>Le</w:t>
      </w:r>
      <w:r w:rsidR="008825DB" w:rsidRPr="006F6209">
        <w:rPr>
          <w:b/>
          <w:lang w:val="fr-CA"/>
        </w:rPr>
        <w:t xml:space="preserve"> </w:t>
      </w:r>
      <w:r w:rsidR="000E17FF" w:rsidRPr="006F6209">
        <w:rPr>
          <w:b/>
          <w:lang w:val="fr-CA"/>
        </w:rPr>
        <w:t>9</w:t>
      </w:r>
      <w:r w:rsidR="00C9475D" w:rsidRPr="006F6209">
        <w:rPr>
          <w:b/>
          <w:lang w:val="fr-CA"/>
        </w:rPr>
        <w:t xml:space="preserve"> </w:t>
      </w:r>
      <w:r w:rsidR="004A22D9" w:rsidRPr="006F6209">
        <w:rPr>
          <w:b/>
          <w:lang w:val="fr-CA"/>
        </w:rPr>
        <w:t>a</w:t>
      </w:r>
      <w:r w:rsidR="000E17FF" w:rsidRPr="006F6209">
        <w:rPr>
          <w:b/>
          <w:lang w:val="fr-CA"/>
        </w:rPr>
        <w:t>v</w:t>
      </w:r>
      <w:r w:rsidR="004A22D9" w:rsidRPr="006F6209">
        <w:rPr>
          <w:b/>
          <w:lang w:val="fr-CA"/>
        </w:rPr>
        <w:t>r</w:t>
      </w:r>
      <w:r w:rsidR="000E17FF" w:rsidRPr="006F6209">
        <w:rPr>
          <w:b/>
          <w:lang w:val="fr-CA"/>
        </w:rPr>
        <w:t>il</w:t>
      </w:r>
      <w:r w:rsidR="004E4B02" w:rsidRPr="006F6209">
        <w:rPr>
          <w:b/>
          <w:lang w:val="fr-CA"/>
        </w:rPr>
        <w:t xml:space="preserve"> </w:t>
      </w:r>
      <w:r w:rsidR="008825DB" w:rsidRPr="006F6209">
        <w:rPr>
          <w:b/>
          <w:lang w:val="fr-CA"/>
        </w:rPr>
        <w:t>20</w:t>
      </w:r>
      <w:r w:rsidR="002902CC" w:rsidRPr="006F6209">
        <w:rPr>
          <w:b/>
          <w:lang w:val="fr-CA"/>
        </w:rPr>
        <w:t>20</w:t>
      </w:r>
    </w:p>
    <w:p w:rsidR="006F2579" w:rsidRPr="006F6209" w:rsidRDefault="006F2579" w:rsidP="006F2579">
      <w:pPr>
        <w:widowControl w:val="0"/>
        <w:rPr>
          <w:b/>
          <w:lang w:val="fr-CA"/>
        </w:rPr>
      </w:pPr>
      <w:r w:rsidRPr="006F6209">
        <w:rPr>
          <w:b/>
          <w:lang w:val="fr-CA"/>
        </w:rPr>
        <w:t>Pour diffusion immédiate</w:t>
      </w:r>
    </w:p>
    <w:p w:rsidR="006F2579" w:rsidRPr="006F6209" w:rsidRDefault="006F2579" w:rsidP="006F2579">
      <w:pPr>
        <w:widowControl w:val="0"/>
        <w:rPr>
          <w:lang w:val="fr-CA"/>
        </w:rPr>
      </w:pPr>
    </w:p>
    <w:p w:rsidR="002767DF" w:rsidRPr="006F6209" w:rsidRDefault="002767DF" w:rsidP="002767DF">
      <w:pPr>
        <w:widowControl w:val="0"/>
        <w:rPr>
          <w:lang w:val="fr-CA"/>
        </w:rPr>
      </w:pPr>
      <w:r w:rsidRPr="006F6209">
        <w:rPr>
          <w:b/>
          <w:lang w:val="fr-CA"/>
        </w:rPr>
        <w:t>OTTAWA</w:t>
      </w:r>
      <w:r w:rsidRPr="006F6209">
        <w:rPr>
          <w:lang w:val="fr-CA"/>
        </w:rPr>
        <w:t xml:space="preserve"> – La Cour suprême du Canada a déposé aujourd’hui auprès du registraire les jugements dans </w:t>
      </w:r>
      <w:r w:rsidR="00CC044F" w:rsidRPr="006F6209">
        <w:rPr>
          <w:lang w:val="fr-CA"/>
        </w:rPr>
        <w:t>les</w:t>
      </w:r>
      <w:r w:rsidR="008C7CD9" w:rsidRPr="006F6209">
        <w:rPr>
          <w:lang w:val="fr-CA"/>
        </w:rPr>
        <w:t xml:space="preserve"> </w:t>
      </w:r>
      <w:r w:rsidR="004C4C26" w:rsidRPr="006F6209">
        <w:rPr>
          <w:lang w:val="fr-CA"/>
        </w:rPr>
        <w:t>demande</w:t>
      </w:r>
      <w:r w:rsidR="0088435A" w:rsidRPr="006F6209">
        <w:rPr>
          <w:lang w:val="fr-CA"/>
        </w:rPr>
        <w:t>s</w:t>
      </w:r>
      <w:r w:rsidRPr="006F6209">
        <w:rPr>
          <w:lang w:val="fr-CA"/>
        </w:rPr>
        <w:t xml:space="preserve"> d’au</w:t>
      </w:r>
      <w:r w:rsidR="00F24EF2" w:rsidRPr="006F6209">
        <w:rPr>
          <w:lang w:val="fr-CA"/>
        </w:rPr>
        <w:t xml:space="preserve">torisation </w:t>
      </w:r>
      <w:r w:rsidR="007F2922" w:rsidRPr="006F6209">
        <w:rPr>
          <w:lang w:val="fr-CA"/>
        </w:rPr>
        <w:t>sui</w:t>
      </w:r>
      <w:r w:rsidR="00F24EF2" w:rsidRPr="006F6209">
        <w:rPr>
          <w:lang w:val="fr-CA"/>
        </w:rPr>
        <w:t>v</w:t>
      </w:r>
      <w:r w:rsidR="007F2922" w:rsidRPr="006F6209">
        <w:rPr>
          <w:lang w:val="fr-CA"/>
        </w:rPr>
        <w:t>a</w:t>
      </w:r>
      <w:r w:rsidR="00F24EF2" w:rsidRPr="006F6209">
        <w:rPr>
          <w:lang w:val="fr-CA"/>
        </w:rPr>
        <w:t>nt</w:t>
      </w:r>
      <w:r w:rsidR="00C56657" w:rsidRPr="006F6209">
        <w:rPr>
          <w:lang w:val="fr-CA"/>
        </w:rPr>
        <w:t>s</w:t>
      </w:r>
      <w:r w:rsidR="00F24EF2" w:rsidRPr="006F6209">
        <w:rPr>
          <w:lang w:val="fr-CA"/>
        </w:rPr>
        <w:t>.</w:t>
      </w:r>
    </w:p>
    <w:p w:rsidR="00694BDA" w:rsidRPr="006F6209" w:rsidRDefault="00694BDA" w:rsidP="000B5274">
      <w:pPr>
        <w:jc w:val="both"/>
        <w:rPr>
          <w:sz w:val="20"/>
          <w:lang w:val="fr-CA"/>
        </w:rPr>
      </w:pPr>
    </w:p>
    <w:p w:rsidR="00DA0759" w:rsidRPr="006F6209" w:rsidRDefault="00946CE3" w:rsidP="000B5274">
      <w:pPr>
        <w:jc w:val="both"/>
        <w:rPr>
          <w:sz w:val="20"/>
          <w:lang w:val="fr-CA"/>
        </w:rPr>
      </w:pPr>
      <w:r>
        <w:rPr>
          <w:sz w:val="20"/>
        </w:rPr>
        <w:pict>
          <v:rect id="_x0000_i1025" style="width:2in;height:1pt" o:hrpct="0" o:hralign="center" o:hrstd="t" o:hrnoshade="t" o:hr="t" fillcolor="black [3213]" stroked="f"/>
        </w:pict>
      </w:r>
    </w:p>
    <w:p w:rsidR="005976BA" w:rsidRPr="006F6209" w:rsidRDefault="005976BA" w:rsidP="000B5274">
      <w:pPr>
        <w:jc w:val="both"/>
        <w:rPr>
          <w:sz w:val="20"/>
          <w:lang w:val="fr-CA"/>
        </w:rPr>
      </w:pPr>
    </w:p>
    <w:p w:rsidR="004D08BA" w:rsidRPr="006F6209" w:rsidRDefault="004D08BA" w:rsidP="004D08BA">
      <w:pPr>
        <w:jc w:val="both"/>
        <w:rPr>
          <w:sz w:val="20"/>
          <w:lang w:val="fr-CA"/>
        </w:rPr>
      </w:pPr>
      <w:r w:rsidRPr="006F6209">
        <w:rPr>
          <w:b/>
          <w:sz w:val="22"/>
          <w:szCs w:val="22"/>
          <w:lang w:val="fr-CA"/>
        </w:rPr>
        <w:t>GRANTED / ACCORDÉE</w:t>
      </w:r>
    </w:p>
    <w:p w:rsidR="004D08BA" w:rsidRPr="006F6209" w:rsidRDefault="004D08BA" w:rsidP="004D08BA">
      <w:pPr>
        <w:jc w:val="both"/>
        <w:rPr>
          <w:sz w:val="20"/>
          <w:lang w:val="fr-CA"/>
        </w:rPr>
      </w:pPr>
    </w:p>
    <w:p w:rsidR="00983C15" w:rsidRPr="001114F3" w:rsidRDefault="00983C15" w:rsidP="00983C15">
      <w:pPr>
        <w:rPr>
          <w:i/>
          <w:sz w:val="22"/>
          <w:szCs w:val="22"/>
          <w:lang w:val="fr-FR"/>
        </w:rPr>
      </w:pPr>
      <w:r w:rsidRPr="001114F3">
        <w:rPr>
          <w:i/>
          <w:sz w:val="22"/>
          <w:szCs w:val="22"/>
          <w:lang w:val="fr-FR"/>
        </w:rPr>
        <w:t xml:space="preserve">La Compagnie d’assurance générale CO-Operators c. La </w:t>
      </w:r>
      <w:r w:rsidR="00946CE3">
        <w:rPr>
          <w:i/>
          <w:sz w:val="22"/>
          <w:szCs w:val="22"/>
          <w:lang w:val="fr-FR"/>
        </w:rPr>
        <w:t>C</w:t>
      </w:r>
      <w:bookmarkStart w:id="0" w:name="_GoBack"/>
      <w:bookmarkEnd w:id="0"/>
      <w:r w:rsidRPr="001114F3">
        <w:rPr>
          <w:i/>
          <w:sz w:val="22"/>
          <w:szCs w:val="22"/>
          <w:lang w:val="fr-FR"/>
        </w:rPr>
        <w:t xml:space="preserve">oop fédérée et Banque Nationale du Canada - et - Liberty International Underwriters - et </w:t>
      </w:r>
      <w:proofErr w:type="gramStart"/>
      <w:r w:rsidRPr="001114F3">
        <w:rPr>
          <w:i/>
          <w:sz w:val="22"/>
          <w:szCs w:val="22"/>
          <w:lang w:val="fr-FR"/>
        </w:rPr>
        <w:t>entre -</w:t>
      </w:r>
      <w:proofErr w:type="gramEnd"/>
      <w:r w:rsidRPr="001114F3">
        <w:rPr>
          <w:i/>
          <w:sz w:val="22"/>
          <w:szCs w:val="22"/>
          <w:lang w:val="fr-FR"/>
        </w:rPr>
        <w:t xml:space="preserve"> La Coop fédérée c. La Compagnie d’assurance générale CO-Operators - et - Banque Nationale du Canada et Liberty International Underwriters </w:t>
      </w:r>
      <w:r w:rsidRPr="001114F3">
        <w:rPr>
          <w:sz w:val="22"/>
          <w:szCs w:val="22"/>
          <w:lang w:val="fr-FR"/>
        </w:rPr>
        <w:t xml:space="preserve">(Qc) (Civile) (Autorisation) </w:t>
      </w:r>
      <w:r w:rsidRPr="001114F3">
        <w:rPr>
          <w:sz w:val="22"/>
          <w:szCs w:val="22"/>
          <w:lang w:val="fr-CA"/>
        </w:rPr>
        <w:t>(</w:t>
      </w:r>
      <w:hyperlink r:id="rId8" w:history="1">
        <w:r w:rsidRPr="001114F3">
          <w:rPr>
            <w:rStyle w:val="Hyperlink"/>
            <w:sz w:val="22"/>
            <w:szCs w:val="22"/>
            <w:lang w:val="fr-CA"/>
          </w:rPr>
          <w:t>38938</w:t>
        </w:r>
      </w:hyperlink>
      <w:r w:rsidRPr="001114F3">
        <w:rPr>
          <w:sz w:val="22"/>
          <w:szCs w:val="22"/>
          <w:lang w:val="fr-CA"/>
        </w:rPr>
        <w:t>)</w:t>
      </w:r>
    </w:p>
    <w:p w:rsidR="00983C15" w:rsidRPr="006F6209" w:rsidRDefault="00983C15" w:rsidP="00983C15">
      <w:pPr>
        <w:widowControl w:val="0"/>
        <w:autoSpaceDE w:val="0"/>
        <w:autoSpaceDN w:val="0"/>
        <w:adjustRightInd w:val="0"/>
        <w:rPr>
          <w:sz w:val="20"/>
          <w:lang w:val="fr-FR"/>
        </w:rPr>
      </w:pPr>
    </w:p>
    <w:p w:rsidR="00983C15" w:rsidRPr="006F6209" w:rsidRDefault="00983C15" w:rsidP="00983C15">
      <w:pPr>
        <w:widowControl w:val="0"/>
        <w:autoSpaceDE w:val="0"/>
        <w:autoSpaceDN w:val="0"/>
        <w:adjustRightInd w:val="0"/>
        <w:rPr>
          <w:sz w:val="20"/>
          <w:lang w:val="fr-CA"/>
        </w:rPr>
      </w:pPr>
      <w:r w:rsidRPr="006F6209">
        <w:rPr>
          <w:sz w:val="20"/>
          <w:lang w:val="fr-CA"/>
        </w:rPr>
        <w:t>La demande d’autorisation d’appel de La Coop fédérée de l’arrêt de la Cour d’appel du Québec (Montréal), numéro 500-09-026586-172, 2019 QCCA 1678, daté du 4 octobre 2019, est rejetée avec dépens et la demande d’autorisation d’appel de La Compagnie d’assurance générale CO-Operators est accueillie avec dépens suivant l’issue de la cause.</w:t>
      </w:r>
    </w:p>
    <w:p w:rsidR="00983C15" w:rsidRPr="006F6209" w:rsidRDefault="00983C15" w:rsidP="00983C15">
      <w:pPr>
        <w:widowControl w:val="0"/>
        <w:autoSpaceDE w:val="0"/>
        <w:autoSpaceDN w:val="0"/>
        <w:adjustRightInd w:val="0"/>
        <w:rPr>
          <w:sz w:val="20"/>
          <w:lang w:val="fr-FR"/>
        </w:rPr>
      </w:pPr>
    </w:p>
    <w:p w:rsidR="00983C15" w:rsidRPr="006F6209" w:rsidRDefault="00983C15" w:rsidP="00983C15">
      <w:pPr>
        <w:jc w:val="both"/>
        <w:rPr>
          <w:sz w:val="20"/>
          <w:lang w:val="en-CA"/>
        </w:rPr>
      </w:pPr>
      <w:r w:rsidRPr="006F6209">
        <w:rPr>
          <w:sz w:val="20"/>
          <w:lang w:val="en-CA"/>
        </w:rPr>
        <w:t xml:space="preserve">The application for leave to appeal of La Coop fédérée from the judgment of the </w:t>
      </w:r>
      <w:r w:rsidRPr="006F6209">
        <w:rPr>
          <w:sz w:val="20"/>
        </w:rPr>
        <w:t>Court of Appeal of Quebec (Montréal)</w:t>
      </w:r>
      <w:r w:rsidRPr="006F6209">
        <w:rPr>
          <w:sz w:val="20"/>
          <w:lang w:val="en-CA"/>
        </w:rPr>
        <w:t xml:space="preserve">, Number </w:t>
      </w:r>
      <w:r w:rsidRPr="006F6209">
        <w:rPr>
          <w:sz w:val="20"/>
        </w:rPr>
        <w:t xml:space="preserve">500-09-026586-172, 2019 QCCA 1678, </w:t>
      </w:r>
      <w:r w:rsidRPr="006F6209">
        <w:rPr>
          <w:sz w:val="20"/>
          <w:lang w:val="en-CA"/>
        </w:rPr>
        <w:t xml:space="preserve">dated </w:t>
      </w:r>
      <w:r w:rsidRPr="006F6209">
        <w:rPr>
          <w:sz w:val="20"/>
        </w:rPr>
        <w:t xml:space="preserve">October 4, 2019, </w:t>
      </w:r>
      <w:r w:rsidRPr="006F6209">
        <w:rPr>
          <w:sz w:val="20"/>
          <w:lang w:val="en-CA"/>
        </w:rPr>
        <w:t xml:space="preserve">is dismissed with costs and the application for leave to appeal of </w:t>
      </w:r>
      <w:r w:rsidRPr="006F6209">
        <w:rPr>
          <w:sz w:val="20"/>
        </w:rPr>
        <w:t xml:space="preserve">CO-Operators General Insurance Company </w:t>
      </w:r>
      <w:r w:rsidRPr="006F6209">
        <w:rPr>
          <w:sz w:val="20"/>
          <w:lang w:val="en-CA"/>
        </w:rPr>
        <w:t>is granted with costs in the cause.</w:t>
      </w:r>
    </w:p>
    <w:p w:rsidR="000E17FF" w:rsidRPr="006F6209" w:rsidRDefault="000E17FF" w:rsidP="004D08BA">
      <w:pPr>
        <w:widowControl w:val="0"/>
        <w:autoSpaceDE w:val="0"/>
        <w:autoSpaceDN w:val="0"/>
        <w:adjustRightInd w:val="0"/>
        <w:rPr>
          <w:sz w:val="20"/>
        </w:rPr>
      </w:pPr>
    </w:p>
    <w:p w:rsidR="00716208" w:rsidRPr="006F6209" w:rsidRDefault="00946CE3" w:rsidP="004D08BA">
      <w:pPr>
        <w:widowControl w:val="0"/>
        <w:autoSpaceDE w:val="0"/>
        <w:autoSpaceDN w:val="0"/>
        <w:adjustRightInd w:val="0"/>
        <w:rPr>
          <w:sz w:val="20"/>
          <w:lang w:val="fr-CA"/>
        </w:rPr>
      </w:pPr>
      <w:r>
        <w:rPr>
          <w:sz w:val="20"/>
        </w:rPr>
        <w:pict>
          <v:rect id="_x0000_i1026" style="width:2in;height:1pt" o:hrpct="0" o:hralign="center" o:hrstd="t" o:hrnoshade="t" o:hr="t" fillcolor="black [3213]" stroked="f"/>
        </w:pict>
      </w:r>
    </w:p>
    <w:p w:rsidR="004D08BA" w:rsidRPr="006F6209" w:rsidRDefault="004D08BA" w:rsidP="004D08BA">
      <w:pPr>
        <w:jc w:val="both"/>
        <w:rPr>
          <w:sz w:val="20"/>
        </w:rPr>
      </w:pPr>
    </w:p>
    <w:p w:rsidR="00431DE2" w:rsidRPr="006F6209" w:rsidRDefault="00431DE2" w:rsidP="00431DE2">
      <w:pPr>
        <w:jc w:val="both"/>
        <w:rPr>
          <w:b/>
          <w:sz w:val="22"/>
          <w:szCs w:val="22"/>
          <w:lang w:val="fr-CA"/>
        </w:rPr>
      </w:pPr>
      <w:r w:rsidRPr="006F6209">
        <w:rPr>
          <w:b/>
          <w:sz w:val="22"/>
          <w:szCs w:val="22"/>
          <w:lang w:val="fr-CA"/>
        </w:rPr>
        <w:t>DISMISSED / REJETÉE</w:t>
      </w:r>
      <w:r w:rsidR="001B1618" w:rsidRPr="006F6209">
        <w:rPr>
          <w:b/>
          <w:sz w:val="22"/>
          <w:szCs w:val="22"/>
          <w:lang w:val="fr-CA"/>
        </w:rPr>
        <w:t>S</w:t>
      </w:r>
    </w:p>
    <w:p w:rsidR="00431DE2" w:rsidRPr="006F6209" w:rsidRDefault="00431DE2" w:rsidP="000B5274">
      <w:pPr>
        <w:jc w:val="both"/>
        <w:rPr>
          <w:sz w:val="20"/>
          <w:lang w:val="fr-CA"/>
        </w:rPr>
      </w:pPr>
    </w:p>
    <w:p w:rsidR="001A1F61" w:rsidRPr="006F6209" w:rsidRDefault="001A1F61" w:rsidP="001A1F61">
      <w:pPr>
        <w:rPr>
          <w:sz w:val="22"/>
          <w:szCs w:val="22"/>
          <w:lang w:val="fr-CA"/>
        </w:rPr>
      </w:pPr>
      <w:r w:rsidRPr="006F6209">
        <w:rPr>
          <w:i/>
          <w:sz w:val="22"/>
          <w:szCs w:val="22"/>
          <w:lang w:val="fr-FR"/>
        </w:rPr>
        <w:t>Johanne Morency, Ronald MacKinnon et Vladimir Sapojnikov c. Tribunal administratif du Québec et procureure générale du Québec</w:t>
      </w:r>
      <w:r w:rsidRPr="006F6209">
        <w:rPr>
          <w:sz w:val="22"/>
          <w:szCs w:val="22"/>
          <w:lang w:val="fr-FR"/>
        </w:rPr>
        <w:t xml:space="preserve"> (Qc) (Civile) </w:t>
      </w:r>
      <w:r w:rsidRPr="006F6209">
        <w:rPr>
          <w:sz w:val="22"/>
          <w:szCs w:val="22"/>
          <w:lang w:val="fr-CA"/>
        </w:rPr>
        <w:t>(</w:t>
      </w:r>
      <w:hyperlink r:id="rId9" w:history="1">
        <w:r w:rsidRPr="006F6209">
          <w:rPr>
            <w:rStyle w:val="Hyperlink"/>
            <w:sz w:val="22"/>
            <w:szCs w:val="22"/>
            <w:lang w:val="fr-CA"/>
          </w:rPr>
          <w:t>38691</w:t>
        </w:r>
      </w:hyperlink>
      <w:r w:rsidRPr="006F6209">
        <w:rPr>
          <w:sz w:val="22"/>
          <w:szCs w:val="22"/>
          <w:lang w:val="fr-CA"/>
        </w:rPr>
        <w:t>)</w:t>
      </w:r>
    </w:p>
    <w:p w:rsidR="008660CA" w:rsidRPr="006F6209" w:rsidRDefault="008660CA" w:rsidP="008660CA">
      <w:pPr>
        <w:rPr>
          <w:sz w:val="20"/>
          <w:lang w:val="fr-CA"/>
        </w:rPr>
      </w:pPr>
    </w:p>
    <w:p w:rsidR="00621419" w:rsidRPr="006F6209" w:rsidRDefault="00621419" w:rsidP="00621419">
      <w:pPr>
        <w:jc w:val="both"/>
        <w:rPr>
          <w:sz w:val="20"/>
          <w:lang w:val="fr-CA"/>
        </w:rPr>
      </w:pPr>
      <w:r w:rsidRPr="006F6209">
        <w:rPr>
          <w:sz w:val="20"/>
          <w:lang w:val="fr-CA"/>
        </w:rPr>
        <w:t>La demande d’autorisation d’appel de l’arrêt de la Cour d’appel du Québec (Montréal), numéro 500-09-028176-196, 2019 QCCA 719, daté du 18 avril 2019, est rejetée.</w:t>
      </w:r>
    </w:p>
    <w:p w:rsidR="00A30607" w:rsidRPr="006F6209" w:rsidRDefault="00A30607" w:rsidP="00A30607">
      <w:pPr>
        <w:widowControl w:val="0"/>
        <w:rPr>
          <w:sz w:val="20"/>
          <w:lang w:val="fr-CA"/>
        </w:rPr>
      </w:pPr>
    </w:p>
    <w:p w:rsidR="00621419" w:rsidRPr="006F6209" w:rsidRDefault="00621419" w:rsidP="00621419">
      <w:pPr>
        <w:jc w:val="both"/>
        <w:rPr>
          <w:sz w:val="20"/>
          <w:lang w:val="en-CA"/>
        </w:rPr>
      </w:pPr>
      <w:r w:rsidRPr="006F6209">
        <w:rPr>
          <w:sz w:val="20"/>
          <w:lang w:val="en-CA"/>
        </w:rPr>
        <w:t>The application for leave to appeal from the judgment of the</w:t>
      </w:r>
      <w:bookmarkStart w:id="1" w:name="BM_1_"/>
      <w:bookmarkEnd w:id="1"/>
      <w:r w:rsidRPr="006F6209">
        <w:rPr>
          <w:sz w:val="20"/>
          <w:lang w:val="en-CA"/>
        </w:rPr>
        <w:t xml:space="preserve"> </w:t>
      </w:r>
      <w:r w:rsidRPr="006F6209">
        <w:rPr>
          <w:sz w:val="20"/>
        </w:rPr>
        <w:t>Court of Appeal of Quebec (Montréal)</w:t>
      </w:r>
      <w:r w:rsidRPr="006F6209">
        <w:rPr>
          <w:sz w:val="20"/>
          <w:lang w:val="en-CA"/>
        </w:rPr>
        <w:t xml:space="preserve">, Number </w:t>
      </w:r>
      <w:r w:rsidRPr="006F6209">
        <w:rPr>
          <w:sz w:val="20"/>
        </w:rPr>
        <w:t>500-09-028176-196</w:t>
      </w:r>
      <w:r w:rsidRPr="006F6209">
        <w:rPr>
          <w:sz w:val="20"/>
          <w:lang w:val="en-CA"/>
        </w:rPr>
        <w:t xml:space="preserve">, </w:t>
      </w:r>
      <w:r w:rsidRPr="006F6209">
        <w:rPr>
          <w:sz w:val="20"/>
        </w:rPr>
        <w:t xml:space="preserve">2019 QCCA 719, </w:t>
      </w:r>
      <w:r w:rsidRPr="006F6209">
        <w:rPr>
          <w:sz w:val="20"/>
          <w:lang w:val="en-CA"/>
        </w:rPr>
        <w:t xml:space="preserve">dated </w:t>
      </w:r>
      <w:r w:rsidRPr="006F6209">
        <w:rPr>
          <w:sz w:val="20"/>
        </w:rPr>
        <w:t>April 18, 2019</w:t>
      </w:r>
      <w:r w:rsidRPr="006F6209">
        <w:rPr>
          <w:sz w:val="20"/>
          <w:lang w:val="en-CA"/>
        </w:rPr>
        <w:t xml:space="preserve"> is dismissed.</w:t>
      </w:r>
    </w:p>
    <w:p w:rsidR="00A30607" w:rsidRPr="006F6209" w:rsidRDefault="00A30607" w:rsidP="00A30607">
      <w:pPr>
        <w:widowControl w:val="0"/>
        <w:rPr>
          <w:sz w:val="20"/>
          <w:lang w:val="en-CA"/>
        </w:rPr>
      </w:pPr>
    </w:p>
    <w:p w:rsidR="008660CA" w:rsidRPr="006F6209" w:rsidRDefault="00946CE3" w:rsidP="00A30607">
      <w:pPr>
        <w:widowControl w:val="0"/>
        <w:rPr>
          <w:sz w:val="20"/>
        </w:rPr>
      </w:pPr>
      <w:r>
        <w:rPr>
          <w:sz w:val="20"/>
        </w:rPr>
        <w:pict>
          <v:rect id="_x0000_i1027" style="width:2in;height:1pt" o:hrpct="0" o:hralign="center" o:hrstd="t" o:hrnoshade="t" o:hr="t" fillcolor="black [3213]" stroked="f"/>
        </w:pict>
      </w:r>
    </w:p>
    <w:p w:rsidR="008660CA" w:rsidRPr="006F6209" w:rsidRDefault="008660CA" w:rsidP="00A30607">
      <w:pPr>
        <w:widowControl w:val="0"/>
        <w:rPr>
          <w:sz w:val="20"/>
        </w:rPr>
      </w:pPr>
    </w:p>
    <w:p w:rsidR="005E021B" w:rsidRPr="006F6209" w:rsidRDefault="005E021B" w:rsidP="005E021B">
      <w:pPr>
        <w:rPr>
          <w:sz w:val="22"/>
          <w:szCs w:val="22"/>
          <w:lang w:val="fr-CA"/>
        </w:rPr>
      </w:pPr>
      <w:r w:rsidRPr="006F6209">
        <w:rPr>
          <w:i/>
          <w:sz w:val="22"/>
          <w:szCs w:val="22"/>
          <w:lang w:val="fr-FR"/>
        </w:rPr>
        <w:lastRenderedPageBreak/>
        <w:t>TELUS Mobilité et Société TELUS Communications</w:t>
      </w:r>
      <w:r w:rsidRPr="006F6209">
        <w:rPr>
          <w:i/>
          <w:sz w:val="22"/>
          <w:szCs w:val="22"/>
          <w:lang w:val="fr-CA"/>
        </w:rPr>
        <w:t xml:space="preserve"> c. Éric Masson et Claude Gauthier </w:t>
      </w:r>
      <w:r w:rsidRPr="006F6209">
        <w:rPr>
          <w:sz w:val="22"/>
          <w:szCs w:val="22"/>
          <w:lang w:val="fr-CA"/>
        </w:rPr>
        <w:t>(Qc) (Civile) (Autorisation) (</w:t>
      </w:r>
      <w:hyperlink r:id="rId10" w:history="1">
        <w:r w:rsidRPr="006F6209">
          <w:rPr>
            <w:rStyle w:val="Hyperlink"/>
            <w:sz w:val="22"/>
            <w:szCs w:val="22"/>
            <w:lang w:val="fr-CA"/>
          </w:rPr>
          <w:t>38820</w:t>
        </w:r>
      </w:hyperlink>
      <w:r w:rsidRPr="006F6209">
        <w:rPr>
          <w:sz w:val="22"/>
          <w:szCs w:val="22"/>
          <w:lang w:val="fr-CA"/>
        </w:rPr>
        <w:t>)</w:t>
      </w:r>
    </w:p>
    <w:p w:rsidR="003747E8" w:rsidRPr="006F6209" w:rsidRDefault="003747E8" w:rsidP="00A30607">
      <w:pPr>
        <w:widowControl w:val="0"/>
        <w:rPr>
          <w:sz w:val="20"/>
          <w:lang w:val="fr-CA"/>
        </w:rPr>
      </w:pPr>
    </w:p>
    <w:p w:rsidR="005E021B" w:rsidRPr="006F6209" w:rsidRDefault="005E021B" w:rsidP="00A30607">
      <w:pPr>
        <w:widowControl w:val="0"/>
        <w:rPr>
          <w:sz w:val="20"/>
        </w:rPr>
      </w:pPr>
      <w:r w:rsidRPr="006F6209">
        <w:rPr>
          <w:sz w:val="20"/>
          <w:lang w:val="fr-CA"/>
        </w:rPr>
        <w:t xml:space="preserve">La demande d’autorisation d’appel de l’arrêt de la Cour d’appel du Québec (Québec), numéro 200-09-009450-179, 2019 QCCA 1106, daté du 25 juin 2019, est rejetée avec dépens. </w:t>
      </w:r>
      <w:r w:rsidRPr="006F6209">
        <w:rPr>
          <w:sz w:val="20"/>
        </w:rPr>
        <w:t xml:space="preserve">La demande d’autorisation d’appel incident </w:t>
      </w:r>
      <w:proofErr w:type="gramStart"/>
      <w:r w:rsidRPr="006F6209">
        <w:rPr>
          <w:sz w:val="20"/>
        </w:rPr>
        <w:t>est</w:t>
      </w:r>
      <w:proofErr w:type="gramEnd"/>
      <w:r w:rsidRPr="006F6209">
        <w:rPr>
          <w:sz w:val="20"/>
        </w:rPr>
        <w:t xml:space="preserve"> rejetée sans dépens</w:t>
      </w:r>
    </w:p>
    <w:p w:rsidR="002E6B31" w:rsidRPr="006F6209" w:rsidRDefault="002E6B31" w:rsidP="00A30607">
      <w:pPr>
        <w:widowControl w:val="0"/>
        <w:rPr>
          <w:sz w:val="20"/>
        </w:rPr>
      </w:pPr>
    </w:p>
    <w:p w:rsidR="005E021B" w:rsidRPr="006F6209" w:rsidRDefault="005E021B" w:rsidP="00A30607">
      <w:pPr>
        <w:widowControl w:val="0"/>
        <w:rPr>
          <w:sz w:val="20"/>
        </w:rPr>
      </w:pPr>
      <w:r w:rsidRPr="006F6209">
        <w:rPr>
          <w:sz w:val="20"/>
          <w:lang w:val="en-CA"/>
        </w:rPr>
        <w:t xml:space="preserve">The application for leave to appeal from the judgment of the </w:t>
      </w:r>
      <w:r w:rsidRPr="006F6209">
        <w:rPr>
          <w:sz w:val="20"/>
        </w:rPr>
        <w:t>Court of Appeal of Quebec (Québec)</w:t>
      </w:r>
      <w:r w:rsidRPr="006F6209">
        <w:rPr>
          <w:sz w:val="20"/>
          <w:lang w:val="en-CA"/>
        </w:rPr>
        <w:t xml:space="preserve">, Number </w:t>
      </w:r>
      <w:r w:rsidRPr="006F6209">
        <w:rPr>
          <w:sz w:val="20"/>
        </w:rPr>
        <w:t>200-09-009450-179, 2019 QCCA 1106</w:t>
      </w:r>
      <w:r w:rsidRPr="006F6209">
        <w:rPr>
          <w:sz w:val="20"/>
          <w:lang w:val="en-CA"/>
        </w:rPr>
        <w:t xml:space="preserve">, dated </w:t>
      </w:r>
      <w:r w:rsidRPr="006F6209">
        <w:rPr>
          <w:sz w:val="20"/>
        </w:rPr>
        <w:t>June 25, 2019</w:t>
      </w:r>
      <w:r w:rsidRPr="006F6209">
        <w:rPr>
          <w:sz w:val="20"/>
          <w:lang w:val="en-CA"/>
        </w:rPr>
        <w:t xml:space="preserve"> is dismissed with costs. The application for leave to cross-appeal is dismissed without costs.</w:t>
      </w:r>
    </w:p>
    <w:p w:rsidR="002E6B31" w:rsidRPr="006F6209" w:rsidRDefault="002E6B31" w:rsidP="00A30607">
      <w:pPr>
        <w:widowControl w:val="0"/>
        <w:rPr>
          <w:sz w:val="20"/>
        </w:rPr>
      </w:pPr>
    </w:p>
    <w:p w:rsidR="00A30607" w:rsidRPr="006F6209" w:rsidRDefault="00946CE3" w:rsidP="00A30607">
      <w:pPr>
        <w:widowControl w:val="0"/>
        <w:rPr>
          <w:sz w:val="20"/>
        </w:rPr>
      </w:pPr>
      <w:r>
        <w:rPr>
          <w:sz w:val="20"/>
        </w:rPr>
        <w:pict>
          <v:rect id="_x0000_i1028" style="width:2in;height:1pt" o:hrpct="0" o:hralign="center" o:hrstd="t" o:hrnoshade="t" o:hr="t" fillcolor="black [3213]" stroked="f"/>
        </w:pict>
      </w:r>
    </w:p>
    <w:p w:rsidR="008660CA" w:rsidRPr="006F6209" w:rsidRDefault="008660CA" w:rsidP="00A30607">
      <w:pPr>
        <w:widowControl w:val="0"/>
        <w:rPr>
          <w:sz w:val="20"/>
        </w:rPr>
      </w:pPr>
    </w:p>
    <w:p w:rsidR="0055308E" w:rsidRPr="006F6209" w:rsidRDefault="0055308E" w:rsidP="0055308E">
      <w:pPr>
        <w:rPr>
          <w:i/>
          <w:sz w:val="22"/>
          <w:szCs w:val="22"/>
          <w:lang w:val="fr-FR"/>
        </w:rPr>
      </w:pPr>
      <w:r w:rsidRPr="006F6209">
        <w:rPr>
          <w:i/>
          <w:sz w:val="22"/>
          <w:szCs w:val="22"/>
          <w:lang w:val="fr-FR"/>
        </w:rPr>
        <w:t xml:space="preserve">Intact Compagnie d’Assurance c. Développement les terrasses de l’île inc. et Darcon inc. </w:t>
      </w:r>
      <w:r w:rsidRPr="006F6209">
        <w:rPr>
          <w:sz w:val="22"/>
          <w:szCs w:val="22"/>
          <w:lang w:val="fr-FR"/>
        </w:rPr>
        <w:t xml:space="preserve">(Qc) (Civile) (Autorisation) </w:t>
      </w:r>
      <w:r w:rsidRPr="006F6209">
        <w:rPr>
          <w:sz w:val="22"/>
          <w:szCs w:val="22"/>
          <w:lang w:val="fr-CA"/>
        </w:rPr>
        <w:t>(</w:t>
      </w:r>
      <w:hyperlink r:id="rId11" w:history="1">
        <w:r w:rsidRPr="006F6209">
          <w:rPr>
            <w:rStyle w:val="Hyperlink"/>
            <w:sz w:val="22"/>
            <w:szCs w:val="22"/>
            <w:lang w:val="fr-CA"/>
          </w:rPr>
          <w:t>38895</w:t>
        </w:r>
      </w:hyperlink>
      <w:r w:rsidRPr="006F6209">
        <w:rPr>
          <w:sz w:val="22"/>
          <w:szCs w:val="22"/>
          <w:lang w:val="fr-CA"/>
        </w:rPr>
        <w:t>)</w:t>
      </w:r>
    </w:p>
    <w:p w:rsidR="00B578B1" w:rsidRPr="006F6209" w:rsidRDefault="00B578B1" w:rsidP="00A30607">
      <w:pPr>
        <w:widowControl w:val="0"/>
        <w:rPr>
          <w:sz w:val="20"/>
          <w:lang w:val="fr-CA"/>
        </w:rPr>
      </w:pPr>
    </w:p>
    <w:p w:rsidR="0055308E" w:rsidRPr="006F6209" w:rsidRDefault="0055308E" w:rsidP="0055308E">
      <w:pPr>
        <w:jc w:val="both"/>
        <w:rPr>
          <w:sz w:val="20"/>
          <w:lang w:val="fr-CA"/>
        </w:rPr>
      </w:pPr>
      <w:r w:rsidRPr="006F6209">
        <w:rPr>
          <w:sz w:val="20"/>
          <w:lang w:val="fr-CA"/>
        </w:rPr>
        <w:t>La demande d’autorisation d’appel de l’arrêt de la Cour d’appel du Québec (Montréal), numéro 500-09-027467-182, 2019 QCCA 1440, daté du 5 septembre 2019, est rejetée avec dépens.</w:t>
      </w:r>
    </w:p>
    <w:p w:rsidR="0055308E" w:rsidRPr="006F6209" w:rsidRDefault="0055308E" w:rsidP="00A30607">
      <w:pPr>
        <w:widowControl w:val="0"/>
        <w:rPr>
          <w:sz w:val="20"/>
          <w:lang w:val="fr-CA"/>
        </w:rPr>
      </w:pPr>
    </w:p>
    <w:p w:rsidR="0055308E" w:rsidRPr="006F6209" w:rsidRDefault="0055308E" w:rsidP="00A30607">
      <w:pPr>
        <w:widowControl w:val="0"/>
        <w:rPr>
          <w:sz w:val="20"/>
        </w:rPr>
      </w:pPr>
      <w:r w:rsidRPr="006F6209">
        <w:rPr>
          <w:sz w:val="20"/>
          <w:lang w:val="en-CA"/>
        </w:rPr>
        <w:t xml:space="preserve">The application for leave to appeal from the judgment of the </w:t>
      </w:r>
      <w:r w:rsidRPr="006F6209">
        <w:rPr>
          <w:sz w:val="20"/>
        </w:rPr>
        <w:t>Court of Appeal of Quebec (Montreal)</w:t>
      </w:r>
      <w:r w:rsidRPr="006F6209">
        <w:rPr>
          <w:sz w:val="20"/>
          <w:lang w:val="en-CA"/>
        </w:rPr>
        <w:t xml:space="preserve">, Number </w:t>
      </w:r>
      <w:r w:rsidRPr="006F6209">
        <w:rPr>
          <w:sz w:val="20"/>
        </w:rPr>
        <w:t>500-09-027467-182</w:t>
      </w:r>
      <w:r w:rsidRPr="006F6209">
        <w:rPr>
          <w:sz w:val="20"/>
          <w:lang w:val="en-CA"/>
        </w:rPr>
        <w:t xml:space="preserve">, </w:t>
      </w:r>
      <w:r w:rsidRPr="006F6209">
        <w:rPr>
          <w:sz w:val="20"/>
        </w:rPr>
        <w:t xml:space="preserve">2019 QCCA 1440, </w:t>
      </w:r>
      <w:r w:rsidRPr="006F6209">
        <w:rPr>
          <w:sz w:val="20"/>
          <w:lang w:val="en-CA"/>
        </w:rPr>
        <w:t xml:space="preserve">dated </w:t>
      </w:r>
      <w:r w:rsidRPr="006F6209">
        <w:rPr>
          <w:sz w:val="20"/>
        </w:rPr>
        <w:t>September 5, 2019,</w:t>
      </w:r>
      <w:r w:rsidRPr="006F6209">
        <w:rPr>
          <w:sz w:val="20"/>
          <w:lang w:val="en-CA"/>
        </w:rPr>
        <w:t xml:space="preserve"> is dismissed with costs.</w:t>
      </w:r>
    </w:p>
    <w:p w:rsidR="002E6B31" w:rsidRPr="006F6209" w:rsidRDefault="002E6B31" w:rsidP="00A30607">
      <w:pPr>
        <w:widowControl w:val="0"/>
        <w:rPr>
          <w:sz w:val="20"/>
        </w:rPr>
      </w:pPr>
    </w:p>
    <w:p w:rsidR="008660CA" w:rsidRPr="006F6209" w:rsidRDefault="00946CE3" w:rsidP="00A30607">
      <w:pPr>
        <w:widowControl w:val="0"/>
        <w:rPr>
          <w:sz w:val="20"/>
        </w:rPr>
      </w:pPr>
      <w:r>
        <w:rPr>
          <w:sz w:val="20"/>
        </w:rPr>
        <w:pict>
          <v:rect id="_x0000_i1029" style="width:2in;height:1pt" o:hrpct="0" o:hralign="center" o:hrstd="t" o:hrnoshade="t" o:hr="t" fillcolor="black [3213]" stroked="f"/>
        </w:pict>
      </w:r>
    </w:p>
    <w:p w:rsidR="008660CA" w:rsidRPr="006F6209" w:rsidRDefault="008660CA" w:rsidP="00A30607">
      <w:pPr>
        <w:widowControl w:val="0"/>
        <w:rPr>
          <w:sz w:val="20"/>
        </w:rPr>
      </w:pPr>
    </w:p>
    <w:p w:rsidR="00D95C14" w:rsidRPr="006F6209" w:rsidRDefault="00D95C14" w:rsidP="00D95C14">
      <w:pPr>
        <w:rPr>
          <w:sz w:val="22"/>
          <w:szCs w:val="22"/>
          <w:lang w:val="fr-CA"/>
        </w:rPr>
      </w:pPr>
      <w:r w:rsidRPr="006F6209">
        <w:rPr>
          <w:i/>
          <w:sz w:val="22"/>
          <w:szCs w:val="22"/>
          <w:lang w:val="fr-FR"/>
        </w:rPr>
        <w:t xml:space="preserve">Angèle Brousseau et Jean-Claude Picard c. Laboratoires Abbott Cie (anciennement connu sous le nom de Laboratoires Abbott Limitée) </w:t>
      </w:r>
      <w:r w:rsidRPr="006F6209">
        <w:rPr>
          <w:sz w:val="22"/>
          <w:szCs w:val="22"/>
          <w:lang w:val="fr-FR"/>
        </w:rPr>
        <w:t xml:space="preserve">(Qc) (Civile) (Autorisation) </w:t>
      </w:r>
      <w:r w:rsidRPr="006F6209">
        <w:rPr>
          <w:sz w:val="22"/>
          <w:szCs w:val="22"/>
          <w:lang w:val="fr-CA"/>
        </w:rPr>
        <w:t>(</w:t>
      </w:r>
      <w:hyperlink r:id="rId12" w:history="1">
        <w:r w:rsidRPr="006F6209">
          <w:rPr>
            <w:rStyle w:val="Hyperlink"/>
            <w:sz w:val="22"/>
            <w:szCs w:val="22"/>
            <w:lang w:val="fr-CA"/>
          </w:rPr>
          <w:t>38745</w:t>
        </w:r>
      </w:hyperlink>
      <w:r w:rsidRPr="006F6209">
        <w:rPr>
          <w:sz w:val="22"/>
          <w:szCs w:val="22"/>
          <w:lang w:val="fr-CA"/>
        </w:rPr>
        <w:t>)</w:t>
      </w:r>
    </w:p>
    <w:p w:rsidR="00B72C72" w:rsidRPr="006F6209" w:rsidRDefault="00B72C72" w:rsidP="00A30607">
      <w:pPr>
        <w:widowControl w:val="0"/>
        <w:rPr>
          <w:sz w:val="20"/>
          <w:lang w:val="fr-CA"/>
        </w:rPr>
      </w:pPr>
    </w:p>
    <w:p w:rsidR="00D95C14" w:rsidRPr="006F6209" w:rsidRDefault="00D95C14" w:rsidP="00D95C14">
      <w:pPr>
        <w:jc w:val="both"/>
        <w:rPr>
          <w:sz w:val="20"/>
          <w:lang w:val="fr-CA"/>
        </w:rPr>
      </w:pPr>
      <w:r w:rsidRPr="006F6209">
        <w:rPr>
          <w:sz w:val="20"/>
          <w:lang w:val="fr-CA"/>
        </w:rPr>
        <w:t>La requête en prorogation du délai de dépôt de la réplique des demandeurs au 23 septembre 2019 est accueillie. La demande d’autorisation d’appel de l’arrêt de la Cour d’appel du Québec (Québec), numéro 200-09-009393-163, 2019 QCCA 801, daté du 8 mai 2019, est rejetée avec dépens.</w:t>
      </w:r>
    </w:p>
    <w:p w:rsidR="00D95C14" w:rsidRPr="006F6209" w:rsidRDefault="00D95C14" w:rsidP="00A30607">
      <w:pPr>
        <w:widowControl w:val="0"/>
        <w:rPr>
          <w:sz w:val="20"/>
          <w:lang w:val="fr-CA"/>
        </w:rPr>
      </w:pPr>
    </w:p>
    <w:p w:rsidR="00D95C14" w:rsidRPr="006F6209" w:rsidRDefault="00D95C14" w:rsidP="00D95C14">
      <w:pPr>
        <w:jc w:val="both"/>
        <w:rPr>
          <w:sz w:val="20"/>
          <w:lang w:val="en-CA"/>
        </w:rPr>
      </w:pPr>
      <w:r w:rsidRPr="006F6209">
        <w:rPr>
          <w:sz w:val="20"/>
          <w:lang w:val="en-CA"/>
        </w:rPr>
        <w:t xml:space="preserve">The motion for an extension of time to file the response of the applicants on September 23, 2019 is granted. The application for leave to appeal from the judgment of the </w:t>
      </w:r>
      <w:r w:rsidRPr="006F6209">
        <w:rPr>
          <w:sz w:val="20"/>
        </w:rPr>
        <w:t>Court of Appeal of Quebec (Québec)</w:t>
      </w:r>
      <w:r w:rsidRPr="006F6209">
        <w:rPr>
          <w:sz w:val="20"/>
          <w:lang w:val="en-CA"/>
        </w:rPr>
        <w:t xml:space="preserve">, Number </w:t>
      </w:r>
      <w:r w:rsidRPr="006F6209">
        <w:rPr>
          <w:sz w:val="20"/>
        </w:rPr>
        <w:t>200-09-009393-163, 2019 QCCA 801</w:t>
      </w:r>
      <w:r w:rsidRPr="006F6209">
        <w:rPr>
          <w:sz w:val="20"/>
          <w:lang w:val="en-CA"/>
        </w:rPr>
        <w:t xml:space="preserve">, dated </w:t>
      </w:r>
      <w:r w:rsidRPr="006F6209">
        <w:rPr>
          <w:sz w:val="20"/>
        </w:rPr>
        <w:t>May 8, 2019,</w:t>
      </w:r>
      <w:r w:rsidRPr="006F6209">
        <w:rPr>
          <w:sz w:val="20"/>
          <w:lang w:val="en-CA"/>
        </w:rPr>
        <w:t xml:space="preserve"> is dismissed with costs.</w:t>
      </w:r>
    </w:p>
    <w:p w:rsidR="002E6B31" w:rsidRPr="006F6209" w:rsidRDefault="002E6B31" w:rsidP="00A30607">
      <w:pPr>
        <w:widowControl w:val="0"/>
        <w:rPr>
          <w:sz w:val="20"/>
        </w:rPr>
      </w:pPr>
    </w:p>
    <w:p w:rsidR="008660CA" w:rsidRPr="006F6209" w:rsidRDefault="00946CE3" w:rsidP="00A30607">
      <w:pPr>
        <w:widowControl w:val="0"/>
        <w:rPr>
          <w:sz w:val="20"/>
        </w:rPr>
      </w:pPr>
      <w:r>
        <w:rPr>
          <w:sz w:val="20"/>
        </w:rPr>
        <w:pict>
          <v:rect id="_x0000_i1030" style="width:2in;height:1pt" o:hrpct="0" o:hralign="center" o:hrstd="t" o:hrnoshade="t" o:hr="t" fillcolor="black [3213]" stroked="f"/>
        </w:pict>
      </w:r>
    </w:p>
    <w:p w:rsidR="008660CA" w:rsidRPr="006F6209" w:rsidRDefault="008660CA" w:rsidP="00A30607">
      <w:pPr>
        <w:widowControl w:val="0"/>
        <w:rPr>
          <w:sz w:val="20"/>
        </w:rPr>
      </w:pPr>
    </w:p>
    <w:p w:rsidR="00706075" w:rsidRPr="006F6209" w:rsidRDefault="00706075" w:rsidP="00706075">
      <w:pPr>
        <w:rPr>
          <w:sz w:val="22"/>
          <w:szCs w:val="22"/>
        </w:rPr>
      </w:pPr>
      <w:r w:rsidRPr="006F6209">
        <w:rPr>
          <w:i/>
          <w:sz w:val="22"/>
          <w:szCs w:val="22"/>
        </w:rPr>
        <w:t xml:space="preserve">Ichrak Nourel Hak, National Council of Canadian Muslims and Corporation of the Canadian Civil Liberties Association v. Attorney General of Québec </w:t>
      </w:r>
      <w:r w:rsidRPr="006F6209">
        <w:rPr>
          <w:sz w:val="22"/>
          <w:szCs w:val="22"/>
        </w:rPr>
        <w:t>(Que.) (Civil) (By Leave) (</w:t>
      </w:r>
      <w:hyperlink r:id="rId13" w:history="1">
        <w:r w:rsidRPr="006F6209">
          <w:rPr>
            <w:rStyle w:val="Hyperlink"/>
            <w:sz w:val="22"/>
            <w:szCs w:val="22"/>
          </w:rPr>
          <w:t>39016</w:t>
        </w:r>
      </w:hyperlink>
      <w:r w:rsidRPr="006F6209">
        <w:rPr>
          <w:sz w:val="22"/>
          <w:szCs w:val="22"/>
        </w:rPr>
        <w:t>)</w:t>
      </w:r>
    </w:p>
    <w:p w:rsidR="003747E8" w:rsidRPr="001114F3" w:rsidRDefault="003747E8" w:rsidP="00A30607">
      <w:pPr>
        <w:widowControl w:val="0"/>
        <w:rPr>
          <w:sz w:val="20"/>
        </w:rPr>
      </w:pPr>
    </w:p>
    <w:p w:rsidR="00706075" w:rsidRPr="006F6209" w:rsidRDefault="00706075" w:rsidP="00A30607">
      <w:pPr>
        <w:widowControl w:val="0"/>
        <w:rPr>
          <w:sz w:val="20"/>
        </w:rPr>
      </w:pPr>
      <w:r w:rsidRPr="006F6209">
        <w:rPr>
          <w:sz w:val="20"/>
        </w:rPr>
        <w:t>The motion to expedite the application for leave to appeal is dismissed. The application for leave to appeal from the judgment of the Court of Appeal of Quebec (Montréal), Number 500-09-028470-193, 2019 QCCA 2145, dated December 12, 2019, is dismissed.</w:t>
      </w:r>
    </w:p>
    <w:p w:rsidR="002E6B31" w:rsidRPr="006F6209" w:rsidRDefault="002E6B31" w:rsidP="00A30607">
      <w:pPr>
        <w:widowControl w:val="0"/>
        <w:rPr>
          <w:sz w:val="20"/>
        </w:rPr>
      </w:pPr>
    </w:p>
    <w:p w:rsidR="00706075" w:rsidRPr="006F6209" w:rsidRDefault="00706075" w:rsidP="00A30607">
      <w:pPr>
        <w:widowControl w:val="0"/>
        <w:rPr>
          <w:sz w:val="20"/>
          <w:lang w:val="fr-CA"/>
        </w:rPr>
      </w:pPr>
      <w:r w:rsidRPr="006F6209">
        <w:rPr>
          <w:sz w:val="20"/>
          <w:lang w:val="fr-CA"/>
        </w:rPr>
        <w:t xml:space="preserve">La requête visant à accélérer le traitement de la demande d’autorisation d’appel est rejetée. La demande d’autorisation d’appel de l’arrêt de la </w:t>
      </w:r>
      <w:r w:rsidRPr="006F6209">
        <w:rPr>
          <w:sz w:val="20"/>
          <w:lang w:val="fr-FR"/>
        </w:rPr>
        <w:t>Cour d’appel du Québec (Montréal)</w:t>
      </w:r>
      <w:r w:rsidRPr="006F6209">
        <w:rPr>
          <w:sz w:val="20"/>
          <w:lang w:val="fr-CA"/>
        </w:rPr>
        <w:t xml:space="preserve">, numéro </w:t>
      </w:r>
      <w:r w:rsidRPr="006F6209">
        <w:rPr>
          <w:sz w:val="20"/>
          <w:lang w:val="fr-FR"/>
        </w:rPr>
        <w:t>500-09-028470-193</w:t>
      </w:r>
      <w:r w:rsidRPr="006F6209">
        <w:rPr>
          <w:sz w:val="20"/>
          <w:lang w:val="fr-CA"/>
        </w:rPr>
        <w:t xml:space="preserve">, </w:t>
      </w:r>
      <w:r w:rsidRPr="006F6209">
        <w:rPr>
          <w:sz w:val="20"/>
          <w:lang w:val="fr-FR"/>
        </w:rPr>
        <w:t xml:space="preserve">2019 QCCA 2145, </w:t>
      </w:r>
      <w:r w:rsidRPr="006F6209">
        <w:rPr>
          <w:sz w:val="20"/>
          <w:lang w:val="fr-CA"/>
        </w:rPr>
        <w:t xml:space="preserve">daté du </w:t>
      </w:r>
      <w:r w:rsidRPr="006F6209">
        <w:rPr>
          <w:sz w:val="20"/>
          <w:lang w:val="fr-FR"/>
        </w:rPr>
        <w:t>12 décembre 2019</w:t>
      </w:r>
      <w:r w:rsidRPr="006F6209">
        <w:rPr>
          <w:sz w:val="20"/>
          <w:lang w:val="fr-CA"/>
        </w:rPr>
        <w:t>, est rejetée.</w:t>
      </w:r>
    </w:p>
    <w:p w:rsidR="002E6B31" w:rsidRPr="006F6209" w:rsidRDefault="002E6B31" w:rsidP="00A30607">
      <w:pPr>
        <w:widowControl w:val="0"/>
        <w:rPr>
          <w:sz w:val="20"/>
          <w:lang w:val="fr-CA"/>
        </w:rPr>
      </w:pPr>
    </w:p>
    <w:p w:rsidR="008660CA" w:rsidRPr="006F6209" w:rsidRDefault="00946CE3" w:rsidP="00A30607">
      <w:pPr>
        <w:widowControl w:val="0"/>
        <w:rPr>
          <w:sz w:val="20"/>
        </w:rPr>
      </w:pPr>
      <w:r>
        <w:rPr>
          <w:sz w:val="20"/>
        </w:rPr>
        <w:pict>
          <v:rect id="_x0000_i1031" style="width:2in;height:1pt" o:hrpct="0" o:hralign="center" o:hrstd="t" o:hrnoshade="t" o:hr="t" fillcolor="black [3213]" stroked="f"/>
        </w:pict>
      </w:r>
    </w:p>
    <w:p w:rsidR="008660CA" w:rsidRPr="006F6209" w:rsidRDefault="008660CA" w:rsidP="00A30607">
      <w:pPr>
        <w:widowControl w:val="0"/>
        <w:rPr>
          <w:sz w:val="20"/>
        </w:rPr>
      </w:pPr>
    </w:p>
    <w:p w:rsidR="00CA3197" w:rsidRPr="006F6209" w:rsidRDefault="00CA3197" w:rsidP="00CA3197">
      <w:pPr>
        <w:rPr>
          <w:sz w:val="22"/>
          <w:szCs w:val="22"/>
        </w:rPr>
      </w:pPr>
      <w:r w:rsidRPr="006F6209">
        <w:rPr>
          <w:i/>
          <w:sz w:val="22"/>
          <w:szCs w:val="22"/>
        </w:rPr>
        <w:t xml:space="preserve">Gunnar S. Paulson v. Board of Trustees of and for the University of Illinois and American Association for the Advancement of Slavic Studies </w:t>
      </w:r>
      <w:r w:rsidRPr="006F6209">
        <w:rPr>
          <w:sz w:val="22"/>
          <w:szCs w:val="22"/>
        </w:rPr>
        <w:t>(Ont.) (Civil) (By Leave) (</w:t>
      </w:r>
      <w:hyperlink r:id="rId14" w:history="1">
        <w:r w:rsidRPr="006F6209">
          <w:rPr>
            <w:rStyle w:val="Hyperlink"/>
            <w:sz w:val="22"/>
            <w:szCs w:val="22"/>
          </w:rPr>
          <w:t>38940</w:t>
        </w:r>
      </w:hyperlink>
      <w:r w:rsidRPr="006F6209">
        <w:rPr>
          <w:sz w:val="22"/>
          <w:szCs w:val="22"/>
        </w:rPr>
        <w:t>)</w:t>
      </w:r>
    </w:p>
    <w:p w:rsidR="003747E8" w:rsidRPr="001114F3" w:rsidRDefault="003747E8" w:rsidP="00EB3EBD">
      <w:pPr>
        <w:widowControl w:val="0"/>
        <w:rPr>
          <w:sz w:val="20"/>
        </w:rPr>
      </w:pPr>
    </w:p>
    <w:p w:rsidR="00CA3197" w:rsidRPr="006F6209" w:rsidRDefault="00CA3197" w:rsidP="00EB3EBD">
      <w:pPr>
        <w:widowControl w:val="0"/>
        <w:rPr>
          <w:sz w:val="20"/>
        </w:rPr>
      </w:pPr>
      <w:r w:rsidRPr="006F6209">
        <w:rPr>
          <w:sz w:val="20"/>
        </w:rPr>
        <w:t>The motions for an extension of time to serve and file the application for leave to appeal and the response to the application for leave to appeal are granted. The application for leave to appeal from the judgment of the Court of Appeal for Ontario, Number M49944, dated May 13, 2019, is dismissed with costs.</w:t>
      </w:r>
    </w:p>
    <w:p w:rsidR="002E6B31" w:rsidRPr="006F6209" w:rsidRDefault="002E6B31" w:rsidP="00EB3EBD">
      <w:pPr>
        <w:widowControl w:val="0"/>
        <w:rPr>
          <w:sz w:val="20"/>
        </w:rPr>
      </w:pPr>
    </w:p>
    <w:p w:rsidR="00CA3197" w:rsidRPr="006F6209" w:rsidRDefault="00CA3197" w:rsidP="00EB3EBD">
      <w:pPr>
        <w:widowControl w:val="0"/>
        <w:rPr>
          <w:sz w:val="20"/>
          <w:lang w:val="fr-CA"/>
        </w:rPr>
      </w:pPr>
      <w:r w:rsidRPr="006F6209">
        <w:rPr>
          <w:sz w:val="20"/>
          <w:lang w:val="fr-CA"/>
        </w:rPr>
        <w:t xml:space="preserve">Les requêtes en prorogation du délai de signification et de dépôt de la demande d’autorisation d’appel et de la </w:t>
      </w:r>
      <w:r w:rsidRPr="006F6209">
        <w:rPr>
          <w:sz w:val="20"/>
          <w:lang w:val="fr-CA"/>
        </w:rPr>
        <w:lastRenderedPageBreak/>
        <w:t xml:space="preserve">réponse à la demande d’autorisation d’appel sont accueillies. La demande d’autorisation d’appel de l’arrêt de la </w:t>
      </w:r>
      <w:r w:rsidRPr="006F6209">
        <w:rPr>
          <w:sz w:val="20"/>
          <w:lang w:val="fr-FR"/>
        </w:rPr>
        <w:t>Cour d’appel de l’Ontario</w:t>
      </w:r>
      <w:r w:rsidRPr="006F6209">
        <w:rPr>
          <w:sz w:val="20"/>
          <w:lang w:val="fr-CA"/>
        </w:rPr>
        <w:t xml:space="preserve">, numéro </w:t>
      </w:r>
      <w:r w:rsidRPr="006F6209">
        <w:rPr>
          <w:sz w:val="20"/>
          <w:lang w:val="fr-FR"/>
        </w:rPr>
        <w:t>M49944</w:t>
      </w:r>
      <w:r w:rsidRPr="006F6209">
        <w:rPr>
          <w:sz w:val="20"/>
          <w:lang w:val="fr-CA"/>
        </w:rPr>
        <w:t xml:space="preserve">, daté du </w:t>
      </w:r>
      <w:r w:rsidRPr="006F6209">
        <w:rPr>
          <w:sz w:val="20"/>
          <w:lang w:val="fr-FR"/>
        </w:rPr>
        <w:t>13 mai 2019</w:t>
      </w:r>
      <w:r w:rsidRPr="006F6209">
        <w:rPr>
          <w:sz w:val="20"/>
          <w:lang w:val="fr-CA"/>
        </w:rPr>
        <w:t>, est rejetée avec dépens.</w:t>
      </w:r>
    </w:p>
    <w:p w:rsidR="002E6B31" w:rsidRPr="006F6209" w:rsidRDefault="002E6B31" w:rsidP="00EB3EBD">
      <w:pPr>
        <w:widowControl w:val="0"/>
        <w:rPr>
          <w:sz w:val="20"/>
          <w:lang w:val="fr-CA"/>
        </w:rPr>
      </w:pPr>
    </w:p>
    <w:p w:rsidR="00EB3EBD" w:rsidRPr="006F6209" w:rsidRDefault="00946CE3" w:rsidP="00EB3EBD">
      <w:pPr>
        <w:widowControl w:val="0"/>
        <w:rPr>
          <w:sz w:val="20"/>
        </w:rPr>
      </w:pPr>
      <w:r>
        <w:rPr>
          <w:sz w:val="20"/>
        </w:rPr>
        <w:pict>
          <v:rect id="_x0000_i1032" style="width:2in;height:1pt" o:hrpct="0" o:hralign="center" o:hrstd="t" o:hrnoshade="t" o:hr="t" fillcolor="black [3213]" stroked="f"/>
        </w:pict>
      </w:r>
    </w:p>
    <w:p w:rsidR="00EB3EBD" w:rsidRPr="006F6209" w:rsidRDefault="00EB3EBD" w:rsidP="00EB3EBD">
      <w:pPr>
        <w:widowControl w:val="0"/>
        <w:rPr>
          <w:sz w:val="20"/>
        </w:rPr>
      </w:pPr>
    </w:p>
    <w:p w:rsidR="004E69EC" w:rsidRPr="006F6209" w:rsidRDefault="004E69EC" w:rsidP="004E69EC">
      <w:pPr>
        <w:rPr>
          <w:sz w:val="22"/>
          <w:szCs w:val="22"/>
        </w:rPr>
      </w:pPr>
      <w:r w:rsidRPr="006F6209">
        <w:rPr>
          <w:i/>
          <w:sz w:val="22"/>
          <w:szCs w:val="22"/>
        </w:rPr>
        <w:t xml:space="preserve">Human Care Canada Inc. v. Evolution Technologies Inc. </w:t>
      </w:r>
      <w:r w:rsidRPr="006F6209">
        <w:rPr>
          <w:sz w:val="22"/>
          <w:szCs w:val="22"/>
        </w:rPr>
        <w:t>(F.C.) (Civil) (By Leave) (</w:t>
      </w:r>
      <w:hyperlink r:id="rId15" w:history="1">
        <w:r w:rsidRPr="006F6209">
          <w:rPr>
            <w:rStyle w:val="Hyperlink"/>
            <w:sz w:val="22"/>
            <w:szCs w:val="22"/>
          </w:rPr>
          <w:t>38846</w:t>
        </w:r>
      </w:hyperlink>
      <w:r w:rsidRPr="006F6209">
        <w:rPr>
          <w:sz w:val="22"/>
          <w:szCs w:val="22"/>
        </w:rPr>
        <w:t>)</w:t>
      </w:r>
    </w:p>
    <w:p w:rsidR="00772A77" w:rsidRPr="006F6209" w:rsidRDefault="00772A77" w:rsidP="00EB3EBD">
      <w:pPr>
        <w:widowControl w:val="0"/>
        <w:rPr>
          <w:sz w:val="20"/>
        </w:rPr>
      </w:pPr>
    </w:p>
    <w:p w:rsidR="004E69EC" w:rsidRPr="006F6209" w:rsidRDefault="004E69EC" w:rsidP="00EB3EBD">
      <w:pPr>
        <w:widowControl w:val="0"/>
        <w:rPr>
          <w:sz w:val="20"/>
        </w:rPr>
      </w:pPr>
      <w:r w:rsidRPr="006F6209">
        <w:rPr>
          <w:sz w:val="20"/>
        </w:rPr>
        <w:t>The application for leave to appeal from the judgment of the Federal Court of Appeal, Number A-425-18, 2019 FCA 209, dated July 18, 2019, is dismissed with costs.</w:t>
      </w:r>
    </w:p>
    <w:p w:rsidR="002E6B31" w:rsidRPr="006F6209" w:rsidRDefault="002E6B31" w:rsidP="00EB3EBD">
      <w:pPr>
        <w:widowControl w:val="0"/>
        <w:rPr>
          <w:sz w:val="20"/>
        </w:rPr>
      </w:pPr>
    </w:p>
    <w:p w:rsidR="004E69EC" w:rsidRPr="006F6209" w:rsidRDefault="004E69EC" w:rsidP="00EB3EBD">
      <w:pPr>
        <w:widowControl w:val="0"/>
        <w:rPr>
          <w:sz w:val="20"/>
          <w:lang w:val="fr-CA"/>
        </w:rPr>
      </w:pPr>
      <w:r w:rsidRPr="006F6209">
        <w:rPr>
          <w:sz w:val="20"/>
          <w:lang w:val="fr-CA"/>
        </w:rPr>
        <w:t xml:space="preserve">La demande d’autorisation d’appel de l’arrêt de la </w:t>
      </w:r>
      <w:r w:rsidRPr="006F6209">
        <w:rPr>
          <w:sz w:val="20"/>
          <w:lang w:val="fr-FR"/>
        </w:rPr>
        <w:t>Cour d’appel fédérale</w:t>
      </w:r>
      <w:r w:rsidRPr="006F6209">
        <w:rPr>
          <w:sz w:val="20"/>
          <w:lang w:val="fr-CA"/>
        </w:rPr>
        <w:t>, numéro</w:t>
      </w:r>
      <w:r w:rsidRPr="006F6209">
        <w:rPr>
          <w:sz w:val="20"/>
          <w:lang w:val="fr-FR"/>
        </w:rPr>
        <w:t xml:space="preserve"> A-425-18</w:t>
      </w:r>
      <w:r w:rsidRPr="006F6209">
        <w:rPr>
          <w:sz w:val="20"/>
          <w:lang w:val="fr-CA"/>
        </w:rPr>
        <w:t xml:space="preserve">, </w:t>
      </w:r>
      <w:r w:rsidRPr="006F6209">
        <w:rPr>
          <w:sz w:val="20"/>
          <w:lang w:val="fr-FR"/>
        </w:rPr>
        <w:t xml:space="preserve">2019 FCA 209, </w:t>
      </w:r>
      <w:r w:rsidRPr="006F6209">
        <w:rPr>
          <w:sz w:val="20"/>
          <w:lang w:val="fr-CA"/>
        </w:rPr>
        <w:t xml:space="preserve">daté du </w:t>
      </w:r>
      <w:r w:rsidRPr="006F6209">
        <w:rPr>
          <w:sz w:val="20"/>
          <w:lang w:val="fr-FR"/>
        </w:rPr>
        <w:t>18 juillet 2019</w:t>
      </w:r>
      <w:r w:rsidRPr="006F6209">
        <w:rPr>
          <w:sz w:val="20"/>
          <w:lang w:val="fr-CA"/>
        </w:rPr>
        <w:t>, est rejetée avec dépens.</w:t>
      </w:r>
    </w:p>
    <w:p w:rsidR="002E6B31" w:rsidRPr="006F6209" w:rsidRDefault="002E6B31" w:rsidP="00EB3EBD">
      <w:pPr>
        <w:widowControl w:val="0"/>
        <w:rPr>
          <w:sz w:val="20"/>
          <w:lang w:val="fr-CA"/>
        </w:rPr>
      </w:pPr>
    </w:p>
    <w:p w:rsidR="00EB3EBD" w:rsidRPr="006F6209" w:rsidRDefault="00946CE3" w:rsidP="00EB3EBD">
      <w:pPr>
        <w:widowControl w:val="0"/>
        <w:rPr>
          <w:sz w:val="20"/>
        </w:rPr>
      </w:pPr>
      <w:r>
        <w:rPr>
          <w:sz w:val="20"/>
        </w:rPr>
        <w:pict>
          <v:rect id="_x0000_i1033" style="width:2in;height:1pt" o:hrpct="0" o:hralign="center" o:hrstd="t" o:hrnoshade="t" o:hr="t" fillcolor="black [3213]" stroked="f"/>
        </w:pict>
      </w:r>
    </w:p>
    <w:p w:rsidR="00EB3EBD" w:rsidRPr="006F6209" w:rsidRDefault="00EB3EBD" w:rsidP="00EB3EBD">
      <w:pPr>
        <w:widowControl w:val="0"/>
        <w:rPr>
          <w:sz w:val="20"/>
          <w:lang w:val="fr-CA"/>
        </w:rPr>
      </w:pPr>
    </w:p>
    <w:p w:rsidR="00A74340" w:rsidRPr="006F6209" w:rsidRDefault="00A74340" w:rsidP="00A74340">
      <w:pPr>
        <w:pStyle w:val="SCCAppellantInfoAppellantInfo"/>
        <w:rPr>
          <w:color w:val="000000" w:themeColor="text1"/>
          <w:sz w:val="22"/>
          <w:szCs w:val="22"/>
        </w:rPr>
      </w:pPr>
      <w:r w:rsidRPr="006F6209">
        <w:rPr>
          <w:i/>
          <w:sz w:val="22"/>
          <w:szCs w:val="22"/>
        </w:rPr>
        <w:t>Alex Beseiso</w:t>
      </w:r>
      <w:r w:rsidRPr="006F6209">
        <w:rPr>
          <w:bCs/>
          <w:i/>
          <w:iCs/>
          <w:color w:val="000000" w:themeColor="text1"/>
          <w:sz w:val="22"/>
          <w:szCs w:val="22"/>
        </w:rPr>
        <w:t xml:space="preserve"> v. Her Majesty the Queen</w:t>
      </w:r>
      <w:r w:rsidRPr="006F6209">
        <w:rPr>
          <w:color w:val="000000" w:themeColor="text1"/>
          <w:sz w:val="22"/>
          <w:szCs w:val="22"/>
        </w:rPr>
        <w:t xml:space="preserve"> (Ont.) (Criminal) (By Leave) </w:t>
      </w:r>
      <w:r w:rsidRPr="006F6209">
        <w:rPr>
          <w:sz w:val="22"/>
          <w:szCs w:val="22"/>
        </w:rPr>
        <w:t>(</w:t>
      </w:r>
      <w:hyperlink r:id="rId16" w:history="1">
        <w:r w:rsidRPr="006F6209">
          <w:rPr>
            <w:rStyle w:val="Hyperlink"/>
            <w:sz w:val="22"/>
            <w:szCs w:val="22"/>
          </w:rPr>
          <w:t>38969</w:t>
        </w:r>
      </w:hyperlink>
      <w:r w:rsidRPr="006F6209">
        <w:rPr>
          <w:sz w:val="22"/>
          <w:szCs w:val="22"/>
        </w:rPr>
        <w:t>)</w:t>
      </w:r>
    </w:p>
    <w:p w:rsidR="003747E8" w:rsidRPr="001114F3" w:rsidRDefault="003747E8" w:rsidP="00EB3EBD">
      <w:pPr>
        <w:widowControl w:val="0"/>
        <w:rPr>
          <w:sz w:val="20"/>
        </w:rPr>
      </w:pPr>
    </w:p>
    <w:p w:rsidR="00A74340" w:rsidRPr="006F6209" w:rsidRDefault="00A74340" w:rsidP="00EB3EBD">
      <w:pPr>
        <w:widowControl w:val="0"/>
        <w:rPr>
          <w:sz w:val="20"/>
        </w:rPr>
      </w:pPr>
      <w:r w:rsidRPr="006F6209">
        <w:rPr>
          <w:sz w:val="20"/>
        </w:rPr>
        <w:t>The application for leave to appeal from the judgment of the Court of Appeal for Ontario, Number M50087, 2019 ONCA 707, dated September 10, 2019, is dismissed.</w:t>
      </w:r>
    </w:p>
    <w:p w:rsidR="002E6B31" w:rsidRPr="006F6209" w:rsidRDefault="002E6B31" w:rsidP="00EB3EBD">
      <w:pPr>
        <w:widowControl w:val="0"/>
        <w:rPr>
          <w:sz w:val="20"/>
        </w:rPr>
      </w:pPr>
    </w:p>
    <w:p w:rsidR="00A74340" w:rsidRPr="006F6209" w:rsidRDefault="00A74340" w:rsidP="00EB3EBD">
      <w:pPr>
        <w:widowControl w:val="0"/>
        <w:rPr>
          <w:sz w:val="20"/>
          <w:lang w:val="fr-CA"/>
        </w:rPr>
      </w:pPr>
      <w:r w:rsidRPr="006F6209">
        <w:rPr>
          <w:sz w:val="20"/>
          <w:lang w:val="fr-CA"/>
        </w:rPr>
        <w:t>La demande d’autorisation d’appel de l’arrêt de la Cour d’appel de l’Ontario, numéro M50087, 2019 ONCA 707, daté du 10 septembre 2019, est rejetée.</w:t>
      </w:r>
    </w:p>
    <w:p w:rsidR="002E6B31" w:rsidRPr="006F6209" w:rsidRDefault="002E6B31" w:rsidP="00EB3EBD">
      <w:pPr>
        <w:widowControl w:val="0"/>
        <w:rPr>
          <w:sz w:val="20"/>
          <w:lang w:val="fr-CA"/>
        </w:rPr>
      </w:pPr>
    </w:p>
    <w:p w:rsidR="00EB3EBD" w:rsidRPr="006F6209" w:rsidRDefault="00946CE3" w:rsidP="00EB3EBD">
      <w:pPr>
        <w:widowControl w:val="0"/>
        <w:rPr>
          <w:sz w:val="20"/>
        </w:rPr>
      </w:pPr>
      <w:r>
        <w:rPr>
          <w:sz w:val="20"/>
        </w:rPr>
        <w:pict>
          <v:rect id="_x0000_i1034" style="width:2in;height:1pt" o:hrpct="0" o:hralign="center" o:hrstd="t" o:hrnoshade="t" o:hr="t" fillcolor="black [3213]" stroked="f"/>
        </w:pict>
      </w:r>
    </w:p>
    <w:p w:rsidR="00EB3EBD" w:rsidRPr="006F6209" w:rsidRDefault="00EB3EBD" w:rsidP="00EB3EBD">
      <w:pPr>
        <w:widowControl w:val="0"/>
        <w:rPr>
          <w:sz w:val="20"/>
        </w:rPr>
      </w:pPr>
    </w:p>
    <w:p w:rsidR="00B73E48" w:rsidRPr="001114F3" w:rsidRDefault="00B73E48" w:rsidP="00B73E48">
      <w:pPr>
        <w:pStyle w:val="SCCAppellantInfoAppellantInfo"/>
        <w:rPr>
          <w:color w:val="000000" w:themeColor="text1"/>
          <w:sz w:val="22"/>
          <w:szCs w:val="22"/>
          <w:lang w:val="en-US"/>
        </w:rPr>
      </w:pPr>
      <w:r w:rsidRPr="006F6209">
        <w:rPr>
          <w:i/>
          <w:sz w:val="22"/>
          <w:szCs w:val="22"/>
        </w:rPr>
        <w:t>Alex Beseiso</w:t>
      </w:r>
      <w:r w:rsidRPr="006F6209">
        <w:rPr>
          <w:bCs/>
          <w:i/>
          <w:iCs/>
          <w:color w:val="000000" w:themeColor="text1"/>
          <w:sz w:val="22"/>
          <w:szCs w:val="22"/>
        </w:rPr>
        <w:t xml:space="preserve"> v. Her Majesty the Queen</w:t>
      </w:r>
      <w:r w:rsidRPr="006F6209">
        <w:rPr>
          <w:color w:val="000000" w:themeColor="text1"/>
          <w:sz w:val="22"/>
          <w:szCs w:val="22"/>
        </w:rPr>
        <w:t xml:space="preserve"> (Ont.) </w:t>
      </w:r>
      <w:r w:rsidRPr="001114F3">
        <w:rPr>
          <w:color w:val="000000" w:themeColor="text1"/>
          <w:sz w:val="22"/>
          <w:szCs w:val="22"/>
          <w:lang w:val="en-US"/>
        </w:rPr>
        <w:t xml:space="preserve">(Criminal) (By Leave) </w:t>
      </w:r>
      <w:r w:rsidRPr="001114F3">
        <w:rPr>
          <w:sz w:val="22"/>
          <w:szCs w:val="22"/>
          <w:lang w:val="en-US"/>
        </w:rPr>
        <w:t>(</w:t>
      </w:r>
      <w:hyperlink r:id="rId17" w:history="1">
        <w:r w:rsidRPr="001114F3">
          <w:rPr>
            <w:rStyle w:val="Hyperlink"/>
            <w:sz w:val="22"/>
            <w:szCs w:val="22"/>
            <w:lang w:val="en-US"/>
          </w:rPr>
          <w:t>38970</w:t>
        </w:r>
      </w:hyperlink>
      <w:r w:rsidRPr="001114F3">
        <w:rPr>
          <w:sz w:val="22"/>
          <w:szCs w:val="22"/>
          <w:lang w:val="en-US"/>
        </w:rPr>
        <w:t>)</w:t>
      </w:r>
    </w:p>
    <w:p w:rsidR="00956EBC" w:rsidRPr="001114F3" w:rsidRDefault="00956EBC" w:rsidP="00EB3EBD">
      <w:pPr>
        <w:widowControl w:val="0"/>
        <w:rPr>
          <w:sz w:val="20"/>
        </w:rPr>
      </w:pPr>
    </w:p>
    <w:p w:rsidR="00B73E48" w:rsidRPr="006F6209" w:rsidRDefault="00B73E48" w:rsidP="00B73E48">
      <w:pPr>
        <w:jc w:val="both"/>
        <w:rPr>
          <w:sz w:val="20"/>
        </w:rPr>
      </w:pPr>
      <w:r w:rsidRPr="006F6209">
        <w:rPr>
          <w:sz w:val="20"/>
        </w:rPr>
        <w:t>The motion for an extension of time to serve and file the application for leave to appeal is granted. The application for leave to appeal from the judgment of the Court of Appeal for Ontario, Number C66590, 2019 ONCA 708, dated September 10, 2019, is dismissed.</w:t>
      </w:r>
    </w:p>
    <w:p w:rsidR="00B73E48" w:rsidRPr="006F6209" w:rsidRDefault="00B73E48" w:rsidP="00EB3EBD">
      <w:pPr>
        <w:widowControl w:val="0"/>
        <w:rPr>
          <w:sz w:val="20"/>
        </w:rPr>
      </w:pPr>
    </w:p>
    <w:p w:rsidR="00B73E48" w:rsidRPr="006F6209" w:rsidRDefault="00B73E48" w:rsidP="00EB3EBD">
      <w:pPr>
        <w:widowControl w:val="0"/>
        <w:rPr>
          <w:sz w:val="20"/>
          <w:lang w:val="fr-CA"/>
        </w:rPr>
      </w:pPr>
      <w:r w:rsidRPr="006F6209">
        <w:rPr>
          <w:sz w:val="20"/>
          <w:lang w:val="fr-CA"/>
        </w:rPr>
        <w:t>La requête en prorogation du délai de signification et de dépôt de la demande d’autorisation d’appel est accueillie. La demande d’autorisation d’appel de l’arrêt de la Cour d’appel de l’Ontario, numéro C66590, 2019 ONCA 708, daté du 10 septembre 2019, est rejetée.</w:t>
      </w:r>
    </w:p>
    <w:p w:rsidR="002E6B31" w:rsidRPr="006F6209" w:rsidRDefault="002E6B31" w:rsidP="00EB3EBD">
      <w:pPr>
        <w:widowControl w:val="0"/>
        <w:rPr>
          <w:sz w:val="20"/>
          <w:lang w:val="fr-CA"/>
        </w:rPr>
      </w:pPr>
    </w:p>
    <w:p w:rsidR="00EB3EBD" w:rsidRPr="006F6209" w:rsidRDefault="00946CE3" w:rsidP="00EB3EBD">
      <w:pPr>
        <w:widowControl w:val="0"/>
        <w:rPr>
          <w:sz w:val="20"/>
        </w:rPr>
      </w:pPr>
      <w:r>
        <w:rPr>
          <w:sz w:val="20"/>
        </w:rPr>
        <w:pict>
          <v:rect id="_x0000_i1035" style="width:2in;height:1pt" o:hrpct="0" o:hralign="center" o:hrstd="t" o:hrnoshade="t" o:hr="t" fillcolor="black [3213]" stroked="f"/>
        </w:pict>
      </w:r>
    </w:p>
    <w:p w:rsidR="00EB3EBD" w:rsidRPr="006F6209" w:rsidRDefault="00EB3EBD" w:rsidP="00EB3EBD">
      <w:pPr>
        <w:widowControl w:val="0"/>
        <w:rPr>
          <w:sz w:val="20"/>
          <w:lang w:val="fr-CA"/>
        </w:rPr>
      </w:pPr>
    </w:p>
    <w:p w:rsidR="00FE22F5" w:rsidRPr="006F6209" w:rsidRDefault="00FE22F5" w:rsidP="00FE22F5">
      <w:pPr>
        <w:pStyle w:val="SCCAppellantInfoAppellantInfo"/>
        <w:rPr>
          <w:color w:val="000000" w:themeColor="text1"/>
          <w:sz w:val="22"/>
          <w:szCs w:val="22"/>
          <w:lang w:val="fr-CA"/>
        </w:rPr>
      </w:pPr>
      <w:r w:rsidRPr="006F6209">
        <w:rPr>
          <w:i/>
          <w:sz w:val="22"/>
          <w:szCs w:val="22"/>
          <w:lang w:val="fr-CA"/>
        </w:rPr>
        <w:t>Boutique de Golf Gilles Gareau Inc. c.</w:t>
      </w:r>
      <w:r w:rsidRPr="006F6209">
        <w:rPr>
          <w:bCs/>
          <w:i/>
          <w:iCs/>
          <w:color w:val="000000" w:themeColor="text1"/>
          <w:sz w:val="22"/>
          <w:szCs w:val="22"/>
          <w:lang w:val="fr-CA"/>
        </w:rPr>
        <w:t xml:space="preserve"> </w:t>
      </w:r>
      <w:r w:rsidRPr="006F6209">
        <w:rPr>
          <w:i/>
          <w:sz w:val="22"/>
          <w:szCs w:val="22"/>
          <w:lang w:val="fr-CA"/>
        </w:rPr>
        <w:t xml:space="preserve">Municipalité de Saint-Colomban et Dominic Lirette </w:t>
      </w:r>
      <w:r w:rsidRPr="006F6209">
        <w:rPr>
          <w:color w:val="000000" w:themeColor="text1"/>
          <w:sz w:val="22"/>
          <w:szCs w:val="22"/>
          <w:lang w:val="fr-CA"/>
        </w:rPr>
        <w:t xml:space="preserve">(Qc) (Civile) (Autorisation) </w:t>
      </w:r>
      <w:r w:rsidRPr="006F6209">
        <w:rPr>
          <w:sz w:val="22"/>
          <w:szCs w:val="22"/>
          <w:lang w:val="fr-CA"/>
        </w:rPr>
        <w:t>(</w:t>
      </w:r>
      <w:hyperlink r:id="rId18" w:history="1">
        <w:r w:rsidRPr="006F6209">
          <w:rPr>
            <w:rStyle w:val="Hyperlink"/>
            <w:sz w:val="22"/>
            <w:szCs w:val="22"/>
            <w:lang w:val="fr-CA"/>
          </w:rPr>
          <w:t>38868</w:t>
        </w:r>
      </w:hyperlink>
      <w:r w:rsidRPr="006F6209">
        <w:rPr>
          <w:sz w:val="22"/>
          <w:szCs w:val="22"/>
          <w:lang w:val="fr-CA"/>
        </w:rPr>
        <w:t>)</w:t>
      </w:r>
    </w:p>
    <w:p w:rsidR="003747E8" w:rsidRPr="006F6209" w:rsidRDefault="003747E8" w:rsidP="00EB3EBD">
      <w:pPr>
        <w:widowControl w:val="0"/>
        <w:rPr>
          <w:sz w:val="20"/>
          <w:lang w:val="fr-CA"/>
        </w:rPr>
      </w:pPr>
    </w:p>
    <w:p w:rsidR="00FE22F5" w:rsidRPr="006F6209" w:rsidRDefault="00FE22F5" w:rsidP="00FE22F5">
      <w:pPr>
        <w:jc w:val="both"/>
        <w:rPr>
          <w:sz w:val="20"/>
          <w:lang w:val="fr-CA"/>
        </w:rPr>
      </w:pPr>
      <w:r w:rsidRPr="006F6209">
        <w:rPr>
          <w:sz w:val="20"/>
          <w:lang w:val="fr-CA"/>
        </w:rPr>
        <w:t>La demande d’autorisation d’appel de l’arrêt de la Cour d’appel du Québec (Montréal), numéro 500-09-026968-172, 2019 QCCA 1402, daté du 23 août 2019, est rejetée avec dépens.</w:t>
      </w:r>
    </w:p>
    <w:p w:rsidR="00FE22F5" w:rsidRPr="006F6209" w:rsidRDefault="00FE22F5" w:rsidP="00EB3EBD">
      <w:pPr>
        <w:widowControl w:val="0"/>
        <w:rPr>
          <w:sz w:val="20"/>
          <w:lang w:val="fr-CA"/>
        </w:rPr>
      </w:pPr>
    </w:p>
    <w:p w:rsidR="00FE22F5" w:rsidRPr="006F6209" w:rsidRDefault="00FE22F5" w:rsidP="00FE22F5">
      <w:pPr>
        <w:jc w:val="both"/>
        <w:rPr>
          <w:sz w:val="20"/>
          <w:lang w:val="en-CA"/>
        </w:rPr>
      </w:pPr>
      <w:r w:rsidRPr="006F6209">
        <w:rPr>
          <w:sz w:val="20"/>
          <w:lang w:val="en-CA"/>
        </w:rPr>
        <w:t xml:space="preserve">The application for leave to appeal from the judgment of the </w:t>
      </w:r>
      <w:r w:rsidRPr="006F6209">
        <w:rPr>
          <w:sz w:val="20"/>
        </w:rPr>
        <w:t>Court of Appeal of Quebec (Montréal)</w:t>
      </w:r>
      <w:r w:rsidRPr="006F6209">
        <w:rPr>
          <w:sz w:val="20"/>
          <w:lang w:val="en-CA"/>
        </w:rPr>
        <w:t xml:space="preserve">, Number </w:t>
      </w:r>
      <w:r w:rsidRPr="006F6209">
        <w:rPr>
          <w:sz w:val="20"/>
        </w:rPr>
        <w:t xml:space="preserve">500-09-026968-172,  2019 QCCA 1402, </w:t>
      </w:r>
      <w:r w:rsidRPr="006F6209">
        <w:rPr>
          <w:sz w:val="20"/>
          <w:lang w:val="en-CA"/>
        </w:rPr>
        <w:t xml:space="preserve">dated </w:t>
      </w:r>
      <w:r w:rsidRPr="006F6209">
        <w:rPr>
          <w:sz w:val="20"/>
        </w:rPr>
        <w:t>August 23, 2019,</w:t>
      </w:r>
      <w:r w:rsidRPr="006F6209">
        <w:rPr>
          <w:sz w:val="20"/>
          <w:lang w:val="en-CA"/>
        </w:rPr>
        <w:t xml:space="preserve"> is dismissed with costs.</w:t>
      </w:r>
    </w:p>
    <w:p w:rsidR="002E6B31" w:rsidRPr="006F6209" w:rsidRDefault="002E6B31" w:rsidP="00EB3EBD">
      <w:pPr>
        <w:widowControl w:val="0"/>
        <w:rPr>
          <w:sz w:val="20"/>
        </w:rPr>
      </w:pPr>
    </w:p>
    <w:p w:rsidR="00EB3EBD" w:rsidRPr="006F6209" w:rsidRDefault="00946CE3" w:rsidP="00EB3EBD">
      <w:pPr>
        <w:widowControl w:val="0"/>
        <w:rPr>
          <w:sz w:val="20"/>
        </w:rPr>
      </w:pPr>
      <w:r>
        <w:rPr>
          <w:sz w:val="20"/>
        </w:rPr>
        <w:pict>
          <v:rect id="_x0000_i1036" style="width:2in;height:1pt" o:hrpct="0" o:hralign="center" o:hrstd="t" o:hrnoshade="t" o:hr="t" fillcolor="black [3213]" stroked="f"/>
        </w:pict>
      </w:r>
    </w:p>
    <w:p w:rsidR="00EB3EBD" w:rsidRPr="006F6209" w:rsidRDefault="00EB3EBD" w:rsidP="00EB3EBD">
      <w:pPr>
        <w:widowControl w:val="0"/>
        <w:rPr>
          <w:sz w:val="20"/>
        </w:rPr>
      </w:pPr>
    </w:p>
    <w:p w:rsidR="00D01241" w:rsidRPr="006F6209" w:rsidRDefault="00D01241" w:rsidP="00D01241">
      <w:pPr>
        <w:pStyle w:val="SCCAppellantInfoAppellantInfo"/>
        <w:rPr>
          <w:color w:val="000000" w:themeColor="text1"/>
          <w:sz w:val="22"/>
          <w:szCs w:val="22"/>
          <w:lang w:val="fr-CA"/>
        </w:rPr>
      </w:pPr>
      <w:r w:rsidRPr="006F6209">
        <w:rPr>
          <w:i/>
          <w:sz w:val="22"/>
          <w:szCs w:val="22"/>
          <w:lang w:val="fr-CA"/>
        </w:rPr>
        <w:t>Dessureault CPA et Associés inc. c.</w:t>
      </w:r>
      <w:r w:rsidRPr="006F6209">
        <w:rPr>
          <w:bCs/>
          <w:i/>
          <w:iCs/>
          <w:color w:val="000000" w:themeColor="text1"/>
          <w:sz w:val="22"/>
          <w:szCs w:val="22"/>
          <w:lang w:val="fr-CA"/>
        </w:rPr>
        <w:t xml:space="preserve"> </w:t>
      </w:r>
      <w:r w:rsidRPr="006F6209">
        <w:rPr>
          <w:i/>
          <w:sz w:val="22"/>
          <w:szCs w:val="22"/>
          <w:lang w:val="fr-CA"/>
        </w:rPr>
        <w:t>Jason Bergeron, Mathieu Plante et Mathieu St-Arnaud</w:t>
      </w:r>
      <w:r w:rsidRPr="006F6209">
        <w:rPr>
          <w:bCs/>
          <w:i/>
          <w:iCs/>
          <w:color w:val="000000" w:themeColor="text1"/>
          <w:sz w:val="22"/>
          <w:szCs w:val="22"/>
          <w:lang w:val="fr-CA"/>
        </w:rPr>
        <w:t xml:space="preserve"> </w:t>
      </w:r>
      <w:r w:rsidRPr="006F6209">
        <w:rPr>
          <w:color w:val="000000" w:themeColor="text1"/>
          <w:sz w:val="22"/>
          <w:szCs w:val="22"/>
          <w:lang w:val="fr-CA"/>
        </w:rPr>
        <w:t xml:space="preserve">(Qc) (Civile) (Autorisation) </w:t>
      </w:r>
      <w:r w:rsidRPr="006F6209">
        <w:rPr>
          <w:sz w:val="22"/>
          <w:szCs w:val="22"/>
          <w:lang w:val="fr-CA"/>
        </w:rPr>
        <w:t>(</w:t>
      </w:r>
      <w:hyperlink r:id="rId19" w:history="1">
        <w:r w:rsidRPr="006F6209">
          <w:rPr>
            <w:rStyle w:val="Hyperlink"/>
            <w:sz w:val="22"/>
            <w:szCs w:val="22"/>
            <w:lang w:val="fr-CA"/>
          </w:rPr>
          <w:t>38885</w:t>
        </w:r>
      </w:hyperlink>
      <w:r w:rsidRPr="006F6209">
        <w:rPr>
          <w:sz w:val="22"/>
          <w:szCs w:val="22"/>
          <w:lang w:val="fr-CA"/>
        </w:rPr>
        <w:t>)</w:t>
      </w:r>
    </w:p>
    <w:p w:rsidR="003747E8" w:rsidRPr="006F6209" w:rsidRDefault="003747E8" w:rsidP="00EB3EBD">
      <w:pPr>
        <w:widowControl w:val="0"/>
        <w:rPr>
          <w:sz w:val="20"/>
          <w:lang w:val="fr-CA"/>
        </w:rPr>
      </w:pPr>
    </w:p>
    <w:p w:rsidR="00D01241" w:rsidRPr="006F6209" w:rsidRDefault="00D01241" w:rsidP="00D01241">
      <w:pPr>
        <w:jc w:val="both"/>
        <w:rPr>
          <w:sz w:val="20"/>
          <w:lang w:val="fr-CA"/>
        </w:rPr>
      </w:pPr>
      <w:r w:rsidRPr="006F6209">
        <w:rPr>
          <w:sz w:val="20"/>
          <w:lang w:val="fr-CA"/>
        </w:rPr>
        <w:t>La demande d’autorisation d’appel de l’arrêt de la Cour d’appel du Québec (Québec), numéro 200-09-010066-196, 2019 QCCA 1405, daté du 22 août 2019, est rejetée avec dépens.</w:t>
      </w:r>
    </w:p>
    <w:p w:rsidR="00D01241" w:rsidRPr="006F6209" w:rsidRDefault="00D01241" w:rsidP="00EB3EBD">
      <w:pPr>
        <w:widowControl w:val="0"/>
        <w:rPr>
          <w:sz w:val="20"/>
          <w:lang w:val="fr-CA"/>
        </w:rPr>
      </w:pPr>
    </w:p>
    <w:p w:rsidR="00D01241" w:rsidRPr="006F6209" w:rsidRDefault="00D01241" w:rsidP="00D01241">
      <w:pPr>
        <w:jc w:val="both"/>
        <w:rPr>
          <w:sz w:val="20"/>
          <w:lang w:val="en-CA"/>
        </w:rPr>
      </w:pPr>
      <w:r w:rsidRPr="006F6209">
        <w:rPr>
          <w:sz w:val="20"/>
          <w:lang w:val="en-CA"/>
        </w:rPr>
        <w:t xml:space="preserve">The application for leave to appeal from the judgment of the </w:t>
      </w:r>
      <w:r w:rsidRPr="006F6209">
        <w:rPr>
          <w:sz w:val="20"/>
        </w:rPr>
        <w:t>Court of Appeal of Quebec (Québec)</w:t>
      </w:r>
      <w:r w:rsidRPr="006F6209">
        <w:rPr>
          <w:sz w:val="20"/>
          <w:lang w:val="en-CA"/>
        </w:rPr>
        <w:t xml:space="preserve">, Number </w:t>
      </w:r>
      <w:r w:rsidRPr="006F6209">
        <w:rPr>
          <w:sz w:val="20"/>
        </w:rPr>
        <w:t>200-09-010066-196, 2019 QCCA 1405,</w:t>
      </w:r>
      <w:r w:rsidRPr="006F6209">
        <w:rPr>
          <w:sz w:val="20"/>
          <w:lang w:val="en-CA"/>
        </w:rPr>
        <w:t xml:space="preserve"> dated </w:t>
      </w:r>
      <w:r w:rsidRPr="006F6209">
        <w:rPr>
          <w:sz w:val="20"/>
        </w:rPr>
        <w:t>August 22, 2019,</w:t>
      </w:r>
      <w:r w:rsidRPr="006F6209">
        <w:rPr>
          <w:sz w:val="20"/>
          <w:lang w:val="en-CA"/>
        </w:rPr>
        <w:t xml:space="preserve"> is dismissed with costs.</w:t>
      </w:r>
    </w:p>
    <w:p w:rsidR="002E6B31" w:rsidRPr="006F6209" w:rsidRDefault="002E6B31" w:rsidP="00EB3EBD">
      <w:pPr>
        <w:widowControl w:val="0"/>
        <w:rPr>
          <w:sz w:val="20"/>
        </w:rPr>
      </w:pPr>
    </w:p>
    <w:p w:rsidR="00EB3EBD" w:rsidRPr="006F6209" w:rsidRDefault="00946CE3" w:rsidP="00EB3EBD">
      <w:pPr>
        <w:widowControl w:val="0"/>
        <w:rPr>
          <w:sz w:val="20"/>
        </w:rPr>
      </w:pPr>
      <w:r>
        <w:rPr>
          <w:sz w:val="20"/>
        </w:rPr>
        <w:pict>
          <v:rect id="_x0000_i1037" style="width:2in;height:1pt" o:hrpct="0" o:hralign="center" o:hrstd="t" o:hrnoshade="t" o:hr="t" fillcolor="black [3213]" stroked="f"/>
        </w:pict>
      </w:r>
    </w:p>
    <w:p w:rsidR="00EB3EBD" w:rsidRPr="006F6209" w:rsidRDefault="00EB3EBD" w:rsidP="00EB3EBD">
      <w:pPr>
        <w:widowControl w:val="0"/>
        <w:rPr>
          <w:sz w:val="20"/>
          <w:lang w:val="fr-CA"/>
        </w:rPr>
      </w:pPr>
    </w:p>
    <w:p w:rsidR="0045047B" w:rsidRPr="006F6209" w:rsidRDefault="0045047B" w:rsidP="0045047B">
      <w:pPr>
        <w:pStyle w:val="SCCAppellantInfoAppellantInfo"/>
        <w:rPr>
          <w:color w:val="000000" w:themeColor="text1"/>
          <w:sz w:val="22"/>
          <w:szCs w:val="22"/>
        </w:rPr>
      </w:pPr>
      <w:r w:rsidRPr="006F6209">
        <w:rPr>
          <w:i/>
          <w:sz w:val="22"/>
          <w:szCs w:val="22"/>
        </w:rPr>
        <w:t>Echelon General Insurance Company</w:t>
      </w:r>
      <w:r w:rsidRPr="006F6209">
        <w:rPr>
          <w:bCs/>
          <w:i/>
          <w:iCs/>
          <w:color w:val="000000" w:themeColor="text1"/>
          <w:sz w:val="22"/>
          <w:szCs w:val="22"/>
        </w:rPr>
        <w:t xml:space="preserve"> v. </w:t>
      </w:r>
      <w:r w:rsidRPr="006F6209">
        <w:rPr>
          <w:i/>
          <w:sz w:val="22"/>
          <w:szCs w:val="22"/>
        </w:rPr>
        <w:t>Christopher Perneroski, by his Litigation Guardian Wendy Perneroski</w:t>
      </w:r>
      <w:r w:rsidRPr="006F6209">
        <w:rPr>
          <w:color w:val="000000" w:themeColor="text1"/>
          <w:sz w:val="22"/>
          <w:szCs w:val="22"/>
        </w:rPr>
        <w:t xml:space="preserve"> (Ont.) (Civil) (By Leave) </w:t>
      </w:r>
      <w:r w:rsidRPr="006F6209">
        <w:rPr>
          <w:sz w:val="22"/>
          <w:szCs w:val="22"/>
        </w:rPr>
        <w:t>(</w:t>
      </w:r>
      <w:hyperlink r:id="rId20" w:history="1">
        <w:r w:rsidRPr="006F6209">
          <w:rPr>
            <w:rStyle w:val="Hyperlink"/>
            <w:sz w:val="22"/>
            <w:szCs w:val="22"/>
          </w:rPr>
          <w:t>38974</w:t>
        </w:r>
      </w:hyperlink>
      <w:r w:rsidRPr="006F6209">
        <w:rPr>
          <w:sz w:val="22"/>
          <w:szCs w:val="22"/>
        </w:rPr>
        <w:t>)</w:t>
      </w:r>
    </w:p>
    <w:p w:rsidR="003747E8" w:rsidRPr="006F6209" w:rsidRDefault="003747E8" w:rsidP="003747E8">
      <w:pPr>
        <w:widowControl w:val="0"/>
        <w:rPr>
          <w:sz w:val="20"/>
        </w:rPr>
      </w:pPr>
    </w:p>
    <w:p w:rsidR="0045047B" w:rsidRPr="006F6209" w:rsidRDefault="0045047B" w:rsidP="0045047B">
      <w:pPr>
        <w:jc w:val="both"/>
        <w:rPr>
          <w:sz w:val="20"/>
        </w:rPr>
      </w:pPr>
      <w:r w:rsidRPr="006F6209">
        <w:rPr>
          <w:sz w:val="20"/>
        </w:rPr>
        <w:t>The application for leave to appeal from the judgment of the Court of Appeal for Ontario, Number C66726, 2019 ONCA 840, dated October 25, 2019, is dismissed with costs.</w:t>
      </w:r>
    </w:p>
    <w:p w:rsidR="0045047B" w:rsidRPr="006F6209" w:rsidRDefault="0045047B" w:rsidP="003747E8">
      <w:pPr>
        <w:widowControl w:val="0"/>
        <w:rPr>
          <w:sz w:val="20"/>
        </w:rPr>
      </w:pPr>
    </w:p>
    <w:p w:rsidR="002E6B31" w:rsidRPr="006F6209" w:rsidRDefault="0045047B" w:rsidP="003747E8">
      <w:pPr>
        <w:widowControl w:val="0"/>
        <w:rPr>
          <w:sz w:val="20"/>
          <w:lang w:val="fr-CA"/>
        </w:rPr>
      </w:pPr>
      <w:r w:rsidRPr="006F6209">
        <w:rPr>
          <w:sz w:val="20"/>
          <w:lang w:val="fr-CA"/>
        </w:rPr>
        <w:t>La demande d’autorisation d’appel de l’arrêt de la Cour d’appel de l’Ontario, numéro C66726, 2019 ONCA 840, daté du 25 octobre 2019, est rejetée avec dépens.</w:t>
      </w:r>
    </w:p>
    <w:p w:rsidR="002E6B31" w:rsidRPr="006F6209" w:rsidRDefault="002E6B31" w:rsidP="003747E8">
      <w:pPr>
        <w:widowControl w:val="0"/>
        <w:rPr>
          <w:sz w:val="20"/>
          <w:lang w:val="fr-CA"/>
        </w:rPr>
      </w:pPr>
    </w:p>
    <w:p w:rsidR="003747E8" w:rsidRPr="006F6209" w:rsidRDefault="00946CE3" w:rsidP="003747E8">
      <w:pPr>
        <w:widowControl w:val="0"/>
        <w:rPr>
          <w:sz w:val="20"/>
          <w:lang w:val="fr-CA"/>
        </w:rPr>
      </w:pPr>
      <w:r>
        <w:rPr>
          <w:sz w:val="20"/>
        </w:rPr>
        <w:pict>
          <v:rect id="_x0000_i1038" style="width:2in;height:1pt" o:hrpct="0" o:hralign="center" o:hrstd="t" o:hrnoshade="t" o:hr="t" fillcolor="black [3213]" stroked="f"/>
        </w:pict>
      </w:r>
    </w:p>
    <w:p w:rsidR="003747E8" w:rsidRPr="006F6209" w:rsidRDefault="003747E8" w:rsidP="003747E8">
      <w:pPr>
        <w:widowControl w:val="0"/>
        <w:rPr>
          <w:sz w:val="20"/>
          <w:lang w:val="fr-CA"/>
        </w:rPr>
      </w:pPr>
    </w:p>
    <w:p w:rsidR="00D81877" w:rsidRPr="006F6209" w:rsidRDefault="00D81877" w:rsidP="00D81877">
      <w:pPr>
        <w:pStyle w:val="SCCAppellantInfoAppellantInfo"/>
        <w:rPr>
          <w:color w:val="000000" w:themeColor="text1"/>
          <w:sz w:val="22"/>
          <w:szCs w:val="22"/>
          <w:lang w:val="en-US"/>
        </w:rPr>
      </w:pPr>
      <w:r w:rsidRPr="006F6209">
        <w:rPr>
          <w:i/>
          <w:sz w:val="22"/>
          <w:szCs w:val="22"/>
        </w:rPr>
        <w:t>Belair Insurance Company Inc.</w:t>
      </w:r>
      <w:r w:rsidRPr="006F6209">
        <w:rPr>
          <w:bCs/>
          <w:i/>
          <w:iCs/>
          <w:color w:val="000000" w:themeColor="text1"/>
          <w:sz w:val="22"/>
          <w:szCs w:val="22"/>
        </w:rPr>
        <w:t xml:space="preserve"> v. Austin Benson</w:t>
      </w:r>
      <w:r w:rsidRPr="006F6209">
        <w:rPr>
          <w:color w:val="000000" w:themeColor="text1"/>
          <w:sz w:val="22"/>
          <w:szCs w:val="22"/>
        </w:rPr>
        <w:t xml:space="preserve"> (Ont.) </w:t>
      </w:r>
      <w:r w:rsidRPr="006F6209">
        <w:rPr>
          <w:color w:val="000000" w:themeColor="text1"/>
          <w:sz w:val="22"/>
          <w:szCs w:val="22"/>
          <w:lang w:val="en-US"/>
        </w:rPr>
        <w:t xml:space="preserve">(Civil) (By Leave) </w:t>
      </w:r>
      <w:r w:rsidRPr="006F6209">
        <w:rPr>
          <w:sz w:val="22"/>
          <w:szCs w:val="22"/>
          <w:lang w:val="en-US"/>
        </w:rPr>
        <w:t>(</w:t>
      </w:r>
      <w:hyperlink r:id="rId21" w:history="1">
        <w:r w:rsidRPr="006F6209">
          <w:rPr>
            <w:rStyle w:val="Hyperlink"/>
            <w:sz w:val="22"/>
            <w:szCs w:val="22"/>
            <w:lang w:val="en-US"/>
          </w:rPr>
          <w:t>38988</w:t>
        </w:r>
      </w:hyperlink>
      <w:r w:rsidRPr="006F6209">
        <w:rPr>
          <w:sz w:val="22"/>
          <w:szCs w:val="22"/>
          <w:lang w:val="en-US"/>
        </w:rPr>
        <w:t>)</w:t>
      </w:r>
    </w:p>
    <w:p w:rsidR="003747E8" w:rsidRPr="006F6209" w:rsidRDefault="003747E8" w:rsidP="003747E8">
      <w:pPr>
        <w:widowControl w:val="0"/>
        <w:rPr>
          <w:sz w:val="20"/>
        </w:rPr>
      </w:pPr>
    </w:p>
    <w:p w:rsidR="00D81877" w:rsidRPr="006F6209" w:rsidRDefault="00D81877" w:rsidP="00D81877">
      <w:pPr>
        <w:jc w:val="both"/>
        <w:rPr>
          <w:sz w:val="20"/>
        </w:rPr>
      </w:pPr>
      <w:r w:rsidRPr="006F6209">
        <w:rPr>
          <w:sz w:val="20"/>
        </w:rPr>
        <w:t>The application for leave to appeal from the judgment of the Court of Appeal for Ontario, Number C65918, 2019 ONCA 840, dated October 25, 2019, is dismissed with costs.</w:t>
      </w:r>
    </w:p>
    <w:p w:rsidR="00D81877" w:rsidRPr="006F6209" w:rsidRDefault="00D81877" w:rsidP="003747E8">
      <w:pPr>
        <w:widowControl w:val="0"/>
        <w:rPr>
          <w:sz w:val="20"/>
        </w:rPr>
      </w:pPr>
    </w:p>
    <w:p w:rsidR="002E6B31" w:rsidRPr="006F6209" w:rsidRDefault="00D81877" w:rsidP="003747E8">
      <w:pPr>
        <w:widowControl w:val="0"/>
        <w:rPr>
          <w:sz w:val="20"/>
          <w:lang w:val="fr-CA"/>
        </w:rPr>
      </w:pPr>
      <w:r w:rsidRPr="006F6209">
        <w:rPr>
          <w:sz w:val="20"/>
          <w:lang w:val="fr-CA"/>
        </w:rPr>
        <w:t>La demande d’autorisation d’appel de l’arrêt de la Cour d’appel de l’Ontario, numéro C65918, 2019 ONCA 840, daté du 25 octobre 2019, est rejetée avec dépens.</w:t>
      </w:r>
    </w:p>
    <w:p w:rsidR="002E6B31" w:rsidRPr="006F6209" w:rsidRDefault="002E6B31" w:rsidP="003747E8">
      <w:pPr>
        <w:widowControl w:val="0"/>
        <w:rPr>
          <w:sz w:val="20"/>
          <w:lang w:val="fr-CA"/>
        </w:rPr>
      </w:pPr>
    </w:p>
    <w:p w:rsidR="003747E8" w:rsidRPr="006F6209" w:rsidRDefault="00946CE3" w:rsidP="003747E8">
      <w:pPr>
        <w:widowControl w:val="0"/>
        <w:rPr>
          <w:sz w:val="20"/>
          <w:lang w:val="fr-CA"/>
        </w:rPr>
      </w:pPr>
      <w:r>
        <w:rPr>
          <w:sz w:val="20"/>
        </w:rPr>
        <w:pict>
          <v:rect id="_x0000_i1039" style="width:2in;height:1pt" o:hrpct="0" o:hralign="center" o:hrstd="t" o:hrnoshade="t" o:hr="t" fillcolor="black [3213]" stroked="f"/>
        </w:pict>
      </w:r>
    </w:p>
    <w:p w:rsidR="003747E8" w:rsidRPr="006F6209" w:rsidRDefault="003747E8" w:rsidP="003747E8">
      <w:pPr>
        <w:widowControl w:val="0"/>
        <w:rPr>
          <w:sz w:val="20"/>
          <w:lang w:val="fr-CA"/>
        </w:rPr>
      </w:pPr>
    </w:p>
    <w:p w:rsidR="000A6D90" w:rsidRPr="006F6209" w:rsidRDefault="000A6D90" w:rsidP="000A6D90">
      <w:pPr>
        <w:pStyle w:val="SCCAppellantInfoAppellantInfo"/>
        <w:rPr>
          <w:color w:val="000000" w:themeColor="text1"/>
          <w:sz w:val="22"/>
          <w:szCs w:val="22"/>
          <w:lang w:val="fr-CA"/>
        </w:rPr>
      </w:pPr>
      <w:r w:rsidRPr="006F6209">
        <w:rPr>
          <w:i/>
          <w:sz w:val="22"/>
          <w:szCs w:val="22"/>
          <w:lang w:val="fr-CA"/>
        </w:rPr>
        <w:t>Marc Elie Ostainvil c.</w:t>
      </w:r>
      <w:r w:rsidRPr="006F6209">
        <w:rPr>
          <w:bCs/>
          <w:i/>
          <w:iCs/>
          <w:color w:val="000000" w:themeColor="text1"/>
          <w:sz w:val="22"/>
          <w:szCs w:val="22"/>
          <w:lang w:val="fr-CA"/>
        </w:rPr>
        <w:t xml:space="preserve"> </w:t>
      </w:r>
      <w:r w:rsidRPr="006F6209">
        <w:rPr>
          <w:i/>
          <w:sz w:val="22"/>
          <w:szCs w:val="22"/>
          <w:lang w:val="fr-CA"/>
        </w:rPr>
        <w:t>Conseil des écoles publiques de l’Est de l’Ontario</w:t>
      </w:r>
      <w:r w:rsidRPr="006F6209">
        <w:rPr>
          <w:color w:val="000000" w:themeColor="text1"/>
          <w:sz w:val="22"/>
          <w:szCs w:val="22"/>
          <w:lang w:val="fr-CA"/>
        </w:rPr>
        <w:t xml:space="preserve"> (Ont.) (Civile) (Autorisation) </w:t>
      </w:r>
      <w:r w:rsidRPr="006F6209">
        <w:rPr>
          <w:sz w:val="22"/>
          <w:szCs w:val="22"/>
          <w:lang w:val="fr-CA"/>
        </w:rPr>
        <w:t>(</w:t>
      </w:r>
      <w:hyperlink r:id="rId22" w:history="1">
        <w:r w:rsidRPr="006F6209">
          <w:rPr>
            <w:rStyle w:val="Hyperlink"/>
            <w:sz w:val="22"/>
            <w:szCs w:val="22"/>
            <w:lang w:val="fr-CA"/>
          </w:rPr>
          <w:t>38888</w:t>
        </w:r>
      </w:hyperlink>
      <w:r w:rsidRPr="006F6209">
        <w:rPr>
          <w:sz w:val="22"/>
          <w:szCs w:val="22"/>
          <w:lang w:val="fr-CA"/>
        </w:rPr>
        <w:t>)</w:t>
      </w:r>
    </w:p>
    <w:p w:rsidR="003747E8" w:rsidRPr="006F6209" w:rsidRDefault="003747E8" w:rsidP="003747E8">
      <w:pPr>
        <w:widowControl w:val="0"/>
        <w:rPr>
          <w:sz w:val="20"/>
          <w:lang w:val="fr-CA"/>
        </w:rPr>
      </w:pPr>
    </w:p>
    <w:p w:rsidR="000A6D90" w:rsidRPr="006F6209" w:rsidRDefault="000A6D90" w:rsidP="000A6D90">
      <w:pPr>
        <w:jc w:val="both"/>
        <w:rPr>
          <w:sz w:val="20"/>
          <w:lang w:val="fr-CA"/>
        </w:rPr>
      </w:pPr>
      <w:r w:rsidRPr="006F6209">
        <w:rPr>
          <w:sz w:val="20"/>
          <w:lang w:val="fr-CA"/>
        </w:rPr>
        <w:t>La requête en prorogation du délai de signification de la demande d’autorisation d’appel est accueillie. La demande d’autorisation d’appel de l’arrêt de la Cour d’appel de l’Ontario, numéro M50019, 2019 ONCA 460, daté du 27 mai 2019, est rejetée avec dépens.</w:t>
      </w:r>
    </w:p>
    <w:p w:rsidR="000A6D90" w:rsidRPr="006F6209" w:rsidRDefault="000A6D90" w:rsidP="003747E8">
      <w:pPr>
        <w:widowControl w:val="0"/>
        <w:rPr>
          <w:sz w:val="20"/>
          <w:lang w:val="fr-CA"/>
        </w:rPr>
      </w:pPr>
    </w:p>
    <w:p w:rsidR="000A6D90" w:rsidRPr="006F6209" w:rsidRDefault="000A6D90" w:rsidP="000A6D90">
      <w:pPr>
        <w:jc w:val="both"/>
        <w:rPr>
          <w:sz w:val="20"/>
          <w:lang w:val="en-CA"/>
        </w:rPr>
      </w:pPr>
      <w:r w:rsidRPr="006F6209">
        <w:rPr>
          <w:sz w:val="20"/>
        </w:rPr>
        <w:t xml:space="preserve">The motion for an extension of time to serve the application for leave to appeal is granted. </w:t>
      </w:r>
      <w:r w:rsidRPr="006F6209">
        <w:rPr>
          <w:sz w:val="20"/>
          <w:lang w:val="en-CA"/>
        </w:rPr>
        <w:t xml:space="preserve">The application for leave to appeal from the judgment of the </w:t>
      </w:r>
      <w:r w:rsidRPr="006F6209">
        <w:rPr>
          <w:sz w:val="20"/>
        </w:rPr>
        <w:t>Court of Appeal for Ontario</w:t>
      </w:r>
      <w:r w:rsidRPr="006F6209">
        <w:rPr>
          <w:sz w:val="20"/>
          <w:lang w:val="en-CA"/>
        </w:rPr>
        <w:t xml:space="preserve">, Number </w:t>
      </w:r>
      <w:r w:rsidRPr="006F6209">
        <w:rPr>
          <w:sz w:val="20"/>
        </w:rPr>
        <w:t>M50019, 2019 ONCA 460</w:t>
      </w:r>
      <w:r w:rsidRPr="006F6209">
        <w:rPr>
          <w:sz w:val="20"/>
          <w:lang w:val="en-CA"/>
        </w:rPr>
        <w:t xml:space="preserve">, dated </w:t>
      </w:r>
      <w:r w:rsidRPr="006F6209">
        <w:rPr>
          <w:sz w:val="20"/>
        </w:rPr>
        <w:t>May 27, 2019,</w:t>
      </w:r>
      <w:r w:rsidRPr="006F6209">
        <w:rPr>
          <w:sz w:val="20"/>
          <w:lang w:val="en-CA"/>
        </w:rPr>
        <w:t xml:space="preserve"> is dismissed with costs.</w:t>
      </w:r>
    </w:p>
    <w:p w:rsidR="000776EA" w:rsidRPr="006F6209" w:rsidRDefault="000776EA" w:rsidP="003747E8">
      <w:pPr>
        <w:widowControl w:val="0"/>
        <w:rPr>
          <w:sz w:val="20"/>
        </w:rPr>
      </w:pPr>
    </w:p>
    <w:p w:rsidR="000776EA" w:rsidRPr="006F6209" w:rsidRDefault="00946CE3" w:rsidP="003747E8">
      <w:pPr>
        <w:widowControl w:val="0"/>
        <w:rPr>
          <w:sz w:val="20"/>
          <w:lang w:val="fr-CA"/>
        </w:rPr>
      </w:pPr>
      <w:r>
        <w:rPr>
          <w:sz w:val="20"/>
        </w:rPr>
        <w:pict>
          <v:rect id="_x0000_i1040" style="width:2in;height:1pt" o:hrpct="0" o:hralign="center" o:hrstd="t" o:hrnoshade="t" o:hr="t" fillcolor="black [3213]" stroked="f"/>
        </w:pict>
      </w:r>
    </w:p>
    <w:p w:rsidR="002E6B31" w:rsidRPr="006F6209" w:rsidRDefault="002E6B31" w:rsidP="003747E8">
      <w:pPr>
        <w:widowControl w:val="0"/>
        <w:rPr>
          <w:sz w:val="20"/>
          <w:lang w:val="fr-CA"/>
        </w:rPr>
      </w:pPr>
    </w:p>
    <w:p w:rsidR="00330825" w:rsidRPr="006F6209" w:rsidRDefault="00330825" w:rsidP="00330825">
      <w:pPr>
        <w:rPr>
          <w:sz w:val="22"/>
          <w:szCs w:val="22"/>
          <w:lang w:val="fr-CA"/>
        </w:rPr>
      </w:pPr>
      <w:r w:rsidRPr="006F6209">
        <w:rPr>
          <w:i/>
          <w:sz w:val="22"/>
          <w:szCs w:val="22"/>
          <w:lang w:val="fr-CA"/>
        </w:rPr>
        <w:t xml:space="preserve">Yvon Durand c. Sa Majesté la Reine </w:t>
      </w:r>
      <w:r w:rsidRPr="006F6209">
        <w:rPr>
          <w:sz w:val="22"/>
          <w:szCs w:val="22"/>
          <w:lang w:val="fr-CA"/>
        </w:rPr>
        <w:t>(Qc) (Criminelle) (Autorisation) (</w:t>
      </w:r>
      <w:hyperlink r:id="rId23" w:history="1">
        <w:r w:rsidRPr="006F6209">
          <w:rPr>
            <w:rStyle w:val="Hyperlink"/>
            <w:sz w:val="22"/>
            <w:szCs w:val="22"/>
            <w:lang w:val="fr-CA"/>
          </w:rPr>
          <w:t>38876</w:t>
        </w:r>
      </w:hyperlink>
      <w:r w:rsidRPr="006F6209">
        <w:rPr>
          <w:sz w:val="22"/>
          <w:szCs w:val="22"/>
          <w:lang w:val="fr-CA"/>
        </w:rPr>
        <w:t>)</w:t>
      </w:r>
    </w:p>
    <w:p w:rsidR="000776EA" w:rsidRPr="006F6209" w:rsidRDefault="000776EA" w:rsidP="003747E8">
      <w:pPr>
        <w:widowControl w:val="0"/>
        <w:rPr>
          <w:sz w:val="20"/>
          <w:lang w:val="fr-CA"/>
        </w:rPr>
      </w:pPr>
    </w:p>
    <w:p w:rsidR="00330825" w:rsidRPr="006F6209" w:rsidRDefault="00330825" w:rsidP="00330825">
      <w:pPr>
        <w:jc w:val="both"/>
        <w:rPr>
          <w:sz w:val="20"/>
          <w:lang w:val="fr-CA"/>
        </w:rPr>
      </w:pPr>
      <w:r w:rsidRPr="006F6209">
        <w:rPr>
          <w:sz w:val="20"/>
          <w:lang w:val="fr-CA"/>
        </w:rPr>
        <w:t>La demande d’autorisation d’appel de l’arrêt de la Cour d’appel du Québec (Montréal), numéro 500</w:t>
      </w:r>
      <w:r w:rsidRPr="006F6209">
        <w:rPr>
          <w:sz w:val="20"/>
          <w:lang w:val="fr-CA"/>
        </w:rPr>
        <w:noBreakHyphen/>
        <w:t>10</w:t>
      </w:r>
      <w:r w:rsidRPr="006F6209">
        <w:rPr>
          <w:sz w:val="20"/>
          <w:lang w:val="fr-CA"/>
        </w:rPr>
        <w:noBreakHyphen/>
        <w:t>005072</w:t>
      </w:r>
      <w:r w:rsidRPr="006F6209">
        <w:rPr>
          <w:sz w:val="20"/>
          <w:lang w:val="fr-CA"/>
        </w:rPr>
        <w:noBreakHyphen/>
        <w:t>127, 2019 QCCA 1416, daté du 29 août 2019, est rejetée sans dépens.</w:t>
      </w:r>
    </w:p>
    <w:p w:rsidR="000776EA" w:rsidRPr="006F6209" w:rsidRDefault="000776EA" w:rsidP="003747E8">
      <w:pPr>
        <w:widowControl w:val="0"/>
        <w:rPr>
          <w:sz w:val="20"/>
          <w:lang w:val="fr-CA"/>
        </w:rPr>
      </w:pPr>
    </w:p>
    <w:p w:rsidR="00330825" w:rsidRPr="006F6209" w:rsidRDefault="00330825" w:rsidP="00330825">
      <w:pPr>
        <w:jc w:val="both"/>
        <w:rPr>
          <w:sz w:val="20"/>
          <w:lang w:val="en-CA"/>
        </w:rPr>
      </w:pPr>
      <w:r w:rsidRPr="006F6209">
        <w:rPr>
          <w:sz w:val="20"/>
          <w:lang w:val="en-CA"/>
        </w:rPr>
        <w:t xml:space="preserve">The application for leave to appeal from the judgment of the </w:t>
      </w:r>
      <w:r w:rsidRPr="006F6209">
        <w:rPr>
          <w:sz w:val="20"/>
        </w:rPr>
        <w:t>Court of Appeal of Quebec (Montréal)</w:t>
      </w:r>
      <w:r w:rsidRPr="006F6209">
        <w:rPr>
          <w:sz w:val="20"/>
          <w:lang w:val="en-CA"/>
        </w:rPr>
        <w:t xml:space="preserve">, Number </w:t>
      </w:r>
      <w:r w:rsidRPr="006F6209">
        <w:rPr>
          <w:sz w:val="20"/>
        </w:rPr>
        <w:t>500</w:t>
      </w:r>
      <w:r w:rsidRPr="006F6209">
        <w:rPr>
          <w:sz w:val="20"/>
        </w:rPr>
        <w:noBreakHyphen/>
        <w:t>10</w:t>
      </w:r>
      <w:r w:rsidRPr="006F6209">
        <w:rPr>
          <w:sz w:val="20"/>
        </w:rPr>
        <w:noBreakHyphen/>
        <w:t>005072</w:t>
      </w:r>
      <w:r w:rsidRPr="006F6209">
        <w:rPr>
          <w:sz w:val="20"/>
        </w:rPr>
        <w:noBreakHyphen/>
        <w:t>127</w:t>
      </w:r>
      <w:r w:rsidRPr="006F6209">
        <w:rPr>
          <w:sz w:val="20"/>
          <w:lang w:val="en-CA"/>
        </w:rPr>
        <w:t xml:space="preserve">, </w:t>
      </w:r>
      <w:r w:rsidRPr="006F6209">
        <w:rPr>
          <w:sz w:val="20"/>
        </w:rPr>
        <w:t xml:space="preserve">2019 QCCA 1416, </w:t>
      </w:r>
      <w:r w:rsidRPr="006F6209">
        <w:rPr>
          <w:sz w:val="20"/>
          <w:lang w:val="en-CA"/>
        </w:rPr>
        <w:t xml:space="preserve">dated </w:t>
      </w:r>
      <w:r w:rsidRPr="006F6209">
        <w:rPr>
          <w:sz w:val="20"/>
        </w:rPr>
        <w:t>August 29, 2019,</w:t>
      </w:r>
      <w:r w:rsidRPr="006F6209">
        <w:rPr>
          <w:sz w:val="20"/>
          <w:lang w:val="en-CA"/>
        </w:rPr>
        <w:t xml:space="preserve"> is dismissed without costs.</w:t>
      </w:r>
    </w:p>
    <w:p w:rsidR="002E6B31" w:rsidRPr="006F6209" w:rsidRDefault="002E6B31" w:rsidP="003747E8">
      <w:pPr>
        <w:widowControl w:val="0"/>
        <w:rPr>
          <w:sz w:val="20"/>
        </w:rPr>
      </w:pPr>
    </w:p>
    <w:p w:rsidR="003747E8" w:rsidRPr="006F6209" w:rsidRDefault="00946CE3" w:rsidP="003747E8">
      <w:pPr>
        <w:widowControl w:val="0"/>
        <w:rPr>
          <w:sz w:val="20"/>
          <w:lang w:val="fr-CA"/>
        </w:rPr>
      </w:pPr>
      <w:r>
        <w:rPr>
          <w:sz w:val="20"/>
        </w:rPr>
        <w:pict>
          <v:rect id="_x0000_i1041" style="width:2in;height:1pt" o:hrpct="0" o:hralign="center" o:hrstd="t" o:hrnoshade="t" o:hr="t" fillcolor="black [3213]" stroked="f"/>
        </w:pict>
      </w:r>
    </w:p>
    <w:p w:rsidR="003747E8" w:rsidRPr="006F6209" w:rsidRDefault="003747E8" w:rsidP="003747E8">
      <w:pPr>
        <w:widowControl w:val="0"/>
        <w:rPr>
          <w:sz w:val="20"/>
          <w:lang w:val="fr-CA"/>
        </w:rPr>
      </w:pPr>
    </w:p>
    <w:p w:rsidR="00330825" w:rsidRPr="006F6209" w:rsidRDefault="00330825" w:rsidP="00330825">
      <w:pPr>
        <w:rPr>
          <w:sz w:val="22"/>
          <w:szCs w:val="22"/>
        </w:rPr>
      </w:pPr>
      <w:r w:rsidRPr="006F6209">
        <w:rPr>
          <w:i/>
          <w:sz w:val="22"/>
          <w:szCs w:val="22"/>
        </w:rPr>
        <w:t xml:space="preserve">Alexander Davidoff v. Sobeys Ontario </w:t>
      </w:r>
      <w:r w:rsidRPr="006F6209">
        <w:rPr>
          <w:sz w:val="22"/>
          <w:szCs w:val="22"/>
        </w:rPr>
        <w:t>(Ont.) (Civil) (By Leave) (</w:t>
      </w:r>
      <w:hyperlink r:id="rId24" w:history="1">
        <w:r w:rsidRPr="006F6209">
          <w:rPr>
            <w:rStyle w:val="Hyperlink"/>
            <w:sz w:val="22"/>
            <w:szCs w:val="22"/>
          </w:rPr>
          <w:t>38953</w:t>
        </w:r>
      </w:hyperlink>
      <w:r w:rsidRPr="006F6209">
        <w:rPr>
          <w:sz w:val="22"/>
          <w:szCs w:val="22"/>
        </w:rPr>
        <w:t>)</w:t>
      </w:r>
    </w:p>
    <w:p w:rsidR="003747E8" w:rsidRPr="006F6209" w:rsidRDefault="003747E8" w:rsidP="003747E8">
      <w:pPr>
        <w:widowControl w:val="0"/>
        <w:rPr>
          <w:sz w:val="20"/>
        </w:rPr>
      </w:pPr>
    </w:p>
    <w:p w:rsidR="00330825" w:rsidRPr="006F6209" w:rsidRDefault="00330825" w:rsidP="00330825">
      <w:pPr>
        <w:jc w:val="both"/>
        <w:rPr>
          <w:sz w:val="20"/>
        </w:rPr>
      </w:pPr>
      <w:r w:rsidRPr="006F6209">
        <w:rPr>
          <w:sz w:val="20"/>
        </w:rPr>
        <w:t>The application for leave to appeal from the judgment of the Court of Appeal for Ontario, Number C65664, 2019 ONCA 684, dated September 4, 2019, is dismissed without costs.</w:t>
      </w:r>
    </w:p>
    <w:p w:rsidR="00330825" w:rsidRPr="006F6209" w:rsidRDefault="00330825" w:rsidP="003747E8">
      <w:pPr>
        <w:widowControl w:val="0"/>
        <w:rPr>
          <w:sz w:val="20"/>
        </w:rPr>
      </w:pPr>
    </w:p>
    <w:p w:rsidR="002E6B31" w:rsidRPr="006F6209" w:rsidRDefault="00330825" w:rsidP="003747E8">
      <w:pPr>
        <w:widowControl w:val="0"/>
        <w:rPr>
          <w:sz w:val="20"/>
          <w:lang w:val="fr-CA"/>
        </w:rPr>
      </w:pPr>
      <w:r w:rsidRPr="006F6209">
        <w:rPr>
          <w:sz w:val="20"/>
          <w:lang w:val="fr-CA"/>
        </w:rPr>
        <w:t>La demande d’autorisation d’appel de l’arrêt de la Cour d’appel de l’Ontario, numéro C65664, 2019 ONCA 684, daté du 4 septembre 2019, est rejetée sans dépens.</w:t>
      </w:r>
    </w:p>
    <w:p w:rsidR="002E6B31" w:rsidRPr="006F6209" w:rsidRDefault="002E6B31" w:rsidP="003747E8">
      <w:pPr>
        <w:widowControl w:val="0"/>
        <w:rPr>
          <w:sz w:val="20"/>
          <w:lang w:val="fr-CA"/>
        </w:rPr>
      </w:pPr>
    </w:p>
    <w:p w:rsidR="003747E8" w:rsidRPr="006F6209" w:rsidRDefault="00946CE3" w:rsidP="003747E8">
      <w:pPr>
        <w:widowControl w:val="0"/>
        <w:rPr>
          <w:sz w:val="20"/>
          <w:lang w:val="fr-CA"/>
        </w:rPr>
      </w:pPr>
      <w:r>
        <w:rPr>
          <w:sz w:val="20"/>
        </w:rPr>
        <w:pict>
          <v:rect id="_x0000_i1042" style="width:2in;height:1pt" o:hrpct="0" o:hralign="center" o:hrstd="t" o:hrnoshade="t" o:hr="t" fillcolor="black [3213]" stroked="f"/>
        </w:pict>
      </w:r>
    </w:p>
    <w:p w:rsidR="003747E8" w:rsidRPr="006F6209" w:rsidRDefault="003747E8" w:rsidP="003747E8">
      <w:pPr>
        <w:widowControl w:val="0"/>
        <w:rPr>
          <w:sz w:val="20"/>
          <w:lang w:val="fr-CA"/>
        </w:rPr>
      </w:pPr>
    </w:p>
    <w:p w:rsidR="008039CE" w:rsidRPr="006F6209" w:rsidRDefault="008039CE" w:rsidP="008039CE">
      <w:pPr>
        <w:rPr>
          <w:sz w:val="22"/>
          <w:szCs w:val="22"/>
        </w:rPr>
      </w:pPr>
      <w:r w:rsidRPr="006F6209">
        <w:rPr>
          <w:i/>
          <w:sz w:val="22"/>
          <w:szCs w:val="22"/>
        </w:rPr>
        <w:t>Talon International Inc. v. Henry Jung and Long Ocean Holding Ltd.</w:t>
      </w:r>
      <w:r w:rsidRPr="006F6209">
        <w:rPr>
          <w:sz w:val="22"/>
          <w:szCs w:val="22"/>
        </w:rPr>
        <w:t xml:space="preserve"> (Ont.) (Civil) (By Leave) (</w:t>
      </w:r>
      <w:hyperlink r:id="rId25" w:history="1">
        <w:r w:rsidRPr="006F6209">
          <w:rPr>
            <w:rStyle w:val="Hyperlink"/>
            <w:sz w:val="22"/>
            <w:szCs w:val="22"/>
          </w:rPr>
          <w:t>38987</w:t>
        </w:r>
      </w:hyperlink>
      <w:r w:rsidRPr="006F6209">
        <w:rPr>
          <w:sz w:val="22"/>
          <w:szCs w:val="22"/>
        </w:rPr>
        <w:t>)</w:t>
      </w:r>
    </w:p>
    <w:p w:rsidR="003747E8" w:rsidRPr="006F6209" w:rsidRDefault="003747E8" w:rsidP="003747E8">
      <w:pPr>
        <w:widowControl w:val="0"/>
        <w:rPr>
          <w:sz w:val="20"/>
        </w:rPr>
      </w:pPr>
    </w:p>
    <w:p w:rsidR="008039CE" w:rsidRPr="006F6209" w:rsidRDefault="008039CE" w:rsidP="003747E8">
      <w:pPr>
        <w:widowControl w:val="0"/>
        <w:rPr>
          <w:sz w:val="20"/>
        </w:rPr>
      </w:pPr>
      <w:r w:rsidRPr="006F6209">
        <w:rPr>
          <w:sz w:val="20"/>
        </w:rPr>
        <w:t>The motion for an extension of time to serve and file the application for leave to appeal is granted. The application for leave to appeal from the judgment of the Court of Appeal for Ontario, Numbers C66092 and C66093,  2019 ONCA 644, dated August 7, 2019, is dismissed with costs fixed at $3,000.00, as agreed by the parties.</w:t>
      </w:r>
    </w:p>
    <w:p w:rsidR="002E6B31" w:rsidRPr="006F6209" w:rsidRDefault="002E6B31" w:rsidP="003747E8">
      <w:pPr>
        <w:widowControl w:val="0"/>
        <w:rPr>
          <w:sz w:val="20"/>
        </w:rPr>
      </w:pPr>
    </w:p>
    <w:p w:rsidR="008039CE" w:rsidRPr="006F6209" w:rsidRDefault="008039CE" w:rsidP="003747E8">
      <w:pPr>
        <w:widowControl w:val="0"/>
        <w:rPr>
          <w:sz w:val="20"/>
          <w:lang w:val="fr-CA"/>
        </w:rPr>
      </w:pPr>
      <w:r w:rsidRPr="006F6209">
        <w:rPr>
          <w:sz w:val="20"/>
          <w:lang w:val="fr-CA"/>
        </w:rPr>
        <w:t>La requête en prorogation du délai de signification et de dépôt de la demande d’autorisation d’appel est accueillie. La demande d’autorisation d’appel de l’arrêt de la Cour d’appel de l’Ontario, numéros C66092 et C66093, 2019 ONCA 644, daté du 7 août 2019, est rejetée avec dépens au montant de 3 000,00$, comme convenu entre les parties.</w:t>
      </w:r>
    </w:p>
    <w:p w:rsidR="002E6B31" w:rsidRPr="006F6209" w:rsidRDefault="002E6B31" w:rsidP="003747E8">
      <w:pPr>
        <w:widowControl w:val="0"/>
        <w:rPr>
          <w:sz w:val="20"/>
          <w:lang w:val="fr-CA"/>
        </w:rPr>
      </w:pPr>
    </w:p>
    <w:p w:rsidR="003747E8" w:rsidRPr="006F6209" w:rsidRDefault="00946CE3" w:rsidP="003747E8">
      <w:pPr>
        <w:widowControl w:val="0"/>
        <w:rPr>
          <w:sz w:val="20"/>
          <w:lang w:val="fr-CA"/>
        </w:rPr>
      </w:pPr>
      <w:r>
        <w:rPr>
          <w:sz w:val="20"/>
        </w:rPr>
        <w:pict>
          <v:rect id="_x0000_i1043" style="width:2in;height:1pt" o:hrpct="0" o:hralign="center" o:hrstd="t" o:hrnoshade="t" o:hr="t" fillcolor="black [3213]" stroked="f"/>
        </w:pict>
      </w:r>
    </w:p>
    <w:p w:rsidR="003747E8" w:rsidRPr="006F6209" w:rsidRDefault="003747E8" w:rsidP="003747E8">
      <w:pPr>
        <w:widowControl w:val="0"/>
        <w:rPr>
          <w:sz w:val="20"/>
          <w:lang w:val="fr-CA"/>
        </w:rPr>
      </w:pPr>
    </w:p>
    <w:p w:rsidR="00D010A1" w:rsidRPr="006F6209" w:rsidRDefault="00D010A1" w:rsidP="00D010A1">
      <w:pPr>
        <w:rPr>
          <w:sz w:val="22"/>
          <w:szCs w:val="22"/>
        </w:rPr>
      </w:pPr>
      <w:r w:rsidRPr="006F6209">
        <w:rPr>
          <w:i/>
          <w:sz w:val="22"/>
          <w:szCs w:val="22"/>
        </w:rPr>
        <w:t xml:space="preserve">Bob Brown and Gábor Lukács v. Canadian Transportation Agency </w:t>
      </w:r>
      <w:r w:rsidRPr="006F6209">
        <w:rPr>
          <w:sz w:val="22"/>
          <w:szCs w:val="22"/>
        </w:rPr>
        <w:t>(F.C.) (Civil) (By Leave) (</w:t>
      </w:r>
      <w:hyperlink r:id="rId26" w:history="1">
        <w:r w:rsidRPr="006F6209">
          <w:rPr>
            <w:rStyle w:val="Hyperlink"/>
            <w:sz w:val="22"/>
            <w:szCs w:val="22"/>
          </w:rPr>
          <w:t>39012</w:t>
        </w:r>
      </w:hyperlink>
      <w:r w:rsidRPr="006F6209">
        <w:rPr>
          <w:sz w:val="22"/>
          <w:szCs w:val="22"/>
        </w:rPr>
        <w:t>)</w:t>
      </w:r>
    </w:p>
    <w:p w:rsidR="003747E8" w:rsidRPr="006F6209" w:rsidRDefault="003747E8" w:rsidP="003747E8">
      <w:pPr>
        <w:widowControl w:val="0"/>
        <w:rPr>
          <w:sz w:val="20"/>
        </w:rPr>
      </w:pPr>
    </w:p>
    <w:p w:rsidR="00D010A1" w:rsidRPr="006F6209" w:rsidRDefault="00D010A1" w:rsidP="00D010A1">
      <w:pPr>
        <w:jc w:val="both"/>
        <w:rPr>
          <w:sz w:val="20"/>
        </w:rPr>
      </w:pPr>
      <w:r w:rsidRPr="006F6209">
        <w:rPr>
          <w:sz w:val="20"/>
        </w:rPr>
        <w:t>The application for leave to appeal from the judgment of the Federal Court of Appeal, Number 19</w:t>
      </w:r>
      <w:r w:rsidRPr="006F6209">
        <w:rPr>
          <w:sz w:val="20"/>
        </w:rPr>
        <w:noBreakHyphen/>
        <w:t>A</w:t>
      </w:r>
      <w:r w:rsidRPr="006F6209">
        <w:rPr>
          <w:sz w:val="20"/>
        </w:rPr>
        <w:noBreakHyphen/>
        <w:t>28, dated August 15, 2019, is dismissed without costs.</w:t>
      </w:r>
    </w:p>
    <w:p w:rsidR="002E6B31" w:rsidRPr="006F6209" w:rsidRDefault="002E6B31" w:rsidP="003747E8">
      <w:pPr>
        <w:widowControl w:val="0"/>
        <w:rPr>
          <w:sz w:val="20"/>
        </w:rPr>
      </w:pPr>
    </w:p>
    <w:p w:rsidR="00D010A1" w:rsidRPr="006F6209" w:rsidRDefault="00D010A1" w:rsidP="003747E8">
      <w:pPr>
        <w:widowControl w:val="0"/>
        <w:rPr>
          <w:sz w:val="20"/>
          <w:lang w:val="fr-CA"/>
        </w:rPr>
      </w:pPr>
      <w:r w:rsidRPr="006F6209">
        <w:rPr>
          <w:sz w:val="20"/>
          <w:lang w:val="fr-CA"/>
        </w:rPr>
        <w:t>La demande d’autorisation d’appel de l’arrêt de la Cour d’appel fédérale, numéro 19</w:t>
      </w:r>
      <w:r w:rsidRPr="006F6209">
        <w:rPr>
          <w:sz w:val="20"/>
          <w:lang w:val="fr-CA"/>
        </w:rPr>
        <w:noBreakHyphen/>
        <w:t>A</w:t>
      </w:r>
      <w:r w:rsidRPr="006F6209">
        <w:rPr>
          <w:sz w:val="20"/>
          <w:lang w:val="fr-CA"/>
        </w:rPr>
        <w:noBreakHyphen/>
        <w:t>28, daté du 15 août 2019, est rejetée sans dépens.</w:t>
      </w:r>
    </w:p>
    <w:p w:rsidR="00B35154" w:rsidRPr="006F6209" w:rsidRDefault="00B35154" w:rsidP="003747E8">
      <w:pPr>
        <w:widowControl w:val="0"/>
        <w:rPr>
          <w:sz w:val="20"/>
          <w:lang w:val="fr-CA"/>
        </w:rPr>
      </w:pPr>
    </w:p>
    <w:p w:rsidR="00B35154" w:rsidRPr="006F6209" w:rsidRDefault="00946CE3" w:rsidP="003747E8">
      <w:pPr>
        <w:widowControl w:val="0"/>
        <w:rPr>
          <w:sz w:val="20"/>
          <w:lang w:val="fr-CA"/>
        </w:rPr>
      </w:pPr>
      <w:r>
        <w:rPr>
          <w:sz w:val="20"/>
        </w:rPr>
        <w:pict>
          <v:rect id="_x0000_i1044" style="width:2in;height:1pt" o:hrpct="0" o:hralign="center" o:hrstd="t" o:hrnoshade="t" o:hr="t" fillcolor="black [3213]" stroked="f"/>
        </w:pict>
      </w:r>
    </w:p>
    <w:p w:rsidR="00B35154" w:rsidRPr="006F6209" w:rsidRDefault="00B35154" w:rsidP="003747E8">
      <w:pPr>
        <w:widowControl w:val="0"/>
        <w:rPr>
          <w:sz w:val="20"/>
          <w:lang w:val="fr-CA"/>
        </w:rPr>
      </w:pPr>
    </w:p>
    <w:p w:rsidR="00254E2D" w:rsidRPr="006F6209" w:rsidRDefault="00254E2D" w:rsidP="00254E2D">
      <w:pPr>
        <w:rPr>
          <w:sz w:val="22"/>
          <w:szCs w:val="22"/>
        </w:rPr>
      </w:pPr>
      <w:r w:rsidRPr="006F6209">
        <w:rPr>
          <w:i/>
          <w:sz w:val="22"/>
          <w:szCs w:val="22"/>
        </w:rPr>
        <w:t xml:space="preserve">Songja Hasselsjo v. Dan Arcand and TD Canada Trust </w:t>
      </w:r>
      <w:r w:rsidRPr="006F6209">
        <w:rPr>
          <w:sz w:val="22"/>
          <w:szCs w:val="22"/>
        </w:rPr>
        <w:t>(Ont.) (Civil) (By Leave) (</w:t>
      </w:r>
      <w:hyperlink r:id="rId27" w:history="1">
        <w:r w:rsidRPr="006F6209">
          <w:rPr>
            <w:rStyle w:val="Hyperlink"/>
            <w:sz w:val="22"/>
            <w:szCs w:val="22"/>
          </w:rPr>
          <w:t>38952</w:t>
        </w:r>
      </w:hyperlink>
      <w:r w:rsidRPr="006F6209">
        <w:rPr>
          <w:sz w:val="22"/>
          <w:szCs w:val="22"/>
        </w:rPr>
        <w:t>)</w:t>
      </w:r>
    </w:p>
    <w:p w:rsidR="00B35154" w:rsidRPr="006F6209" w:rsidRDefault="00B35154" w:rsidP="003747E8">
      <w:pPr>
        <w:widowControl w:val="0"/>
        <w:rPr>
          <w:sz w:val="20"/>
        </w:rPr>
      </w:pPr>
    </w:p>
    <w:p w:rsidR="00254E2D" w:rsidRPr="006F6209" w:rsidRDefault="00254E2D" w:rsidP="00254E2D">
      <w:pPr>
        <w:jc w:val="both"/>
        <w:rPr>
          <w:sz w:val="20"/>
        </w:rPr>
      </w:pPr>
      <w:r w:rsidRPr="006F6209">
        <w:rPr>
          <w:sz w:val="20"/>
        </w:rPr>
        <w:t>The motion for an extension of time to serve and file the reply is granted. The application for leave to appeal from the judgment of the Court of Appeal for Ontario, Number C66841, 2019 ONCA 735, dated September 13, 2019, is dismissed with costs.</w:t>
      </w:r>
    </w:p>
    <w:p w:rsidR="00B35154" w:rsidRPr="006F6209" w:rsidRDefault="00B35154" w:rsidP="003747E8">
      <w:pPr>
        <w:widowControl w:val="0"/>
        <w:rPr>
          <w:sz w:val="20"/>
        </w:rPr>
      </w:pPr>
    </w:p>
    <w:p w:rsidR="00254E2D" w:rsidRPr="006F6209" w:rsidRDefault="00254E2D" w:rsidP="003747E8">
      <w:pPr>
        <w:widowControl w:val="0"/>
        <w:rPr>
          <w:sz w:val="20"/>
          <w:lang w:val="fr-CA"/>
        </w:rPr>
      </w:pPr>
      <w:r w:rsidRPr="006F6209">
        <w:rPr>
          <w:sz w:val="20"/>
          <w:lang w:val="fr-CA"/>
        </w:rPr>
        <w:t>La requête en prorogation du délai de signification et de dépôt de la réplique est accueillie. La demande d’autorisation d’appel de l’arrêt de la Cour d’appel de l’Ontario, numéro C66841, 2019 ONCA 735, daté du 13 septembre 2019, est rejetée avec dépens.</w:t>
      </w:r>
    </w:p>
    <w:p w:rsidR="002E6B31" w:rsidRPr="006F6209" w:rsidRDefault="002E6B31" w:rsidP="003747E8">
      <w:pPr>
        <w:widowControl w:val="0"/>
        <w:rPr>
          <w:sz w:val="20"/>
          <w:lang w:val="fr-CA"/>
        </w:rPr>
      </w:pPr>
    </w:p>
    <w:p w:rsidR="00254E2D" w:rsidRPr="006F6209" w:rsidRDefault="00946CE3" w:rsidP="003747E8">
      <w:pPr>
        <w:widowControl w:val="0"/>
        <w:rPr>
          <w:sz w:val="20"/>
          <w:lang w:val="fr-CA"/>
        </w:rPr>
      </w:pPr>
      <w:r>
        <w:rPr>
          <w:sz w:val="20"/>
        </w:rPr>
        <w:pict>
          <v:rect id="_x0000_i1045" style="width:2in;height:1pt" o:hrpct="0" o:hralign="center" o:hrstd="t" o:hrnoshade="t" o:hr="t" fillcolor="black [3213]" stroked="f"/>
        </w:pict>
      </w:r>
    </w:p>
    <w:p w:rsidR="00254E2D" w:rsidRPr="006F6209" w:rsidRDefault="00254E2D" w:rsidP="003747E8">
      <w:pPr>
        <w:widowControl w:val="0"/>
        <w:rPr>
          <w:sz w:val="20"/>
          <w:lang w:val="fr-CA"/>
        </w:rPr>
      </w:pPr>
    </w:p>
    <w:p w:rsidR="00CF2BF7" w:rsidRPr="006F6209" w:rsidRDefault="00CF2BF7" w:rsidP="00CF2BF7">
      <w:pPr>
        <w:rPr>
          <w:sz w:val="22"/>
          <w:szCs w:val="22"/>
        </w:rPr>
      </w:pPr>
      <w:r w:rsidRPr="006F6209">
        <w:rPr>
          <w:i/>
          <w:sz w:val="22"/>
          <w:szCs w:val="22"/>
        </w:rPr>
        <w:t xml:space="preserve">John (Jack) Wright v. Anne Urbanek on her own behalf and as Trustee of the Wright Family Trust; as Trustee for the A. Urbanek Family Trust and as Estate Trustee for the Estate of Anne Wright, Jacqueline Strauss on her own behalf and as Trustee of the Wright Family Trust; as Trustee for the J. Strauss Family Trust and as Estate Trustee for the Estate of Anne Wright and Anjay Limited </w:t>
      </w:r>
      <w:r w:rsidRPr="006F6209">
        <w:rPr>
          <w:sz w:val="22"/>
          <w:szCs w:val="22"/>
        </w:rPr>
        <w:t>(Ont.) (Civil) (By Leave) (</w:t>
      </w:r>
      <w:hyperlink r:id="rId28" w:history="1">
        <w:r w:rsidRPr="006F6209">
          <w:rPr>
            <w:rStyle w:val="Hyperlink"/>
            <w:sz w:val="22"/>
            <w:szCs w:val="22"/>
          </w:rPr>
          <w:t>38959</w:t>
        </w:r>
      </w:hyperlink>
      <w:r w:rsidRPr="006F6209">
        <w:rPr>
          <w:sz w:val="22"/>
          <w:szCs w:val="22"/>
        </w:rPr>
        <w:t>)</w:t>
      </w:r>
    </w:p>
    <w:p w:rsidR="00254E2D" w:rsidRPr="006F6209" w:rsidRDefault="00254E2D" w:rsidP="003747E8">
      <w:pPr>
        <w:widowControl w:val="0"/>
        <w:rPr>
          <w:sz w:val="20"/>
        </w:rPr>
      </w:pPr>
    </w:p>
    <w:p w:rsidR="00CF2BF7" w:rsidRPr="006F6209" w:rsidRDefault="00CF2BF7" w:rsidP="00CF2BF7">
      <w:pPr>
        <w:jc w:val="both"/>
        <w:rPr>
          <w:sz w:val="20"/>
        </w:rPr>
      </w:pPr>
      <w:r w:rsidRPr="006F6209">
        <w:rPr>
          <w:sz w:val="20"/>
        </w:rPr>
        <w:t>The application for leave to appeal from the judgment of the Court of Appeal for Ontario, Number C66581, 2019 ONCA 823, dated October 17, 2019, is dismissed.</w:t>
      </w:r>
    </w:p>
    <w:p w:rsidR="00254E2D" w:rsidRPr="006F6209" w:rsidRDefault="00254E2D" w:rsidP="003747E8">
      <w:pPr>
        <w:widowControl w:val="0"/>
        <w:rPr>
          <w:sz w:val="20"/>
        </w:rPr>
      </w:pPr>
    </w:p>
    <w:p w:rsidR="00254E2D" w:rsidRPr="006F6209" w:rsidRDefault="00CF2BF7" w:rsidP="003747E8">
      <w:pPr>
        <w:widowControl w:val="0"/>
        <w:rPr>
          <w:sz w:val="20"/>
          <w:lang w:val="fr-CA"/>
        </w:rPr>
      </w:pPr>
      <w:r w:rsidRPr="006F6209">
        <w:rPr>
          <w:sz w:val="20"/>
          <w:lang w:val="fr-CA"/>
        </w:rPr>
        <w:t>La demande d’autorisation d’appel de l’arrêt de la Cour d’appel de l’Ontario, numéro C66581, 2019 ONCA 823, daté du 17 octobre 2019, est rejetée.</w:t>
      </w:r>
    </w:p>
    <w:p w:rsidR="00254E2D" w:rsidRPr="006F6209" w:rsidRDefault="00254E2D" w:rsidP="003747E8">
      <w:pPr>
        <w:widowControl w:val="0"/>
        <w:rPr>
          <w:sz w:val="20"/>
          <w:lang w:val="fr-CA"/>
        </w:rPr>
      </w:pPr>
    </w:p>
    <w:p w:rsidR="003747E8" w:rsidRPr="006F6209" w:rsidRDefault="00946CE3" w:rsidP="003747E8">
      <w:pPr>
        <w:widowControl w:val="0"/>
        <w:rPr>
          <w:sz w:val="20"/>
          <w:lang w:val="fr-CA"/>
        </w:rPr>
      </w:pPr>
      <w:r>
        <w:rPr>
          <w:sz w:val="20"/>
        </w:rPr>
        <w:pict>
          <v:rect id="_x0000_i1046" style="width:2in;height:1pt" o:hrpct="0" o:hralign="center" o:hrstd="t" o:hrnoshade="t" o:hr="t" fillcolor="black [3213]" stroked="f"/>
        </w:pict>
      </w:r>
    </w:p>
    <w:p w:rsidR="003747E8" w:rsidRPr="006F6209" w:rsidRDefault="003747E8" w:rsidP="00D3228D">
      <w:pPr>
        <w:ind w:left="357" w:hanging="357"/>
        <w:jc w:val="both"/>
        <w:rPr>
          <w:sz w:val="20"/>
        </w:rPr>
      </w:pPr>
    </w:p>
    <w:p w:rsidR="002E6B31" w:rsidRPr="006F6209" w:rsidRDefault="002E6B31" w:rsidP="00D3228D">
      <w:pPr>
        <w:ind w:left="357" w:hanging="357"/>
        <w:jc w:val="both"/>
        <w:rPr>
          <w:sz w:val="20"/>
        </w:rPr>
      </w:pPr>
    </w:p>
    <w:p w:rsidR="00A30607" w:rsidRPr="006F6209" w:rsidRDefault="00A30607" w:rsidP="00D3228D">
      <w:pPr>
        <w:ind w:left="357" w:hanging="357"/>
        <w:jc w:val="both"/>
        <w:rPr>
          <w:sz w:val="20"/>
        </w:rPr>
      </w:pPr>
    </w:p>
    <w:p w:rsidR="00D3344A" w:rsidRPr="006F6209" w:rsidRDefault="00D3344A" w:rsidP="00D3344A">
      <w:pPr>
        <w:widowControl w:val="0"/>
        <w:outlineLvl w:val="0"/>
      </w:pPr>
      <w:r w:rsidRPr="006F6209">
        <w:t xml:space="preserve">Supreme Court of Canada / Cour suprême du </w:t>
      </w:r>
      <w:proofErr w:type="gramStart"/>
      <w:r w:rsidRPr="006F6209">
        <w:t>Canada :</w:t>
      </w:r>
      <w:proofErr w:type="gramEnd"/>
      <w:r w:rsidRPr="006F6209">
        <w:t xml:space="preserve"> </w:t>
      </w:r>
    </w:p>
    <w:p w:rsidR="00D3344A" w:rsidRPr="006F6209" w:rsidRDefault="00946CE3" w:rsidP="00D3344A">
      <w:pPr>
        <w:widowControl w:val="0"/>
        <w:outlineLvl w:val="0"/>
        <w:rPr>
          <w:color w:val="0000FF"/>
          <w:u w:val="single"/>
        </w:rPr>
      </w:pPr>
      <w:hyperlink r:id="rId29" w:history="1">
        <w:r w:rsidR="00D3344A" w:rsidRPr="006F6209">
          <w:rPr>
            <w:rStyle w:val="Hyperlink"/>
          </w:rPr>
          <w:t>comments-commentaires@scc-csc.ca</w:t>
        </w:r>
      </w:hyperlink>
    </w:p>
    <w:p w:rsidR="00D3344A" w:rsidRPr="006F6209" w:rsidRDefault="00D3344A" w:rsidP="00D3344A">
      <w:pPr>
        <w:widowControl w:val="0"/>
        <w:outlineLvl w:val="0"/>
      </w:pPr>
      <w:r w:rsidRPr="006F6209">
        <w:t>(613) 995-4330</w:t>
      </w:r>
    </w:p>
    <w:p w:rsidR="00497B5E" w:rsidRPr="006F6209" w:rsidRDefault="00497B5E" w:rsidP="00497B5E">
      <w:pPr>
        <w:widowControl w:val="0"/>
        <w:rPr>
          <w:sz w:val="20"/>
        </w:rPr>
      </w:pPr>
    </w:p>
    <w:p w:rsidR="003F43E6" w:rsidRPr="006F6209" w:rsidRDefault="003F43E6" w:rsidP="00497B5E">
      <w:pPr>
        <w:widowControl w:val="0"/>
        <w:rPr>
          <w:sz w:val="20"/>
        </w:rPr>
      </w:pPr>
    </w:p>
    <w:p w:rsidR="00224F26" w:rsidRPr="00910AEC" w:rsidRDefault="003F43E6" w:rsidP="00DE0F77">
      <w:pPr>
        <w:pStyle w:val="Footer"/>
        <w:jc w:val="center"/>
      </w:pPr>
      <w:r w:rsidRPr="006F6209">
        <w:t>- 30</w:t>
      </w:r>
      <w:r w:rsidR="00312438" w:rsidRPr="006F6209">
        <w:t xml:space="preserve"> -</w:t>
      </w:r>
    </w:p>
    <w:p w:rsidR="00C711D9" w:rsidRPr="00910AEC" w:rsidRDefault="00C711D9">
      <w:pPr>
        <w:pStyle w:val="Footer"/>
        <w:jc w:val="center"/>
      </w:pPr>
    </w:p>
    <w:sectPr w:rsidR="00C711D9" w:rsidRPr="00910AEC" w:rsidSect="007C3E99">
      <w:headerReference w:type="even" r:id="rId30"/>
      <w:headerReference w:type="default" r:id="rId31"/>
      <w:footerReference w:type="even" r:id="rId32"/>
      <w:footerReference w:type="default" r:id="rId33"/>
      <w:headerReference w:type="first" r:id="rId34"/>
      <w:footerReference w:type="first" r:id="rId3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19"/>
  </w:num>
  <w:num w:numId="5">
    <w:abstractNumId w:val="17"/>
  </w:num>
  <w:num w:numId="6">
    <w:abstractNumId w:val="9"/>
  </w:num>
  <w:num w:numId="7">
    <w:abstractNumId w:val="14"/>
  </w:num>
  <w:num w:numId="8">
    <w:abstractNumId w:val="13"/>
  </w:num>
  <w:num w:numId="9">
    <w:abstractNumId w:val="2"/>
  </w:num>
  <w:num w:numId="10">
    <w:abstractNumId w:val="11"/>
  </w:num>
  <w:num w:numId="11">
    <w:abstractNumId w:val="18"/>
  </w:num>
  <w:num w:numId="12">
    <w:abstractNumId w:val="12"/>
  </w:num>
  <w:num w:numId="13">
    <w:abstractNumId w:val="8"/>
  </w:num>
  <w:num w:numId="14">
    <w:abstractNumId w:val="10"/>
  </w:num>
  <w:num w:numId="15">
    <w:abstractNumId w:val="0"/>
  </w:num>
  <w:num w:numId="16">
    <w:abstractNumId w:val="5"/>
  </w:num>
  <w:num w:numId="17">
    <w:abstractNumId w:val="15"/>
  </w:num>
  <w:num w:numId="18">
    <w:abstractNumId w:val="6"/>
  </w:num>
  <w:num w:numId="19">
    <w:abstractNumId w:val="7"/>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7065"/>
    <w:rsid w:val="001670D6"/>
    <w:rsid w:val="00167970"/>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46CE3"/>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BF7"/>
    <w:rsid w:val="00CF3717"/>
    <w:rsid w:val="00CF61C2"/>
    <w:rsid w:val="00CF732A"/>
    <w:rsid w:val="00D010A1"/>
    <w:rsid w:val="00D01241"/>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938" TargetMode="External"/><Relationship Id="rId13" Type="http://schemas.openxmlformats.org/officeDocument/2006/relationships/hyperlink" Target="https://www.scc-csc.ca/case-dossier/info/sum-som-eng.aspx?cas=39016" TargetMode="External"/><Relationship Id="rId18" Type="http://schemas.openxmlformats.org/officeDocument/2006/relationships/hyperlink" Target="https://www.scc-csc.ca/case-dossier/info/sum-som-fra.aspx?cas=38868" TargetMode="External"/><Relationship Id="rId26" Type="http://schemas.openxmlformats.org/officeDocument/2006/relationships/hyperlink" Target="https://www.scc-csc.ca/case-dossier/info/sum-som-eng.aspx?cas=39012" TargetMode="External"/><Relationship Id="rId3" Type="http://schemas.openxmlformats.org/officeDocument/2006/relationships/styles" Target="styles.xml"/><Relationship Id="rId21" Type="http://schemas.openxmlformats.org/officeDocument/2006/relationships/hyperlink" Target="https://www.scc-csc.ca/case-dossier/info/sum-som-eng.aspx?cas=38988"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fra.aspx?cas=38745" TargetMode="External"/><Relationship Id="rId17" Type="http://schemas.openxmlformats.org/officeDocument/2006/relationships/hyperlink" Target="https://www.scc-csc.ca/case-dossier/info/sum-som-eng.aspx?cas=38970" TargetMode="External"/><Relationship Id="rId25" Type="http://schemas.openxmlformats.org/officeDocument/2006/relationships/hyperlink" Target="https://www.scc-csc.ca/case-dossier/info/sum-som-eng.aspx?cas=3898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38969" TargetMode="External"/><Relationship Id="rId20" Type="http://schemas.openxmlformats.org/officeDocument/2006/relationships/hyperlink" Target="https://www.scc-csc.ca/case-dossier/info/sum-som-eng.aspx?cas=38974"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895" TargetMode="External"/><Relationship Id="rId24" Type="http://schemas.openxmlformats.org/officeDocument/2006/relationships/hyperlink" Target="https://www.scc-csc.ca/case-dossier/info/sum-som-eng.aspx?cas=3895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846" TargetMode="External"/><Relationship Id="rId23" Type="http://schemas.openxmlformats.org/officeDocument/2006/relationships/hyperlink" Target="https://www.scc-csc.ca/case-dossier/info/sum-som-fra.aspx?cas=38876" TargetMode="External"/><Relationship Id="rId28" Type="http://schemas.openxmlformats.org/officeDocument/2006/relationships/hyperlink" Target="https://www.scc-csc.ca/case-dossier/info/sum-som-eng.aspx?cas=38959" TargetMode="External"/><Relationship Id="rId36" Type="http://schemas.openxmlformats.org/officeDocument/2006/relationships/fontTable" Target="fontTable.xml"/><Relationship Id="rId10" Type="http://schemas.openxmlformats.org/officeDocument/2006/relationships/hyperlink" Target="https://www.scc-csc.ca/case-dossier/info/sum-som-fra.aspx?cas=38820" TargetMode="External"/><Relationship Id="rId19" Type="http://schemas.openxmlformats.org/officeDocument/2006/relationships/hyperlink" Target="https://www.scc-csc.ca/case-dossier/info/sum-som-fra.aspx?cas=3888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8691" TargetMode="External"/><Relationship Id="rId14" Type="http://schemas.openxmlformats.org/officeDocument/2006/relationships/hyperlink" Target="https://www.scc-csc.ca/case-dossier/info/sum-som-eng.aspx?cas=38940" TargetMode="External"/><Relationship Id="rId22" Type="http://schemas.openxmlformats.org/officeDocument/2006/relationships/hyperlink" Target="https://www.scc-csc.ca/case-dossier/info/sum-som-fra.aspx?cas=38888" TargetMode="External"/><Relationship Id="rId27" Type="http://schemas.openxmlformats.org/officeDocument/2006/relationships/hyperlink" Target="https://www.scc-csc.ca/case-dossier/info/sum-som-eng.aspx?cas=38952"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83B3-3335-4A3F-B5EC-B5320BF6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2020-04-21T12:12:00Z</dcterms:modified>
</cp:coreProperties>
</file>