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415" w:rsidRPr="004C076F" w:rsidRDefault="001C4415" w:rsidP="001C4415">
      <w:pPr>
        <w:pStyle w:val="Header"/>
        <w:jc w:val="center"/>
        <w:rPr>
          <w:b/>
          <w:sz w:val="32"/>
        </w:rPr>
      </w:pPr>
      <w:r w:rsidRPr="004C076F">
        <w:rPr>
          <w:b/>
          <w:sz w:val="32"/>
        </w:rPr>
        <w:t>Supreme Court of Canada / Cour suprême du Canada</w:t>
      </w:r>
    </w:p>
    <w:p w:rsidR="001C4415" w:rsidRPr="004C076F" w:rsidRDefault="001C4415" w:rsidP="001C4415">
      <w:pPr>
        <w:widowControl w:val="0"/>
        <w:rPr>
          <w:i/>
        </w:rPr>
      </w:pPr>
    </w:p>
    <w:p w:rsidR="001C4415" w:rsidRPr="004C076F" w:rsidRDefault="001C4415" w:rsidP="001C4415">
      <w:pPr>
        <w:widowControl w:val="0"/>
        <w:rPr>
          <w:i/>
        </w:rPr>
      </w:pPr>
    </w:p>
    <w:p w:rsidR="001C4415" w:rsidRPr="00DB5074" w:rsidRDefault="001C4415" w:rsidP="001C4415">
      <w:pPr>
        <w:widowControl w:val="0"/>
        <w:rPr>
          <w:i/>
        </w:rPr>
      </w:pPr>
      <w:r w:rsidRPr="00DB5074">
        <w:rPr>
          <w:i/>
        </w:rPr>
        <w:t>(le français suit)</w:t>
      </w:r>
    </w:p>
    <w:p w:rsidR="001C4415" w:rsidRPr="00DB5074" w:rsidRDefault="001C4415" w:rsidP="001C4415">
      <w:pPr>
        <w:widowControl w:val="0"/>
      </w:pPr>
    </w:p>
    <w:p w:rsidR="001C4415" w:rsidRPr="00083873" w:rsidRDefault="00F47871" w:rsidP="00214729">
      <w:pPr>
        <w:widowControl w:val="0"/>
        <w:jc w:val="center"/>
        <w:rPr>
          <w:b/>
        </w:rPr>
      </w:pPr>
      <w:r w:rsidRPr="00083873">
        <w:rPr>
          <w:b/>
        </w:rPr>
        <w:t>DISSENTING</w:t>
      </w:r>
      <w:r w:rsidRPr="00083873">
        <w:t xml:space="preserve"> </w:t>
      </w:r>
      <w:r w:rsidR="000347C1" w:rsidRPr="00083873">
        <w:fldChar w:fldCharType="begin"/>
      </w:r>
      <w:r w:rsidR="00FA7412" w:rsidRPr="00083873">
        <w:instrText xml:space="preserve"> SEQ CHAPTER \h \r 1</w:instrText>
      </w:r>
      <w:r w:rsidR="000347C1" w:rsidRPr="00083873">
        <w:fldChar w:fldCharType="end"/>
      </w:r>
      <w:r w:rsidR="006545ED" w:rsidRPr="00083873">
        <w:rPr>
          <w:b/>
        </w:rPr>
        <w:t xml:space="preserve">REASONS </w:t>
      </w:r>
      <w:r w:rsidR="00FA7412" w:rsidRPr="00083873">
        <w:rPr>
          <w:b/>
        </w:rPr>
        <w:t>TO BE RENDERED IN APPEA</w:t>
      </w:r>
      <w:r w:rsidR="00342E49" w:rsidRPr="00083873">
        <w:rPr>
          <w:b/>
        </w:rPr>
        <w:t>L</w:t>
      </w:r>
      <w:r w:rsidRPr="00083873">
        <w:rPr>
          <w:b/>
        </w:rPr>
        <w:t>S</w:t>
      </w:r>
    </w:p>
    <w:p w:rsidR="005A7C1B" w:rsidRPr="00083873" w:rsidRDefault="005A7C1B" w:rsidP="005A7C1B">
      <w:pPr>
        <w:widowControl w:val="0"/>
      </w:pPr>
    </w:p>
    <w:p w:rsidR="00EC79B0" w:rsidRPr="00083873" w:rsidRDefault="00F47871" w:rsidP="00EC79B0">
      <w:pPr>
        <w:widowControl w:val="0"/>
        <w:rPr>
          <w:b/>
        </w:rPr>
      </w:pPr>
      <w:r w:rsidRPr="00083873">
        <w:rPr>
          <w:b/>
        </w:rPr>
        <w:t>April</w:t>
      </w:r>
      <w:r w:rsidR="00C86395" w:rsidRPr="00083873">
        <w:rPr>
          <w:b/>
        </w:rPr>
        <w:t xml:space="preserve"> </w:t>
      </w:r>
      <w:r w:rsidR="00690520" w:rsidRPr="00083873">
        <w:rPr>
          <w:b/>
        </w:rPr>
        <w:t>2</w:t>
      </w:r>
      <w:r w:rsidR="005973D8" w:rsidRPr="00083873">
        <w:rPr>
          <w:b/>
        </w:rPr>
        <w:t>7</w:t>
      </w:r>
      <w:r w:rsidR="00EC79B0" w:rsidRPr="00083873">
        <w:rPr>
          <w:b/>
        </w:rPr>
        <w:t>, 20</w:t>
      </w:r>
      <w:r w:rsidR="00690520" w:rsidRPr="00083873">
        <w:rPr>
          <w:b/>
        </w:rPr>
        <w:t>2</w:t>
      </w:r>
      <w:r w:rsidR="00CE13DD">
        <w:rPr>
          <w:b/>
        </w:rPr>
        <w:t>0</w:t>
      </w:r>
      <w:bookmarkStart w:id="0" w:name="_GoBack"/>
      <w:bookmarkEnd w:id="0"/>
    </w:p>
    <w:p w:rsidR="00EC79B0" w:rsidRPr="00083873" w:rsidRDefault="00EC79B0" w:rsidP="00EC79B0">
      <w:pPr>
        <w:widowControl w:val="0"/>
        <w:rPr>
          <w:b/>
        </w:rPr>
      </w:pPr>
      <w:r w:rsidRPr="00083873">
        <w:rPr>
          <w:b/>
        </w:rPr>
        <w:t>For immediate release</w:t>
      </w:r>
    </w:p>
    <w:p w:rsidR="00EC79B0" w:rsidRPr="00083873" w:rsidRDefault="00EC79B0" w:rsidP="00EC79B0">
      <w:pPr>
        <w:widowControl w:val="0"/>
      </w:pPr>
    </w:p>
    <w:p w:rsidR="00EC79B0" w:rsidRPr="00083873" w:rsidRDefault="00EC79B0" w:rsidP="00EC79B0">
      <w:pPr>
        <w:widowControl w:val="0"/>
        <w:rPr>
          <w:lang w:val="fr-CA"/>
        </w:rPr>
      </w:pPr>
      <w:r w:rsidRPr="00083873">
        <w:rPr>
          <w:b/>
        </w:rPr>
        <w:t>OTTAWA</w:t>
      </w:r>
      <w:r w:rsidRPr="00083873">
        <w:t xml:space="preserve"> –</w:t>
      </w:r>
      <w:r w:rsidR="00C73BB2" w:rsidRPr="00083873">
        <w:t xml:space="preserve"> On </w:t>
      </w:r>
      <w:r w:rsidR="00F47871" w:rsidRPr="00083873">
        <w:t>December</w:t>
      </w:r>
      <w:r w:rsidR="00C73BB2" w:rsidRPr="00083873">
        <w:t xml:space="preserve"> </w:t>
      </w:r>
      <w:r w:rsidR="00145B0A" w:rsidRPr="00083873">
        <w:t>1</w:t>
      </w:r>
      <w:r w:rsidR="00F47871" w:rsidRPr="00083873">
        <w:t>1</w:t>
      </w:r>
      <w:r w:rsidR="00C73BB2" w:rsidRPr="00083873">
        <w:t>, 201</w:t>
      </w:r>
      <w:r w:rsidR="0043481E" w:rsidRPr="00083873">
        <w:t>9</w:t>
      </w:r>
      <w:r w:rsidR="00C73BB2" w:rsidRPr="00083873">
        <w:t xml:space="preserve">, the Supreme Court of Canada </w:t>
      </w:r>
      <w:r w:rsidR="00F47871" w:rsidRPr="00083873">
        <w:t>dismissed</w:t>
      </w:r>
      <w:r w:rsidR="00C73BB2" w:rsidRPr="00083873">
        <w:t xml:space="preserve"> the appeal</w:t>
      </w:r>
      <w:r w:rsidR="00F47871" w:rsidRPr="00083873">
        <w:t>s</w:t>
      </w:r>
      <w:r w:rsidR="00C73BB2" w:rsidRPr="00083873">
        <w:t xml:space="preserve"> with </w:t>
      </w:r>
      <w:r w:rsidR="00F47871" w:rsidRPr="00083873">
        <w:t xml:space="preserve">dissenting </w:t>
      </w:r>
      <w:r w:rsidR="00C73BB2" w:rsidRPr="00083873">
        <w:t>reasons to follow in the following appeal</w:t>
      </w:r>
      <w:r w:rsidR="00F47871" w:rsidRPr="00083873">
        <w:t>s</w:t>
      </w:r>
      <w:r w:rsidR="00C73BB2" w:rsidRPr="00083873">
        <w:t xml:space="preserve">. The </w:t>
      </w:r>
      <w:r w:rsidR="00F47871" w:rsidRPr="00083873">
        <w:t xml:space="preserve">dissenting </w:t>
      </w:r>
      <w:r w:rsidR="00C73BB2" w:rsidRPr="00083873">
        <w:t>reasons will be delivered at 9:45 a.m. E</w:t>
      </w:r>
      <w:r w:rsidR="00690520" w:rsidRPr="00083873">
        <w:t>D</w:t>
      </w:r>
      <w:r w:rsidR="00C73BB2" w:rsidRPr="00083873">
        <w:t xml:space="preserve">T on </w:t>
      </w:r>
      <w:r w:rsidR="00F47871" w:rsidRPr="00083873">
        <w:t>Fri</w:t>
      </w:r>
      <w:r w:rsidR="006F57A6" w:rsidRPr="00083873">
        <w:t>day</w:t>
      </w:r>
      <w:r w:rsidR="00C73BB2" w:rsidRPr="00083873">
        <w:t xml:space="preserve">, </w:t>
      </w:r>
      <w:r w:rsidR="00F47871" w:rsidRPr="00083873">
        <w:t>May</w:t>
      </w:r>
      <w:r w:rsidR="00C73BB2" w:rsidRPr="00083873">
        <w:t xml:space="preserve"> </w:t>
      </w:r>
      <w:r w:rsidR="00F47871" w:rsidRPr="00083873">
        <w:t>1</w:t>
      </w:r>
      <w:r w:rsidR="00C73BB2" w:rsidRPr="00083873">
        <w:t>, 20</w:t>
      </w:r>
      <w:r w:rsidR="00690520" w:rsidRPr="00083873">
        <w:t>20</w:t>
      </w:r>
      <w:r w:rsidR="00C73BB2" w:rsidRPr="00083873">
        <w:t xml:space="preserve">. </w:t>
      </w:r>
      <w:r w:rsidR="00C73BB2" w:rsidRPr="00083873">
        <w:rPr>
          <w:lang w:val="fr-CA"/>
        </w:rPr>
        <w:t>T</w:t>
      </w:r>
      <w:r w:rsidR="00455BB9" w:rsidRPr="00083873">
        <w:rPr>
          <w:lang w:val="fr-CA"/>
        </w:rPr>
        <w:t>his</w:t>
      </w:r>
      <w:r w:rsidRPr="00083873">
        <w:rPr>
          <w:lang w:val="fr-CA"/>
        </w:rPr>
        <w:t xml:space="preserve"> list is subject to change.</w:t>
      </w:r>
    </w:p>
    <w:p w:rsidR="001C4415" w:rsidRPr="00083873" w:rsidRDefault="001C4415" w:rsidP="001C4415">
      <w:pPr>
        <w:widowControl w:val="0"/>
        <w:rPr>
          <w:lang w:val="fr-CA"/>
        </w:rPr>
      </w:pPr>
    </w:p>
    <w:p w:rsidR="00AB491A" w:rsidRPr="00083873" w:rsidRDefault="00AB491A" w:rsidP="001C4415">
      <w:pPr>
        <w:widowControl w:val="0"/>
        <w:rPr>
          <w:lang w:val="fr-CA"/>
        </w:rPr>
      </w:pPr>
    </w:p>
    <w:p w:rsidR="001335A1" w:rsidRPr="00083873" w:rsidRDefault="001335A1" w:rsidP="001335A1">
      <w:pPr>
        <w:widowControl w:val="0"/>
        <w:jc w:val="center"/>
        <w:rPr>
          <w:b/>
          <w:lang w:val="fr-CA"/>
        </w:rPr>
      </w:pPr>
      <w:r w:rsidRPr="00083873">
        <w:rPr>
          <w:b/>
          <w:lang w:val="fr-CA"/>
        </w:rPr>
        <w:t>PROCHAIN</w:t>
      </w:r>
      <w:r w:rsidR="006545ED" w:rsidRPr="00083873">
        <w:rPr>
          <w:b/>
          <w:lang w:val="fr-CA"/>
        </w:rPr>
        <w:t>S MOTIFS</w:t>
      </w:r>
      <w:r w:rsidR="00F47871" w:rsidRPr="00083873">
        <w:rPr>
          <w:b/>
          <w:lang w:val="fr-CA"/>
        </w:rPr>
        <w:t xml:space="preserve"> DISSIDENTS</w:t>
      </w:r>
      <w:r w:rsidR="006545ED" w:rsidRPr="00083873">
        <w:rPr>
          <w:b/>
          <w:lang w:val="fr-CA"/>
        </w:rPr>
        <w:t xml:space="preserve"> </w:t>
      </w:r>
      <w:r w:rsidR="00455BB9" w:rsidRPr="00083873">
        <w:rPr>
          <w:b/>
          <w:lang w:val="fr-CA"/>
        </w:rPr>
        <w:t>SUR APPEL</w:t>
      </w:r>
      <w:r w:rsidR="00F47871" w:rsidRPr="00083873">
        <w:rPr>
          <w:b/>
          <w:lang w:val="fr-CA"/>
        </w:rPr>
        <w:t>S</w:t>
      </w:r>
    </w:p>
    <w:p w:rsidR="001335A1" w:rsidRPr="00083873" w:rsidRDefault="001335A1" w:rsidP="001335A1">
      <w:pPr>
        <w:widowControl w:val="0"/>
        <w:rPr>
          <w:lang w:val="fr-CA"/>
        </w:rPr>
      </w:pPr>
    </w:p>
    <w:p w:rsidR="00EC79B0" w:rsidRPr="00083873" w:rsidRDefault="00EC79B0" w:rsidP="00EC79B0">
      <w:pPr>
        <w:widowControl w:val="0"/>
        <w:rPr>
          <w:b/>
          <w:lang w:val="fr-CA"/>
        </w:rPr>
      </w:pPr>
      <w:r w:rsidRPr="00083873">
        <w:rPr>
          <w:b/>
          <w:lang w:val="fr-CA"/>
        </w:rPr>
        <w:t xml:space="preserve">Le </w:t>
      </w:r>
      <w:r w:rsidR="00690520" w:rsidRPr="00083873">
        <w:rPr>
          <w:b/>
          <w:lang w:val="fr-CA"/>
        </w:rPr>
        <w:t>2</w:t>
      </w:r>
      <w:r w:rsidR="005973D8" w:rsidRPr="00083873">
        <w:rPr>
          <w:b/>
          <w:lang w:val="fr-CA"/>
        </w:rPr>
        <w:t>7</w:t>
      </w:r>
      <w:r w:rsidR="002F28E0" w:rsidRPr="00083873">
        <w:rPr>
          <w:b/>
          <w:lang w:val="fr-CA"/>
        </w:rPr>
        <w:t xml:space="preserve"> </w:t>
      </w:r>
      <w:r w:rsidR="00690520" w:rsidRPr="00083873">
        <w:rPr>
          <w:b/>
          <w:lang w:val="fr-CA"/>
        </w:rPr>
        <w:t>a</w:t>
      </w:r>
      <w:r w:rsidR="00F47871" w:rsidRPr="00083873">
        <w:rPr>
          <w:b/>
          <w:lang w:val="fr-CA"/>
        </w:rPr>
        <w:t>v</w:t>
      </w:r>
      <w:r w:rsidR="00690520" w:rsidRPr="00083873">
        <w:rPr>
          <w:b/>
          <w:lang w:val="fr-CA"/>
        </w:rPr>
        <w:t>r</w:t>
      </w:r>
      <w:r w:rsidR="00F47871" w:rsidRPr="00083873">
        <w:rPr>
          <w:b/>
          <w:lang w:val="fr-CA"/>
        </w:rPr>
        <w:t>il</w:t>
      </w:r>
      <w:r w:rsidR="00C86395" w:rsidRPr="00083873">
        <w:rPr>
          <w:b/>
          <w:lang w:val="fr-CA"/>
        </w:rPr>
        <w:t xml:space="preserve"> </w:t>
      </w:r>
      <w:r w:rsidR="0086609D" w:rsidRPr="00083873">
        <w:rPr>
          <w:b/>
          <w:lang w:val="fr-CA"/>
        </w:rPr>
        <w:t>20</w:t>
      </w:r>
      <w:r w:rsidR="00690520" w:rsidRPr="00083873">
        <w:rPr>
          <w:b/>
          <w:lang w:val="fr-CA"/>
        </w:rPr>
        <w:t>20</w:t>
      </w:r>
    </w:p>
    <w:p w:rsidR="00EC79B0" w:rsidRPr="00083873" w:rsidRDefault="00EC79B0" w:rsidP="00EC79B0">
      <w:pPr>
        <w:widowControl w:val="0"/>
        <w:rPr>
          <w:b/>
          <w:lang w:val="fr-CA"/>
        </w:rPr>
      </w:pPr>
      <w:r w:rsidRPr="00083873">
        <w:rPr>
          <w:b/>
          <w:lang w:val="fr-CA"/>
        </w:rPr>
        <w:t>Pour diffusion immédiate</w:t>
      </w:r>
    </w:p>
    <w:p w:rsidR="00EC79B0" w:rsidRPr="00083873" w:rsidRDefault="00EC79B0" w:rsidP="00EC79B0">
      <w:pPr>
        <w:widowControl w:val="0"/>
        <w:rPr>
          <w:lang w:val="fr-CA"/>
        </w:rPr>
      </w:pPr>
    </w:p>
    <w:p w:rsidR="00EC79B0" w:rsidRPr="00083873" w:rsidRDefault="00EC79B0" w:rsidP="00EC79B0">
      <w:pPr>
        <w:widowControl w:val="0"/>
        <w:rPr>
          <w:lang w:val="fr-CA"/>
        </w:rPr>
      </w:pPr>
      <w:r w:rsidRPr="00083873">
        <w:rPr>
          <w:b/>
          <w:lang w:val="fr-CA"/>
        </w:rPr>
        <w:t>OTTAWA</w:t>
      </w:r>
      <w:r w:rsidR="00C73BB2" w:rsidRPr="00083873">
        <w:rPr>
          <w:lang w:val="fr-CA"/>
        </w:rPr>
        <w:t xml:space="preserve"> – Le </w:t>
      </w:r>
      <w:r w:rsidR="00145B0A" w:rsidRPr="00083873">
        <w:rPr>
          <w:lang w:val="fr-CA"/>
        </w:rPr>
        <w:t>1</w:t>
      </w:r>
      <w:r w:rsidR="00F47871" w:rsidRPr="00083873">
        <w:rPr>
          <w:lang w:val="fr-CA"/>
        </w:rPr>
        <w:t>1</w:t>
      </w:r>
      <w:r w:rsidR="00C73BB2" w:rsidRPr="00083873">
        <w:rPr>
          <w:lang w:val="fr-CA"/>
        </w:rPr>
        <w:t xml:space="preserve"> </w:t>
      </w:r>
      <w:r w:rsidR="00F47871" w:rsidRPr="00083873">
        <w:rPr>
          <w:lang w:val="fr-CA"/>
        </w:rPr>
        <w:t>dé</w:t>
      </w:r>
      <w:r w:rsidR="00145B0A" w:rsidRPr="00083873">
        <w:rPr>
          <w:lang w:val="fr-CA"/>
        </w:rPr>
        <w:t>c</w:t>
      </w:r>
      <w:r w:rsidR="00F47871" w:rsidRPr="00083873">
        <w:rPr>
          <w:lang w:val="fr-CA"/>
        </w:rPr>
        <w:t>em</w:t>
      </w:r>
      <w:r w:rsidR="00145B0A" w:rsidRPr="00083873">
        <w:rPr>
          <w:lang w:val="fr-CA"/>
        </w:rPr>
        <w:t>bre</w:t>
      </w:r>
      <w:r w:rsidR="00C73BB2" w:rsidRPr="00083873">
        <w:rPr>
          <w:lang w:val="fr-CA"/>
        </w:rPr>
        <w:t xml:space="preserve"> 201</w:t>
      </w:r>
      <w:r w:rsidR="0043481E" w:rsidRPr="00083873">
        <w:rPr>
          <w:lang w:val="fr-CA"/>
        </w:rPr>
        <w:t>9</w:t>
      </w:r>
      <w:r w:rsidR="00C73BB2" w:rsidRPr="00083873">
        <w:rPr>
          <w:lang w:val="fr-CA"/>
        </w:rPr>
        <w:t xml:space="preserve">, la Cour suprême du Canada a </w:t>
      </w:r>
      <w:r w:rsidR="00F47871" w:rsidRPr="00083873">
        <w:rPr>
          <w:lang w:val="fr-CA"/>
        </w:rPr>
        <w:t>rejeté</w:t>
      </w:r>
      <w:r w:rsidR="00C73BB2" w:rsidRPr="00083873">
        <w:rPr>
          <w:lang w:val="fr-CA"/>
        </w:rPr>
        <w:t xml:space="preserve"> </w:t>
      </w:r>
      <w:r w:rsidR="00F47871" w:rsidRPr="00083873">
        <w:rPr>
          <w:lang w:val="fr-CA"/>
        </w:rPr>
        <w:t>les appels</w:t>
      </w:r>
      <w:r w:rsidR="00DB5074" w:rsidRPr="00083873">
        <w:rPr>
          <w:lang w:val="fr-CA"/>
        </w:rPr>
        <w:t xml:space="preserve"> avec</w:t>
      </w:r>
      <w:r w:rsidR="00C73BB2" w:rsidRPr="00083873">
        <w:rPr>
          <w:lang w:val="fr-CA"/>
        </w:rPr>
        <w:t xml:space="preserve"> motifs </w:t>
      </w:r>
      <w:r w:rsidR="00F47871" w:rsidRPr="00083873">
        <w:rPr>
          <w:lang w:val="fr-CA"/>
        </w:rPr>
        <w:t xml:space="preserve">dissidents </w:t>
      </w:r>
      <w:r w:rsidR="00C73BB2" w:rsidRPr="00083873">
        <w:rPr>
          <w:lang w:val="fr-CA"/>
        </w:rPr>
        <w:t xml:space="preserve">à suivre </w:t>
      </w:r>
      <w:r w:rsidR="00C73BB2" w:rsidRPr="00083873">
        <w:rPr>
          <w:szCs w:val="24"/>
          <w:lang w:val="fr-CA"/>
        </w:rPr>
        <w:t>dans</w:t>
      </w:r>
      <w:r w:rsidR="001A02D9" w:rsidRPr="00083873">
        <w:rPr>
          <w:szCs w:val="24"/>
          <w:lang w:val="fr-CA"/>
        </w:rPr>
        <w:t xml:space="preserve"> </w:t>
      </w:r>
      <w:r w:rsidR="00F47871" w:rsidRPr="00083873">
        <w:rPr>
          <w:lang w:val="fr-CA"/>
        </w:rPr>
        <w:t xml:space="preserve">les appels </w:t>
      </w:r>
      <w:r w:rsidR="00C73BB2" w:rsidRPr="00083873">
        <w:rPr>
          <w:lang w:val="fr-CA"/>
        </w:rPr>
        <w:t>suivant</w:t>
      </w:r>
      <w:r w:rsidR="00F47871" w:rsidRPr="00083873">
        <w:rPr>
          <w:lang w:val="fr-CA"/>
        </w:rPr>
        <w:t>s</w:t>
      </w:r>
      <w:r w:rsidR="00C73BB2" w:rsidRPr="00083873">
        <w:rPr>
          <w:lang w:val="fr-CA"/>
        </w:rPr>
        <w:t xml:space="preserve">. </w:t>
      </w:r>
      <w:r w:rsidR="00F47871" w:rsidRPr="00083873">
        <w:rPr>
          <w:lang w:val="fr-CA"/>
        </w:rPr>
        <w:t>L</w:t>
      </w:r>
      <w:r w:rsidR="00C73BB2" w:rsidRPr="00083873">
        <w:rPr>
          <w:lang w:val="fr-CA"/>
        </w:rPr>
        <w:t>es motifs</w:t>
      </w:r>
      <w:r w:rsidR="006F57A6" w:rsidRPr="00083873">
        <w:rPr>
          <w:lang w:val="fr-CA"/>
        </w:rPr>
        <w:t xml:space="preserve"> </w:t>
      </w:r>
      <w:r w:rsidR="00F47871" w:rsidRPr="00083873">
        <w:rPr>
          <w:lang w:val="fr-CA"/>
        </w:rPr>
        <w:t xml:space="preserve">dissidents </w:t>
      </w:r>
      <w:r w:rsidR="006F57A6" w:rsidRPr="00083873">
        <w:rPr>
          <w:lang w:val="fr-CA"/>
        </w:rPr>
        <w:t xml:space="preserve">seront déposés le </w:t>
      </w:r>
      <w:r w:rsidR="00F47871" w:rsidRPr="00083873">
        <w:rPr>
          <w:lang w:val="fr-CA"/>
        </w:rPr>
        <w:t>vendredi</w:t>
      </w:r>
      <w:r w:rsidR="00C73BB2" w:rsidRPr="00083873">
        <w:rPr>
          <w:lang w:val="fr-CA"/>
        </w:rPr>
        <w:t xml:space="preserve"> </w:t>
      </w:r>
      <w:r w:rsidR="00F47871" w:rsidRPr="00083873">
        <w:rPr>
          <w:lang w:val="fr-CA"/>
        </w:rPr>
        <w:t>1</w:t>
      </w:r>
      <w:r w:rsidR="00F47871" w:rsidRPr="00083873">
        <w:rPr>
          <w:vertAlign w:val="superscript"/>
          <w:lang w:val="fr-CA"/>
        </w:rPr>
        <w:t>er</w:t>
      </w:r>
      <w:r w:rsidR="00F47871" w:rsidRPr="00083873">
        <w:rPr>
          <w:lang w:val="fr-CA"/>
        </w:rPr>
        <w:t xml:space="preserve"> m</w:t>
      </w:r>
      <w:r w:rsidR="00690520" w:rsidRPr="00083873">
        <w:rPr>
          <w:lang w:val="fr-CA"/>
        </w:rPr>
        <w:t>ai</w:t>
      </w:r>
      <w:r w:rsidR="00C73BB2" w:rsidRPr="00083873">
        <w:rPr>
          <w:lang w:val="fr-CA"/>
        </w:rPr>
        <w:t xml:space="preserve"> 20</w:t>
      </w:r>
      <w:r w:rsidR="00690520" w:rsidRPr="00083873">
        <w:rPr>
          <w:lang w:val="fr-CA"/>
        </w:rPr>
        <w:t>20</w:t>
      </w:r>
      <w:r w:rsidR="00C73BB2" w:rsidRPr="00083873">
        <w:rPr>
          <w:lang w:val="fr-CA"/>
        </w:rPr>
        <w:t>, à 9 h 45 H</w:t>
      </w:r>
      <w:r w:rsidR="00690520" w:rsidRPr="00083873">
        <w:rPr>
          <w:lang w:val="fr-CA"/>
        </w:rPr>
        <w:t>A</w:t>
      </w:r>
      <w:r w:rsidR="00C73BB2" w:rsidRPr="00083873">
        <w:rPr>
          <w:lang w:val="fr-CA"/>
        </w:rPr>
        <w:t xml:space="preserve">E. </w:t>
      </w:r>
      <w:r w:rsidRPr="00083873">
        <w:rPr>
          <w:lang w:val="fr-CA"/>
        </w:rPr>
        <w:t>Cette liste est sujette à modifications.</w:t>
      </w:r>
    </w:p>
    <w:p w:rsidR="001335A1" w:rsidRPr="00083873" w:rsidRDefault="001335A1" w:rsidP="001335A1">
      <w:pPr>
        <w:widowControl w:val="0"/>
        <w:rPr>
          <w:szCs w:val="24"/>
          <w:lang w:val="fr-CA"/>
        </w:rPr>
      </w:pPr>
    </w:p>
    <w:p w:rsidR="0043481E" w:rsidRPr="0043481E" w:rsidRDefault="00CE13DD" w:rsidP="001335A1">
      <w:pPr>
        <w:widowControl w:val="0"/>
        <w:rPr>
          <w:szCs w:val="24"/>
          <w:lang w:val="fr-CA"/>
        </w:rPr>
      </w:pPr>
      <w:r>
        <w:rPr>
          <w:sz w:val="20"/>
        </w:rPr>
        <w:pict>
          <v:rect id="_x0000_i1025" style="width:2in;height:1pt" o:hrpct="0" o:hralign="center" o:hrstd="t" o:hrnoshade="t" o:hr="t" fillcolor="black [3213]" stroked="f"/>
        </w:pict>
      </w:r>
    </w:p>
    <w:p w:rsidR="001335A1" w:rsidRPr="0043481E" w:rsidRDefault="001335A1" w:rsidP="001335A1">
      <w:pPr>
        <w:widowControl w:val="0"/>
        <w:rPr>
          <w:szCs w:val="24"/>
          <w:lang w:val="fr-CA"/>
        </w:rPr>
      </w:pPr>
    </w:p>
    <w:p w:rsidR="00072A63" w:rsidRPr="003F7FBB" w:rsidRDefault="008F1F0C" w:rsidP="0043481E">
      <w:pPr>
        <w:rPr>
          <w:szCs w:val="24"/>
        </w:rPr>
      </w:pPr>
      <w:r w:rsidRPr="008F1F0C">
        <w:rPr>
          <w:i/>
          <w:iCs/>
          <w:szCs w:val="24"/>
          <w:lang w:val="fr-CA"/>
        </w:rPr>
        <w:t>International Air Transport Association, et al. v. Instrubel, N.V., et al.</w:t>
      </w:r>
      <w:r w:rsidR="0043481E" w:rsidRPr="008F1F0C">
        <w:rPr>
          <w:szCs w:val="24"/>
          <w:lang w:val="fr-CA"/>
        </w:rPr>
        <w:t xml:space="preserve"> </w:t>
      </w:r>
      <w:r w:rsidR="0043481E" w:rsidRPr="008F1F0C">
        <w:rPr>
          <w:szCs w:val="24"/>
        </w:rPr>
        <w:t>(</w:t>
      </w:r>
      <w:r w:rsidRPr="008F1F0C">
        <w:rPr>
          <w:szCs w:val="24"/>
        </w:rPr>
        <w:t>Que</w:t>
      </w:r>
      <w:r w:rsidR="0043481E" w:rsidRPr="008F1F0C">
        <w:rPr>
          <w:szCs w:val="24"/>
        </w:rPr>
        <w:t xml:space="preserve">.) </w:t>
      </w:r>
      <w:r w:rsidR="0043481E" w:rsidRPr="003F7FBB">
        <w:rPr>
          <w:color w:val="333333"/>
          <w:szCs w:val="24"/>
        </w:rPr>
        <w:t>(</w:t>
      </w:r>
      <w:hyperlink r:id="rId7" w:history="1">
        <w:r w:rsidR="0043481E" w:rsidRPr="003F7FBB">
          <w:rPr>
            <w:rStyle w:val="Hyperlink"/>
            <w:szCs w:val="24"/>
          </w:rPr>
          <w:t>38</w:t>
        </w:r>
        <w:r w:rsidRPr="003F7FBB">
          <w:rPr>
            <w:rStyle w:val="Hyperlink"/>
            <w:szCs w:val="24"/>
          </w:rPr>
          <w:t>562</w:t>
        </w:r>
      </w:hyperlink>
      <w:r w:rsidR="0043481E" w:rsidRPr="003F7FBB">
        <w:rPr>
          <w:color w:val="333333"/>
          <w:szCs w:val="24"/>
        </w:rPr>
        <w:t>)</w:t>
      </w:r>
    </w:p>
    <w:p w:rsidR="008F1F0C" w:rsidRPr="003F7FBB" w:rsidRDefault="008F1F0C" w:rsidP="00340C6D">
      <w:pPr>
        <w:jc w:val="both"/>
        <w:rPr>
          <w:sz w:val="20"/>
        </w:rPr>
      </w:pPr>
    </w:p>
    <w:p w:rsidR="008F1F0C" w:rsidRPr="001A557B" w:rsidRDefault="008F1F0C" w:rsidP="008F1F0C">
      <w:pPr>
        <w:widowControl w:val="0"/>
        <w:jc w:val="both"/>
        <w:outlineLvl w:val="0"/>
        <w:rPr>
          <w:sz w:val="20"/>
        </w:rPr>
      </w:pPr>
    </w:p>
    <w:p w:rsidR="008F1F0C" w:rsidRPr="001A557B" w:rsidRDefault="008F1F0C" w:rsidP="008F1F0C">
      <w:pPr>
        <w:pStyle w:val="SCCLsocParty"/>
        <w:ind w:left="720" w:hanging="720"/>
        <w:rPr>
          <w:b/>
          <w:i w:val="0"/>
          <w:sz w:val="20"/>
          <w:szCs w:val="20"/>
          <w:lang w:val="en-US"/>
        </w:rPr>
      </w:pPr>
      <w:r w:rsidRPr="008F1F0C">
        <w:rPr>
          <w:b/>
          <w:i w:val="0"/>
          <w:sz w:val="20"/>
          <w:szCs w:val="20"/>
        </w:rPr>
        <w:fldChar w:fldCharType="begin"/>
      </w:r>
      <w:r w:rsidRPr="008F1F0C">
        <w:rPr>
          <w:b/>
          <w:i w:val="0"/>
          <w:sz w:val="20"/>
          <w:szCs w:val="20"/>
          <w:lang w:val="en-US"/>
        </w:rPr>
        <w:instrText xml:space="preserve"> SEQ CHAPTER \h \r 1</w:instrText>
      </w:r>
      <w:r w:rsidRPr="008F1F0C">
        <w:rPr>
          <w:b/>
          <w:i w:val="0"/>
          <w:sz w:val="20"/>
          <w:szCs w:val="20"/>
        </w:rPr>
        <w:fldChar w:fldCharType="end"/>
      </w:r>
      <w:r w:rsidRPr="008F1F0C">
        <w:rPr>
          <w:b/>
          <w:i w:val="0"/>
          <w:sz w:val="20"/>
          <w:szCs w:val="20"/>
          <w:lang w:val="en-US"/>
        </w:rPr>
        <w:t>38562</w:t>
      </w:r>
      <w:r w:rsidRPr="001A557B">
        <w:rPr>
          <w:sz w:val="20"/>
          <w:szCs w:val="20"/>
          <w:lang w:val="en-US"/>
        </w:rPr>
        <w:tab/>
      </w:r>
      <w:r w:rsidRPr="001A557B">
        <w:rPr>
          <w:b/>
          <w:sz w:val="20"/>
          <w:szCs w:val="20"/>
          <w:lang w:val="en-US"/>
        </w:rPr>
        <w:t>International Air Transport Association v. Instrubel, N.V.</w:t>
      </w:r>
    </w:p>
    <w:p w:rsidR="008F1F0C" w:rsidRPr="001A557B" w:rsidRDefault="008F1F0C" w:rsidP="008F1F0C">
      <w:pPr>
        <w:pStyle w:val="SCCLsocParty"/>
        <w:ind w:left="720" w:hanging="720"/>
        <w:rPr>
          <w:b/>
          <w:i w:val="0"/>
          <w:sz w:val="20"/>
          <w:szCs w:val="20"/>
          <w:lang w:val="en-US"/>
        </w:rPr>
      </w:pPr>
      <w:r w:rsidRPr="001A557B">
        <w:rPr>
          <w:b/>
          <w:sz w:val="20"/>
          <w:szCs w:val="20"/>
          <w:lang w:val="en-US"/>
        </w:rPr>
        <w:tab/>
      </w:r>
      <w:proofErr w:type="gramStart"/>
      <w:r w:rsidRPr="001A557B">
        <w:rPr>
          <w:b/>
          <w:sz w:val="20"/>
          <w:szCs w:val="20"/>
          <w:lang w:val="en-US"/>
        </w:rPr>
        <w:t>and</w:t>
      </w:r>
      <w:proofErr w:type="gramEnd"/>
      <w:r w:rsidRPr="001A557B">
        <w:rPr>
          <w:b/>
          <w:sz w:val="20"/>
          <w:szCs w:val="20"/>
          <w:lang w:val="en-US"/>
        </w:rPr>
        <w:t xml:space="preserve"> -</w:t>
      </w:r>
    </w:p>
    <w:p w:rsidR="008F1F0C" w:rsidRPr="001A557B" w:rsidRDefault="008F1F0C" w:rsidP="008F1F0C">
      <w:pPr>
        <w:pStyle w:val="SCCLsocParty"/>
        <w:ind w:left="720" w:hanging="720"/>
        <w:rPr>
          <w:b/>
          <w:i w:val="0"/>
          <w:sz w:val="20"/>
          <w:szCs w:val="20"/>
          <w:lang w:val="en-US"/>
        </w:rPr>
      </w:pPr>
      <w:r w:rsidRPr="001A557B">
        <w:rPr>
          <w:b/>
          <w:sz w:val="20"/>
          <w:szCs w:val="20"/>
          <w:lang w:val="en-US"/>
        </w:rPr>
        <w:tab/>
        <w:t>Republic of Iraq, Ministry of Industry of the Republic of Iraq, Ministry of Defence of the Republic of Iraq, Salah Aldin State Establishment v. Instrubel, N.V.</w:t>
      </w:r>
    </w:p>
    <w:p w:rsidR="008F1F0C" w:rsidRPr="008F1F0C" w:rsidRDefault="008F1F0C" w:rsidP="008F1F0C">
      <w:pPr>
        <w:pStyle w:val="SCCLsocParty"/>
        <w:ind w:left="720" w:hanging="720"/>
        <w:rPr>
          <w:i w:val="0"/>
          <w:sz w:val="20"/>
          <w:szCs w:val="20"/>
          <w:lang w:val="en-US"/>
        </w:rPr>
      </w:pPr>
      <w:r w:rsidRPr="008F1F0C">
        <w:rPr>
          <w:i w:val="0"/>
          <w:sz w:val="20"/>
          <w:szCs w:val="20"/>
          <w:lang w:val="en-US"/>
        </w:rPr>
        <w:tab/>
        <w:t>(Q</w:t>
      </w:r>
      <w:r w:rsidR="003F7FBB">
        <w:rPr>
          <w:i w:val="0"/>
          <w:sz w:val="20"/>
          <w:szCs w:val="20"/>
          <w:lang w:val="en-US"/>
        </w:rPr>
        <w:t>ue</w:t>
      </w:r>
      <w:r w:rsidRPr="008F1F0C">
        <w:rPr>
          <w:i w:val="0"/>
          <w:sz w:val="20"/>
          <w:szCs w:val="20"/>
          <w:lang w:val="en-US"/>
        </w:rPr>
        <w:t>.) (Civil) (By leave)</w:t>
      </w:r>
    </w:p>
    <w:p w:rsidR="008F1F0C" w:rsidRPr="001A557B" w:rsidRDefault="008F1F0C" w:rsidP="008F1F0C">
      <w:pPr>
        <w:widowControl w:val="0"/>
        <w:jc w:val="both"/>
        <w:rPr>
          <w:sz w:val="20"/>
          <w:lang w:val="en-CA"/>
        </w:rPr>
      </w:pPr>
    </w:p>
    <w:p w:rsidR="008F1F0C" w:rsidRPr="001A557B" w:rsidRDefault="008F1F0C" w:rsidP="008F1F0C">
      <w:pPr>
        <w:widowControl w:val="0"/>
        <w:jc w:val="both"/>
        <w:rPr>
          <w:sz w:val="20"/>
        </w:rPr>
      </w:pPr>
      <w:r w:rsidRPr="001A557B">
        <w:rPr>
          <w:sz w:val="20"/>
        </w:rPr>
        <w:t>Courts - Jurisdiction - Private international law - Extraterritoriality - Civil procedure - Provisional remedies - Seizure before judgment - Garnishment - Dutch company seeking enforcement in Quebec of international arbitration awards issued against Iraq - International Air Transport Authority (IATA) based in Montreal and collecting fees on behalf of Iraqi Civil Aviation Authority for use of Iraqi airspace by international airlines - Fees deposited in IATA bank account in Switzerland -Writ of seizure before judgment by garnishment issued against IATA as garnishee - Whether Quebec courts have territorial jurisdiction to garnish funds held outside Quebec by garnishee located within Quebec - Whether funds collected and held by mandatary on behalf of third party and deposited in mandatary bank account are property of mandatary or third party</w:t>
      </w:r>
    </w:p>
    <w:p w:rsidR="008F1F0C" w:rsidRPr="001A557B" w:rsidRDefault="008F1F0C" w:rsidP="008F1F0C">
      <w:pPr>
        <w:widowControl w:val="0"/>
        <w:jc w:val="both"/>
        <w:rPr>
          <w:sz w:val="20"/>
        </w:rPr>
      </w:pPr>
    </w:p>
    <w:p w:rsidR="008F1F0C" w:rsidRPr="001A557B" w:rsidRDefault="008F1F0C" w:rsidP="008F1F0C">
      <w:pPr>
        <w:jc w:val="both"/>
        <w:rPr>
          <w:sz w:val="20"/>
        </w:rPr>
      </w:pPr>
      <w:r w:rsidRPr="001A557B">
        <w:rPr>
          <w:sz w:val="20"/>
        </w:rPr>
        <w:t xml:space="preserve">Instrubel, N.V., a Dutch company, is suing the Republic of Iraq to recover the price of weapons and other war-related equipment it sold to Iraq during Sadam Hussain’s regime. Instrubel’s claim was recognized by the International Court of Arbitration in Paris, which issued two arbitral awards in 1996 and 2004. The value of these awards was approximately $32 million as of March 12, 2003. Thus far, Iraq has not paid any moneys due. Instrubel filed a motion for recognition and enforcement of the two arbitral awards in Quebec, alleging that Iraq has significant assets in Quebec; specifically, the International Air Transport Association (“IATA”), whose headquarters are based in Montreal, bills and collects air navigation and aerodrome charges payable by various worldwide airlines to the Iraqi Civil Aviation Authority (“ICAA”), in order to be permitted to fly over Iraq’s airspace. Instrubel therefore sought to </w:t>
      </w:r>
      <w:r w:rsidRPr="001A557B">
        <w:rPr>
          <w:sz w:val="20"/>
        </w:rPr>
        <w:lastRenderedPageBreak/>
        <w:t xml:space="preserve">enforce the arbitral award by seizing funds collected by IATA - which Instrubel argues IATA holds for the ICAA, for the benefit of Iraq. </w:t>
      </w:r>
    </w:p>
    <w:p w:rsidR="008F1F0C" w:rsidRPr="001A557B" w:rsidRDefault="008F1F0C" w:rsidP="008F1F0C">
      <w:pPr>
        <w:jc w:val="both"/>
        <w:rPr>
          <w:sz w:val="20"/>
        </w:rPr>
      </w:pPr>
    </w:p>
    <w:p w:rsidR="008F1F0C" w:rsidRPr="001A557B" w:rsidRDefault="008F1F0C" w:rsidP="008F1F0C">
      <w:pPr>
        <w:jc w:val="both"/>
        <w:rPr>
          <w:sz w:val="20"/>
        </w:rPr>
      </w:pPr>
      <w:r w:rsidRPr="001A557B">
        <w:rPr>
          <w:sz w:val="20"/>
        </w:rPr>
        <w:t>Instrubel then obtained (from a judge of the Superior Court of Quebec) a writ of seizure before judgment, by means of garnishment from IATA as a third party garnishee, pending final judgment of Instrubel’s overall claim against Iraq. The writ of seizure ordered IATA to declare all amounts of money it held for the benefit of Iraq, worldwide. In response, the Iraqi appellants filed a motion seeking to quash the writ of seizure, citing various grounds including a lack of jurisdiction by Quebec courts over property located outside Quebec, given that the funds collected and held by IATA were in fact deposited and located in a bank account outside the province, in Switzerland.</w:t>
      </w:r>
    </w:p>
    <w:p w:rsidR="008F1F0C" w:rsidRPr="001A557B" w:rsidRDefault="008F1F0C" w:rsidP="008F1F0C">
      <w:pPr>
        <w:jc w:val="both"/>
        <w:rPr>
          <w:sz w:val="20"/>
        </w:rPr>
      </w:pPr>
    </w:p>
    <w:p w:rsidR="008F1F0C" w:rsidRDefault="008F1F0C" w:rsidP="008F1F0C">
      <w:pPr>
        <w:jc w:val="both"/>
        <w:rPr>
          <w:sz w:val="20"/>
        </w:rPr>
      </w:pPr>
      <w:r w:rsidRPr="001A557B">
        <w:rPr>
          <w:sz w:val="20"/>
        </w:rPr>
        <w:t>The Superior Court of Quebec granted the motion to quash in part, finding that the writ of seizure was invalid insofar as it related to property located outside the province. The Quebec Court of Appeal set aside the Superior Court’s decision, reinstated the scope of the writ of seizure in full, and dismissed the motion to quash, finding that the Quebec courts did have jurisdiction to issue and enforce the writ, even with respect to property located outside the province. Both IATA and the Iraqi appellants appeal the Court of Appeal’s decision.</w:t>
      </w:r>
    </w:p>
    <w:p w:rsidR="008F1F0C" w:rsidRPr="001A557B" w:rsidRDefault="008F1F0C" w:rsidP="008F1F0C">
      <w:pPr>
        <w:jc w:val="both"/>
        <w:rPr>
          <w:sz w:val="20"/>
        </w:rPr>
      </w:pPr>
    </w:p>
    <w:p w:rsidR="008F1F0C" w:rsidRPr="001A557B" w:rsidRDefault="00CE13DD" w:rsidP="008F1F0C">
      <w:pPr>
        <w:jc w:val="both"/>
        <w:rPr>
          <w:sz w:val="20"/>
        </w:rPr>
      </w:pPr>
      <w:r>
        <w:rPr>
          <w:sz w:val="20"/>
        </w:rPr>
        <w:pict>
          <v:rect id="_x0000_i1026" style="width:2in;height:1pt" o:hrpct="0" o:hralign="center" o:hrstd="t" o:hrnoshade="t" o:hr="t" fillcolor="black [3213]" stroked="f"/>
        </w:pict>
      </w:r>
    </w:p>
    <w:p w:rsidR="008F1F0C" w:rsidRPr="001A557B" w:rsidRDefault="008F1F0C" w:rsidP="008F1F0C">
      <w:pPr>
        <w:jc w:val="both"/>
        <w:rPr>
          <w:sz w:val="20"/>
        </w:rPr>
      </w:pPr>
    </w:p>
    <w:p w:rsidR="008F1F0C" w:rsidRPr="001A557B" w:rsidRDefault="008F1F0C" w:rsidP="008F1F0C">
      <w:pPr>
        <w:pStyle w:val="SCCLsocParty"/>
        <w:ind w:left="720" w:hanging="720"/>
        <w:rPr>
          <w:b/>
          <w:i w:val="0"/>
          <w:sz w:val="20"/>
          <w:szCs w:val="20"/>
        </w:rPr>
      </w:pPr>
      <w:r w:rsidRPr="008F1F0C">
        <w:rPr>
          <w:b/>
          <w:i w:val="0"/>
          <w:sz w:val="20"/>
          <w:szCs w:val="20"/>
        </w:rPr>
        <w:fldChar w:fldCharType="begin"/>
      </w:r>
      <w:r w:rsidRPr="008F1F0C">
        <w:rPr>
          <w:b/>
          <w:i w:val="0"/>
          <w:sz w:val="20"/>
          <w:szCs w:val="20"/>
        </w:rPr>
        <w:instrText xml:space="preserve"> SEQ CHAPTER \h \r 1</w:instrText>
      </w:r>
      <w:r w:rsidRPr="008F1F0C">
        <w:rPr>
          <w:b/>
          <w:i w:val="0"/>
          <w:sz w:val="20"/>
          <w:szCs w:val="20"/>
        </w:rPr>
        <w:fldChar w:fldCharType="end"/>
      </w:r>
      <w:r w:rsidRPr="008F1F0C">
        <w:rPr>
          <w:b/>
          <w:i w:val="0"/>
          <w:sz w:val="20"/>
          <w:szCs w:val="20"/>
        </w:rPr>
        <w:t>38562</w:t>
      </w:r>
      <w:r w:rsidRPr="008F1F0C">
        <w:rPr>
          <w:i w:val="0"/>
          <w:sz w:val="20"/>
          <w:szCs w:val="20"/>
        </w:rPr>
        <w:tab/>
      </w:r>
      <w:r w:rsidRPr="001A557B">
        <w:rPr>
          <w:b/>
          <w:sz w:val="20"/>
          <w:szCs w:val="20"/>
        </w:rPr>
        <w:t>International Air Transport Association c. Instrubel, N.V.</w:t>
      </w:r>
    </w:p>
    <w:p w:rsidR="008F1F0C" w:rsidRPr="001A557B" w:rsidRDefault="008F1F0C" w:rsidP="008F1F0C">
      <w:pPr>
        <w:pStyle w:val="SCCLsocParty"/>
        <w:ind w:left="720" w:hanging="720"/>
        <w:rPr>
          <w:b/>
          <w:i w:val="0"/>
          <w:sz w:val="20"/>
          <w:szCs w:val="20"/>
        </w:rPr>
      </w:pPr>
      <w:r w:rsidRPr="001A557B">
        <w:rPr>
          <w:b/>
          <w:sz w:val="20"/>
          <w:szCs w:val="20"/>
        </w:rPr>
        <w:tab/>
      </w:r>
      <w:proofErr w:type="gramStart"/>
      <w:r w:rsidRPr="001A557B">
        <w:rPr>
          <w:b/>
          <w:sz w:val="20"/>
          <w:szCs w:val="20"/>
        </w:rPr>
        <w:t>et</w:t>
      </w:r>
      <w:proofErr w:type="gramEnd"/>
      <w:r w:rsidRPr="001A557B">
        <w:rPr>
          <w:b/>
          <w:sz w:val="20"/>
          <w:szCs w:val="20"/>
        </w:rPr>
        <w:t xml:space="preserve"> -</w:t>
      </w:r>
    </w:p>
    <w:p w:rsidR="008F1F0C" w:rsidRPr="001A557B" w:rsidRDefault="008F1F0C" w:rsidP="008F1F0C">
      <w:pPr>
        <w:pStyle w:val="SCCLsocParty"/>
        <w:ind w:left="720" w:hanging="720"/>
        <w:rPr>
          <w:b/>
          <w:i w:val="0"/>
          <w:sz w:val="20"/>
          <w:szCs w:val="20"/>
        </w:rPr>
      </w:pPr>
      <w:r w:rsidRPr="001A557B">
        <w:rPr>
          <w:b/>
          <w:sz w:val="20"/>
          <w:szCs w:val="20"/>
        </w:rPr>
        <w:tab/>
        <w:t>République d’Iraq,  ministère de l’Industrie de la République d’Iraq, ministère de la Défense de la République d’Iraq, Salah Aldin State Establishment c. Instrubel, N.V.</w:t>
      </w:r>
    </w:p>
    <w:p w:rsidR="008F1F0C" w:rsidRPr="008F1F0C" w:rsidRDefault="008F1F0C" w:rsidP="008F1F0C">
      <w:pPr>
        <w:pStyle w:val="SCCLsocParty"/>
        <w:ind w:left="720" w:hanging="720"/>
        <w:rPr>
          <w:i w:val="0"/>
          <w:sz w:val="20"/>
          <w:szCs w:val="20"/>
        </w:rPr>
      </w:pPr>
      <w:r w:rsidRPr="008F1F0C">
        <w:rPr>
          <w:i w:val="0"/>
          <w:sz w:val="20"/>
          <w:szCs w:val="20"/>
        </w:rPr>
        <w:tab/>
        <w:t>(Qc) (Civile) (Autorisation)</w:t>
      </w:r>
    </w:p>
    <w:p w:rsidR="008F1F0C" w:rsidRPr="001A557B" w:rsidRDefault="008F1F0C" w:rsidP="008F1F0C">
      <w:pPr>
        <w:widowControl w:val="0"/>
        <w:jc w:val="both"/>
        <w:rPr>
          <w:sz w:val="20"/>
          <w:lang w:val="fr-CA"/>
        </w:rPr>
      </w:pPr>
    </w:p>
    <w:p w:rsidR="008F1F0C" w:rsidRPr="001A557B" w:rsidRDefault="008F1F0C" w:rsidP="008F1F0C">
      <w:pPr>
        <w:widowControl w:val="0"/>
        <w:jc w:val="both"/>
        <w:rPr>
          <w:sz w:val="20"/>
          <w:lang w:val="fr-CA"/>
        </w:rPr>
      </w:pPr>
      <w:r w:rsidRPr="001A557B">
        <w:rPr>
          <w:sz w:val="20"/>
          <w:lang w:val="fr-CA"/>
        </w:rPr>
        <w:t>Tribunaux - Compétence - Droit international privé - Extraterritorialité - Procédure civile - Réparations provisoires - Saisie avant le jugement - Saisie-arrêt - Société néerlandaise demandant l’exécution au Québec de sentences arbitrales internationales prononcées contre l’Iraq - Perception de droits par l’Association du Transport Aérien International (IATA) établie à Montréal au nom de l’Iraqi Civil Aviation Authority pour que les compagnies aériennes internationales puissent utiliser l’espace aérien de l’Iraq - Droits déposés dans un compte bancaire de l’IATA en Suisse - Bref de saisie-arrêt avant jugement délivré contre l’IATA à titre de tiers-saisi - Les tribunaux québécois ont-ils compétence territoriale pour saisir en main tierce des fonds détenus à l’extérieur du Québec par un tiers-saisi qui se trouve au Québec? - Les fonds recueillis et détenus par le mandataire au nom d’un tiers et déposés dans le compte bancaire du mandataire appartiennent-ils à ce dernier ou au tiers?</w:t>
      </w:r>
    </w:p>
    <w:p w:rsidR="008F1F0C" w:rsidRPr="001A557B" w:rsidRDefault="008F1F0C" w:rsidP="008F1F0C">
      <w:pPr>
        <w:widowControl w:val="0"/>
        <w:jc w:val="both"/>
        <w:rPr>
          <w:sz w:val="20"/>
          <w:lang w:val="fr-CA"/>
        </w:rPr>
      </w:pPr>
    </w:p>
    <w:p w:rsidR="008F1F0C" w:rsidRPr="001A557B" w:rsidRDefault="008F1F0C" w:rsidP="008F1F0C">
      <w:pPr>
        <w:jc w:val="both"/>
        <w:rPr>
          <w:sz w:val="20"/>
          <w:lang w:val="fr-CA"/>
        </w:rPr>
      </w:pPr>
      <w:r w:rsidRPr="001A557B">
        <w:rPr>
          <w:sz w:val="20"/>
          <w:lang w:val="fr-CA"/>
        </w:rPr>
        <w:t xml:space="preserve">Instrubel, N.V., une société néerlandaise, poursuit la République d’Iraq pour recouvrer le prix d’armes et d’autre matériel de guerre qu’elle a vendus à l’Iraq pendant le régime de Saddam Hussein. La créance d’Instrubel a été reconnue par la Cour internationale d’arbitrage à Paris, qui a rendu deux sentences arbitrales, en 1996 et en 2004. Ces sentences avaient une valeur d’environ 32 millions de dollars au 12 mars 2003. Jusqu’à maintenant, l’Iraq n’a pas payé les sommes dues. Instrubel a déposé une requête en reconnaissance et en exécution des deux sentences arbitrales au Québec, alléguant que l’Iraq possède des actifs substantiels au Québec; plus précisément, l’Association du Transport Aérien International (« IATA »), dont le siège social est situé à Montréal, facture et perçoit les droits de navigation aérienne et d’aérodrome payables par diverses compagnies aériennes internationales à l’Iraqi Civil Aviation Authority (« ICAA »), afin d’être autorisées à survoler l’espace aérien iraquien. Instrubel a donc cherché à faire exécuter la sentence arbitrale en saisissant les fonds perçus par l’IATA — et que cette dernière, selon Instrubel, détient pour l’ICAA, à l’avantage de l’Iraq. </w:t>
      </w:r>
    </w:p>
    <w:p w:rsidR="008F1F0C" w:rsidRPr="001A557B" w:rsidRDefault="008F1F0C" w:rsidP="008F1F0C">
      <w:pPr>
        <w:jc w:val="both"/>
        <w:rPr>
          <w:sz w:val="20"/>
          <w:lang w:val="fr-CA"/>
        </w:rPr>
      </w:pPr>
    </w:p>
    <w:p w:rsidR="008F1F0C" w:rsidRPr="001A557B" w:rsidRDefault="008F1F0C" w:rsidP="008F1F0C">
      <w:pPr>
        <w:jc w:val="both"/>
        <w:rPr>
          <w:sz w:val="20"/>
          <w:lang w:val="fr-CA"/>
        </w:rPr>
      </w:pPr>
      <w:r w:rsidRPr="001A557B">
        <w:rPr>
          <w:sz w:val="20"/>
          <w:lang w:val="fr-CA"/>
        </w:rPr>
        <w:t>Instrubel a ensuite obtenu (d’une juge de la Cour supérieure du Québec), un bref de saisie-arrêt avant jugement contre l’IATA à titre de tiers-saisi en attente du jugement définitif sur la réclamation globale d’Instrubel contre l’Iraq. Le bref de saisie ordonnait à l’IATA de déclarer toutes les sommes d’argent qu’elle détenait à l’avantage de l’Iraq partout dans le monde. En guise de réponse, les appelants iraquiens ont déposé une requête en cassation du bref de saisie, invoquant divers moyens, notamment l’absence de compétence des tribunaux québécois à l’égard de biens situés à l’extérieur du Québec, vu que les fonds perçus et détenus par l’IATA avaient en fait été déposés dans un compte bancaire à l’extérieur de la province, en Suisse, où ils se trouvaient encore.</w:t>
      </w:r>
    </w:p>
    <w:p w:rsidR="008F1F0C" w:rsidRPr="001A557B" w:rsidRDefault="008F1F0C" w:rsidP="008F1F0C">
      <w:pPr>
        <w:jc w:val="both"/>
        <w:rPr>
          <w:sz w:val="20"/>
          <w:lang w:val="fr-CA"/>
        </w:rPr>
      </w:pPr>
    </w:p>
    <w:p w:rsidR="008F1F0C" w:rsidRPr="001A557B" w:rsidRDefault="008F1F0C" w:rsidP="008F1F0C">
      <w:pPr>
        <w:jc w:val="both"/>
        <w:rPr>
          <w:sz w:val="20"/>
          <w:lang w:val="fr-CA"/>
        </w:rPr>
      </w:pPr>
      <w:r w:rsidRPr="001A557B">
        <w:rPr>
          <w:sz w:val="20"/>
          <w:lang w:val="fr-CA"/>
        </w:rPr>
        <w:t xml:space="preserve">Le juge de la Cour supérieure du Québec a accueilli en partie la requête en cassation et conclu que le bref de saisie était invalide pour le motif qu’il portait sur des biens qui se trouvaient à l’extérieur de la province. La Cour d’appel du Québec a annulé la décision de la Cour supérieure, rétabli la portée du bref de saisie dans son intégralité et rejeté la requête en cassation, estimant que les tribunaux québécois avaient effectivement compétence pour délivrer et faire </w:t>
      </w:r>
      <w:r w:rsidRPr="001A557B">
        <w:rPr>
          <w:sz w:val="20"/>
          <w:lang w:val="fr-CA"/>
        </w:rPr>
        <w:lastRenderedPageBreak/>
        <w:t>exécuter le bref, même à l’égard de biens situés à l’extérieur de la province. L’IATA et les appelants iraquiens interjettent appel de l’arrêt de la Cour d’appel.</w:t>
      </w:r>
    </w:p>
    <w:p w:rsidR="008F1F0C" w:rsidRDefault="008F1F0C" w:rsidP="00340C6D">
      <w:pPr>
        <w:jc w:val="both"/>
        <w:rPr>
          <w:sz w:val="20"/>
          <w:lang w:val="fr-CA"/>
        </w:rPr>
      </w:pPr>
    </w:p>
    <w:p w:rsidR="0043481E" w:rsidRPr="0043481E" w:rsidRDefault="00CE13DD" w:rsidP="00340C6D">
      <w:pPr>
        <w:jc w:val="both"/>
        <w:rPr>
          <w:szCs w:val="24"/>
          <w:lang w:val="fr-CA"/>
        </w:rPr>
      </w:pPr>
      <w:r>
        <w:rPr>
          <w:sz w:val="20"/>
        </w:rPr>
        <w:pict>
          <v:rect id="_x0000_i1027" style="width:2in;height:1pt" o:hrpct="0" o:hralign="center" o:hrstd="t" o:hrnoshade="t" o:hr="t" fillcolor="black [3213]" stroked="f"/>
        </w:pict>
      </w:r>
    </w:p>
    <w:p w:rsidR="0043481E" w:rsidRPr="0043481E" w:rsidRDefault="0043481E" w:rsidP="00340C6D">
      <w:pPr>
        <w:jc w:val="both"/>
        <w:rPr>
          <w:szCs w:val="24"/>
          <w:lang w:val="fr-CA"/>
        </w:rPr>
      </w:pPr>
    </w:p>
    <w:p w:rsidR="00ED67FB" w:rsidRPr="009B603F" w:rsidRDefault="00ED67FB" w:rsidP="00340C6D">
      <w:pPr>
        <w:jc w:val="both"/>
        <w:rPr>
          <w:szCs w:val="24"/>
          <w:lang w:val="fr-CA"/>
        </w:rPr>
      </w:pPr>
    </w:p>
    <w:p w:rsidR="00072A63" w:rsidRPr="009B603F" w:rsidRDefault="00072A63" w:rsidP="00EC79B0">
      <w:pPr>
        <w:jc w:val="both"/>
        <w:rPr>
          <w:szCs w:val="24"/>
          <w:lang w:val="fr-CA"/>
        </w:rPr>
      </w:pPr>
    </w:p>
    <w:p w:rsidR="001C4415" w:rsidRPr="004C076F" w:rsidRDefault="001C4415" w:rsidP="001C4415">
      <w:pPr>
        <w:widowControl w:val="0"/>
        <w:outlineLvl w:val="0"/>
      </w:pPr>
      <w:r w:rsidRPr="004C076F">
        <w:t xml:space="preserve">Supreme Court of Canada / Cour suprême du </w:t>
      </w:r>
      <w:proofErr w:type="gramStart"/>
      <w:r w:rsidRPr="004C076F">
        <w:t>Canada :</w:t>
      </w:r>
      <w:proofErr w:type="gramEnd"/>
      <w:r w:rsidRPr="004C076F">
        <w:t xml:space="preserve"> </w:t>
      </w:r>
    </w:p>
    <w:p w:rsidR="001C4415" w:rsidRPr="004C076F" w:rsidRDefault="00CE13DD" w:rsidP="001C4415">
      <w:pPr>
        <w:widowControl w:val="0"/>
        <w:outlineLvl w:val="0"/>
      </w:pPr>
      <w:hyperlink r:id="rId8" w:history="1">
        <w:r w:rsidR="001C4415" w:rsidRPr="004C076F">
          <w:rPr>
            <w:rStyle w:val="Hyperlink"/>
          </w:rPr>
          <w:t>comments-commentaires@scc-csc.ca</w:t>
        </w:r>
      </w:hyperlink>
    </w:p>
    <w:p w:rsidR="001C4415" w:rsidRPr="004C076F" w:rsidRDefault="001C4415" w:rsidP="001C4415">
      <w:pPr>
        <w:widowControl w:val="0"/>
        <w:outlineLvl w:val="0"/>
      </w:pPr>
      <w:r w:rsidRPr="004C076F">
        <w:t>(613) 995-4330</w:t>
      </w:r>
    </w:p>
    <w:p w:rsidR="001C4415" w:rsidRPr="004C076F" w:rsidRDefault="001C4415" w:rsidP="001C4415">
      <w:pPr>
        <w:widowControl w:val="0"/>
        <w:rPr>
          <w:sz w:val="20"/>
        </w:rPr>
      </w:pPr>
    </w:p>
    <w:p w:rsidR="0036476C" w:rsidRPr="00A8502B" w:rsidRDefault="001C4415" w:rsidP="0036476C">
      <w:pPr>
        <w:pStyle w:val="Footer"/>
        <w:jc w:val="center"/>
        <w:rPr>
          <w:lang w:val="fr-CA"/>
        </w:rPr>
      </w:pPr>
      <w:r w:rsidRPr="004C076F">
        <w:rPr>
          <w:lang w:val="fr-CA"/>
        </w:rPr>
        <w:t xml:space="preserve">- 30 </w:t>
      </w:r>
      <w:r w:rsidR="003C1B6E" w:rsidRPr="004C076F">
        <w:rPr>
          <w:lang w:val="fr-CA"/>
        </w:rPr>
        <w:t>-</w:t>
      </w:r>
    </w:p>
    <w:p w:rsidR="0036476C" w:rsidRPr="00A8502B" w:rsidRDefault="0036476C" w:rsidP="0036476C">
      <w:pPr>
        <w:pStyle w:val="Footer"/>
        <w:jc w:val="center"/>
        <w:rPr>
          <w:lang w:val="fr-CA"/>
        </w:rPr>
      </w:pPr>
    </w:p>
    <w:sectPr w:rsidR="0036476C" w:rsidRPr="00A8502B" w:rsidSect="00D362A2">
      <w:headerReference w:type="even" r:id="rId9"/>
      <w:headerReference w:type="default" r:id="rId10"/>
      <w:footerReference w:type="even" r:id="rId11"/>
      <w:footerReference w:type="default" r:id="rId12"/>
      <w:headerReference w:type="first" r:id="rId13"/>
      <w:footerReference w:type="first" r:id="rId14"/>
      <w:pgSz w:w="12240" w:h="15840"/>
      <w:pgMar w:top="900" w:right="1440" w:bottom="806" w:left="1440" w:header="1080" w:footer="5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CAD" w:rsidRDefault="00FF3CAD">
      <w:r>
        <w:separator/>
      </w:r>
    </w:p>
  </w:endnote>
  <w:endnote w:type="continuationSeparator" w:id="0">
    <w:p w:rsidR="00FF3CAD" w:rsidRDefault="00FF3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spacing w:line="0" w:lineRule="atLea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CAD" w:rsidRDefault="00FF3CAD">
      <w:r>
        <w:separator/>
      </w:r>
    </w:p>
  </w:footnote>
  <w:footnote w:type="continuationSeparator" w:id="0">
    <w:p w:rsidR="00FF3CAD" w:rsidRDefault="00FF3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3274A"/>
    <w:multiLevelType w:val="hybridMultilevel"/>
    <w:tmpl w:val="EF6A5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825C16"/>
    <w:multiLevelType w:val="hybridMultilevel"/>
    <w:tmpl w:val="0D664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4E6CDB"/>
    <w:multiLevelType w:val="hybridMultilevel"/>
    <w:tmpl w:val="C3006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removePersonalInformation/>
  <w:removeDateAndTime/>
  <w:bordersDoNotSurroundHeader/>
  <w:bordersDoNotSurroundFooter/>
  <w:proofState w:spelling="clean" w:grammar="clean"/>
  <w:defaultTabStop w:val="36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50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86C"/>
    <w:rsid w:val="000015B6"/>
    <w:rsid w:val="000100BA"/>
    <w:rsid w:val="00010D78"/>
    <w:rsid w:val="0001212E"/>
    <w:rsid w:val="0001605B"/>
    <w:rsid w:val="0001634B"/>
    <w:rsid w:val="0002161B"/>
    <w:rsid w:val="00021901"/>
    <w:rsid w:val="0003356F"/>
    <w:rsid w:val="000347C1"/>
    <w:rsid w:val="00035555"/>
    <w:rsid w:val="00035B99"/>
    <w:rsid w:val="0003611D"/>
    <w:rsid w:val="0003620E"/>
    <w:rsid w:val="00037405"/>
    <w:rsid w:val="00042B21"/>
    <w:rsid w:val="000446D3"/>
    <w:rsid w:val="000454BF"/>
    <w:rsid w:val="00053111"/>
    <w:rsid w:val="00060140"/>
    <w:rsid w:val="00060B39"/>
    <w:rsid w:val="00061A14"/>
    <w:rsid w:val="00072A63"/>
    <w:rsid w:val="0008116D"/>
    <w:rsid w:val="00083873"/>
    <w:rsid w:val="000855FD"/>
    <w:rsid w:val="00087122"/>
    <w:rsid w:val="0009615F"/>
    <w:rsid w:val="000A063C"/>
    <w:rsid w:val="000A21DA"/>
    <w:rsid w:val="000A30BB"/>
    <w:rsid w:val="000A33B2"/>
    <w:rsid w:val="000A401F"/>
    <w:rsid w:val="000A7900"/>
    <w:rsid w:val="000B0E38"/>
    <w:rsid w:val="000B216A"/>
    <w:rsid w:val="000B6CE0"/>
    <w:rsid w:val="000C1225"/>
    <w:rsid w:val="000C466B"/>
    <w:rsid w:val="000C7C9D"/>
    <w:rsid w:val="000D25C5"/>
    <w:rsid w:val="000D4096"/>
    <w:rsid w:val="000D413D"/>
    <w:rsid w:val="000D682D"/>
    <w:rsid w:val="000E1FA5"/>
    <w:rsid w:val="000E33A8"/>
    <w:rsid w:val="000E457A"/>
    <w:rsid w:val="000F2225"/>
    <w:rsid w:val="000F2F73"/>
    <w:rsid w:val="000F5730"/>
    <w:rsid w:val="000F7714"/>
    <w:rsid w:val="001002A7"/>
    <w:rsid w:val="00103400"/>
    <w:rsid w:val="00105085"/>
    <w:rsid w:val="001065AF"/>
    <w:rsid w:val="00114B52"/>
    <w:rsid w:val="00114D6F"/>
    <w:rsid w:val="00116CE5"/>
    <w:rsid w:val="001170D1"/>
    <w:rsid w:val="00127E76"/>
    <w:rsid w:val="00131418"/>
    <w:rsid w:val="001335A1"/>
    <w:rsid w:val="001364D9"/>
    <w:rsid w:val="0013792F"/>
    <w:rsid w:val="00141A4B"/>
    <w:rsid w:val="001439C6"/>
    <w:rsid w:val="00143A58"/>
    <w:rsid w:val="001448DF"/>
    <w:rsid w:val="00145925"/>
    <w:rsid w:val="00145B0A"/>
    <w:rsid w:val="001476BD"/>
    <w:rsid w:val="00150BC6"/>
    <w:rsid w:val="001563FF"/>
    <w:rsid w:val="001642A1"/>
    <w:rsid w:val="00165E2A"/>
    <w:rsid w:val="00167E17"/>
    <w:rsid w:val="001710E4"/>
    <w:rsid w:val="001714EA"/>
    <w:rsid w:val="00172FC0"/>
    <w:rsid w:val="0017395A"/>
    <w:rsid w:val="00175566"/>
    <w:rsid w:val="00177C9B"/>
    <w:rsid w:val="001801D4"/>
    <w:rsid w:val="0018124A"/>
    <w:rsid w:val="00191F98"/>
    <w:rsid w:val="001936BC"/>
    <w:rsid w:val="00194B53"/>
    <w:rsid w:val="001A02D9"/>
    <w:rsid w:val="001A1632"/>
    <w:rsid w:val="001A24F4"/>
    <w:rsid w:val="001A29BA"/>
    <w:rsid w:val="001A4A73"/>
    <w:rsid w:val="001B092D"/>
    <w:rsid w:val="001B0D7E"/>
    <w:rsid w:val="001B4934"/>
    <w:rsid w:val="001B599A"/>
    <w:rsid w:val="001B71AA"/>
    <w:rsid w:val="001C0462"/>
    <w:rsid w:val="001C149E"/>
    <w:rsid w:val="001C3E08"/>
    <w:rsid w:val="001C4415"/>
    <w:rsid w:val="001C6FEC"/>
    <w:rsid w:val="001D75ED"/>
    <w:rsid w:val="001E4A60"/>
    <w:rsid w:val="001E5E23"/>
    <w:rsid w:val="001E70CD"/>
    <w:rsid w:val="001F1643"/>
    <w:rsid w:val="001F1B2F"/>
    <w:rsid w:val="001F27D7"/>
    <w:rsid w:val="001F37AC"/>
    <w:rsid w:val="001F57C9"/>
    <w:rsid w:val="001F5973"/>
    <w:rsid w:val="001F7F62"/>
    <w:rsid w:val="002029F5"/>
    <w:rsid w:val="00204BED"/>
    <w:rsid w:val="00205278"/>
    <w:rsid w:val="00207BC4"/>
    <w:rsid w:val="00211F62"/>
    <w:rsid w:val="00214729"/>
    <w:rsid w:val="002160B0"/>
    <w:rsid w:val="00221703"/>
    <w:rsid w:val="002257CF"/>
    <w:rsid w:val="00226AE8"/>
    <w:rsid w:val="00234845"/>
    <w:rsid w:val="00234B46"/>
    <w:rsid w:val="00234BAD"/>
    <w:rsid w:val="0023600D"/>
    <w:rsid w:val="002404C4"/>
    <w:rsid w:val="00240881"/>
    <w:rsid w:val="00241C35"/>
    <w:rsid w:val="00241F69"/>
    <w:rsid w:val="00242EC8"/>
    <w:rsid w:val="00243B49"/>
    <w:rsid w:val="00244461"/>
    <w:rsid w:val="00244D04"/>
    <w:rsid w:val="00245FBD"/>
    <w:rsid w:val="0024634F"/>
    <w:rsid w:val="002506ED"/>
    <w:rsid w:val="002511EB"/>
    <w:rsid w:val="00251D1B"/>
    <w:rsid w:val="00252555"/>
    <w:rsid w:val="0025265E"/>
    <w:rsid w:val="00253698"/>
    <w:rsid w:val="0025452B"/>
    <w:rsid w:val="002617BB"/>
    <w:rsid w:val="0026289A"/>
    <w:rsid w:val="00264AA1"/>
    <w:rsid w:val="002667BA"/>
    <w:rsid w:val="002667ED"/>
    <w:rsid w:val="00266A8B"/>
    <w:rsid w:val="002723AE"/>
    <w:rsid w:val="00272EAB"/>
    <w:rsid w:val="002768F6"/>
    <w:rsid w:val="00282563"/>
    <w:rsid w:val="0028630C"/>
    <w:rsid w:val="00290F21"/>
    <w:rsid w:val="00291F84"/>
    <w:rsid w:val="00297E1D"/>
    <w:rsid w:val="002A23AD"/>
    <w:rsid w:val="002A2F5A"/>
    <w:rsid w:val="002A3DD8"/>
    <w:rsid w:val="002A4252"/>
    <w:rsid w:val="002A44BE"/>
    <w:rsid w:val="002A5496"/>
    <w:rsid w:val="002A6BD5"/>
    <w:rsid w:val="002A7752"/>
    <w:rsid w:val="002B06A9"/>
    <w:rsid w:val="002B23EF"/>
    <w:rsid w:val="002B4D23"/>
    <w:rsid w:val="002B4F4E"/>
    <w:rsid w:val="002C23CB"/>
    <w:rsid w:val="002C5CA9"/>
    <w:rsid w:val="002C5FAF"/>
    <w:rsid w:val="002D62BE"/>
    <w:rsid w:val="002D631B"/>
    <w:rsid w:val="002D6424"/>
    <w:rsid w:val="002D6539"/>
    <w:rsid w:val="002D68ED"/>
    <w:rsid w:val="002E3F05"/>
    <w:rsid w:val="002E5644"/>
    <w:rsid w:val="002F28E0"/>
    <w:rsid w:val="002F2E89"/>
    <w:rsid w:val="002F4212"/>
    <w:rsid w:val="003023B2"/>
    <w:rsid w:val="003054B8"/>
    <w:rsid w:val="003078A0"/>
    <w:rsid w:val="003112E4"/>
    <w:rsid w:val="00311F53"/>
    <w:rsid w:val="00317C58"/>
    <w:rsid w:val="00321B31"/>
    <w:rsid w:val="00324B83"/>
    <w:rsid w:val="003255C3"/>
    <w:rsid w:val="00334A90"/>
    <w:rsid w:val="00334E40"/>
    <w:rsid w:val="00336089"/>
    <w:rsid w:val="00336F85"/>
    <w:rsid w:val="00337D5F"/>
    <w:rsid w:val="00340C6D"/>
    <w:rsid w:val="00342E49"/>
    <w:rsid w:val="00346B6F"/>
    <w:rsid w:val="00346F0D"/>
    <w:rsid w:val="00350C6A"/>
    <w:rsid w:val="00350CE0"/>
    <w:rsid w:val="00352B94"/>
    <w:rsid w:val="00353AB0"/>
    <w:rsid w:val="00357919"/>
    <w:rsid w:val="00362484"/>
    <w:rsid w:val="0036476C"/>
    <w:rsid w:val="00365867"/>
    <w:rsid w:val="0037261F"/>
    <w:rsid w:val="00374148"/>
    <w:rsid w:val="0037569E"/>
    <w:rsid w:val="00380CC3"/>
    <w:rsid w:val="003835A6"/>
    <w:rsid w:val="00387EA2"/>
    <w:rsid w:val="0039248C"/>
    <w:rsid w:val="003932EE"/>
    <w:rsid w:val="00393419"/>
    <w:rsid w:val="003959D2"/>
    <w:rsid w:val="0039607F"/>
    <w:rsid w:val="003A1FB4"/>
    <w:rsid w:val="003A2267"/>
    <w:rsid w:val="003B038F"/>
    <w:rsid w:val="003B10C6"/>
    <w:rsid w:val="003B3AD5"/>
    <w:rsid w:val="003B4E7E"/>
    <w:rsid w:val="003B6ECB"/>
    <w:rsid w:val="003B7075"/>
    <w:rsid w:val="003C1B6E"/>
    <w:rsid w:val="003C381F"/>
    <w:rsid w:val="003D4D2A"/>
    <w:rsid w:val="003D74E7"/>
    <w:rsid w:val="003E0326"/>
    <w:rsid w:val="003E101F"/>
    <w:rsid w:val="003E1BBF"/>
    <w:rsid w:val="003E222C"/>
    <w:rsid w:val="003E31F8"/>
    <w:rsid w:val="003E5C8D"/>
    <w:rsid w:val="003F127B"/>
    <w:rsid w:val="003F2710"/>
    <w:rsid w:val="003F7920"/>
    <w:rsid w:val="003F7FBB"/>
    <w:rsid w:val="004005FE"/>
    <w:rsid w:val="004016BB"/>
    <w:rsid w:val="004019D4"/>
    <w:rsid w:val="0040345E"/>
    <w:rsid w:val="00405F0F"/>
    <w:rsid w:val="004066AC"/>
    <w:rsid w:val="00406D7D"/>
    <w:rsid w:val="004102D0"/>
    <w:rsid w:val="004115B2"/>
    <w:rsid w:val="0041533E"/>
    <w:rsid w:val="00421CC7"/>
    <w:rsid w:val="0042330C"/>
    <w:rsid w:val="00423876"/>
    <w:rsid w:val="00424E50"/>
    <w:rsid w:val="00425FF3"/>
    <w:rsid w:val="00426675"/>
    <w:rsid w:val="00426798"/>
    <w:rsid w:val="00426F87"/>
    <w:rsid w:val="00427239"/>
    <w:rsid w:val="00432DE1"/>
    <w:rsid w:val="00433466"/>
    <w:rsid w:val="0043481E"/>
    <w:rsid w:val="00442F1A"/>
    <w:rsid w:val="0045070D"/>
    <w:rsid w:val="00452E96"/>
    <w:rsid w:val="0045409A"/>
    <w:rsid w:val="00455BB9"/>
    <w:rsid w:val="00460580"/>
    <w:rsid w:val="00464E71"/>
    <w:rsid w:val="0046531B"/>
    <w:rsid w:val="00467AE4"/>
    <w:rsid w:val="0047787E"/>
    <w:rsid w:val="004824D8"/>
    <w:rsid w:val="00486701"/>
    <w:rsid w:val="0048671C"/>
    <w:rsid w:val="0048741E"/>
    <w:rsid w:val="00491284"/>
    <w:rsid w:val="004927D1"/>
    <w:rsid w:val="004A017B"/>
    <w:rsid w:val="004A2228"/>
    <w:rsid w:val="004A40E1"/>
    <w:rsid w:val="004A4570"/>
    <w:rsid w:val="004A56AC"/>
    <w:rsid w:val="004A6F06"/>
    <w:rsid w:val="004B22B5"/>
    <w:rsid w:val="004B4821"/>
    <w:rsid w:val="004B6E20"/>
    <w:rsid w:val="004B6F3A"/>
    <w:rsid w:val="004C070B"/>
    <w:rsid w:val="004C076F"/>
    <w:rsid w:val="004D033B"/>
    <w:rsid w:val="004D2539"/>
    <w:rsid w:val="004D4322"/>
    <w:rsid w:val="004D465A"/>
    <w:rsid w:val="004D488A"/>
    <w:rsid w:val="004E5455"/>
    <w:rsid w:val="004E605A"/>
    <w:rsid w:val="004E7227"/>
    <w:rsid w:val="004F0A44"/>
    <w:rsid w:val="004F215A"/>
    <w:rsid w:val="004F22F6"/>
    <w:rsid w:val="004F3FB9"/>
    <w:rsid w:val="004F76A1"/>
    <w:rsid w:val="00504582"/>
    <w:rsid w:val="0051320D"/>
    <w:rsid w:val="005132EC"/>
    <w:rsid w:val="00520A3C"/>
    <w:rsid w:val="00525362"/>
    <w:rsid w:val="00525B8E"/>
    <w:rsid w:val="00531567"/>
    <w:rsid w:val="00532A0E"/>
    <w:rsid w:val="00534E1E"/>
    <w:rsid w:val="00537187"/>
    <w:rsid w:val="005400BA"/>
    <w:rsid w:val="0054378D"/>
    <w:rsid w:val="00545B3E"/>
    <w:rsid w:val="005511F1"/>
    <w:rsid w:val="00551845"/>
    <w:rsid w:val="00552278"/>
    <w:rsid w:val="0055520C"/>
    <w:rsid w:val="00560D32"/>
    <w:rsid w:val="005631B8"/>
    <w:rsid w:val="00563EF8"/>
    <w:rsid w:val="005717F4"/>
    <w:rsid w:val="00572E24"/>
    <w:rsid w:val="00575FA2"/>
    <w:rsid w:val="00580897"/>
    <w:rsid w:val="00580EBF"/>
    <w:rsid w:val="00581503"/>
    <w:rsid w:val="00591F70"/>
    <w:rsid w:val="005932DF"/>
    <w:rsid w:val="00594A5F"/>
    <w:rsid w:val="00595150"/>
    <w:rsid w:val="00595922"/>
    <w:rsid w:val="005973D8"/>
    <w:rsid w:val="005A0FB1"/>
    <w:rsid w:val="005A5B16"/>
    <w:rsid w:val="005A5D20"/>
    <w:rsid w:val="005A7C1B"/>
    <w:rsid w:val="005B10FA"/>
    <w:rsid w:val="005B4F58"/>
    <w:rsid w:val="005B7E1A"/>
    <w:rsid w:val="005C258D"/>
    <w:rsid w:val="005C2979"/>
    <w:rsid w:val="005C3F3D"/>
    <w:rsid w:val="005C571B"/>
    <w:rsid w:val="005C7767"/>
    <w:rsid w:val="005C7A4F"/>
    <w:rsid w:val="005D1FAA"/>
    <w:rsid w:val="005D4151"/>
    <w:rsid w:val="005E1617"/>
    <w:rsid w:val="005E1FA2"/>
    <w:rsid w:val="005E3E02"/>
    <w:rsid w:val="005E696E"/>
    <w:rsid w:val="005E74B7"/>
    <w:rsid w:val="005F3B17"/>
    <w:rsid w:val="005F6821"/>
    <w:rsid w:val="005F6E1A"/>
    <w:rsid w:val="006004E2"/>
    <w:rsid w:val="00600C43"/>
    <w:rsid w:val="00615DA3"/>
    <w:rsid w:val="006219EE"/>
    <w:rsid w:val="00622F54"/>
    <w:rsid w:val="006256B4"/>
    <w:rsid w:val="006268A3"/>
    <w:rsid w:val="006269C3"/>
    <w:rsid w:val="006306BF"/>
    <w:rsid w:val="0063116A"/>
    <w:rsid w:val="0063254B"/>
    <w:rsid w:val="00632844"/>
    <w:rsid w:val="006334F5"/>
    <w:rsid w:val="0063679E"/>
    <w:rsid w:val="0063766F"/>
    <w:rsid w:val="00640A4E"/>
    <w:rsid w:val="006429EF"/>
    <w:rsid w:val="00650518"/>
    <w:rsid w:val="00651F3A"/>
    <w:rsid w:val="006545ED"/>
    <w:rsid w:val="006630E5"/>
    <w:rsid w:val="00666E0D"/>
    <w:rsid w:val="0067017D"/>
    <w:rsid w:val="00676709"/>
    <w:rsid w:val="00680968"/>
    <w:rsid w:val="00682A71"/>
    <w:rsid w:val="00685A30"/>
    <w:rsid w:val="00690520"/>
    <w:rsid w:val="006942C4"/>
    <w:rsid w:val="006A3523"/>
    <w:rsid w:val="006A58E0"/>
    <w:rsid w:val="006A6C0C"/>
    <w:rsid w:val="006B4B4E"/>
    <w:rsid w:val="006B5529"/>
    <w:rsid w:val="006C4A8F"/>
    <w:rsid w:val="006C5AA6"/>
    <w:rsid w:val="006C7633"/>
    <w:rsid w:val="006D2CD6"/>
    <w:rsid w:val="006D2DF8"/>
    <w:rsid w:val="006D69C4"/>
    <w:rsid w:val="006E1781"/>
    <w:rsid w:val="006E3A6A"/>
    <w:rsid w:val="006E416A"/>
    <w:rsid w:val="006E5414"/>
    <w:rsid w:val="006E6156"/>
    <w:rsid w:val="006E7CC3"/>
    <w:rsid w:val="006E7FD1"/>
    <w:rsid w:val="006F1899"/>
    <w:rsid w:val="006F1A6D"/>
    <w:rsid w:val="006F202E"/>
    <w:rsid w:val="006F3B04"/>
    <w:rsid w:val="006F57A6"/>
    <w:rsid w:val="006F6171"/>
    <w:rsid w:val="006F636B"/>
    <w:rsid w:val="006F73CC"/>
    <w:rsid w:val="006F7FC8"/>
    <w:rsid w:val="00711DBC"/>
    <w:rsid w:val="0071224C"/>
    <w:rsid w:val="0071392B"/>
    <w:rsid w:val="00716381"/>
    <w:rsid w:val="00724998"/>
    <w:rsid w:val="00727681"/>
    <w:rsid w:val="00731F00"/>
    <w:rsid w:val="00732616"/>
    <w:rsid w:val="00732764"/>
    <w:rsid w:val="007364BD"/>
    <w:rsid w:val="00743AB2"/>
    <w:rsid w:val="00743CD0"/>
    <w:rsid w:val="007464AD"/>
    <w:rsid w:val="007505FE"/>
    <w:rsid w:val="00753E0D"/>
    <w:rsid w:val="00753FDD"/>
    <w:rsid w:val="00755A54"/>
    <w:rsid w:val="00762239"/>
    <w:rsid w:val="00767B87"/>
    <w:rsid w:val="00772636"/>
    <w:rsid w:val="00777C18"/>
    <w:rsid w:val="007805CD"/>
    <w:rsid w:val="00780B16"/>
    <w:rsid w:val="0078318A"/>
    <w:rsid w:val="00785CE8"/>
    <w:rsid w:val="00791AA4"/>
    <w:rsid w:val="00793134"/>
    <w:rsid w:val="0079370B"/>
    <w:rsid w:val="00794A43"/>
    <w:rsid w:val="00794D8B"/>
    <w:rsid w:val="0079562F"/>
    <w:rsid w:val="00795926"/>
    <w:rsid w:val="007A0A44"/>
    <w:rsid w:val="007A2100"/>
    <w:rsid w:val="007A4A45"/>
    <w:rsid w:val="007A6290"/>
    <w:rsid w:val="007A6330"/>
    <w:rsid w:val="007A71C4"/>
    <w:rsid w:val="007A7383"/>
    <w:rsid w:val="007B1B40"/>
    <w:rsid w:val="007B2E91"/>
    <w:rsid w:val="007B47FB"/>
    <w:rsid w:val="007C288F"/>
    <w:rsid w:val="007C30F2"/>
    <w:rsid w:val="007D1B42"/>
    <w:rsid w:val="007D20F6"/>
    <w:rsid w:val="007D4862"/>
    <w:rsid w:val="007D5D5B"/>
    <w:rsid w:val="007D6B10"/>
    <w:rsid w:val="007E7DF1"/>
    <w:rsid w:val="007F29FE"/>
    <w:rsid w:val="007F3D16"/>
    <w:rsid w:val="007F45A9"/>
    <w:rsid w:val="00800066"/>
    <w:rsid w:val="00803329"/>
    <w:rsid w:val="00807EAE"/>
    <w:rsid w:val="00811E14"/>
    <w:rsid w:val="00815249"/>
    <w:rsid w:val="00815E69"/>
    <w:rsid w:val="00815F42"/>
    <w:rsid w:val="008203B9"/>
    <w:rsid w:val="00820A00"/>
    <w:rsid w:val="008227A7"/>
    <w:rsid w:val="0083044B"/>
    <w:rsid w:val="008313A9"/>
    <w:rsid w:val="00831AFC"/>
    <w:rsid w:val="00833C42"/>
    <w:rsid w:val="00843914"/>
    <w:rsid w:val="00844A0C"/>
    <w:rsid w:val="00845B97"/>
    <w:rsid w:val="0085122E"/>
    <w:rsid w:val="00851B24"/>
    <w:rsid w:val="00857775"/>
    <w:rsid w:val="00861E1D"/>
    <w:rsid w:val="0086609D"/>
    <w:rsid w:val="00870608"/>
    <w:rsid w:val="008709FF"/>
    <w:rsid w:val="008716D8"/>
    <w:rsid w:val="00875923"/>
    <w:rsid w:val="00875B30"/>
    <w:rsid w:val="008766B1"/>
    <w:rsid w:val="008814A0"/>
    <w:rsid w:val="0088190D"/>
    <w:rsid w:val="00893647"/>
    <w:rsid w:val="008B0841"/>
    <w:rsid w:val="008B1C40"/>
    <w:rsid w:val="008B305D"/>
    <w:rsid w:val="008B5FA3"/>
    <w:rsid w:val="008B5FDB"/>
    <w:rsid w:val="008B6308"/>
    <w:rsid w:val="008C2F61"/>
    <w:rsid w:val="008C5D03"/>
    <w:rsid w:val="008D2829"/>
    <w:rsid w:val="008D3DE1"/>
    <w:rsid w:val="008D557C"/>
    <w:rsid w:val="008D5B1F"/>
    <w:rsid w:val="008D6BC4"/>
    <w:rsid w:val="008E0CF4"/>
    <w:rsid w:val="008E5108"/>
    <w:rsid w:val="008E7015"/>
    <w:rsid w:val="008F15CD"/>
    <w:rsid w:val="008F1F0C"/>
    <w:rsid w:val="008F246A"/>
    <w:rsid w:val="008F6C55"/>
    <w:rsid w:val="0090380F"/>
    <w:rsid w:val="009062BF"/>
    <w:rsid w:val="009079AF"/>
    <w:rsid w:val="00911071"/>
    <w:rsid w:val="00916404"/>
    <w:rsid w:val="00916B9F"/>
    <w:rsid w:val="009202FD"/>
    <w:rsid w:val="00921102"/>
    <w:rsid w:val="009214B3"/>
    <w:rsid w:val="0092264F"/>
    <w:rsid w:val="009234CE"/>
    <w:rsid w:val="009246D2"/>
    <w:rsid w:val="00931A3C"/>
    <w:rsid w:val="009408A3"/>
    <w:rsid w:val="009421D0"/>
    <w:rsid w:val="009448B0"/>
    <w:rsid w:val="00945199"/>
    <w:rsid w:val="00945849"/>
    <w:rsid w:val="00946EC7"/>
    <w:rsid w:val="00955BCE"/>
    <w:rsid w:val="009603A2"/>
    <w:rsid w:val="00962301"/>
    <w:rsid w:val="00970CA2"/>
    <w:rsid w:val="00970EDF"/>
    <w:rsid w:val="00972F05"/>
    <w:rsid w:val="00972F9B"/>
    <w:rsid w:val="00975F1B"/>
    <w:rsid w:val="0097705F"/>
    <w:rsid w:val="009773EE"/>
    <w:rsid w:val="009813C5"/>
    <w:rsid w:val="009907CD"/>
    <w:rsid w:val="0099092D"/>
    <w:rsid w:val="009927A8"/>
    <w:rsid w:val="00992E03"/>
    <w:rsid w:val="00993EF1"/>
    <w:rsid w:val="00995BAC"/>
    <w:rsid w:val="009A229C"/>
    <w:rsid w:val="009A7FCE"/>
    <w:rsid w:val="009B06DD"/>
    <w:rsid w:val="009B603F"/>
    <w:rsid w:val="009B68EF"/>
    <w:rsid w:val="009B72F4"/>
    <w:rsid w:val="009C0D0F"/>
    <w:rsid w:val="009C2A17"/>
    <w:rsid w:val="009C643F"/>
    <w:rsid w:val="009C7B71"/>
    <w:rsid w:val="009D109B"/>
    <w:rsid w:val="009D30BC"/>
    <w:rsid w:val="009E15E2"/>
    <w:rsid w:val="009E23BF"/>
    <w:rsid w:val="009E478A"/>
    <w:rsid w:val="009E6E2B"/>
    <w:rsid w:val="009E7F8F"/>
    <w:rsid w:val="009F18D7"/>
    <w:rsid w:val="009F1E2B"/>
    <w:rsid w:val="009F5005"/>
    <w:rsid w:val="009F5F96"/>
    <w:rsid w:val="009F74D0"/>
    <w:rsid w:val="00A06BFF"/>
    <w:rsid w:val="00A129AE"/>
    <w:rsid w:val="00A12B84"/>
    <w:rsid w:val="00A13112"/>
    <w:rsid w:val="00A17FF7"/>
    <w:rsid w:val="00A20D09"/>
    <w:rsid w:val="00A21A0F"/>
    <w:rsid w:val="00A253E7"/>
    <w:rsid w:val="00A2764E"/>
    <w:rsid w:val="00A40505"/>
    <w:rsid w:val="00A409CF"/>
    <w:rsid w:val="00A42C03"/>
    <w:rsid w:val="00A45E77"/>
    <w:rsid w:val="00A47417"/>
    <w:rsid w:val="00A52FC3"/>
    <w:rsid w:val="00A539FF"/>
    <w:rsid w:val="00A60F48"/>
    <w:rsid w:val="00A63227"/>
    <w:rsid w:val="00A64DFD"/>
    <w:rsid w:val="00A709E8"/>
    <w:rsid w:val="00A8420B"/>
    <w:rsid w:val="00A8502B"/>
    <w:rsid w:val="00A86226"/>
    <w:rsid w:val="00A86D9C"/>
    <w:rsid w:val="00A920FB"/>
    <w:rsid w:val="00A9462E"/>
    <w:rsid w:val="00A96F68"/>
    <w:rsid w:val="00A97C36"/>
    <w:rsid w:val="00AA6478"/>
    <w:rsid w:val="00AB491A"/>
    <w:rsid w:val="00AB4EFD"/>
    <w:rsid w:val="00AB6E49"/>
    <w:rsid w:val="00AB7298"/>
    <w:rsid w:val="00AB76F5"/>
    <w:rsid w:val="00AC0E55"/>
    <w:rsid w:val="00AC1EBB"/>
    <w:rsid w:val="00AC29C3"/>
    <w:rsid w:val="00AC3DA6"/>
    <w:rsid w:val="00AD28E3"/>
    <w:rsid w:val="00AE57A4"/>
    <w:rsid w:val="00AE77AE"/>
    <w:rsid w:val="00AF291D"/>
    <w:rsid w:val="00AF51A0"/>
    <w:rsid w:val="00AF5D67"/>
    <w:rsid w:val="00B00765"/>
    <w:rsid w:val="00B0211B"/>
    <w:rsid w:val="00B0252F"/>
    <w:rsid w:val="00B02858"/>
    <w:rsid w:val="00B10539"/>
    <w:rsid w:val="00B10F2E"/>
    <w:rsid w:val="00B11D20"/>
    <w:rsid w:val="00B11D74"/>
    <w:rsid w:val="00B14DCE"/>
    <w:rsid w:val="00B15276"/>
    <w:rsid w:val="00B17303"/>
    <w:rsid w:val="00B26A2D"/>
    <w:rsid w:val="00B348B0"/>
    <w:rsid w:val="00B435C2"/>
    <w:rsid w:val="00B46027"/>
    <w:rsid w:val="00B46448"/>
    <w:rsid w:val="00B46917"/>
    <w:rsid w:val="00B50803"/>
    <w:rsid w:val="00B57CEE"/>
    <w:rsid w:val="00B622BC"/>
    <w:rsid w:val="00B67B8C"/>
    <w:rsid w:val="00B7734D"/>
    <w:rsid w:val="00B80672"/>
    <w:rsid w:val="00B8086C"/>
    <w:rsid w:val="00B809D3"/>
    <w:rsid w:val="00B80A40"/>
    <w:rsid w:val="00B81F9B"/>
    <w:rsid w:val="00B84353"/>
    <w:rsid w:val="00B87097"/>
    <w:rsid w:val="00B90B28"/>
    <w:rsid w:val="00B92053"/>
    <w:rsid w:val="00BA5D3E"/>
    <w:rsid w:val="00BB4305"/>
    <w:rsid w:val="00BB4CC8"/>
    <w:rsid w:val="00BB5F43"/>
    <w:rsid w:val="00BC097C"/>
    <w:rsid w:val="00BC4F13"/>
    <w:rsid w:val="00BD0BD6"/>
    <w:rsid w:val="00BD2EF8"/>
    <w:rsid w:val="00BD4D56"/>
    <w:rsid w:val="00BD762D"/>
    <w:rsid w:val="00BF00CF"/>
    <w:rsid w:val="00BF07B1"/>
    <w:rsid w:val="00BF0DC4"/>
    <w:rsid w:val="00BF1E18"/>
    <w:rsid w:val="00BF336E"/>
    <w:rsid w:val="00BF4B52"/>
    <w:rsid w:val="00BF5E12"/>
    <w:rsid w:val="00C02565"/>
    <w:rsid w:val="00C02A35"/>
    <w:rsid w:val="00C05DB6"/>
    <w:rsid w:val="00C06000"/>
    <w:rsid w:val="00C06CDF"/>
    <w:rsid w:val="00C07D18"/>
    <w:rsid w:val="00C103A9"/>
    <w:rsid w:val="00C14970"/>
    <w:rsid w:val="00C173E2"/>
    <w:rsid w:val="00C210C3"/>
    <w:rsid w:val="00C23058"/>
    <w:rsid w:val="00C23E02"/>
    <w:rsid w:val="00C26855"/>
    <w:rsid w:val="00C26ED7"/>
    <w:rsid w:val="00C343BF"/>
    <w:rsid w:val="00C34DBC"/>
    <w:rsid w:val="00C3754A"/>
    <w:rsid w:val="00C443AF"/>
    <w:rsid w:val="00C51144"/>
    <w:rsid w:val="00C54C7F"/>
    <w:rsid w:val="00C55365"/>
    <w:rsid w:val="00C56B06"/>
    <w:rsid w:val="00C6267D"/>
    <w:rsid w:val="00C65E58"/>
    <w:rsid w:val="00C724D2"/>
    <w:rsid w:val="00C72BFA"/>
    <w:rsid w:val="00C73BB2"/>
    <w:rsid w:val="00C7692E"/>
    <w:rsid w:val="00C76C3D"/>
    <w:rsid w:val="00C77D60"/>
    <w:rsid w:val="00C80CEE"/>
    <w:rsid w:val="00C86395"/>
    <w:rsid w:val="00C87AA9"/>
    <w:rsid w:val="00C92D07"/>
    <w:rsid w:val="00C9499A"/>
    <w:rsid w:val="00C96187"/>
    <w:rsid w:val="00C96700"/>
    <w:rsid w:val="00CA0D0B"/>
    <w:rsid w:val="00CA4014"/>
    <w:rsid w:val="00CA425B"/>
    <w:rsid w:val="00CA4B10"/>
    <w:rsid w:val="00CB05B1"/>
    <w:rsid w:val="00CB0F26"/>
    <w:rsid w:val="00CB3AE2"/>
    <w:rsid w:val="00CB3FBB"/>
    <w:rsid w:val="00CB5906"/>
    <w:rsid w:val="00CB65F1"/>
    <w:rsid w:val="00CC2CF7"/>
    <w:rsid w:val="00CC59ED"/>
    <w:rsid w:val="00CD00F0"/>
    <w:rsid w:val="00CD2A1C"/>
    <w:rsid w:val="00CD2EFD"/>
    <w:rsid w:val="00CD4BC4"/>
    <w:rsid w:val="00CD75D2"/>
    <w:rsid w:val="00CD77BC"/>
    <w:rsid w:val="00CE13DD"/>
    <w:rsid w:val="00CE1B9F"/>
    <w:rsid w:val="00CE6F80"/>
    <w:rsid w:val="00CF18AB"/>
    <w:rsid w:val="00D00632"/>
    <w:rsid w:val="00D01F37"/>
    <w:rsid w:val="00D03A26"/>
    <w:rsid w:val="00D05D59"/>
    <w:rsid w:val="00D17D39"/>
    <w:rsid w:val="00D17D8F"/>
    <w:rsid w:val="00D22031"/>
    <w:rsid w:val="00D303D6"/>
    <w:rsid w:val="00D32687"/>
    <w:rsid w:val="00D3314A"/>
    <w:rsid w:val="00D362A2"/>
    <w:rsid w:val="00D37B27"/>
    <w:rsid w:val="00D424D2"/>
    <w:rsid w:val="00D51791"/>
    <w:rsid w:val="00D5468E"/>
    <w:rsid w:val="00D61701"/>
    <w:rsid w:val="00D63A7D"/>
    <w:rsid w:val="00D641AC"/>
    <w:rsid w:val="00D64BC8"/>
    <w:rsid w:val="00D65268"/>
    <w:rsid w:val="00D70C1C"/>
    <w:rsid w:val="00D710A9"/>
    <w:rsid w:val="00D715E9"/>
    <w:rsid w:val="00D73A55"/>
    <w:rsid w:val="00D74667"/>
    <w:rsid w:val="00D75A2B"/>
    <w:rsid w:val="00D8474E"/>
    <w:rsid w:val="00D86814"/>
    <w:rsid w:val="00D8701B"/>
    <w:rsid w:val="00D93AE3"/>
    <w:rsid w:val="00D94FA0"/>
    <w:rsid w:val="00DA1A84"/>
    <w:rsid w:val="00DA2EAA"/>
    <w:rsid w:val="00DA6A86"/>
    <w:rsid w:val="00DB2F91"/>
    <w:rsid w:val="00DB406B"/>
    <w:rsid w:val="00DB5074"/>
    <w:rsid w:val="00DB531C"/>
    <w:rsid w:val="00DC32EB"/>
    <w:rsid w:val="00DC42B7"/>
    <w:rsid w:val="00DC4589"/>
    <w:rsid w:val="00DC4734"/>
    <w:rsid w:val="00DC4E25"/>
    <w:rsid w:val="00DC6C1E"/>
    <w:rsid w:val="00DD4383"/>
    <w:rsid w:val="00DD78FE"/>
    <w:rsid w:val="00DE04BB"/>
    <w:rsid w:val="00DE3506"/>
    <w:rsid w:val="00DE746A"/>
    <w:rsid w:val="00DF349B"/>
    <w:rsid w:val="00DF42A7"/>
    <w:rsid w:val="00DF44C2"/>
    <w:rsid w:val="00DF4A3F"/>
    <w:rsid w:val="00DF54E7"/>
    <w:rsid w:val="00DF614F"/>
    <w:rsid w:val="00E02404"/>
    <w:rsid w:val="00E046A3"/>
    <w:rsid w:val="00E07FAA"/>
    <w:rsid w:val="00E128DB"/>
    <w:rsid w:val="00E12E0B"/>
    <w:rsid w:val="00E14E68"/>
    <w:rsid w:val="00E16926"/>
    <w:rsid w:val="00E21239"/>
    <w:rsid w:val="00E228C8"/>
    <w:rsid w:val="00E363C5"/>
    <w:rsid w:val="00E36DE8"/>
    <w:rsid w:val="00E40153"/>
    <w:rsid w:val="00E41DF4"/>
    <w:rsid w:val="00E44A3B"/>
    <w:rsid w:val="00E450FF"/>
    <w:rsid w:val="00E47A93"/>
    <w:rsid w:val="00E51DCC"/>
    <w:rsid w:val="00E575D4"/>
    <w:rsid w:val="00E602CC"/>
    <w:rsid w:val="00E60BCF"/>
    <w:rsid w:val="00E63199"/>
    <w:rsid w:val="00E631BB"/>
    <w:rsid w:val="00E66FC2"/>
    <w:rsid w:val="00E701AC"/>
    <w:rsid w:val="00E71B6C"/>
    <w:rsid w:val="00E71F47"/>
    <w:rsid w:val="00E7552C"/>
    <w:rsid w:val="00E75EDC"/>
    <w:rsid w:val="00E76F19"/>
    <w:rsid w:val="00E77DF7"/>
    <w:rsid w:val="00E802FE"/>
    <w:rsid w:val="00E823D3"/>
    <w:rsid w:val="00E828F0"/>
    <w:rsid w:val="00E82DB5"/>
    <w:rsid w:val="00E8450A"/>
    <w:rsid w:val="00E857F1"/>
    <w:rsid w:val="00E93DBE"/>
    <w:rsid w:val="00E9584F"/>
    <w:rsid w:val="00EA2FA7"/>
    <w:rsid w:val="00EA389B"/>
    <w:rsid w:val="00EB1B1D"/>
    <w:rsid w:val="00EB5BC7"/>
    <w:rsid w:val="00EB6CB3"/>
    <w:rsid w:val="00EC0B90"/>
    <w:rsid w:val="00EC103C"/>
    <w:rsid w:val="00EC79B0"/>
    <w:rsid w:val="00ED1C3A"/>
    <w:rsid w:val="00ED2D18"/>
    <w:rsid w:val="00ED4D5F"/>
    <w:rsid w:val="00ED67B7"/>
    <w:rsid w:val="00ED67FB"/>
    <w:rsid w:val="00EE1079"/>
    <w:rsid w:val="00EE1D6B"/>
    <w:rsid w:val="00EE642E"/>
    <w:rsid w:val="00EE677E"/>
    <w:rsid w:val="00EE77E0"/>
    <w:rsid w:val="00EF0BD7"/>
    <w:rsid w:val="00EF778F"/>
    <w:rsid w:val="00EF7999"/>
    <w:rsid w:val="00F006DA"/>
    <w:rsid w:val="00F020DF"/>
    <w:rsid w:val="00F03BFD"/>
    <w:rsid w:val="00F118D3"/>
    <w:rsid w:val="00F1242C"/>
    <w:rsid w:val="00F128C3"/>
    <w:rsid w:val="00F1711D"/>
    <w:rsid w:val="00F223F4"/>
    <w:rsid w:val="00F23EAF"/>
    <w:rsid w:val="00F25C3E"/>
    <w:rsid w:val="00F269BB"/>
    <w:rsid w:val="00F277B7"/>
    <w:rsid w:val="00F317F9"/>
    <w:rsid w:val="00F33A4A"/>
    <w:rsid w:val="00F353AE"/>
    <w:rsid w:val="00F36D46"/>
    <w:rsid w:val="00F43DC9"/>
    <w:rsid w:val="00F441EF"/>
    <w:rsid w:val="00F443E2"/>
    <w:rsid w:val="00F47871"/>
    <w:rsid w:val="00F52595"/>
    <w:rsid w:val="00F530EE"/>
    <w:rsid w:val="00F54B30"/>
    <w:rsid w:val="00F57324"/>
    <w:rsid w:val="00F63FCE"/>
    <w:rsid w:val="00F64A4F"/>
    <w:rsid w:val="00F67027"/>
    <w:rsid w:val="00F71933"/>
    <w:rsid w:val="00F74DE7"/>
    <w:rsid w:val="00F7795B"/>
    <w:rsid w:val="00F803D9"/>
    <w:rsid w:val="00F823B0"/>
    <w:rsid w:val="00F82D1B"/>
    <w:rsid w:val="00F85483"/>
    <w:rsid w:val="00F950E6"/>
    <w:rsid w:val="00F960F5"/>
    <w:rsid w:val="00F97939"/>
    <w:rsid w:val="00FA0ED7"/>
    <w:rsid w:val="00FA3210"/>
    <w:rsid w:val="00FA62A2"/>
    <w:rsid w:val="00FA7412"/>
    <w:rsid w:val="00FB0F59"/>
    <w:rsid w:val="00FB3BF9"/>
    <w:rsid w:val="00FB55B6"/>
    <w:rsid w:val="00FB56B2"/>
    <w:rsid w:val="00FB5B7E"/>
    <w:rsid w:val="00FB709E"/>
    <w:rsid w:val="00FC3E5C"/>
    <w:rsid w:val="00FC57AE"/>
    <w:rsid w:val="00FC6C27"/>
    <w:rsid w:val="00FE3585"/>
    <w:rsid w:val="00FF16A1"/>
    <w:rsid w:val="00FF330A"/>
    <w:rsid w:val="00FF3CAD"/>
    <w:rsid w:val="00FF483D"/>
    <w:rsid w:val="00FF49A5"/>
    <w:rsid w:val="00FF6B2B"/>
    <w:rsid w:val="00FF6CAF"/>
    <w:rsid w:val="00FF7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0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7C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7B87"/>
    <w:rPr>
      <w:color w:val="0000FF"/>
      <w:u w:val="single"/>
    </w:rPr>
  </w:style>
  <w:style w:type="character" w:customStyle="1" w:styleId="SYSHYPERTEXT">
    <w:name w:val="SYS_HYPERTEXT"/>
    <w:basedOn w:val="DefaultParagraphFont"/>
    <w:rsid w:val="000347C1"/>
    <w:rPr>
      <w:color w:val="0000FF"/>
      <w:u w:val="single"/>
    </w:rPr>
  </w:style>
  <w:style w:type="character" w:styleId="FollowedHyperlink">
    <w:name w:val="FollowedHyperlink"/>
    <w:basedOn w:val="DefaultParagraphFont"/>
    <w:uiPriority w:val="99"/>
    <w:semiHidden/>
    <w:unhideWhenUsed/>
    <w:rsid w:val="008709FF"/>
    <w:rPr>
      <w:color w:val="800080"/>
      <w:u w:val="single"/>
    </w:rPr>
  </w:style>
  <w:style w:type="paragraph" w:styleId="Header">
    <w:name w:val="header"/>
    <w:basedOn w:val="Normal"/>
    <w:link w:val="HeaderChar"/>
    <w:uiPriority w:val="99"/>
    <w:unhideWhenUsed/>
    <w:rsid w:val="00FA62A2"/>
    <w:pPr>
      <w:tabs>
        <w:tab w:val="center" w:pos="4680"/>
        <w:tab w:val="right" w:pos="9360"/>
      </w:tabs>
    </w:pPr>
  </w:style>
  <w:style w:type="character" w:customStyle="1" w:styleId="HeaderChar">
    <w:name w:val="Header Char"/>
    <w:basedOn w:val="DefaultParagraphFont"/>
    <w:link w:val="Header"/>
    <w:uiPriority w:val="99"/>
    <w:rsid w:val="00FA62A2"/>
    <w:rPr>
      <w:sz w:val="24"/>
    </w:rPr>
  </w:style>
  <w:style w:type="paragraph" w:styleId="Footer">
    <w:name w:val="footer"/>
    <w:basedOn w:val="Normal"/>
    <w:link w:val="FooterChar"/>
    <w:uiPriority w:val="99"/>
    <w:unhideWhenUsed/>
    <w:rsid w:val="00FA62A2"/>
    <w:pPr>
      <w:tabs>
        <w:tab w:val="center" w:pos="4680"/>
        <w:tab w:val="right" w:pos="9360"/>
      </w:tabs>
    </w:pPr>
  </w:style>
  <w:style w:type="character" w:customStyle="1" w:styleId="FooterChar">
    <w:name w:val="Footer Char"/>
    <w:basedOn w:val="DefaultParagraphFont"/>
    <w:link w:val="Footer"/>
    <w:uiPriority w:val="99"/>
    <w:rsid w:val="00FA62A2"/>
    <w:rPr>
      <w:sz w:val="24"/>
    </w:rPr>
  </w:style>
  <w:style w:type="character" w:styleId="Strong">
    <w:name w:val="Strong"/>
    <w:basedOn w:val="DefaultParagraphFont"/>
    <w:uiPriority w:val="22"/>
    <w:qFormat/>
    <w:rsid w:val="0079562F"/>
    <w:rPr>
      <w:b/>
      <w:bCs/>
    </w:rPr>
  </w:style>
  <w:style w:type="paragraph" w:customStyle="1" w:styleId="SCCLsocParty">
    <w:name w:val="SCC.Lsoc.Party"/>
    <w:basedOn w:val="Normal"/>
    <w:next w:val="Normal"/>
    <w:link w:val="SCCLsocPartyChar"/>
    <w:rsid w:val="0079562F"/>
    <w:pPr>
      <w:jc w:val="both"/>
    </w:pPr>
    <w:rPr>
      <w:rFonts w:eastAsia="Calibri"/>
      <w:i/>
      <w:szCs w:val="22"/>
      <w:lang w:val="fr-CA"/>
    </w:rPr>
  </w:style>
  <w:style w:type="character" w:customStyle="1" w:styleId="SCCLsocPartyChar">
    <w:name w:val="SCC.Lsoc.Party Char"/>
    <w:basedOn w:val="DefaultParagraphFont"/>
    <w:link w:val="SCCLsocParty"/>
    <w:rsid w:val="0079562F"/>
    <w:rPr>
      <w:rFonts w:eastAsia="Calibri" w:cs="Times New Roman"/>
      <w:i/>
      <w:sz w:val="24"/>
      <w:szCs w:val="22"/>
      <w:lang w:val="fr-CA"/>
    </w:rPr>
  </w:style>
  <w:style w:type="paragraph" w:customStyle="1" w:styleId="SCCCaseDescriptor">
    <w:name w:val="SCC.CaseDescriptor"/>
    <w:basedOn w:val="Normal"/>
    <w:link w:val="SCCCaseDescriptorChar"/>
    <w:qFormat/>
    <w:rsid w:val="00ED67FB"/>
    <w:rPr>
      <w:b/>
      <w:lang w:val="fr-CA" w:eastAsia="en-CA"/>
    </w:rPr>
  </w:style>
  <w:style w:type="character" w:customStyle="1" w:styleId="SCCCaseDescriptorChar">
    <w:name w:val="SCC.CaseDescriptor Char"/>
    <w:basedOn w:val="DefaultParagraphFont"/>
    <w:link w:val="SCCCaseDescriptor"/>
    <w:rsid w:val="00ED67FB"/>
    <w:rPr>
      <w:b/>
      <w:sz w:val="24"/>
      <w:lang w:val="fr-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7468">
      <w:bodyDiv w:val="1"/>
      <w:marLeft w:val="0"/>
      <w:marRight w:val="0"/>
      <w:marTop w:val="0"/>
      <w:marBottom w:val="0"/>
      <w:divBdr>
        <w:top w:val="none" w:sz="0" w:space="0" w:color="auto"/>
        <w:left w:val="none" w:sz="0" w:space="0" w:color="auto"/>
        <w:bottom w:val="none" w:sz="0" w:space="0" w:color="auto"/>
        <w:right w:val="none" w:sz="0" w:space="0" w:color="auto"/>
      </w:divBdr>
    </w:div>
    <w:div w:id="155541300">
      <w:bodyDiv w:val="1"/>
      <w:marLeft w:val="0"/>
      <w:marRight w:val="0"/>
      <w:marTop w:val="0"/>
      <w:marBottom w:val="0"/>
      <w:divBdr>
        <w:top w:val="none" w:sz="0" w:space="0" w:color="auto"/>
        <w:left w:val="none" w:sz="0" w:space="0" w:color="auto"/>
        <w:bottom w:val="none" w:sz="0" w:space="0" w:color="auto"/>
        <w:right w:val="none" w:sz="0" w:space="0" w:color="auto"/>
      </w:divBdr>
    </w:div>
    <w:div w:id="434251522">
      <w:bodyDiv w:val="1"/>
      <w:marLeft w:val="0"/>
      <w:marRight w:val="0"/>
      <w:marTop w:val="0"/>
      <w:marBottom w:val="0"/>
      <w:divBdr>
        <w:top w:val="none" w:sz="0" w:space="0" w:color="auto"/>
        <w:left w:val="none" w:sz="0" w:space="0" w:color="auto"/>
        <w:bottom w:val="none" w:sz="0" w:space="0" w:color="auto"/>
        <w:right w:val="none" w:sz="0" w:space="0" w:color="auto"/>
      </w:divBdr>
    </w:div>
    <w:div w:id="470638163">
      <w:bodyDiv w:val="1"/>
      <w:marLeft w:val="0"/>
      <w:marRight w:val="0"/>
      <w:marTop w:val="0"/>
      <w:marBottom w:val="0"/>
      <w:divBdr>
        <w:top w:val="none" w:sz="0" w:space="0" w:color="auto"/>
        <w:left w:val="none" w:sz="0" w:space="0" w:color="auto"/>
        <w:bottom w:val="none" w:sz="0" w:space="0" w:color="auto"/>
        <w:right w:val="none" w:sz="0" w:space="0" w:color="auto"/>
      </w:divBdr>
    </w:div>
    <w:div w:id="563030962">
      <w:bodyDiv w:val="1"/>
      <w:marLeft w:val="0"/>
      <w:marRight w:val="0"/>
      <w:marTop w:val="0"/>
      <w:marBottom w:val="0"/>
      <w:divBdr>
        <w:top w:val="none" w:sz="0" w:space="0" w:color="auto"/>
        <w:left w:val="none" w:sz="0" w:space="0" w:color="auto"/>
        <w:bottom w:val="none" w:sz="0" w:space="0" w:color="auto"/>
        <w:right w:val="none" w:sz="0" w:space="0" w:color="auto"/>
      </w:divBdr>
    </w:div>
    <w:div w:id="585531170">
      <w:bodyDiv w:val="1"/>
      <w:marLeft w:val="0"/>
      <w:marRight w:val="0"/>
      <w:marTop w:val="0"/>
      <w:marBottom w:val="0"/>
      <w:divBdr>
        <w:top w:val="none" w:sz="0" w:space="0" w:color="auto"/>
        <w:left w:val="none" w:sz="0" w:space="0" w:color="auto"/>
        <w:bottom w:val="none" w:sz="0" w:space="0" w:color="auto"/>
        <w:right w:val="none" w:sz="0" w:space="0" w:color="auto"/>
      </w:divBdr>
    </w:div>
    <w:div w:id="848062956">
      <w:bodyDiv w:val="1"/>
      <w:marLeft w:val="0"/>
      <w:marRight w:val="0"/>
      <w:marTop w:val="0"/>
      <w:marBottom w:val="0"/>
      <w:divBdr>
        <w:top w:val="none" w:sz="0" w:space="0" w:color="auto"/>
        <w:left w:val="none" w:sz="0" w:space="0" w:color="auto"/>
        <w:bottom w:val="none" w:sz="0" w:space="0" w:color="auto"/>
        <w:right w:val="none" w:sz="0" w:space="0" w:color="auto"/>
      </w:divBdr>
    </w:div>
    <w:div w:id="850292782">
      <w:bodyDiv w:val="1"/>
      <w:marLeft w:val="0"/>
      <w:marRight w:val="0"/>
      <w:marTop w:val="0"/>
      <w:marBottom w:val="0"/>
      <w:divBdr>
        <w:top w:val="none" w:sz="0" w:space="0" w:color="auto"/>
        <w:left w:val="none" w:sz="0" w:space="0" w:color="auto"/>
        <w:bottom w:val="none" w:sz="0" w:space="0" w:color="auto"/>
        <w:right w:val="none" w:sz="0" w:space="0" w:color="auto"/>
      </w:divBdr>
    </w:div>
    <w:div w:id="868831822">
      <w:bodyDiv w:val="1"/>
      <w:marLeft w:val="0"/>
      <w:marRight w:val="0"/>
      <w:marTop w:val="0"/>
      <w:marBottom w:val="0"/>
      <w:divBdr>
        <w:top w:val="none" w:sz="0" w:space="0" w:color="auto"/>
        <w:left w:val="none" w:sz="0" w:space="0" w:color="auto"/>
        <w:bottom w:val="none" w:sz="0" w:space="0" w:color="auto"/>
        <w:right w:val="none" w:sz="0" w:space="0" w:color="auto"/>
      </w:divBdr>
    </w:div>
    <w:div w:id="888108128">
      <w:bodyDiv w:val="1"/>
      <w:marLeft w:val="0"/>
      <w:marRight w:val="0"/>
      <w:marTop w:val="0"/>
      <w:marBottom w:val="0"/>
      <w:divBdr>
        <w:top w:val="none" w:sz="0" w:space="0" w:color="auto"/>
        <w:left w:val="none" w:sz="0" w:space="0" w:color="auto"/>
        <w:bottom w:val="none" w:sz="0" w:space="0" w:color="auto"/>
        <w:right w:val="none" w:sz="0" w:space="0" w:color="auto"/>
      </w:divBdr>
    </w:div>
    <w:div w:id="913852924">
      <w:bodyDiv w:val="1"/>
      <w:marLeft w:val="0"/>
      <w:marRight w:val="0"/>
      <w:marTop w:val="0"/>
      <w:marBottom w:val="0"/>
      <w:divBdr>
        <w:top w:val="none" w:sz="0" w:space="0" w:color="auto"/>
        <w:left w:val="none" w:sz="0" w:space="0" w:color="auto"/>
        <w:bottom w:val="none" w:sz="0" w:space="0" w:color="auto"/>
        <w:right w:val="none" w:sz="0" w:space="0" w:color="auto"/>
      </w:divBdr>
    </w:div>
    <w:div w:id="1044868879">
      <w:bodyDiv w:val="1"/>
      <w:marLeft w:val="0"/>
      <w:marRight w:val="0"/>
      <w:marTop w:val="0"/>
      <w:marBottom w:val="0"/>
      <w:divBdr>
        <w:top w:val="none" w:sz="0" w:space="0" w:color="auto"/>
        <w:left w:val="none" w:sz="0" w:space="0" w:color="auto"/>
        <w:bottom w:val="none" w:sz="0" w:space="0" w:color="auto"/>
        <w:right w:val="none" w:sz="0" w:space="0" w:color="auto"/>
      </w:divBdr>
    </w:div>
    <w:div w:id="1098332106">
      <w:bodyDiv w:val="1"/>
      <w:marLeft w:val="0"/>
      <w:marRight w:val="0"/>
      <w:marTop w:val="0"/>
      <w:marBottom w:val="0"/>
      <w:divBdr>
        <w:top w:val="none" w:sz="0" w:space="0" w:color="auto"/>
        <w:left w:val="none" w:sz="0" w:space="0" w:color="auto"/>
        <w:bottom w:val="none" w:sz="0" w:space="0" w:color="auto"/>
        <w:right w:val="none" w:sz="0" w:space="0" w:color="auto"/>
      </w:divBdr>
    </w:div>
    <w:div w:id="1195773862">
      <w:bodyDiv w:val="1"/>
      <w:marLeft w:val="0"/>
      <w:marRight w:val="0"/>
      <w:marTop w:val="0"/>
      <w:marBottom w:val="0"/>
      <w:divBdr>
        <w:top w:val="none" w:sz="0" w:space="0" w:color="auto"/>
        <w:left w:val="none" w:sz="0" w:space="0" w:color="auto"/>
        <w:bottom w:val="none" w:sz="0" w:space="0" w:color="auto"/>
        <w:right w:val="none" w:sz="0" w:space="0" w:color="auto"/>
      </w:divBdr>
    </w:div>
    <w:div w:id="1203446659">
      <w:bodyDiv w:val="1"/>
      <w:marLeft w:val="0"/>
      <w:marRight w:val="0"/>
      <w:marTop w:val="0"/>
      <w:marBottom w:val="0"/>
      <w:divBdr>
        <w:top w:val="none" w:sz="0" w:space="0" w:color="auto"/>
        <w:left w:val="none" w:sz="0" w:space="0" w:color="auto"/>
        <w:bottom w:val="none" w:sz="0" w:space="0" w:color="auto"/>
        <w:right w:val="none" w:sz="0" w:space="0" w:color="auto"/>
      </w:divBdr>
    </w:div>
    <w:div w:id="1261792763">
      <w:bodyDiv w:val="1"/>
      <w:marLeft w:val="0"/>
      <w:marRight w:val="0"/>
      <w:marTop w:val="0"/>
      <w:marBottom w:val="0"/>
      <w:divBdr>
        <w:top w:val="none" w:sz="0" w:space="0" w:color="auto"/>
        <w:left w:val="none" w:sz="0" w:space="0" w:color="auto"/>
        <w:bottom w:val="none" w:sz="0" w:space="0" w:color="auto"/>
        <w:right w:val="none" w:sz="0" w:space="0" w:color="auto"/>
      </w:divBdr>
    </w:div>
    <w:div w:id="1288120850">
      <w:bodyDiv w:val="1"/>
      <w:marLeft w:val="0"/>
      <w:marRight w:val="0"/>
      <w:marTop w:val="0"/>
      <w:marBottom w:val="0"/>
      <w:divBdr>
        <w:top w:val="none" w:sz="0" w:space="0" w:color="auto"/>
        <w:left w:val="none" w:sz="0" w:space="0" w:color="auto"/>
        <w:bottom w:val="none" w:sz="0" w:space="0" w:color="auto"/>
        <w:right w:val="none" w:sz="0" w:space="0" w:color="auto"/>
      </w:divBdr>
    </w:div>
    <w:div w:id="1302808878">
      <w:bodyDiv w:val="1"/>
      <w:marLeft w:val="0"/>
      <w:marRight w:val="0"/>
      <w:marTop w:val="0"/>
      <w:marBottom w:val="0"/>
      <w:divBdr>
        <w:top w:val="none" w:sz="0" w:space="0" w:color="auto"/>
        <w:left w:val="none" w:sz="0" w:space="0" w:color="auto"/>
        <w:bottom w:val="none" w:sz="0" w:space="0" w:color="auto"/>
        <w:right w:val="none" w:sz="0" w:space="0" w:color="auto"/>
      </w:divBdr>
    </w:div>
    <w:div w:id="1315262274">
      <w:bodyDiv w:val="1"/>
      <w:marLeft w:val="0"/>
      <w:marRight w:val="0"/>
      <w:marTop w:val="0"/>
      <w:marBottom w:val="0"/>
      <w:divBdr>
        <w:top w:val="none" w:sz="0" w:space="0" w:color="auto"/>
        <w:left w:val="none" w:sz="0" w:space="0" w:color="auto"/>
        <w:bottom w:val="none" w:sz="0" w:space="0" w:color="auto"/>
        <w:right w:val="none" w:sz="0" w:space="0" w:color="auto"/>
      </w:divBdr>
    </w:div>
    <w:div w:id="1404916155">
      <w:bodyDiv w:val="1"/>
      <w:marLeft w:val="0"/>
      <w:marRight w:val="0"/>
      <w:marTop w:val="0"/>
      <w:marBottom w:val="0"/>
      <w:divBdr>
        <w:top w:val="none" w:sz="0" w:space="0" w:color="auto"/>
        <w:left w:val="none" w:sz="0" w:space="0" w:color="auto"/>
        <w:bottom w:val="none" w:sz="0" w:space="0" w:color="auto"/>
        <w:right w:val="none" w:sz="0" w:space="0" w:color="auto"/>
      </w:divBdr>
    </w:div>
    <w:div w:id="1426224100">
      <w:bodyDiv w:val="1"/>
      <w:marLeft w:val="0"/>
      <w:marRight w:val="0"/>
      <w:marTop w:val="0"/>
      <w:marBottom w:val="0"/>
      <w:divBdr>
        <w:top w:val="none" w:sz="0" w:space="0" w:color="auto"/>
        <w:left w:val="none" w:sz="0" w:space="0" w:color="auto"/>
        <w:bottom w:val="none" w:sz="0" w:space="0" w:color="auto"/>
        <w:right w:val="none" w:sz="0" w:space="0" w:color="auto"/>
      </w:divBdr>
    </w:div>
    <w:div w:id="1442187160">
      <w:bodyDiv w:val="1"/>
      <w:marLeft w:val="0"/>
      <w:marRight w:val="0"/>
      <w:marTop w:val="0"/>
      <w:marBottom w:val="0"/>
      <w:divBdr>
        <w:top w:val="none" w:sz="0" w:space="0" w:color="auto"/>
        <w:left w:val="none" w:sz="0" w:space="0" w:color="auto"/>
        <w:bottom w:val="none" w:sz="0" w:space="0" w:color="auto"/>
        <w:right w:val="none" w:sz="0" w:space="0" w:color="auto"/>
      </w:divBdr>
    </w:div>
    <w:div w:id="1467426635">
      <w:bodyDiv w:val="1"/>
      <w:marLeft w:val="0"/>
      <w:marRight w:val="0"/>
      <w:marTop w:val="0"/>
      <w:marBottom w:val="0"/>
      <w:divBdr>
        <w:top w:val="none" w:sz="0" w:space="0" w:color="auto"/>
        <w:left w:val="none" w:sz="0" w:space="0" w:color="auto"/>
        <w:bottom w:val="none" w:sz="0" w:space="0" w:color="auto"/>
        <w:right w:val="none" w:sz="0" w:space="0" w:color="auto"/>
      </w:divBdr>
    </w:div>
    <w:div w:id="1633704952">
      <w:bodyDiv w:val="1"/>
      <w:marLeft w:val="0"/>
      <w:marRight w:val="0"/>
      <w:marTop w:val="0"/>
      <w:marBottom w:val="0"/>
      <w:divBdr>
        <w:top w:val="none" w:sz="0" w:space="0" w:color="auto"/>
        <w:left w:val="none" w:sz="0" w:space="0" w:color="auto"/>
        <w:bottom w:val="none" w:sz="0" w:space="0" w:color="auto"/>
        <w:right w:val="none" w:sz="0" w:space="0" w:color="auto"/>
      </w:divBdr>
    </w:div>
    <w:div w:id="1663897148">
      <w:bodyDiv w:val="1"/>
      <w:marLeft w:val="0"/>
      <w:marRight w:val="0"/>
      <w:marTop w:val="0"/>
      <w:marBottom w:val="0"/>
      <w:divBdr>
        <w:top w:val="none" w:sz="0" w:space="0" w:color="auto"/>
        <w:left w:val="none" w:sz="0" w:space="0" w:color="auto"/>
        <w:bottom w:val="none" w:sz="0" w:space="0" w:color="auto"/>
        <w:right w:val="none" w:sz="0" w:space="0" w:color="auto"/>
      </w:divBdr>
    </w:div>
    <w:div w:id="1794329043">
      <w:bodyDiv w:val="1"/>
      <w:marLeft w:val="0"/>
      <w:marRight w:val="0"/>
      <w:marTop w:val="0"/>
      <w:marBottom w:val="0"/>
      <w:divBdr>
        <w:top w:val="none" w:sz="0" w:space="0" w:color="auto"/>
        <w:left w:val="none" w:sz="0" w:space="0" w:color="auto"/>
        <w:bottom w:val="none" w:sz="0" w:space="0" w:color="auto"/>
        <w:right w:val="none" w:sz="0" w:space="0" w:color="auto"/>
      </w:divBdr>
    </w:div>
    <w:div w:id="1824928011">
      <w:bodyDiv w:val="1"/>
      <w:marLeft w:val="0"/>
      <w:marRight w:val="0"/>
      <w:marTop w:val="0"/>
      <w:marBottom w:val="0"/>
      <w:divBdr>
        <w:top w:val="none" w:sz="0" w:space="0" w:color="auto"/>
        <w:left w:val="none" w:sz="0" w:space="0" w:color="auto"/>
        <w:bottom w:val="none" w:sz="0" w:space="0" w:color="auto"/>
        <w:right w:val="none" w:sz="0" w:space="0" w:color="auto"/>
      </w:divBdr>
    </w:div>
    <w:div w:id="2017027245">
      <w:bodyDiv w:val="1"/>
      <w:marLeft w:val="0"/>
      <w:marRight w:val="0"/>
      <w:marTop w:val="0"/>
      <w:marBottom w:val="0"/>
      <w:divBdr>
        <w:top w:val="none" w:sz="0" w:space="0" w:color="auto"/>
        <w:left w:val="none" w:sz="0" w:space="0" w:color="auto"/>
        <w:bottom w:val="none" w:sz="0" w:space="0" w:color="auto"/>
        <w:right w:val="none" w:sz="0" w:space="0" w:color="auto"/>
      </w:divBdr>
    </w:div>
    <w:div w:id="2065331188">
      <w:bodyDiv w:val="1"/>
      <w:marLeft w:val="0"/>
      <w:marRight w:val="0"/>
      <w:marTop w:val="0"/>
      <w:marBottom w:val="0"/>
      <w:divBdr>
        <w:top w:val="none" w:sz="0" w:space="0" w:color="auto"/>
        <w:left w:val="none" w:sz="0" w:space="0" w:color="auto"/>
        <w:bottom w:val="none" w:sz="0" w:space="0" w:color="auto"/>
        <w:right w:val="none" w:sz="0" w:space="0" w:color="auto"/>
      </w:divBdr>
    </w:div>
    <w:div w:id="214519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ents-commentaires@scc-csc.c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cc-csc.ca/case-dossier/info/sum-som-eng.aspx?cas=38562"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1293</Words>
  <Characters>7163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8440</CharactersWithSpaces>
  <SharedDoc>false</SharedDoc>
  <HLinks>
    <vt:vector size="48" baseType="variant">
      <vt:variant>
        <vt:i4>524364</vt:i4>
      </vt:variant>
      <vt:variant>
        <vt:i4>23</vt:i4>
      </vt:variant>
      <vt:variant>
        <vt:i4>0</vt:i4>
      </vt:variant>
      <vt:variant>
        <vt:i4>5</vt:i4>
      </vt:variant>
      <vt:variant>
        <vt:lpwstr>http://www.scc-csc.gc.ca/news-nouv/rel-com/subs-abon-fra.aspx</vt:lpwstr>
      </vt:variant>
      <vt:variant>
        <vt:lpwstr/>
      </vt:variant>
      <vt:variant>
        <vt:i4>852048</vt:i4>
      </vt:variant>
      <vt:variant>
        <vt:i4>20</vt:i4>
      </vt:variant>
      <vt:variant>
        <vt:i4>0</vt:i4>
      </vt:variant>
      <vt:variant>
        <vt:i4>5</vt:i4>
      </vt:variant>
      <vt:variant>
        <vt:lpwstr>http://www.scc-csc.gc.ca/news-nouv/rel-com/subs-abon-eng.aspx</vt:lpwstr>
      </vt:variant>
      <vt:variant>
        <vt:lpwstr/>
      </vt:variant>
      <vt:variant>
        <vt:i4>3080213</vt:i4>
      </vt:variant>
      <vt:variant>
        <vt:i4>17</vt:i4>
      </vt:variant>
      <vt:variant>
        <vt:i4>0</vt:i4>
      </vt:variant>
      <vt:variant>
        <vt:i4>5</vt:i4>
      </vt:variant>
      <vt:variant>
        <vt:lpwstr>mailto:comments-commentaires@scc-csc.ca</vt:lpwstr>
      </vt:variant>
      <vt:variant>
        <vt:lpwstr/>
      </vt:variant>
      <vt:variant>
        <vt:i4>589830</vt:i4>
      </vt:variant>
      <vt:variant>
        <vt:i4>14</vt:i4>
      </vt:variant>
      <vt:variant>
        <vt:i4>0</vt:i4>
      </vt:variant>
      <vt:variant>
        <vt:i4>5</vt:i4>
      </vt:variant>
      <vt:variant>
        <vt:lpwstr>http://www.scc-csc.gc.ca/case-dossier/info/sum-som-eng.aspx?cas=36064</vt:lpwstr>
      </vt:variant>
      <vt:variant>
        <vt:lpwstr/>
      </vt:variant>
      <vt:variant>
        <vt:i4>720911</vt:i4>
      </vt:variant>
      <vt:variant>
        <vt:i4>11</vt:i4>
      </vt:variant>
      <vt:variant>
        <vt:i4>0</vt:i4>
      </vt:variant>
      <vt:variant>
        <vt:i4>5</vt:i4>
      </vt:variant>
      <vt:variant>
        <vt:lpwstr>http://www.scc-csc.gc.ca/case-dossier/info/sum-som-eng.aspx?cas=35977</vt:lpwstr>
      </vt:variant>
      <vt:variant>
        <vt:lpwstr/>
      </vt:variant>
      <vt:variant>
        <vt:i4>720898</vt:i4>
      </vt:variant>
      <vt:variant>
        <vt:i4>8</vt:i4>
      </vt:variant>
      <vt:variant>
        <vt:i4>0</vt:i4>
      </vt:variant>
      <vt:variant>
        <vt:i4>5</vt:i4>
      </vt:variant>
      <vt:variant>
        <vt:lpwstr>http://www.scc-csc.gc.ca/case-dossier/info/sum-som-eng.aspx?cas=35475</vt:lpwstr>
      </vt:variant>
      <vt:variant>
        <vt:lpwstr/>
      </vt:variant>
      <vt:variant>
        <vt:i4>2424895</vt:i4>
      </vt:variant>
      <vt:variant>
        <vt:i4>5</vt:i4>
      </vt:variant>
      <vt:variant>
        <vt:i4>0</vt:i4>
      </vt:variant>
      <vt:variant>
        <vt:i4>5</vt:i4>
      </vt:variant>
      <vt:variant>
        <vt:lpwstr>http://scc-csc.lexum.com/scc-csc/news/fr/item/4916/index.do</vt:lpwstr>
      </vt:variant>
      <vt:variant>
        <vt:lpwstr/>
      </vt:variant>
      <vt:variant>
        <vt:i4>3735612</vt:i4>
      </vt:variant>
      <vt:variant>
        <vt:i4>2</vt:i4>
      </vt:variant>
      <vt:variant>
        <vt:i4>0</vt:i4>
      </vt:variant>
      <vt:variant>
        <vt:i4>5</vt:i4>
      </vt:variant>
      <vt:variant>
        <vt:lpwstr>http://scc-csc.lexum.com/scc-csc/news/en/item/4916/index.do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2020-03-26T23:41:00Z</dcterms:created>
  <dcterms:modified xsi:type="dcterms:W3CDTF">2020-04-27T12:55:00Z</dcterms:modified>
</cp:coreProperties>
</file>