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62FC1" w:rsidRDefault="003F43E6" w:rsidP="003F43E6">
      <w:pPr>
        <w:pStyle w:val="Header"/>
        <w:jc w:val="center"/>
        <w:rPr>
          <w:b/>
          <w:sz w:val="32"/>
        </w:rPr>
      </w:pPr>
      <w:r w:rsidRPr="00462FC1">
        <w:rPr>
          <w:b/>
          <w:sz w:val="32"/>
        </w:rPr>
        <w:t>Supreme Court of Canada / Cour suprême du Canada</w:t>
      </w:r>
    </w:p>
    <w:p w:rsidR="003F43E6" w:rsidRPr="00462FC1" w:rsidRDefault="003F43E6" w:rsidP="006F2579">
      <w:pPr>
        <w:widowControl w:val="0"/>
        <w:rPr>
          <w:i/>
        </w:rPr>
      </w:pPr>
    </w:p>
    <w:p w:rsidR="003F43E6" w:rsidRPr="00462FC1" w:rsidRDefault="003F43E6" w:rsidP="006F2579">
      <w:pPr>
        <w:widowControl w:val="0"/>
        <w:rPr>
          <w:i/>
        </w:rPr>
      </w:pPr>
    </w:p>
    <w:p w:rsidR="006F2579" w:rsidRPr="00462FC1" w:rsidRDefault="006F2579" w:rsidP="006F2579">
      <w:pPr>
        <w:widowControl w:val="0"/>
        <w:rPr>
          <w:i/>
          <w:sz w:val="20"/>
          <w:lang w:val="fr-CA"/>
        </w:rPr>
      </w:pPr>
      <w:r w:rsidRPr="00462FC1">
        <w:rPr>
          <w:i/>
          <w:sz w:val="20"/>
          <w:lang w:val="fr-CA"/>
        </w:rPr>
        <w:t>(</w:t>
      </w:r>
      <w:r w:rsidR="008F3C5D" w:rsidRPr="00462FC1">
        <w:rPr>
          <w:i/>
          <w:sz w:val="20"/>
          <w:lang w:val="fr-CA"/>
        </w:rPr>
        <w:t>L</w:t>
      </w:r>
      <w:r w:rsidRPr="00462FC1">
        <w:rPr>
          <w:i/>
          <w:sz w:val="20"/>
          <w:lang w:val="fr-CA"/>
        </w:rPr>
        <w:t>e français suit)</w:t>
      </w:r>
    </w:p>
    <w:p w:rsidR="006F2579" w:rsidRPr="00462FC1" w:rsidRDefault="006F2579" w:rsidP="006F2579">
      <w:pPr>
        <w:widowControl w:val="0"/>
        <w:rPr>
          <w:lang w:val="fr-CA"/>
        </w:rPr>
      </w:pPr>
    </w:p>
    <w:p w:rsidR="006F2579" w:rsidRPr="00462FC1" w:rsidRDefault="00C007C3" w:rsidP="006F2579">
      <w:pPr>
        <w:widowControl w:val="0"/>
        <w:jc w:val="center"/>
        <w:rPr>
          <w:b/>
          <w:lang w:val="fr-CA"/>
        </w:rPr>
      </w:pPr>
      <w:r w:rsidRPr="00462FC1">
        <w:fldChar w:fldCharType="begin"/>
      </w:r>
      <w:r w:rsidR="006F2579" w:rsidRPr="00462FC1">
        <w:rPr>
          <w:lang w:val="fr-CA"/>
        </w:rPr>
        <w:instrText xml:space="preserve"> SEQ CHAPTER \h \r 1</w:instrText>
      </w:r>
      <w:r w:rsidRPr="00462FC1">
        <w:fldChar w:fldCharType="end"/>
      </w:r>
      <w:r w:rsidR="002767DF" w:rsidRPr="00462FC1">
        <w:rPr>
          <w:b/>
          <w:lang w:val="fr-CA"/>
        </w:rPr>
        <w:t xml:space="preserve">JUDGMENTS </w:t>
      </w:r>
      <w:r w:rsidR="004C4C26" w:rsidRPr="00462FC1">
        <w:rPr>
          <w:b/>
          <w:lang w:val="fr-CA"/>
        </w:rPr>
        <w:t>IN LEAVE APPLICATION</w:t>
      </w:r>
      <w:r w:rsidR="002375D8" w:rsidRPr="00462FC1">
        <w:rPr>
          <w:b/>
          <w:lang w:val="fr-CA"/>
        </w:rPr>
        <w:t>S</w:t>
      </w:r>
    </w:p>
    <w:p w:rsidR="006F2579" w:rsidRPr="00462FC1" w:rsidRDefault="006F2579" w:rsidP="006F2579">
      <w:pPr>
        <w:widowControl w:val="0"/>
        <w:rPr>
          <w:lang w:val="fr-CA"/>
        </w:rPr>
      </w:pPr>
    </w:p>
    <w:p w:rsidR="006F2579" w:rsidRPr="00462FC1" w:rsidRDefault="000E17FF" w:rsidP="006F2579">
      <w:pPr>
        <w:widowControl w:val="0"/>
      </w:pPr>
      <w:r w:rsidRPr="00462FC1">
        <w:rPr>
          <w:b/>
        </w:rPr>
        <w:t>April</w:t>
      </w:r>
      <w:r w:rsidR="00C9475D" w:rsidRPr="00462FC1">
        <w:rPr>
          <w:b/>
        </w:rPr>
        <w:t xml:space="preserve"> </w:t>
      </w:r>
      <w:r w:rsidR="000A2B58" w:rsidRPr="00462FC1">
        <w:rPr>
          <w:b/>
        </w:rPr>
        <w:t>3</w:t>
      </w:r>
      <w:r w:rsidR="009A7249" w:rsidRPr="00462FC1">
        <w:rPr>
          <w:b/>
        </w:rPr>
        <w:t>0</w:t>
      </w:r>
      <w:r w:rsidR="00170148" w:rsidRPr="00462FC1">
        <w:rPr>
          <w:b/>
        </w:rPr>
        <w:t>,</w:t>
      </w:r>
      <w:r w:rsidR="008825DB" w:rsidRPr="00462FC1">
        <w:rPr>
          <w:b/>
        </w:rPr>
        <w:t xml:space="preserve"> 20</w:t>
      </w:r>
      <w:r w:rsidR="002902CC" w:rsidRPr="00462FC1">
        <w:rPr>
          <w:b/>
        </w:rPr>
        <w:t>20</w:t>
      </w:r>
    </w:p>
    <w:p w:rsidR="006F2579" w:rsidRPr="00462FC1" w:rsidRDefault="006F2579" w:rsidP="006F2579">
      <w:pPr>
        <w:widowControl w:val="0"/>
        <w:rPr>
          <w:b/>
        </w:rPr>
      </w:pPr>
      <w:r w:rsidRPr="00462FC1">
        <w:rPr>
          <w:b/>
        </w:rPr>
        <w:t>For immediate release</w:t>
      </w:r>
    </w:p>
    <w:p w:rsidR="006F2579" w:rsidRPr="00462FC1" w:rsidRDefault="006F2579" w:rsidP="006F2579">
      <w:pPr>
        <w:widowControl w:val="0"/>
      </w:pPr>
    </w:p>
    <w:p w:rsidR="002767DF" w:rsidRPr="00462FC1" w:rsidRDefault="002767DF" w:rsidP="002767DF">
      <w:pPr>
        <w:widowControl w:val="0"/>
      </w:pPr>
      <w:r w:rsidRPr="00462FC1">
        <w:rPr>
          <w:b/>
        </w:rPr>
        <w:t>OTTAWA</w:t>
      </w:r>
      <w:r w:rsidRPr="00462FC1">
        <w:t xml:space="preserve"> – The Suprem</w:t>
      </w:r>
      <w:r w:rsidR="00580213" w:rsidRPr="00462FC1">
        <w:t>e</w:t>
      </w:r>
      <w:r w:rsidRPr="00462FC1">
        <w:t xml:space="preserve"> Court of Canada has today deposited with the Registrar judgment</w:t>
      </w:r>
      <w:r w:rsidR="004D3B41" w:rsidRPr="00462FC1">
        <w:t>s</w:t>
      </w:r>
      <w:r w:rsidRPr="00462FC1">
        <w:t xml:space="preserve"> in the following </w:t>
      </w:r>
      <w:r w:rsidR="00063949" w:rsidRPr="00462FC1">
        <w:t xml:space="preserve">leave </w:t>
      </w:r>
      <w:r w:rsidRPr="00462FC1">
        <w:t>application</w:t>
      </w:r>
      <w:r w:rsidR="00CC044F" w:rsidRPr="00462FC1">
        <w:t>s</w:t>
      </w:r>
      <w:r w:rsidRPr="00462FC1">
        <w:t>.</w:t>
      </w:r>
    </w:p>
    <w:p w:rsidR="006F2579" w:rsidRPr="00462FC1" w:rsidRDefault="006F2579" w:rsidP="006F2579">
      <w:pPr>
        <w:widowControl w:val="0"/>
      </w:pPr>
    </w:p>
    <w:p w:rsidR="006F2579" w:rsidRPr="00462FC1" w:rsidRDefault="006F2579" w:rsidP="006F2579">
      <w:pPr>
        <w:widowControl w:val="0"/>
      </w:pPr>
    </w:p>
    <w:p w:rsidR="002767DF" w:rsidRPr="00462FC1" w:rsidRDefault="002767DF" w:rsidP="002767DF">
      <w:pPr>
        <w:widowControl w:val="0"/>
        <w:jc w:val="center"/>
        <w:rPr>
          <w:lang w:val="fr-CA"/>
        </w:rPr>
      </w:pPr>
      <w:r w:rsidRPr="00462FC1">
        <w:rPr>
          <w:b/>
          <w:lang w:val="fr-CA"/>
        </w:rPr>
        <w:t>JUGEMENT</w:t>
      </w:r>
      <w:r w:rsidR="004C4C26" w:rsidRPr="00462FC1">
        <w:rPr>
          <w:b/>
          <w:lang w:val="fr-CA"/>
        </w:rPr>
        <w:t>S SUR DEMANDE</w:t>
      </w:r>
      <w:r w:rsidR="00CC044F" w:rsidRPr="00462FC1">
        <w:rPr>
          <w:b/>
          <w:lang w:val="fr-CA"/>
        </w:rPr>
        <w:t>S</w:t>
      </w:r>
      <w:r w:rsidRPr="00462FC1">
        <w:rPr>
          <w:b/>
          <w:lang w:val="fr-CA"/>
        </w:rPr>
        <w:t xml:space="preserve"> D’AUTORISATION</w:t>
      </w:r>
    </w:p>
    <w:p w:rsidR="006F2579" w:rsidRPr="00462FC1" w:rsidRDefault="006F2579" w:rsidP="006F2579">
      <w:pPr>
        <w:widowControl w:val="0"/>
        <w:rPr>
          <w:lang w:val="fr-CA"/>
        </w:rPr>
      </w:pPr>
    </w:p>
    <w:p w:rsidR="006F2579" w:rsidRPr="00462FC1" w:rsidRDefault="006F2579" w:rsidP="006F2579">
      <w:pPr>
        <w:widowControl w:val="0"/>
        <w:rPr>
          <w:lang w:val="fr-CA"/>
        </w:rPr>
      </w:pPr>
      <w:r w:rsidRPr="00462FC1">
        <w:rPr>
          <w:b/>
          <w:lang w:val="fr-CA"/>
        </w:rPr>
        <w:t>Le</w:t>
      </w:r>
      <w:r w:rsidR="008825DB" w:rsidRPr="00462FC1">
        <w:rPr>
          <w:b/>
          <w:lang w:val="fr-CA"/>
        </w:rPr>
        <w:t xml:space="preserve"> </w:t>
      </w:r>
      <w:r w:rsidR="000A2B58" w:rsidRPr="00462FC1">
        <w:rPr>
          <w:b/>
          <w:lang w:val="fr-CA"/>
        </w:rPr>
        <w:t>3</w:t>
      </w:r>
      <w:r w:rsidR="009A7249" w:rsidRPr="00462FC1">
        <w:rPr>
          <w:b/>
          <w:lang w:val="fr-CA"/>
        </w:rPr>
        <w:t>0</w:t>
      </w:r>
      <w:r w:rsidR="00C9475D" w:rsidRPr="00462FC1">
        <w:rPr>
          <w:b/>
          <w:lang w:val="fr-CA"/>
        </w:rPr>
        <w:t xml:space="preserve"> </w:t>
      </w:r>
      <w:r w:rsidR="004A22D9" w:rsidRPr="00462FC1">
        <w:rPr>
          <w:b/>
          <w:lang w:val="fr-CA"/>
        </w:rPr>
        <w:t>a</w:t>
      </w:r>
      <w:r w:rsidR="000E17FF" w:rsidRPr="00462FC1">
        <w:rPr>
          <w:b/>
          <w:lang w:val="fr-CA"/>
        </w:rPr>
        <w:t>v</w:t>
      </w:r>
      <w:r w:rsidR="004A22D9" w:rsidRPr="00462FC1">
        <w:rPr>
          <w:b/>
          <w:lang w:val="fr-CA"/>
        </w:rPr>
        <w:t>r</w:t>
      </w:r>
      <w:r w:rsidR="000E17FF" w:rsidRPr="00462FC1">
        <w:rPr>
          <w:b/>
          <w:lang w:val="fr-CA"/>
        </w:rPr>
        <w:t>il</w:t>
      </w:r>
      <w:r w:rsidR="004E4B02" w:rsidRPr="00462FC1">
        <w:rPr>
          <w:b/>
          <w:lang w:val="fr-CA"/>
        </w:rPr>
        <w:t xml:space="preserve"> </w:t>
      </w:r>
      <w:r w:rsidR="008825DB" w:rsidRPr="00462FC1">
        <w:rPr>
          <w:b/>
          <w:lang w:val="fr-CA"/>
        </w:rPr>
        <w:t>20</w:t>
      </w:r>
      <w:r w:rsidR="002902CC" w:rsidRPr="00462FC1">
        <w:rPr>
          <w:b/>
          <w:lang w:val="fr-CA"/>
        </w:rPr>
        <w:t>20</w:t>
      </w:r>
    </w:p>
    <w:p w:rsidR="006F2579" w:rsidRPr="00462FC1" w:rsidRDefault="006F2579" w:rsidP="006F2579">
      <w:pPr>
        <w:widowControl w:val="0"/>
        <w:rPr>
          <w:b/>
          <w:lang w:val="fr-CA"/>
        </w:rPr>
      </w:pPr>
      <w:r w:rsidRPr="00462FC1">
        <w:rPr>
          <w:b/>
          <w:lang w:val="fr-CA"/>
        </w:rPr>
        <w:t>Pour diffusion immédiate</w:t>
      </w:r>
    </w:p>
    <w:p w:rsidR="006F2579" w:rsidRPr="00462FC1" w:rsidRDefault="006F2579" w:rsidP="006F2579">
      <w:pPr>
        <w:widowControl w:val="0"/>
        <w:rPr>
          <w:lang w:val="fr-CA"/>
        </w:rPr>
      </w:pPr>
    </w:p>
    <w:p w:rsidR="002767DF" w:rsidRPr="00462FC1" w:rsidRDefault="002767DF" w:rsidP="002767DF">
      <w:pPr>
        <w:widowControl w:val="0"/>
        <w:rPr>
          <w:lang w:val="fr-CA"/>
        </w:rPr>
      </w:pPr>
      <w:r w:rsidRPr="00462FC1">
        <w:rPr>
          <w:b/>
          <w:lang w:val="fr-CA"/>
        </w:rPr>
        <w:t>OTTAWA</w:t>
      </w:r>
      <w:r w:rsidRPr="00462FC1">
        <w:rPr>
          <w:lang w:val="fr-CA"/>
        </w:rPr>
        <w:t xml:space="preserve"> – La Cour suprême du Canada a déposé aujourd’hui auprès du registraire les jugements dans </w:t>
      </w:r>
      <w:r w:rsidR="00CC044F" w:rsidRPr="00462FC1">
        <w:rPr>
          <w:lang w:val="fr-CA"/>
        </w:rPr>
        <w:t>les</w:t>
      </w:r>
      <w:r w:rsidR="008C7CD9" w:rsidRPr="00462FC1">
        <w:rPr>
          <w:lang w:val="fr-CA"/>
        </w:rPr>
        <w:t xml:space="preserve"> </w:t>
      </w:r>
      <w:r w:rsidR="004C4C26" w:rsidRPr="00462FC1">
        <w:rPr>
          <w:lang w:val="fr-CA"/>
        </w:rPr>
        <w:t>demande</w:t>
      </w:r>
      <w:r w:rsidR="0088435A" w:rsidRPr="00462FC1">
        <w:rPr>
          <w:lang w:val="fr-CA"/>
        </w:rPr>
        <w:t>s</w:t>
      </w:r>
      <w:r w:rsidRPr="00462FC1">
        <w:rPr>
          <w:lang w:val="fr-CA"/>
        </w:rPr>
        <w:t xml:space="preserve"> d’au</w:t>
      </w:r>
      <w:r w:rsidR="00F24EF2" w:rsidRPr="00462FC1">
        <w:rPr>
          <w:lang w:val="fr-CA"/>
        </w:rPr>
        <w:t xml:space="preserve">torisation </w:t>
      </w:r>
      <w:r w:rsidR="007F2922" w:rsidRPr="00462FC1">
        <w:rPr>
          <w:lang w:val="fr-CA"/>
        </w:rPr>
        <w:t>sui</w:t>
      </w:r>
      <w:r w:rsidR="00F24EF2" w:rsidRPr="00462FC1">
        <w:rPr>
          <w:lang w:val="fr-CA"/>
        </w:rPr>
        <w:t>v</w:t>
      </w:r>
      <w:r w:rsidR="007F2922" w:rsidRPr="00462FC1">
        <w:rPr>
          <w:lang w:val="fr-CA"/>
        </w:rPr>
        <w:t>a</w:t>
      </w:r>
      <w:r w:rsidR="00F24EF2" w:rsidRPr="00462FC1">
        <w:rPr>
          <w:lang w:val="fr-CA"/>
        </w:rPr>
        <w:t>nt</w:t>
      </w:r>
      <w:r w:rsidR="00C56657" w:rsidRPr="00462FC1">
        <w:rPr>
          <w:lang w:val="fr-CA"/>
        </w:rPr>
        <w:t>s</w:t>
      </w:r>
      <w:r w:rsidR="00F24EF2" w:rsidRPr="00462FC1">
        <w:rPr>
          <w:lang w:val="fr-CA"/>
        </w:rPr>
        <w:t>.</w:t>
      </w:r>
    </w:p>
    <w:p w:rsidR="00694BDA" w:rsidRPr="00462FC1" w:rsidRDefault="00694BDA" w:rsidP="000B5274">
      <w:pPr>
        <w:jc w:val="both"/>
        <w:rPr>
          <w:sz w:val="20"/>
          <w:lang w:val="fr-CA"/>
        </w:rPr>
      </w:pPr>
    </w:p>
    <w:p w:rsidR="00DA0759" w:rsidRPr="00462FC1" w:rsidRDefault="00462FC1" w:rsidP="000B5274">
      <w:pPr>
        <w:jc w:val="both"/>
        <w:rPr>
          <w:sz w:val="20"/>
          <w:lang w:val="fr-CA"/>
        </w:rPr>
      </w:pPr>
      <w:r w:rsidRPr="00462FC1">
        <w:rPr>
          <w:sz w:val="20"/>
        </w:rPr>
        <w:pict>
          <v:rect id="_x0000_i1025" style="width:2in;height:1pt" o:hrpct="0" o:hralign="center" o:hrstd="t" o:hrnoshade="t" o:hr="t" fillcolor="black [3213]" stroked="f"/>
        </w:pict>
      </w:r>
    </w:p>
    <w:p w:rsidR="004D08BA" w:rsidRPr="00462FC1" w:rsidRDefault="004D08BA" w:rsidP="004D08BA">
      <w:pPr>
        <w:jc w:val="both"/>
        <w:rPr>
          <w:sz w:val="20"/>
        </w:rPr>
      </w:pPr>
    </w:p>
    <w:p w:rsidR="00431DE2" w:rsidRPr="00462FC1" w:rsidRDefault="00431DE2" w:rsidP="00431DE2">
      <w:pPr>
        <w:jc w:val="both"/>
        <w:rPr>
          <w:b/>
          <w:sz w:val="22"/>
          <w:szCs w:val="22"/>
          <w:lang w:val="fr-CA"/>
        </w:rPr>
      </w:pPr>
      <w:r w:rsidRPr="00462FC1">
        <w:rPr>
          <w:b/>
          <w:sz w:val="22"/>
          <w:szCs w:val="22"/>
          <w:lang w:val="fr-CA"/>
        </w:rPr>
        <w:t>DISMISSED / REJETÉE</w:t>
      </w:r>
      <w:r w:rsidR="001B1618" w:rsidRPr="00462FC1">
        <w:rPr>
          <w:b/>
          <w:sz w:val="22"/>
          <w:szCs w:val="22"/>
          <w:lang w:val="fr-CA"/>
        </w:rPr>
        <w:t>S</w:t>
      </w:r>
    </w:p>
    <w:p w:rsidR="00431DE2" w:rsidRPr="00462FC1" w:rsidRDefault="00431DE2" w:rsidP="000B5274">
      <w:pPr>
        <w:jc w:val="both"/>
        <w:rPr>
          <w:sz w:val="20"/>
          <w:lang w:val="fr-CA"/>
        </w:rPr>
      </w:pPr>
    </w:p>
    <w:p w:rsidR="00F518A8" w:rsidRPr="00462FC1" w:rsidRDefault="00F518A8" w:rsidP="00F518A8">
      <w:pPr>
        <w:rPr>
          <w:sz w:val="22"/>
          <w:szCs w:val="22"/>
          <w:lang w:val="fr-CA"/>
        </w:rPr>
      </w:pPr>
      <w:r w:rsidRPr="00462FC1">
        <w:rPr>
          <w:i/>
          <w:sz w:val="22"/>
          <w:szCs w:val="22"/>
          <w:lang w:val="fr-FR"/>
        </w:rPr>
        <w:t>Vidéotron Ltée, TELUS Communications Inc., Rogers Communications Canada Inc., Bell Canada et Cogeco Connexion Inc. c. Ville de Gatineau, Ville de Terrebonne et procureure générale du Québec</w:t>
      </w:r>
      <w:r w:rsidRPr="00462FC1">
        <w:rPr>
          <w:sz w:val="22"/>
          <w:szCs w:val="22"/>
          <w:lang w:val="fr-FR"/>
        </w:rPr>
        <w:t xml:space="preserve"> </w:t>
      </w:r>
      <w:r w:rsidRPr="00462FC1">
        <w:rPr>
          <w:sz w:val="22"/>
          <w:szCs w:val="22"/>
          <w:lang w:val="fr-CA"/>
        </w:rPr>
        <w:t>(Qc) (Civile) (Autorisation) (</w:t>
      </w:r>
      <w:hyperlink r:id="rId8" w:history="1">
        <w:r w:rsidRPr="00462FC1">
          <w:rPr>
            <w:rStyle w:val="Hyperlink"/>
            <w:sz w:val="22"/>
            <w:szCs w:val="22"/>
            <w:lang w:val="fr-CA"/>
          </w:rPr>
          <w:t>38758</w:t>
        </w:r>
      </w:hyperlink>
      <w:r w:rsidRPr="00462FC1">
        <w:rPr>
          <w:sz w:val="22"/>
          <w:szCs w:val="22"/>
          <w:lang w:val="fr-CA"/>
        </w:rPr>
        <w:t>)</w:t>
      </w:r>
    </w:p>
    <w:p w:rsidR="008660CA" w:rsidRPr="00462FC1" w:rsidRDefault="008660CA" w:rsidP="008660CA">
      <w:pPr>
        <w:rPr>
          <w:sz w:val="20"/>
          <w:lang w:val="fr-CA"/>
        </w:rPr>
      </w:pPr>
    </w:p>
    <w:p w:rsidR="00D2367E" w:rsidRPr="00462FC1" w:rsidRDefault="00F518A8" w:rsidP="00D2367E">
      <w:pPr>
        <w:rPr>
          <w:color w:val="000000"/>
          <w:sz w:val="20"/>
          <w:lang w:val="fr-CA"/>
        </w:rPr>
      </w:pPr>
      <w:r w:rsidRPr="00462FC1">
        <w:rPr>
          <w:sz w:val="20"/>
          <w:lang w:val="fr-CA"/>
        </w:rPr>
        <w:t xml:space="preserve">La demande d’autorisation d’appel de l’arrêt de la Cour d’appel du Québec (Montréal), numéros 500-09-027032-176, 500-09-027042-175 et 500-09-027043-173, 2019 QCCA 840, daté du 10 mai 2019, est </w:t>
      </w:r>
      <w:r w:rsidRPr="00462FC1">
        <w:rPr>
          <w:color w:val="000000"/>
          <w:sz w:val="20"/>
          <w:lang w:val="fr-CA"/>
        </w:rPr>
        <w:t>rejetée avec dépens en faveur des intimées, Ville de Gatineau, Ville de Terrebonne et procureure générale du Québec. La demande d’autorisation d’appel incident conditionnelle déposée par l’intimée, procureure générale du Québec, est rejetée. Il n’est pas nécessaire d’examiner la requête en radiation déposée par les intimées, Ville de Gatineau et Ville de Terrebonne.</w:t>
      </w:r>
    </w:p>
    <w:p w:rsidR="00F518A8" w:rsidRPr="00462FC1" w:rsidRDefault="00F518A8" w:rsidP="00D2367E">
      <w:pPr>
        <w:rPr>
          <w:sz w:val="20"/>
          <w:lang w:val="fr-CA"/>
        </w:rPr>
      </w:pPr>
    </w:p>
    <w:p w:rsidR="00D2367E" w:rsidRPr="00462FC1" w:rsidRDefault="00F518A8" w:rsidP="00D2367E">
      <w:pPr>
        <w:rPr>
          <w:sz w:val="20"/>
        </w:rPr>
      </w:pPr>
      <w:r w:rsidRPr="00462FC1">
        <w:rPr>
          <w:sz w:val="20"/>
          <w:lang w:val="en-CA"/>
        </w:rPr>
        <w:t>The application for leave to appeal from the judgment of the</w:t>
      </w:r>
      <w:bookmarkStart w:id="0" w:name="BM_1_"/>
      <w:bookmarkEnd w:id="0"/>
      <w:r w:rsidRPr="00462FC1">
        <w:rPr>
          <w:sz w:val="20"/>
          <w:lang w:val="en-CA"/>
        </w:rPr>
        <w:t xml:space="preserve"> </w:t>
      </w:r>
      <w:r w:rsidRPr="00462FC1">
        <w:rPr>
          <w:sz w:val="20"/>
        </w:rPr>
        <w:t>Court of Appeal of Quebec (Montréal)</w:t>
      </w:r>
      <w:r w:rsidRPr="00462FC1">
        <w:rPr>
          <w:sz w:val="20"/>
          <w:lang w:val="en-CA"/>
        </w:rPr>
        <w:t xml:space="preserve">, Numbers </w:t>
      </w:r>
      <w:r w:rsidRPr="00462FC1">
        <w:rPr>
          <w:sz w:val="20"/>
        </w:rPr>
        <w:t>500-09-027032-176, 500-09-027042-175 and 500-09-027043-173</w:t>
      </w:r>
      <w:r w:rsidRPr="00462FC1">
        <w:rPr>
          <w:sz w:val="20"/>
          <w:lang w:val="en-CA"/>
        </w:rPr>
        <w:t xml:space="preserve">, </w:t>
      </w:r>
      <w:r w:rsidRPr="00462FC1">
        <w:rPr>
          <w:sz w:val="20"/>
        </w:rPr>
        <w:t xml:space="preserve">2019 QCCA 840, </w:t>
      </w:r>
      <w:r w:rsidRPr="00462FC1">
        <w:rPr>
          <w:sz w:val="20"/>
          <w:lang w:val="en-CA"/>
        </w:rPr>
        <w:t xml:space="preserve">dated </w:t>
      </w:r>
      <w:r w:rsidRPr="00462FC1">
        <w:rPr>
          <w:sz w:val="20"/>
        </w:rPr>
        <w:t>May 10, 2019,</w:t>
      </w:r>
      <w:r w:rsidRPr="00462FC1">
        <w:rPr>
          <w:sz w:val="20"/>
          <w:lang w:val="en-CA"/>
        </w:rPr>
        <w:t xml:space="preserve"> is dismissed with costs to the respondents, </w:t>
      </w:r>
      <w:r w:rsidRPr="00462FC1">
        <w:rPr>
          <w:sz w:val="20"/>
        </w:rPr>
        <w:t xml:space="preserve">Ville de Gatineau, Ville de Terrebonne and Attorney General of Québec. </w:t>
      </w:r>
      <w:r w:rsidRPr="00462FC1">
        <w:rPr>
          <w:sz w:val="20"/>
          <w:lang w:val="en-CA"/>
        </w:rPr>
        <w:t xml:space="preserve">The conditional application for leave to cross-appeal filed by the respondent, Attorney General of Québec, is dismissed. </w:t>
      </w:r>
      <w:r w:rsidRPr="00462FC1">
        <w:rPr>
          <w:sz w:val="20"/>
        </w:rPr>
        <w:t>It is not necessary to consider the motion to strike filed by the respondents, Ville de Gatineau and Ville de Terrebonne.</w:t>
      </w:r>
    </w:p>
    <w:p w:rsidR="00A30607" w:rsidRPr="00462FC1" w:rsidRDefault="00A30607" w:rsidP="00A30607">
      <w:pPr>
        <w:widowControl w:val="0"/>
        <w:rPr>
          <w:sz w:val="20"/>
        </w:rPr>
      </w:pPr>
    </w:p>
    <w:p w:rsidR="008660CA" w:rsidRPr="00462FC1" w:rsidRDefault="00462FC1" w:rsidP="00A30607">
      <w:pPr>
        <w:widowControl w:val="0"/>
        <w:rPr>
          <w:sz w:val="20"/>
        </w:rPr>
      </w:pPr>
      <w:r w:rsidRPr="00462FC1">
        <w:rPr>
          <w:sz w:val="20"/>
        </w:rPr>
        <w:pict>
          <v:rect id="_x0000_i1027" style="width:2in;height:1pt" o:hrpct="0" o:hralign="center" o:hrstd="t" o:hrnoshade="t" o:hr="t" fillcolor="black [3213]" stroked="f"/>
        </w:pict>
      </w:r>
    </w:p>
    <w:p w:rsidR="008660CA" w:rsidRPr="00462FC1" w:rsidRDefault="008660CA" w:rsidP="00A30607">
      <w:pPr>
        <w:widowControl w:val="0"/>
        <w:rPr>
          <w:sz w:val="20"/>
        </w:rPr>
      </w:pPr>
    </w:p>
    <w:p w:rsidR="002F1D40" w:rsidRPr="00462FC1" w:rsidRDefault="002F1D40" w:rsidP="002F1D40">
      <w:pPr>
        <w:rPr>
          <w:sz w:val="22"/>
          <w:szCs w:val="22"/>
          <w:lang w:val="fr-FR"/>
        </w:rPr>
      </w:pPr>
      <w:r w:rsidRPr="00462FC1">
        <w:rPr>
          <w:i/>
          <w:sz w:val="22"/>
          <w:szCs w:val="22"/>
          <w:lang w:val="fr-FR"/>
        </w:rPr>
        <w:t>J.M. c. Sa Majesté la Reine et CIUSSS Mauricie-Centre-du-Québec - et - Procureure générale du Québec, Tribunal administratif du Québec, Directeur des poursuites criminelles et pénales et Paul Skolnik</w:t>
      </w:r>
      <w:r w:rsidRPr="00462FC1">
        <w:rPr>
          <w:sz w:val="22"/>
          <w:szCs w:val="22"/>
          <w:lang w:val="fr-FR"/>
        </w:rPr>
        <w:t xml:space="preserve"> (Qc) (Criminelle) (Autorisation) </w:t>
      </w:r>
      <w:r w:rsidRPr="00462FC1">
        <w:rPr>
          <w:sz w:val="22"/>
          <w:szCs w:val="22"/>
          <w:lang w:val="fr-CA"/>
        </w:rPr>
        <w:t>(</w:t>
      </w:r>
      <w:hyperlink r:id="rId9" w:history="1">
        <w:r w:rsidRPr="00462FC1">
          <w:rPr>
            <w:rStyle w:val="Hyperlink"/>
            <w:sz w:val="22"/>
            <w:szCs w:val="22"/>
            <w:lang w:val="fr-CA"/>
          </w:rPr>
          <w:t>39025</w:t>
        </w:r>
      </w:hyperlink>
      <w:r w:rsidRPr="00462FC1">
        <w:rPr>
          <w:sz w:val="22"/>
          <w:szCs w:val="22"/>
          <w:lang w:val="fr-CA"/>
        </w:rPr>
        <w:t>)</w:t>
      </w:r>
    </w:p>
    <w:p w:rsidR="000A2B58" w:rsidRPr="00462FC1" w:rsidRDefault="000A2B58" w:rsidP="00A30607">
      <w:pPr>
        <w:widowControl w:val="0"/>
        <w:rPr>
          <w:sz w:val="20"/>
          <w:lang w:val="fr-FR"/>
        </w:rPr>
      </w:pPr>
    </w:p>
    <w:p w:rsidR="002F1D40" w:rsidRPr="00462FC1" w:rsidRDefault="002F1D40" w:rsidP="002F1D40">
      <w:pPr>
        <w:rPr>
          <w:sz w:val="20"/>
          <w:lang w:val="fr-CA"/>
        </w:rPr>
      </w:pPr>
      <w:r w:rsidRPr="00462FC1">
        <w:rPr>
          <w:sz w:val="20"/>
          <w:lang w:val="fr-CA"/>
        </w:rPr>
        <w:t>La demande d’autorisation d’appel de l’arrêt de la Cour d’appel du Québec (Québec), numéros 200-10-003650-194 et 200-10-003677-197, 2019 QCCA 1755, daté du 18 octobre 2019, est rejetée.</w:t>
      </w:r>
    </w:p>
    <w:p w:rsidR="002F1D40" w:rsidRPr="00462FC1" w:rsidRDefault="002F1D40" w:rsidP="002F1D40">
      <w:pPr>
        <w:rPr>
          <w:sz w:val="20"/>
          <w:lang w:val="fr-CA"/>
        </w:rPr>
      </w:pPr>
    </w:p>
    <w:p w:rsidR="002F1D40" w:rsidRPr="00462FC1" w:rsidRDefault="002F1D40" w:rsidP="002F1D40">
      <w:pPr>
        <w:rPr>
          <w:sz w:val="20"/>
        </w:rPr>
      </w:pPr>
      <w:r w:rsidRPr="00462FC1">
        <w:rPr>
          <w:sz w:val="20"/>
        </w:rPr>
        <w:t>The application for leave to appeal from the judgment of the Court of Appeal of Quebec (Québec), Numbers 200-10-003650-194 and 200-10-003677-197, 2019 QCCA 1755, dated October 18, 2019, is dismissed.</w:t>
      </w:r>
    </w:p>
    <w:p w:rsidR="009A7249" w:rsidRPr="00462FC1" w:rsidRDefault="009A7249" w:rsidP="00A30607">
      <w:pPr>
        <w:widowControl w:val="0"/>
        <w:rPr>
          <w:sz w:val="20"/>
        </w:rPr>
      </w:pPr>
    </w:p>
    <w:p w:rsidR="00A30607" w:rsidRPr="00462FC1" w:rsidRDefault="00462FC1" w:rsidP="00A30607">
      <w:pPr>
        <w:widowControl w:val="0"/>
        <w:rPr>
          <w:sz w:val="20"/>
        </w:rPr>
      </w:pPr>
      <w:r w:rsidRPr="00462FC1">
        <w:rPr>
          <w:sz w:val="20"/>
        </w:rPr>
        <w:pict>
          <v:rect id="_x0000_i1028" style="width:2in;height:1pt" o:hrpct="0" o:hralign="center" o:hrstd="t" o:hrnoshade="t" o:hr="t" fillcolor="black [3213]" stroked="f"/>
        </w:pict>
      </w:r>
    </w:p>
    <w:p w:rsidR="008660CA" w:rsidRPr="00462FC1" w:rsidRDefault="008660CA" w:rsidP="00A30607">
      <w:pPr>
        <w:widowControl w:val="0"/>
        <w:rPr>
          <w:sz w:val="20"/>
        </w:rPr>
      </w:pPr>
    </w:p>
    <w:p w:rsidR="00BA0836" w:rsidRPr="00462FC1" w:rsidRDefault="00BA0836" w:rsidP="00BA0836">
      <w:pPr>
        <w:rPr>
          <w:sz w:val="22"/>
          <w:szCs w:val="22"/>
          <w:lang w:val="fr-FR"/>
        </w:rPr>
      </w:pPr>
      <w:r w:rsidRPr="00462FC1">
        <w:rPr>
          <w:i/>
          <w:sz w:val="22"/>
          <w:szCs w:val="22"/>
          <w:lang w:val="fr-FR"/>
        </w:rPr>
        <w:t>Sa Majesté la Reine c. Richard Jr. Sauvé-Laliberté</w:t>
      </w:r>
      <w:r w:rsidRPr="00462FC1">
        <w:rPr>
          <w:sz w:val="22"/>
          <w:szCs w:val="22"/>
          <w:lang w:val="fr-FR"/>
        </w:rPr>
        <w:t xml:space="preserve"> (Qc) (Criminelle) (Autorisation) </w:t>
      </w:r>
      <w:r w:rsidRPr="00462FC1">
        <w:rPr>
          <w:sz w:val="22"/>
          <w:szCs w:val="22"/>
          <w:lang w:val="fr-CA"/>
        </w:rPr>
        <w:t>(</w:t>
      </w:r>
      <w:hyperlink r:id="rId10" w:history="1">
        <w:r w:rsidRPr="00462FC1">
          <w:rPr>
            <w:rStyle w:val="Hyperlink"/>
            <w:sz w:val="22"/>
            <w:szCs w:val="22"/>
            <w:lang w:val="fr-CA"/>
          </w:rPr>
          <w:t>38908</w:t>
        </w:r>
      </w:hyperlink>
      <w:r w:rsidRPr="00462FC1">
        <w:rPr>
          <w:sz w:val="22"/>
          <w:szCs w:val="22"/>
          <w:lang w:val="fr-CA"/>
        </w:rPr>
        <w:t>)</w:t>
      </w:r>
    </w:p>
    <w:p w:rsidR="000A2B58" w:rsidRPr="00462FC1" w:rsidRDefault="000A2B58" w:rsidP="00A30607">
      <w:pPr>
        <w:widowControl w:val="0"/>
        <w:rPr>
          <w:sz w:val="20"/>
          <w:lang w:val="fr-FR"/>
        </w:rPr>
      </w:pPr>
    </w:p>
    <w:p w:rsidR="00BA0836" w:rsidRPr="00462FC1" w:rsidRDefault="00BA0836" w:rsidP="00BA0836">
      <w:pPr>
        <w:rPr>
          <w:sz w:val="20"/>
          <w:lang w:val="fr-CA"/>
        </w:rPr>
      </w:pPr>
      <w:r w:rsidRPr="00462FC1">
        <w:rPr>
          <w:sz w:val="20"/>
          <w:lang w:val="fr-CA"/>
        </w:rPr>
        <w:t>La demande d’autorisation d’appel de l’arrêt de la Cour d’appel du Québec (Montréal), numéro 500-10-006856-189, 2019 QCCA 1356, daté du 13 août 2019, est rejetée.</w:t>
      </w:r>
    </w:p>
    <w:p w:rsidR="00BA0836" w:rsidRPr="00462FC1" w:rsidRDefault="00BA0836" w:rsidP="00BA0836">
      <w:pPr>
        <w:rPr>
          <w:sz w:val="20"/>
          <w:lang w:val="fr-CA"/>
        </w:rPr>
      </w:pPr>
    </w:p>
    <w:p w:rsidR="00BA0836" w:rsidRPr="00462FC1" w:rsidRDefault="00BA0836" w:rsidP="00BA0836">
      <w:pPr>
        <w:rPr>
          <w:sz w:val="20"/>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500-10-006856-189</w:t>
      </w:r>
      <w:r w:rsidRPr="00462FC1">
        <w:rPr>
          <w:sz w:val="20"/>
          <w:lang w:val="en-CA"/>
        </w:rPr>
        <w:t xml:space="preserve">, 2019 QCCA 1356, dated </w:t>
      </w:r>
      <w:r w:rsidRPr="00462FC1">
        <w:rPr>
          <w:sz w:val="20"/>
        </w:rPr>
        <w:t>August 13, 2019,</w:t>
      </w:r>
      <w:r w:rsidRPr="00462FC1">
        <w:rPr>
          <w:sz w:val="20"/>
          <w:lang w:val="en-CA"/>
        </w:rPr>
        <w:t xml:space="preserve"> is dismissed.</w:t>
      </w:r>
    </w:p>
    <w:p w:rsidR="009A7249" w:rsidRPr="00462FC1" w:rsidRDefault="009A7249" w:rsidP="00A30607">
      <w:pPr>
        <w:widowControl w:val="0"/>
        <w:rPr>
          <w:sz w:val="20"/>
        </w:rPr>
      </w:pPr>
    </w:p>
    <w:p w:rsidR="008660CA" w:rsidRPr="00462FC1" w:rsidRDefault="00462FC1" w:rsidP="00A30607">
      <w:pPr>
        <w:widowControl w:val="0"/>
        <w:rPr>
          <w:sz w:val="20"/>
        </w:rPr>
      </w:pPr>
      <w:r w:rsidRPr="00462FC1">
        <w:rPr>
          <w:sz w:val="20"/>
        </w:rPr>
        <w:pict>
          <v:rect id="_x0000_i1029" style="width:2in;height:1pt" o:hrpct="0" o:hralign="center" o:hrstd="t" o:hrnoshade="t" o:hr="t" fillcolor="black [3213]" stroked="f"/>
        </w:pict>
      </w:r>
    </w:p>
    <w:p w:rsidR="008660CA" w:rsidRPr="00462FC1" w:rsidRDefault="008660CA" w:rsidP="00A30607">
      <w:pPr>
        <w:widowControl w:val="0"/>
        <w:rPr>
          <w:sz w:val="20"/>
        </w:rPr>
      </w:pPr>
    </w:p>
    <w:p w:rsidR="00BA0836" w:rsidRPr="00462FC1" w:rsidRDefault="00BA0836" w:rsidP="00BA0836">
      <w:pPr>
        <w:rPr>
          <w:sz w:val="22"/>
          <w:szCs w:val="22"/>
        </w:rPr>
      </w:pPr>
      <w:r w:rsidRPr="00462FC1">
        <w:rPr>
          <w:i/>
          <w:sz w:val="22"/>
          <w:szCs w:val="22"/>
        </w:rPr>
        <w:t>Lyle Howe v. Nova Scotia Barristers’ Society and Attorney General of Nova Scotia</w:t>
      </w:r>
      <w:r w:rsidRPr="00462FC1">
        <w:rPr>
          <w:sz w:val="22"/>
          <w:szCs w:val="22"/>
        </w:rPr>
        <w:t xml:space="preserve"> (N.S.) (Civil) (By Leave) (</w:t>
      </w:r>
      <w:hyperlink r:id="rId11" w:history="1">
        <w:r w:rsidRPr="00462FC1">
          <w:rPr>
            <w:rStyle w:val="Hyperlink"/>
            <w:sz w:val="22"/>
            <w:szCs w:val="22"/>
          </w:rPr>
          <w:t>39004</w:t>
        </w:r>
      </w:hyperlink>
      <w:r w:rsidRPr="00462FC1">
        <w:rPr>
          <w:sz w:val="22"/>
          <w:szCs w:val="22"/>
        </w:rPr>
        <w:t>)</w:t>
      </w:r>
    </w:p>
    <w:p w:rsidR="000A2B58" w:rsidRPr="00462FC1" w:rsidRDefault="000A2B58" w:rsidP="00A30607">
      <w:pPr>
        <w:widowControl w:val="0"/>
        <w:rPr>
          <w:sz w:val="20"/>
        </w:rPr>
      </w:pPr>
    </w:p>
    <w:p w:rsidR="00BA0836" w:rsidRPr="00462FC1" w:rsidRDefault="00BA0836" w:rsidP="00BA0836">
      <w:pPr>
        <w:rPr>
          <w:sz w:val="20"/>
        </w:rPr>
      </w:pPr>
      <w:r w:rsidRPr="00462FC1">
        <w:rPr>
          <w:sz w:val="20"/>
        </w:rPr>
        <w:t>The application for leave to appeal from the judgment of the Nova Scotia Court of Appeal, Number CA 470952, 2019 NSCA 81, dated October 24, 2019, is dismissed with costs to the respondent, Nova Scotia Barristers’ Society.</w:t>
      </w:r>
    </w:p>
    <w:p w:rsidR="00BA0836" w:rsidRPr="00462FC1" w:rsidRDefault="00BA0836" w:rsidP="00BA0836">
      <w:pPr>
        <w:rPr>
          <w:sz w:val="20"/>
        </w:rPr>
      </w:pPr>
    </w:p>
    <w:p w:rsidR="00BA0836" w:rsidRPr="00462FC1" w:rsidRDefault="00BA0836" w:rsidP="00BA0836">
      <w:pPr>
        <w:rPr>
          <w:sz w:val="20"/>
          <w:lang w:val="fr-CA"/>
        </w:rPr>
      </w:pPr>
      <w:r w:rsidRPr="00462FC1">
        <w:rPr>
          <w:sz w:val="20"/>
          <w:lang w:val="fr-CA"/>
        </w:rPr>
        <w:t xml:space="preserve">La demande d’autorisation d’appel de l’arrêt de la </w:t>
      </w:r>
      <w:r w:rsidRPr="00462FC1">
        <w:rPr>
          <w:sz w:val="20"/>
          <w:lang w:val="fr-FR"/>
        </w:rPr>
        <w:t>Cour d’appel de la Nouvelle-Écosse</w:t>
      </w:r>
      <w:r w:rsidRPr="00462FC1">
        <w:rPr>
          <w:sz w:val="20"/>
          <w:lang w:val="fr-CA"/>
        </w:rPr>
        <w:t xml:space="preserve">, numéro </w:t>
      </w:r>
      <w:r w:rsidRPr="00462FC1">
        <w:rPr>
          <w:sz w:val="20"/>
          <w:lang w:val="fr-FR"/>
        </w:rPr>
        <w:t>CA 470952, 2019 NSCA 81</w:t>
      </w:r>
      <w:r w:rsidRPr="00462FC1">
        <w:rPr>
          <w:sz w:val="20"/>
          <w:lang w:val="fr-CA"/>
        </w:rPr>
        <w:t xml:space="preserve">, daté du </w:t>
      </w:r>
      <w:r w:rsidRPr="00462FC1">
        <w:rPr>
          <w:sz w:val="20"/>
          <w:lang w:val="fr-FR"/>
        </w:rPr>
        <w:t>24 octobre 2019</w:t>
      </w:r>
      <w:r w:rsidRPr="00462FC1">
        <w:rPr>
          <w:sz w:val="20"/>
          <w:lang w:val="fr-CA"/>
        </w:rPr>
        <w:t xml:space="preserve">, est rejetée avec dépens en faveur de l’intimé, Barreau de la </w:t>
      </w:r>
      <w:r w:rsidRPr="00462FC1">
        <w:rPr>
          <w:sz w:val="20"/>
          <w:lang w:val="fr-FR"/>
        </w:rPr>
        <w:t>Nouvelle-Écosse.</w:t>
      </w:r>
    </w:p>
    <w:p w:rsidR="009A7249" w:rsidRPr="00462FC1" w:rsidRDefault="009A7249" w:rsidP="00A30607">
      <w:pPr>
        <w:widowControl w:val="0"/>
        <w:rPr>
          <w:sz w:val="20"/>
          <w:lang w:val="fr-CA"/>
        </w:rPr>
      </w:pPr>
    </w:p>
    <w:p w:rsidR="008660CA" w:rsidRPr="00462FC1" w:rsidRDefault="00462FC1" w:rsidP="00A30607">
      <w:pPr>
        <w:widowControl w:val="0"/>
        <w:rPr>
          <w:sz w:val="20"/>
        </w:rPr>
      </w:pPr>
      <w:r w:rsidRPr="00462FC1">
        <w:rPr>
          <w:sz w:val="20"/>
        </w:rPr>
        <w:pict>
          <v:rect id="_x0000_i1030" style="width:2in;height:1pt" o:hrpct="0" o:hralign="center" o:hrstd="t" o:hrnoshade="t" o:hr="t" fillcolor="black [3213]" stroked="f"/>
        </w:pict>
      </w:r>
    </w:p>
    <w:p w:rsidR="008660CA" w:rsidRPr="00462FC1" w:rsidRDefault="008660CA" w:rsidP="00A30607">
      <w:pPr>
        <w:widowControl w:val="0"/>
        <w:rPr>
          <w:sz w:val="20"/>
        </w:rPr>
      </w:pPr>
    </w:p>
    <w:p w:rsidR="00FD321E" w:rsidRPr="00462FC1" w:rsidRDefault="00FD321E" w:rsidP="00FD321E">
      <w:pPr>
        <w:rPr>
          <w:sz w:val="22"/>
          <w:szCs w:val="22"/>
          <w:lang w:val="fr-FR"/>
        </w:rPr>
      </w:pPr>
      <w:r w:rsidRPr="00462FC1">
        <w:rPr>
          <w:i/>
          <w:sz w:val="22"/>
          <w:szCs w:val="22"/>
          <w:lang w:val="fr-FR"/>
        </w:rPr>
        <w:t xml:space="preserve">Union des artistes c. Compagnie Marie Chouinard - et - Tribunal administratif du travail </w:t>
      </w:r>
      <w:r w:rsidRPr="00462FC1">
        <w:rPr>
          <w:sz w:val="22"/>
          <w:szCs w:val="22"/>
          <w:lang w:val="fr-FR"/>
        </w:rPr>
        <w:t xml:space="preserve">(Qc) (Civile) (Autorisation) </w:t>
      </w:r>
      <w:r w:rsidRPr="00462FC1">
        <w:rPr>
          <w:sz w:val="22"/>
          <w:szCs w:val="22"/>
          <w:lang w:val="fr-CA"/>
        </w:rPr>
        <w:t>(</w:t>
      </w:r>
      <w:hyperlink r:id="rId12" w:history="1">
        <w:r w:rsidRPr="00462FC1">
          <w:rPr>
            <w:rStyle w:val="Hyperlink"/>
            <w:sz w:val="22"/>
            <w:szCs w:val="22"/>
            <w:lang w:val="fr-CA"/>
          </w:rPr>
          <w:t>38935</w:t>
        </w:r>
      </w:hyperlink>
      <w:r w:rsidRPr="00462FC1">
        <w:rPr>
          <w:sz w:val="22"/>
          <w:szCs w:val="22"/>
          <w:lang w:val="fr-CA"/>
        </w:rPr>
        <w:t>)</w:t>
      </w:r>
    </w:p>
    <w:p w:rsidR="000A2B58" w:rsidRPr="00462FC1" w:rsidRDefault="000A2B58" w:rsidP="00A30607">
      <w:pPr>
        <w:widowControl w:val="0"/>
        <w:rPr>
          <w:sz w:val="20"/>
          <w:lang w:val="fr-FR"/>
        </w:rPr>
      </w:pPr>
    </w:p>
    <w:p w:rsidR="00FD321E" w:rsidRPr="00462FC1" w:rsidRDefault="00FD321E" w:rsidP="00FD321E">
      <w:pPr>
        <w:rPr>
          <w:sz w:val="20"/>
          <w:lang w:val="fr-CA"/>
        </w:rPr>
      </w:pPr>
      <w:r w:rsidRPr="00462FC1">
        <w:rPr>
          <w:sz w:val="20"/>
          <w:lang w:val="fr-CA"/>
        </w:rPr>
        <w:t>La demande d’autorisation d’appel de l’arrêt de la Cour d’appel du Québec (Montréal), numéro 500-09-028298-198, 2019 QCCA 1713, daté du 4 octobre 2019, est rejetée avec dépens.</w:t>
      </w:r>
    </w:p>
    <w:p w:rsidR="00FD321E" w:rsidRPr="00462FC1" w:rsidRDefault="00FD321E" w:rsidP="00FD321E">
      <w:pPr>
        <w:rPr>
          <w:sz w:val="20"/>
          <w:lang w:val="fr-CA"/>
        </w:rPr>
      </w:pPr>
    </w:p>
    <w:p w:rsidR="00FD321E" w:rsidRPr="00462FC1" w:rsidRDefault="00FD321E" w:rsidP="00FD321E">
      <w:pPr>
        <w:rPr>
          <w:sz w:val="20"/>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500-09-028298-198</w:t>
      </w:r>
      <w:r w:rsidRPr="00462FC1">
        <w:rPr>
          <w:sz w:val="20"/>
          <w:lang w:val="en-CA"/>
        </w:rPr>
        <w:t xml:space="preserve">, </w:t>
      </w:r>
      <w:r w:rsidRPr="00462FC1">
        <w:rPr>
          <w:sz w:val="20"/>
        </w:rPr>
        <w:t xml:space="preserve">2019 QCCA 1713, </w:t>
      </w:r>
      <w:r w:rsidRPr="00462FC1">
        <w:rPr>
          <w:sz w:val="20"/>
          <w:lang w:val="en-CA"/>
        </w:rPr>
        <w:t xml:space="preserve">dated </w:t>
      </w:r>
      <w:r w:rsidRPr="00462FC1">
        <w:rPr>
          <w:sz w:val="20"/>
        </w:rPr>
        <w:t>October 4, 2019,</w:t>
      </w:r>
      <w:r w:rsidRPr="00462FC1">
        <w:rPr>
          <w:sz w:val="20"/>
          <w:lang w:val="en-CA"/>
        </w:rPr>
        <w:t xml:space="preserve"> is dismissed with costs.</w:t>
      </w:r>
    </w:p>
    <w:p w:rsidR="009A7249" w:rsidRPr="00462FC1" w:rsidRDefault="009A7249" w:rsidP="00A30607">
      <w:pPr>
        <w:widowControl w:val="0"/>
        <w:rPr>
          <w:sz w:val="20"/>
        </w:rPr>
      </w:pPr>
    </w:p>
    <w:p w:rsidR="008660CA" w:rsidRPr="00462FC1" w:rsidRDefault="00462FC1" w:rsidP="00A30607">
      <w:pPr>
        <w:widowControl w:val="0"/>
        <w:rPr>
          <w:sz w:val="20"/>
        </w:rPr>
      </w:pPr>
      <w:r w:rsidRPr="00462FC1">
        <w:rPr>
          <w:sz w:val="20"/>
        </w:rPr>
        <w:pict>
          <v:rect id="_x0000_i1031" style="width:2in;height:1pt" o:hrpct="0" o:hralign="center" o:hrstd="t" o:hrnoshade="t" o:hr="t" fillcolor="black [3213]" stroked="f"/>
        </w:pict>
      </w:r>
    </w:p>
    <w:p w:rsidR="008660CA" w:rsidRPr="00462FC1" w:rsidRDefault="008660CA" w:rsidP="00A30607">
      <w:pPr>
        <w:widowControl w:val="0"/>
        <w:rPr>
          <w:sz w:val="20"/>
        </w:rPr>
      </w:pPr>
    </w:p>
    <w:p w:rsidR="00441342" w:rsidRPr="00462FC1" w:rsidRDefault="00441342" w:rsidP="00441342">
      <w:pPr>
        <w:rPr>
          <w:sz w:val="22"/>
          <w:szCs w:val="22"/>
        </w:rPr>
      </w:pPr>
      <w:r w:rsidRPr="00462FC1">
        <w:rPr>
          <w:i/>
          <w:sz w:val="22"/>
          <w:szCs w:val="22"/>
        </w:rPr>
        <w:t>Basilian Fathers of Toronto v. Roderick MacLeod</w:t>
      </w:r>
      <w:r w:rsidRPr="00462FC1">
        <w:rPr>
          <w:sz w:val="22"/>
          <w:szCs w:val="22"/>
        </w:rPr>
        <w:t xml:space="preserve"> (Ont.) (Civil) (By Leave) (</w:t>
      </w:r>
      <w:hyperlink r:id="rId13" w:history="1">
        <w:r w:rsidRPr="00462FC1">
          <w:rPr>
            <w:rStyle w:val="Hyperlink"/>
            <w:sz w:val="22"/>
            <w:szCs w:val="22"/>
          </w:rPr>
          <w:t>38990</w:t>
        </w:r>
      </w:hyperlink>
      <w:r w:rsidRPr="00462FC1">
        <w:rPr>
          <w:sz w:val="22"/>
          <w:szCs w:val="22"/>
        </w:rPr>
        <w:t>)</w:t>
      </w:r>
    </w:p>
    <w:p w:rsidR="000A2B58" w:rsidRPr="00462FC1" w:rsidRDefault="000A2B58" w:rsidP="00EB3EBD">
      <w:pPr>
        <w:widowControl w:val="0"/>
        <w:rPr>
          <w:sz w:val="20"/>
        </w:rPr>
      </w:pPr>
    </w:p>
    <w:p w:rsidR="00441342" w:rsidRPr="00462FC1" w:rsidRDefault="00441342" w:rsidP="00441342">
      <w:pPr>
        <w:rPr>
          <w:sz w:val="20"/>
        </w:rPr>
      </w:pPr>
      <w:r w:rsidRPr="00462FC1">
        <w:rPr>
          <w:sz w:val="20"/>
        </w:rPr>
        <w:t>The application for leave to appeal from the judgment of the Court of Appeal for Ontario, Number C65418, 2019 ONCA 842, dated October 25, 2019, is dismissed with costs.</w:t>
      </w:r>
    </w:p>
    <w:p w:rsidR="00441342" w:rsidRPr="00462FC1" w:rsidRDefault="00441342" w:rsidP="00441342">
      <w:pPr>
        <w:rPr>
          <w:sz w:val="20"/>
        </w:rPr>
      </w:pPr>
    </w:p>
    <w:p w:rsidR="00441342" w:rsidRPr="00462FC1" w:rsidRDefault="00441342" w:rsidP="00441342">
      <w:pPr>
        <w:rPr>
          <w:sz w:val="20"/>
          <w:lang w:val="fr-CA"/>
        </w:rPr>
      </w:pPr>
      <w:r w:rsidRPr="00462FC1">
        <w:rPr>
          <w:sz w:val="20"/>
          <w:lang w:val="fr-CA"/>
        </w:rPr>
        <w:t xml:space="preserve">La demande d’autorisation d’appel de l’arrêt de la </w:t>
      </w:r>
      <w:r w:rsidRPr="00462FC1">
        <w:rPr>
          <w:sz w:val="20"/>
          <w:lang w:val="fr-FR"/>
        </w:rPr>
        <w:t>Cour d’appel de l’Ontario</w:t>
      </w:r>
      <w:r w:rsidRPr="00462FC1">
        <w:rPr>
          <w:sz w:val="20"/>
          <w:lang w:val="fr-CA"/>
        </w:rPr>
        <w:t xml:space="preserve">, numéro </w:t>
      </w:r>
      <w:r w:rsidRPr="00462FC1">
        <w:rPr>
          <w:sz w:val="20"/>
          <w:lang w:val="fr-FR"/>
        </w:rPr>
        <w:t>C65418</w:t>
      </w:r>
      <w:r w:rsidRPr="00462FC1">
        <w:rPr>
          <w:sz w:val="20"/>
          <w:lang w:val="fr-CA"/>
        </w:rPr>
        <w:t xml:space="preserve">, </w:t>
      </w:r>
      <w:r w:rsidRPr="00462FC1">
        <w:rPr>
          <w:sz w:val="20"/>
          <w:lang w:val="fr-FR"/>
        </w:rPr>
        <w:t xml:space="preserve">2019 ONCA 842, </w:t>
      </w:r>
      <w:r w:rsidRPr="00462FC1">
        <w:rPr>
          <w:sz w:val="20"/>
          <w:lang w:val="fr-CA"/>
        </w:rPr>
        <w:t xml:space="preserve">daté du </w:t>
      </w:r>
      <w:r w:rsidRPr="00462FC1">
        <w:rPr>
          <w:sz w:val="20"/>
          <w:lang w:val="fr-FR"/>
        </w:rPr>
        <w:t>25 octobre 2019</w:t>
      </w:r>
      <w:r w:rsidRPr="00462FC1">
        <w:rPr>
          <w:sz w:val="20"/>
          <w:lang w:val="fr-CA"/>
        </w:rPr>
        <w:t xml:space="preserve">, est rejetée avec dépens. </w:t>
      </w:r>
    </w:p>
    <w:p w:rsidR="009A7249" w:rsidRPr="00462FC1" w:rsidRDefault="009A7249" w:rsidP="00EB3EBD">
      <w:pPr>
        <w:widowControl w:val="0"/>
        <w:rPr>
          <w:sz w:val="20"/>
          <w:lang w:val="fr-CA"/>
        </w:rPr>
      </w:pPr>
    </w:p>
    <w:p w:rsidR="00EB3EBD" w:rsidRPr="00462FC1" w:rsidRDefault="00462FC1" w:rsidP="00EB3EBD">
      <w:pPr>
        <w:widowControl w:val="0"/>
        <w:rPr>
          <w:sz w:val="20"/>
        </w:rPr>
      </w:pPr>
      <w:r w:rsidRPr="00462FC1">
        <w:rPr>
          <w:sz w:val="20"/>
        </w:rPr>
        <w:pict>
          <v:rect id="_x0000_i1032" style="width:2in;height:1pt" o:hrpct="0" o:hralign="center" o:hrstd="t" o:hrnoshade="t" o:hr="t" fillcolor="black [3213]" stroked="f"/>
        </w:pict>
      </w:r>
    </w:p>
    <w:p w:rsidR="00EB3EBD" w:rsidRPr="00462FC1" w:rsidRDefault="00EB3EBD" w:rsidP="00EB3EBD">
      <w:pPr>
        <w:widowControl w:val="0"/>
        <w:rPr>
          <w:sz w:val="20"/>
        </w:rPr>
      </w:pPr>
    </w:p>
    <w:p w:rsidR="00441342" w:rsidRPr="00462FC1" w:rsidRDefault="00441342" w:rsidP="00441342">
      <w:pPr>
        <w:pStyle w:val="SCCAppellantInfoAppellantInfo"/>
        <w:tabs>
          <w:tab w:val="left" w:pos="540"/>
        </w:tabs>
        <w:rPr>
          <w:color w:val="000000" w:themeColor="text1"/>
          <w:sz w:val="22"/>
          <w:szCs w:val="22"/>
          <w:lang w:val="fr-CA"/>
        </w:rPr>
      </w:pPr>
      <w:r w:rsidRPr="00462FC1">
        <w:rPr>
          <w:i/>
          <w:sz w:val="22"/>
          <w:szCs w:val="22"/>
          <w:lang w:val="fr-CA"/>
        </w:rPr>
        <w:t>M.D. c.</w:t>
      </w:r>
      <w:r w:rsidRPr="00462FC1">
        <w:rPr>
          <w:bCs/>
          <w:i/>
          <w:iCs/>
          <w:color w:val="000000" w:themeColor="text1"/>
          <w:sz w:val="22"/>
          <w:szCs w:val="22"/>
          <w:lang w:val="fr-CA"/>
        </w:rPr>
        <w:t xml:space="preserve"> </w:t>
      </w:r>
      <w:r w:rsidRPr="00462FC1">
        <w:rPr>
          <w:i/>
          <w:sz w:val="22"/>
          <w:szCs w:val="22"/>
          <w:lang w:val="fr-CA"/>
        </w:rPr>
        <w:t>O.B.</w:t>
      </w:r>
      <w:r w:rsidRPr="00462FC1">
        <w:rPr>
          <w:color w:val="000000" w:themeColor="text1"/>
          <w:sz w:val="22"/>
          <w:szCs w:val="22"/>
          <w:lang w:val="fr-CA"/>
        </w:rPr>
        <w:t xml:space="preserve"> (Qc) (Civile) (Autorisation) </w:t>
      </w:r>
      <w:r w:rsidRPr="00462FC1">
        <w:rPr>
          <w:sz w:val="22"/>
          <w:szCs w:val="22"/>
          <w:lang w:val="fr-CA"/>
        </w:rPr>
        <w:t>(</w:t>
      </w:r>
      <w:hyperlink r:id="rId14" w:history="1">
        <w:r w:rsidRPr="00462FC1">
          <w:rPr>
            <w:rStyle w:val="Hyperlink"/>
            <w:sz w:val="22"/>
            <w:szCs w:val="22"/>
            <w:lang w:val="fr-CA"/>
          </w:rPr>
          <w:t>38779</w:t>
        </w:r>
      </w:hyperlink>
      <w:r w:rsidRPr="00462FC1">
        <w:rPr>
          <w:sz w:val="22"/>
          <w:szCs w:val="22"/>
          <w:lang w:val="fr-CA"/>
        </w:rPr>
        <w:t>)</w:t>
      </w:r>
    </w:p>
    <w:p w:rsidR="000A2B58" w:rsidRPr="00462FC1" w:rsidRDefault="000A2B58" w:rsidP="00EB3EBD">
      <w:pPr>
        <w:widowControl w:val="0"/>
        <w:rPr>
          <w:sz w:val="20"/>
          <w:lang w:val="fr-CA"/>
        </w:rPr>
      </w:pPr>
    </w:p>
    <w:p w:rsidR="00441342" w:rsidRPr="00462FC1" w:rsidRDefault="00441342" w:rsidP="00441342">
      <w:pPr>
        <w:jc w:val="both"/>
        <w:rPr>
          <w:sz w:val="20"/>
        </w:rPr>
      </w:pPr>
      <w:r w:rsidRPr="00462FC1">
        <w:rPr>
          <w:sz w:val="20"/>
          <w:lang w:val="fr-CA"/>
        </w:rPr>
        <w:t xml:space="preserve">La demande d’autorisation d’appel de l’arrêt de la Cour d’appel du Québec (Québec), numéro 200-09-009501-179, 2019 QCCA 928, daté du 21 mai 2019, est rejetée avec dépens. </w:t>
      </w:r>
      <w:r w:rsidRPr="00462FC1">
        <w:rPr>
          <w:sz w:val="20"/>
        </w:rPr>
        <w:t xml:space="preserve">La demande d’autorisation d’appel incident </w:t>
      </w:r>
      <w:proofErr w:type="gramStart"/>
      <w:r w:rsidRPr="00462FC1">
        <w:rPr>
          <w:sz w:val="20"/>
        </w:rPr>
        <w:t>est</w:t>
      </w:r>
      <w:proofErr w:type="gramEnd"/>
      <w:r w:rsidRPr="00462FC1">
        <w:rPr>
          <w:sz w:val="20"/>
        </w:rPr>
        <w:t xml:space="preserve"> rejetée sans dépens.</w:t>
      </w:r>
    </w:p>
    <w:p w:rsidR="00441342" w:rsidRPr="00462FC1" w:rsidRDefault="00441342" w:rsidP="00441342">
      <w:pPr>
        <w:jc w:val="both"/>
        <w:rPr>
          <w:sz w:val="20"/>
        </w:rPr>
      </w:pPr>
    </w:p>
    <w:p w:rsidR="009A7249" w:rsidRPr="00462FC1" w:rsidRDefault="00441342" w:rsidP="00441342">
      <w:pPr>
        <w:widowControl w:val="0"/>
        <w:rPr>
          <w:sz w:val="20"/>
          <w:lang w:val="fr-CA"/>
        </w:rPr>
      </w:pPr>
      <w:r w:rsidRPr="00462FC1">
        <w:rPr>
          <w:sz w:val="20"/>
          <w:lang w:val="fr-CA"/>
        </w:rPr>
        <w:t>La juge Côté n’a pas participé au jugement.</w:t>
      </w:r>
    </w:p>
    <w:p w:rsidR="00441342" w:rsidRPr="00462FC1" w:rsidRDefault="00441342" w:rsidP="00EB3EBD">
      <w:pPr>
        <w:widowControl w:val="0"/>
        <w:rPr>
          <w:sz w:val="20"/>
          <w:lang w:val="fr-CA"/>
        </w:rPr>
      </w:pPr>
    </w:p>
    <w:p w:rsidR="00441342" w:rsidRPr="00462FC1" w:rsidRDefault="00441342" w:rsidP="00441342">
      <w:pPr>
        <w:jc w:val="both"/>
        <w:rPr>
          <w:sz w:val="20"/>
        </w:rPr>
      </w:pPr>
      <w:r w:rsidRPr="00462FC1">
        <w:rPr>
          <w:sz w:val="20"/>
          <w:lang w:val="en-CA"/>
        </w:rPr>
        <w:t xml:space="preserve">The application for leave to appeal from the judgment of the </w:t>
      </w:r>
      <w:r w:rsidRPr="00462FC1">
        <w:rPr>
          <w:sz w:val="20"/>
        </w:rPr>
        <w:t>Court of Appeal of Quebec (Québec)</w:t>
      </w:r>
      <w:r w:rsidRPr="00462FC1">
        <w:rPr>
          <w:sz w:val="20"/>
          <w:lang w:val="en-CA"/>
        </w:rPr>
        <w:t xml:space="preserve">, Number </w:t>
      </w:r>
      <w:r w:rsidRPr="00462FC1">
        <w:rPr>
          <w:sz w:val="20"/>
        </w:rPr>
        <w:t>200-09-009501-179, 2019 QCCA 928</w:t>
      </w:r>
      <w:r w:rsidRPr="00462FC1">
        <w:rPr>
          <w:sz w:val="20"/>
          <w:lang w:val="en-CA"/>
        </w:rPr>
        <w:t xml:space="preserve">, dated </w:t>
      </w:r>
      <w:r w:rsidRPr="00462FC1">
        <w:rPr>
          <w:sz w:val="20"/>
        </w:rPr>
        <w:t>May 21, 2019,</w:t>
      </w:r>
      <w:r w:rsidRPr="00462FC1">
        <w:rPr>
          <w:sz w:val="20"/>
          <w:lang w:val="en-CA"/>
        </w:rPr>
        <w:t xml:space="preserve"> is dismissed with costs. The application for leave to cross-appeal is dismissed without costs.</w:t>
      </w:r>
    </w:p>
    <w:p w:rsidR="00441342" w:rsidRPr="00462FC1" w:rsidRDefault="00441342" w:rsidP="00441342">
      <w:pPr>
        <w:jc w:val="both"/>
        <w:rPr>
          <w:sz w:val="20"/>
          <w:lang w:val="en-CA"/>
        </w:rPr>
      </w:pPr>
    </w:p>
    <w:p w:rsidR="00441342" w:rsidRPr="00462FC1" w:rsidRDefault="00441342" w:rsidP="00441342">
      <w:pPr>
        <w:widowControl w:val="0"/>
        <w:rPr>
          <w:sz w:val="20"/>
        </w:rPr>
      </w:pPr>
      <w:r w:rsidRPr="00462FC1">
        <w:rPr>
          <w:sz w:val="20"/>
        </w:rPr>
        <w:t>Côté J. took no part in the judgment.</w:t>
      </w:r>
    </w:p>
    <w:p w:rsidR="00441342" w:rsidRPr="00462FC1" w:rsidRDefault="00441342" w:rsidP="00EB3EBD">
      <w:pPr>
        <w:widowControl w:val="0"/>
        <w:rPr>
          <w:sz w:val="20"/>
        </w:rPr>
      </w:pPr>
    </w:p>
    <w:p w:rsidR="00EB3EBD" w:rsidRPr="00462FC1" w:rsidRDefault="00462FC1" w:rsidP="00EB3EBD">
      <w:pPr>
        <w:widowControl w:val="0"/>
        <w:rPr>
          <w:sz w:val="20"/>
        </w:rPr>
      </w:pPr>
      <w:r w:rsidRPr="00462FC1">
        <w:rPr>
          <w:sz w:val="20"/>
        </w:rPr>
        <w:pict>
          <v:rect id="_x0000_i1033" style="width:2in;height:1pt" o:hrpct="0" o:hralign="center" o:hrstd="t" o:hrnoshade="t" o:hr="t" fillcolor="black [3213]" stroked="f"/>
        </w:pict>
      </w:r>
    </w:p>
    <w:p w:rsidR="00EB3EBD" w:rsidRPr="00462FC1" w:rsidRDefault="00EB3EBD" w:rsidP="00EB3EBD">
      <w:pPr>
        <w:widowControl w:val="0"/>
        <w:rPr>
          <w:sz w:val="20"/>
          <w:lang w:val="fr-CA"/>
        </w:rPr>
      </w:pPr>
    </w:p>
    <w:p w:rsidR="00567B25" w:rsidRPr="00462FC1" w:rsidRDefault="00567B25" w:rsidP="00567B25">
      <w:pPr>
        <w:pStyle w:val="SCCAppellantInfoAppellantInfo"/>
        <w:tabs>
          <w:tab w:val="left" w:pos="540"/>
        </w:tabs>
        <w:rPr>
          <w:color w:val="000000" w:themeColor="text1"/>
          <w:sz w:val="22"/>
          <w:szCs w:val="22"/>
          <w:lang w:val="en-US"/>
        </w:rPr>
      </w:pPr>
      <w:r w:rsidRPr="00462FC1">
        <w:rPr>
          <w:i/>
          <w:sz w:val="22"/>
          <w:szCs w:val="22"/>
          <w:lang w:val="en-US"/>
        </w:rPr>
        <w:t>Lakhvinder Singh, Harvirenderpal Singh Clair and Kashmir Singh v.</w:t>
      </w:r>
      <w:r w:rsidRPr="00462FC1">
        <w:rPr>
          <w:bCs/>
          <w:i/>
          <w:iCs/>
          <w:color w:val="000000" w:themeColor="text1"/>
          <w:sz w:val="22"/>
          <w:szCs w:val="22"/>
          <w:lang w:val="en-US"/>
        </w:rPr>
        <w:t xml:space="preserve"> </w:t>
      </w:r>
      <w:r w:rsidRPr="00462FC1">
        <w:rPr>
          <w:i/>
          <w:sz w:val="22"/>
          <w:szCs w:val="22"/>
        </w:rPr>
        <w:t>Montreal Gateway Terminal Partnership, Empire Stevedoring Co. Ltd. and Termont Terminals Inc. - and - Montréal Port Authority and Syndicat des débardeurs</w:t>
      </w:r>
      <w:r w:rsidRPr="00462FC1">
        <w:rPr>
          <w:bCs/>
          <w:i/>
          <w:iCs/>
          <w:color w:val="000000" w:themeColor="text1"/>
          <w:sz w:val="22"/>
          <w:szCs w:val="22"/>
          <w:lang w:val="en-US"/>
        </w:rPr>
        <w:t xml:space="preserve"> </w:t>
      </w:r>
      <w:r w:rsidRPr="00462FC1">
        <w:rPr>
          <w:color w:val="000000" w:themeColor="text1"/>
          <w:sz w:val="22"/>
          <w:szCs w:val="22"/>
          <w:lang w:val="en-US"/>
        </w:rPr>
        <w:t xml:space="preserve">(Que.) (Civil) (By Leave) </w:t>
      </w:r>
      <w:r w:rsidRPr="00462FC1">
        <w:rPr>
          <w:sz w:val="22"/>
          <w:szCs w:val="22"/>
          <w:lang w:val="en-US"/>
        </w:rPr>
        <w:t>(</w:t>
      </w:r>
      <w:hyperlink r:id="rId15" w:history="1">
        <w:r w:rsidRPr="00462FC1">
          <w:rPr>
            <w:rStyle w:val="Hyperlink"/>
            <w:sz w:val="22"/>
            <w:szCs w:val="22"/>
            <w:lang w:val="en-US"/>
          </w:rPr>
          <w:t>38916</w:t>
        </w:r>
      </w:hyperlink>
      <w:r w:rsidRPr="00462FC1">
        <w:rPr>
          <w:sz w:val="22"/>
          <w:szCs w:val="22"/>
          <w:lang w:val="en-US"/>
        </w:rPr>
        <w:t>)</w:t>
      </w:r>
    </w:p>
    <w:p w:rsidR="000A2B58" w:rsidRPr="00462FC1" w:rsidRDefault="000A2B58" w:rsidP="00EB3EBD">
      <w:pPr>
        <w:widowControl w:val="0"/>
        <w:rPr>
          <w:sz w:val="20"/>
        </w:rPr>
      </w:pPr>
    </w:p>
    <w:p w:rsidR="00567B25" w:rsidRPr="00462FC1" w:rsidRDefault="00567B25" w:rsidP="00567B25">
      <w:pPr>
        <w:jc w:val="both"/>
        <w:rPr>
          <w:sz w:val="20"/>
        </w:rPr>
      </w:pPr>
      <w:r w:rsidRPr="00462FC1">
        <w:rPr>
          <w:sz w:val="20"/>
        </w:rPr>
        <w:t>The application for leave to appeal from the judgment of the Court of Appeal of Quebec (Montréal), Number 500-09-026400-168, 2019 QCCA 1494, dated September 12, 2019, is dismissed without costs.</w:t>
      </w:r>
    </w:p>
    <w:p w:rsidR="00567B25" w:rsidRPr="00462FC1" w:rsidRDefault="00567B25" w:rsidP="00567B25">
      <w:pPr>
        <w:jc w:val="both"/>
        <w:rPr>
          <w:sz w:val="20"/>
        </w:rPr>
      </w:pPr>
    </w:p>
    <w:p w:rsidR="00567B25" w:rsidRPr="00462FC1" w:rsidRDefault="00567B25" w:rsidP="00567B25">
      <w:pPr>
        <w:rPr>
          <w:sz w:val="20"/>
          <w:lang w:val="fr-CA"/>
        </w:rPr>
      </w:pPr>
      <w:r w:rsidRPr="00462FC1">
        <w:rPr>
          <w:sz w:val="20"/>
          <w:lang w:val="fr-CA"/>
        </w:rPr>
        <w:t xml:space="preserve">La demande d’autorisation d’appel de l’arrêt de la Cour d’appel du Québec (Montréal), numéro 500-09-026400-168, 2019 QCCA 1494, daté du 12 septembre 2019, est rejetée sans dépens. </w:t>
      </w:r>
    </w:p>
    <w:p w:rsidR="009A7249" w:rsidRPr="00462FC1" w:rsidRDefault="009A7249" w:rsidP="00EB3EBD">
      <w:pPr>
        <w:widowControl w:val="0"/>
        <w:rPr>
          <w:sz w:val="20"/>
          <w:lang w:val="fr-CA"/>
        </w:rPr>
      </w:pPr>
    </w:p>
    <w:p w:rsidR="00EB3EBD" w:rsidRPr="00462FC1" w:rsidRDefault="00462FC1" w:rsidP="00EB3EBD">
      <w:pPr>
        <w:widowControl w:val="0"/>
        <w:rPr>
          <w:sz w:val="20"/>
        </w:rPr>
      </w:pPr>
      <w:r w:rsidRPr="00462FC1">
        <w:rPr>
          <w:sz w:val="20"/>
        </w:rPr>
        <w:pict>
          <v:rect id="_x0000_i1034" style="width:2in;height:1pt" o:hrpct="0" o:hralign="center" o:hrstd="t" o:hrnoshade="t" o:hr="t" fillcolor="black [3213]" stroked="f"/>
        </w:pict>
      </w:r>
    </w:p>
    <w:p w:rsidR="00EB3EBD" w:rsidRPr="00462FC1" w:rsidRDefault="00EB3EBD" w:rsidP="00EB3EBD">
      <w:pPr>
        <w:widowControl w:val="0"/>
        <w:rPr>
          <w:sz w:val="20"/>
        </w:rPr>
      </w:pPr>
    </w:p>
    <w:p w:rsidR="00B93366" w:rsidRPr="00462FC1" w:rsidRDefault="00B93366" w:rsidP="00B93366">
      <w:pPr>
        <w:pStyle w:val="SCCAppellantInfoAppellantInfo"/>
        <w:tabs>
          <w:tab w:val="left" w:pos="540"/>
        </w:tabs>
        <w:rPr>
          <w:sz w:val="22"/>
          <w:szCs w:val="22"/>
          <w:lang w:val="fr-CA"/>
        </w:rPr>
      </w:pPr>
      <w:r w:rsidRPr="00462FC1">
        <w:rPr>
          <w:i/>
          <w:sz w:val="22"/>
          <w:szCs w:val="22"/>
          <w:lang w:val="fr-CA"/>
        </w:rPr>
        <w:t>Michel Gaucher c. 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Stephen Andrew Sproule, Municipalité de Lac-Tremblant-Nord et procureure générale du Québec - et - Gestion Sylvain Duchesne inc. et Gestion Christian Duchesne inc.</w:t>
      </w:r>
      <w:r w:rsidRPr="00462FC1">
        <w:rPr>
          <w:sz w:val="22"/>
          <w:szCs w:val="22"/>
          <w:lang w:val="fr-CA"/>
        </w:rPr>
        <w:t xml:space="preserve"> (Qc) (Civile) (Autorisation) (</w:t>
      </w:r>
      <w:hyperlink r:id="rId16" w:history="1">
        <w:r w:rsidRPr="00462FC1">
          <w:rPr>
            <w:rStyle w:val="Hyperlink"/>
            <w:sz w:val="22"/>
            <w:szCs w:val="22"/>
            <w:lang w:val="fr-CA"/>
          </w:rPr>
          <w:t>38966</w:t>
        </w:r>
      </w:hyperlink>
      <w:r w:rsidRPr="00462FC1">
        <w:rPr>
          <w:sz w:val="22"/>
          <w:szCs w:val="22"/>
          <w:lang w:val="fr-CA"/>
        </w:rPr>
        <w:t>)</w:t>
      </w:r>
    </w:p>
    <w:p w:rsidR="000A2B58" w:rsidRPr="00462FC1" w:rsidRDefault="000A2B58" w:rsidP="00EB3EBD">
      <w:pPr>
        <w:widowControl w:val="0"/>
        <w:rPr>
          <w:sz w:val="20"/>
          <w:lang w:val="fr-CA"/>
        </w:rPr>
      </w:pPr>
    </w:p>
    <w:p w:rsidR="00B93366" w:rsidRPr="00462FC1" w:rsidRDefault="00B93366" w:rsidP="00B93366">
      <w:pPr>
        <w:rPr>
          <w:sz w:val="20"/>
          <w:lang w:val="fr-CA"/>
        </w:rPr>
      </w:pPr>
      <w:r w:rsidRPr="00462FC1">
        <w:rPr>
          <w:sz w:val="20"/>
          <w:lang w:val="fr-CA"/>
        </w:rPr>
        <w:t>La demande d’autorisation d’appel de l’arrêt de la Cour d’appel du Québec (Montréal), numéros 500-09-027672-187 et 500-09-027673-185, 2019 QCCA 1718, daté du 7 octobre 2019, est rejetée avec dépens en faveur des intimés, 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et Stephen Andrew Sproule.</w:t>
      </w:r>
    </w:p>
    <w:p w:rsidR="00B93366" w:rsidRPr="00462FC1" w:rsidRDefault="00B93366" w:rsidP="00B93366">
      <w:pPr>
        <w:rPr>
          <w:sz w:val="20"/>
          <w:lang w:val="fr-CA"/>
        </w:rPr>
      </w:pPr>
    </w:p>
    <w:p w:rsidR="00B93366" w:rsidRPr="00462FC1" w:rsidRDefault="00B93366" w:rsidP="00B93366">
      <w:pPr>
        <w:rPr>
          <w:sz w:val="20"/>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Numbers </w:t>
      </w:r>
      <w:r w:rsidRPr="00462FC1">
        <w:rPr>
          <w:sz w:val="20"/>
        </w:rPr>
        <w:t>500-09-027672-187 and 500-09-027673-185,</w:t>
      </w:r>
      <w:r w:rsidRPr="00462FC1">
        <w:rPr>
          <w:sz w:val="20"/>
          <w:lang w:val="en-CA"/>
        </w:rPr>
        <w:t xml:space="preserve"> </w:t>
      </w:r>
      <w:r w:rsidRPr="00462FC1">
        <w:rPr>
          <w:sz w:val="20"/>
        </w:rPr>
        <w:t xml:space="preserve">2019 QCCA 1718, </w:t>
      </w:r>
      <w:r w:rsidRPr="00462FC1">
        <w:rPr>
          <w:sz w:val="20"/>
          <w:lang w:val="en-CA"/>
        </w:rPr>
        <w:t xml:space="preserve"> dated </w:t>
      </w:r>
      <w:r w:rsidRPr="00462FC1">
        <w:rPr>
          <w:sz w:val="20"/>
        </w:rPr>
        <w:t>October 7, 2019,</w:t>
      </w:r>
      <w:r w:rsidRPr="00462FC1">
        <w:rPr>
          <w:sz w:val="20"/>
          <w:lang w:val="en-CA"/>
        </w:rPr>
        <w:t xml:space="preserve"> is dismissed with costs to the respondents, </w:t>
      </w:r>
      <w:r w:rsidRPr="00462FC1">
        <w:rPr>
          <w:sz w:val="20"/>
        </w:rPr>
        <w:t>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and Stephen Andrew Sproule.</w:t>
      </w:r>
    </w:p>
    <w:p w:rsidR="009A7249" w:rsidRPr="00462FC1" w:rsidRDefault="009A7249" w:rsidP="00EB3EBD">
      <w:pPr>
        <w:widowControl w:val="0"/>
        <w:rPr>
          <w:sz w:val="20"/>
        </w:rPr>
      </w:pPr>
    </w:p>
    <w:p w:rsidR="00EB3EBD" w:rsidRPr="00462FC1" w:rsidRDefault="00462FC1" w:rsidP="00EB3EBD">
      <w:pPr>
        <w:widowControl w:val="0"/>
        <w:rPr>
          <w:sz w:val="20"/>
        </w:rPr>
      </w:pPr>
      <w:r w:rsidRPr="00462FC1">
        <w:rPr>
          <w:sz w:val="20"/>
        </w:rPr>
        <w:pict>
          <v:rect id="_x0000_i1035" style="width:2in;height:1pt" o:hrpct="0" o:hralign="center" o:hrstd="t" o:hrnoshade="t" o:hr="t" fillcolor="black [3213]" stroked="f"/>
        </w:pict>
      </w:r>
    </w:p>
    <w:p w:rsidR="00EB3EBD" w:rsidRPr="00462FC1" w:rsidRDefault="00EB3EBD" w:rsidP="00EB3EBD">
      <w:pPr>
        <w:widowControl w:val="0"/>
        <w:rPr>
          <w:sz w:val="20"/>
          <w:lang w:val="fr-CA"/>
        </w:rPr>
      </w:pPr>
    </w:p>
    <w:p w:rsidR="00CD29E8" w:rsidRPr="00462FC1" w:rsidRDefault="00CD29E8" w:rsidP="00CD29E8">
      <w:pPr>
        <w:pStyle w:val="SCCAppellantInfoAppellantInfo"/>
        <w:tabs>
          <w:tab w:val="left" w:pos="540"/>
        </w:tabs>
        <w:rPr>
          <w:sz w:val="22"/>
          <w:szCs w:val="22"/>
          <w:lang w:val="fr-CA"/>
        </w:rPr>
      </w:pPr>
      <w:r w:rsidRPr="00462FC1">
        <w:rPr>
          <w:i/>
          <w:sz w:val="22"/>
          <w:szCs w:val="22"/>
          <w:lang w:val="fr-CA"/>
        </w:rPr>
        <w:t>Roger Gladu c. Sa Majesté la Reine</w:t>
      </w:r>
      <w:r w:rsidRPr="00462FC1">
        <w:rPr>
          <w:sz w:val="22"/>
          <w:szCs w:val="22"/>
          <w:lang w:val="fr-CA"/>
        </w:rPr>
        <w:t xml:space="preserve"> (Qc) (Criminelle) (Autorisation) (</w:t>
      </w:r>
      <w:hyperlink r:id="rId17" w:history="1">
        <w:r w:rsidRPr="00462FC1">
          <w:rPr>
            <w:rStyle w:val="Hyperlink"/>
            <w:sz w:val="22"/>
            <w:szCs w:val="22"/>
            <w:lang w:val="fr-CA"/>
          </w:rPr>
          <w:t>38971</w:t>
        </w:r>
      </w:hyperlink>
      <w:r w:rsidRPr="00462FC1">
        <w:rPr>
          <w:sz w:val="22"/>
          <w:szCs w:val="22"/>
          <w:lang w:val="fr-CA"/>
        </w:rPr>
        <w:t>)</w:t>
      </w:r>
    </w:p>
    <w:p w:rsidR="000A2B58" w:rsidRPr="00462FC1" w:rsidRDefault="000A2B58" w:rsidP="00EB3EBD">
      <w:pPr>
        <w:widowControl w:val="0"/>
        <w:rPr>
          <w:sz w:val="20"/>
          <w:lang w:val="fr-CA"/>
        </w:rPr>
      </w:pPr>
    </w:p>
    <w:p w:rsidR="00CD29E8" w:rsidRPr="00462FC1" w:rsidRDefault="00CD29E8" w:rsidP="00CD29E8">
      <w:pPr>
        <w:jc w:val="both"/>
        <w:rPr>
          <w:sz w:val="20"/>
          <w:lang w:val="fr-CA"/>
        </w:rPr>
      </w:pPr>
      <w:r w:rsidRPr="00462FC1">
        <w:rPr>
          <w:sz w:val="20"/>
          <w:lang w:val="fr-CA"/>
        </w:rPr>
        <w:t>La demande d’autorisation d’appel de l’arrêt de la Cour d’appel du Québec (Montréal), numéro 500-10-006760-183, 2019 QCCA 1817, daté du 23 octobre 2019, est rejetée.</w:t>
      </w:r>
    </w:p>
    <w:p w:rsidR="00CD29E8" w:rsidRPr="00462FC1" w:rsidRDefault="00CD29E8" w:rsidP="00CD29E8">
      <w:pPr>
        <w:jc w:val="both"/>
        <w:rPr>
          <w:sz w:val="20"/>
          <w:lang w:val="fr-CA"/>
        </w:rPr>
      </w:pPr>
    </w:p>
    <w:p w:rsidR="00CD29E8" w:rsidRPr="00462FC1" w:rsidRDefault="00CD29E8" w:rsidP="00CD29E8">
      <w:pPr>
        <w:jc w:val="both"/>
        <w:rPr>
          <w:sz w:val="20"/>
          <w:lang w:val="en-CA"/>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 xml:space="preserve">500-10-006760-183, 2019 QCCA 1817, </w:t>
      </w:r>
      <w:r w:rsidRPr="00462FC1">
        <w:rPr>
          <w:sz w:val="20"/>
          <w:lang w:val="en-CA"/>
        </w:rPr>
        <w:t xml:space="preserve">dated </w:t>
      </w:r>
      <w:r w:rsidRPr="00462FC1">
        <w:rPr>
          <w:sz w:val="20"/>
        </w:rPr>
        <w:t>October 23, 2019,</w:t>
      </w:r>
      <w:r w:rsidRPr="00462FC1">
        <w:rPr>
          <w:sz w:val="20"/>
          <w:lang w:val="en-CA"/>
        </w:rPr>
        <w:t xml:space="preserve"> is dismissed. </w:t>
      </w:r>
    </w:p>
    <w:p w:rsidR="009A7249" w:rsidRPr="00462FC1" w:rsidRDefault="009A7249" w:rsidP="00EB3EBD">
      <w:pPr>
        <w:widowControl w:val="0"/>
        <w:rPr>
          <w:sz w:val="20"/>
        </w:rPr>
      </w:pPr>
    </w:p>
    <w:p w:rsidR="00EB3EBD" w:rsidRPr="00462FC1" w:rsidRDefault="00462FC1" w:rsidP="00EB3EBD">
      <w:pPr>
        <w:widowControl w:val="0"/>
        <w:rPr>
          <w:sz w:val="20"/>
        </w:rPr>
      </w:pPr>
      <w:r w:rsidRPr="00462FC1">
        <w:rPr>
          <w:sz w:val="20"/>
        </w:rPr>
        <w:pict>
          <v:rect id="_x0000_i1036" style="width:2in;height:1pt" o:hrpct="0" o:hralign="center" o:hrstd="t" o:hrnoshade="t" o:hr="t" fillcolor="black [3213]" stroked="f"/>
        </w:pict>
      </w:r>
    </w:p>
    <w:p w:rsidR="00EB3EBD" w:rsidRPr="00462FC1" w:rsidRDefault="00EB3EBD" w:rsidP="00EB3EBD">
      <w:pPr>
        <w:widowControl w:val="0"/>
        <w:rPr>
          <w:sz w:val="20"/>
        </w:rPr>
      </w:pPr>
    </w:p>
    <w:p w:rsidR="00CD29E8" w:rsidRPr="00462FC1" w:rsidRDefault="00CD29E8" w:rsidP="00CD29E8">
      <w:pPr>
        <w:pStyle w:val="SCCAppellantInfoAppellantInfo"/>
        <w:tabs>
          <w:tab w:val="left" w:pos="540"/>
        </w:tabs>
        <w:rPr>
          <w:sz w:val="22"/>
          <w:szCs w:val="22"/>
          <w:lang w:val="fr-CA"/>
        </w:rPr>
      </w:pPr>
      <w:r w:rsidRPr="00462FC1">
        <w:rPr>
          <w:i/>
          <w:sz w:val="22"/>
          <w:szCs w:val="22"/>
          <w:lang w:val="fr-CA"/>
        </w:rPr>
        <w:t>A.D. c. G.M. - et - Procureure générale du Québec</w:t>
      </w:r>
      <w:r w:rsidRPr="00462FC1">
        <w:rPr>
          <w:sz w:val="22"/>
          <w:szCs w:val="22"/>
          <w:lang w:val="fr-CA"/>
        </w:rPr>
        <w:t xml:space="preserve"> (Qc) (Civile) (Autorisation) (</w:t>
      </w:r>
      <w:hyperlink r:id="rId18" w:history="1">
        <w:r w:rsidRPr="00462FC1">
          <w:rPr>
            <w:rStyle w:val="Hyperlink"/>
            <w:sz w:val="22"/>
            <w:szCs w:val="22"/>
            <w:lang w:val="fr-CA"/>
          </w:rPr>
          <w:t>38912</w:t>
        </w:r>
      </w:hyperlink>
      <w:r w:rsidRPr="00462FC1">
        <w:rPr>
          <w:sz w:val="22"/>
          <w:szCs w:val="22"/>
          <w:lang w:val="fr-CA"/>
        </w:rPr>
        <w:t>)</w:t>
      </w:r>
    </w:p>
    <w:p w:rsidR="000A2B58" w:rsidRPr="00462FC1" w:rsidRDefault="000A2B58" w:rsidP="00EB3EBD">
      <w:pPr>
        <w:widowControl w:val="0"/>
        <w:rPr>
          <w:sz w:val="20"/>
          <w:lang w:val="fr-CA"/>
        </w:rPr>
      </w:pPr>
    </w:p>
    <w:p w:rsidR="00CD29E8" w:rsidRPr="00462FC1" w:rsidRDefault="00CD29E8" w:rsidP="00CD29E8">
      <w:pPr>
        <w:jc w:val="both"/>
        <w:rPr>
          <w:sz w:val="20"/>
          <w:lang w:val="fr-CA"/>
        </w:rPr>
      </w:pPr>
      <w:r w:rsidRPr="00462FC1">
        <w:rPr>
          <w:sz w:val="20"/>
          <w:lang w:val="fr-CA"/>
        </w:rPr>
        <w:t>La demande d’autorisation d’appel de l’arrêt de la Cour d’appel du Québec (Montréal), numéro 500-09-025933-169, 2019 QCCA 1484, daté du 11 septembre 2019, est rejetée sans dépens.</w:t>
      </w:r>
    </w:p>
    <w:p w:rsidR="00CD29E8" w:rsidRPr="00462FC1" w:rsidRDefault="00CD29E8" w:rsidP="00CD29E8">
      <w:pPr>
        <w:jc w:val="both"/>
        <w:rPr>
          <w:sz w:val="20"/>
          <w:lang w:val="fr-CA"/>
        </w:rPr>
      </w:pPr>
    </w:p>
    <w:p w:rsidR="00CD29E8" w:rsidRPr="00462FC1" w:rsidRDefault="00CD29E8" w:rsidP="00CD29E8">
      <w:pPr>
        <w:jc w:val="both"/>
        <w:rPr>
          <w:sz w:val="20"/>
          <w:lang w:val="fr-CA"/>
        </w:rPr>
      </w:pPr>
      <w:r w:rsidRPr="00462FC1">
        <w:rPr>
          <w:sz w:val="20"/>
          <w:lang w:val="fr-CA"/>
        </w:rPr>
        <w:t>Le juge Kasirer n’a pas participé au jugement.</w:t>
      </w:r>
    </w:p>
    <w:p w:rsidR="009A7249" w:rsidRPr="00462FC1" w:rsidRDefault="009A7249" w:rsidP="00EB3EBD">
      <w:pPr>
        <w:widowControl w:val="0"/>
        <w:rPr>
          <w:sz w:val="20"/>
          <w:lang w:val="fr-CA"/>
        </w:rPr>
      </w:pPr>
    </w:p>
    <w:p w:rsidR="00CD29E8" w:rsidRPr="00462FC1" w:rsidRDefault="00CD29E8" w:rsidP="00CD29E8">
      <w:pPr>
        <w:jc w:val="both"/>
        <w:rPr>
          <w:sz w:val="20"/>
          <w:lang w:val="en-CA"/>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 xml:space="preserve">500-09-025933-169, 2019 QCCA 1484, </w:t>
      </w:r>
      <w:r w:rsidRPr="00462FC1">
        <w:rPr>
          <w:sz w:val="20"/>
          <w:lang w:val="en-CA"/>
        </w:rPr>
        <w:t xml:space="preserve">dated </w:t>
      </w:r>
      <w:r w:rsidRPr="00462FC1">
        <w:rPr>
          <w:sz w:val="20"/>
        </w:rPr>
        <w:t>September 11, 2019,</w:t>
      </w:r>
      <w:r w:rsidRPr="00462FC1">
        <w:rPr>
          <w:sz w:val="20"/>
          <w:lang w:val="en-CA"/>
        </w:rPr>
        <w:t xml:space="preserve"> is dismissed without costs. </w:t>
      </w:r>
    </w:p>
    <w:p w:rsidR="00CD29E8" w:rsidRPr="00462FC1" w:rsidRDefault="00CD29E8" w:rsidP="00CD29E8">
      <w:pPr>
        <w:tabs>
          <w:tab w:val="left" w:pos="509"/>
        </w:tabs>
        <w:jc w:val="both"/>
        <w:rPr>
          <w:sz w:val="20"/>
          <w:lang w:val="en-CA"/>
        </w:rPr>
      </w:pPr>
    </w:p>
    <w:p w:rsidR="00CD29E8" w:rsidRPr="00462FC1" w:rsidRDefault="00CD29E8" w:rsidP="00CD29E8">
      <w:pPr>
        <w:tabs>
          <w:tab w:val="left" w:pos="509"/>
        </w:tabs>
        <w:jc w:val="both"/>
        <w:rPr>
          <w:sz w:val="20"/>
        </w:rPr>
      </w:pPr>
      <w:r w:rsidRPr="00462FC1">
        <w:rPr>
          <w:sz w:val="20"/>
          <w:lang w:val="en-CA"/>
        </w:rPr>
        <w:t xml:space="preserve">Kasirer </w:t>
      </w:r>
      <w:r w:rsidRPr="00462FC1">
        <w:rPr>
          <w:sz w:val="20"/>
        </w:rPr>
        <w:t>J. took no part in the judgment.</w:t>
      </w:r>
    </w:p>
    <w:p w:rsidR="009A7249" w:rsidRPr="00462FC1" w:rsidRDefault="009A7249" w:rsidP="00EB3EBD">
      <w:pPr>
        <w:widowControl w:val="0"/>
        <w:rPr>
          <w:sz w:val="20"/>
        </w:rPr>
      </w:pPr>
    </w:p>
    <w:p w:rsidR="00EB3EBD" w:rsidRPr="00462FC1" w:rsidRDefault="00462FC1" w:rsidP="00EB3EBD">
      <w:pPr>
        <w:widowControl w:val="0"/>
        <w:rPr>
          <w:sz w:val="20"/>
        </w:rPr>
      </w:pPr>
      <w:r w:rsidRPr="00462FC1">
        <w:rPr>
          <w:sz w:val="20"/>
        </w:rPr>
        <w:pict>
          <v:rect id="_x0000_i1037" style="width:2in;height:1pt" o:hrpct="0" o:hralign="center" o:hrstd="t" o:hrnoshade="t" o:hr="t" fillcolor="black [3213]" stroked="f"/>
        </w:pict>
      </w:r>
    </w:p>
    <w:p w:rsidR="00EB3EBD" w:rsidRPr="00462FC1" w:rsidRDefault="00EB3EBD" w:rsidP="00EB3EBD">
      <w:pPr>
        <w:widowControl w:val="0"/>
        <w:rPr>
          <w:sz w:val="20"/>
          <w:lang w:val="fr-CA"/>
        </w:rPr>
      </w:pPr>
    </w:p>
    <w:p w:rsidR="009E00D7" w:rsidRPr="00462FC1" w:rsidRDefault="009E00D7" w:rsidP="009E00D7">
      <w:pPr>
        <w:pStyle w:val="SCCAppellantInfoAppellantInfo"/>
        <w:tabs>
          <w:tab w:val="left" w:pos="540"/>
        </w:tabs>
        <w:rPr>
          <w:sz w:val="22"/>
          <w:szCs w:val="22"/>
          <w:lang w:val="en-US"/>
        </w:rPr>
      </w:pPr>
      <w:r w:rsidRPr="00462FC1">
        <w:rPr>
          <w:i/>
          <w:sz w:val="22"/>
          <w:szCs w:val="22"/>
          <w:lang w:val="en-US"/>
        </w:rPr>
        <w:t>Rosalina Templanza v. Mitchell T. Ford LLP, Jason R. Ford, Mount Royal Law Office, Todd Lee, LLP, Miles Davison Law Office, Doug Stokes LLP, John Anderson, LLP, Max Blitt, LLP, Spier Harben Law Office, David Salmon, LLP, Salmon &amp; Co., Alister Taylor, LLP, Warren Tettensor (Amantea) Law Office, Terrence Daw, LLP and Dawe Law Office</w:t>
      </w:r>
      <w:r w:rsidRPr="00462FC1">
        <w:rPr>
          <w:sz w:val="22"/>
          <w:szCs w:val="22"/>
        </w:rPr>
        <w:t xml:space="preserve"> </w:t>
      </w:r>
      <w:r w:rsidRPr="00462FC1">
        <w:rPr>
          <w:sz w:val="22"/>
          <w:szCs w:val="22"/>
          <w:lang w:val="en-US"/>
        </w:rPr>
        <w:t>(Alta.) (Civil) (By Leave) (</w:t>
      </w:r>
      <w:hyperlink r:id="rId19" w:history="1">
        <w:r w:rsidRPr="00462FC1">
          <w:rPr>
            <w:rStyle w:val="Hyperlink"/>
            <w:sz w:val="22"/>
            <w:szCs w:val="22"/>
            <w:lang w:val="en-US"/>
          </w:rPr>
          <w:t>39034</w:t>
        </w:r>
      </w:hyperlink>
      <w:r w:rsidRPr="00462FC1">
        <w:rPr>
          <w:sz w:val="22"/>
          <w:szCs w:val="22"/>
          <w:lang w:val="en-US"/>
        </w:rPr>
        <w:t>)</w:t>
      </w:r>
    </w:p>
    <w:p w:rsidR="000A2B58" w:rsidRPr="00462FC1" w:rsidRDefault="000A2B58" w:rsidP="003747E8">
      <w:pPr>
        <w:widowControl w:val="0"/>
        <w:rPr>
          <w:sz w:val="20"/>
        </w:rPr>
      </w:pPr>
    </w:p>
    <w:p w:rsidR="009E00D7" w:rsidRPr="00462FC1" w:rsidRDefault="009E00D7" w:rsidP="009E00D7">
      <w:pPr>
        <w:jc w:val="both"/>
        <w:rPr>
          <w:sz w:val="20"/>
        </w:rPr>
      </w:pPr>
      <w:r w:rsidRPr="00462FC1">
        <w:rPr>
          <w:sz w:val="20"/>
        </w:rPr>
        <w:t>The application for leave to appeal from the judgment of the Court of Appeal of Alberta (Calgary), Number 1801-0109-AC, 2019 ABCA 345, dated September 17, 2019, is dismissed without costs.</w:t>
      </w:r>
    </w:p>
    <w:p w:rsidR="009E00D7" w:rsidRPr="00462FC1" w:rsidRDefault="009E00D7" w:rsidP="009E00D7">
      <w:pPr>
        <w:jc w:val="both"/>
        <w:rPr>
          <w:sz w:val="20"/>
        </w:rPr>
      </w:pPr>
    </w:p>
    <w:p w:rsidR="009E00D7" w:rsidRPr="00462FC1" w:rsidRDefault="009E00D7" w:rsidP="009E00D7">
      <w:pPr>
        <w:rPr>
          <w:sz w:val="20"/>
          <w:lang w:val="fr-CA"/>
        </w:rPr>
      </w:pPr>
      <w:r w:rsidRPr="00462FC1">
        <w:rPr>
          <w:sz w:val="20"/>
          <w:lang w:val="fr-CA"/>
        </w:rPr>
        <w:t xml:space="preserve">La demande d’autorisation d’appel de l’arrêt de la Cour d’appel de l’Alberta (Calgary), numéro 1801-0109-AC, 2019 ABCA 345, daté du 17 septembre 2019, est rejetée sans dépens. </w:t>
      </w:r>
    </w:p>
    <w:p w:rsidR="009A7249" w:rsidRPr="00462FC1" w:rsidRDefault="009A7249" w:rsidP="003747E8">
      <w:pPr>
        <w:widowControl w:val="0"/>
        <w:rPr>
          <w:sz w:val="20"/>
          <w:lang w:val="fr-CA"/>
        </w:rPr>
      </w:pPr>
    </w:p>
    <w:p w:rsidR="003747E8" w:rsidRPr="00462FC1" w:rsidRDefault="00462FC1" w:rsidP="003747E8">
      <w:pPr>
        <w:widowControl w:val="0"/>
        <w:rPr>
          <w:sz w:val="20"/>
          <w:lang w:val="fr-CA"/>
        </w:rPr>
      </w:pPr>
      <w:r w:rsidRPr="00462FC1">
        <w:rPr>
          <w:sz w:val="20"/>
        </w:rPr>
        <w:pict>
          <v:rect id="_x0000_i1038" style="width:2in;height:1pt" o:hrpct="0" o:hralign="center" o:hrstd="t" o:hrnoshade="t" o:hr="t" fillcolor="black [3213]" stroked="f"/>
        </w:pict>
      </w:r>
    </w:p>
    <w:p w:rsidR="003747E8" w:rsidRPr="00462FC1" w:rsidRDefault="003747E8" w:rsidP="003747E8">
      <w:pPr>
        <w:widowControl w:val="0"/>
        <w:rPr>
          <w:sz w:val="20"/>
          <w:lang w:val="fr-CA"/>
        </w:rPr>
      </w:pPr>
    </w:p>
    <w:p w:rsidR="00352285" w:rsidRPr="00462FC1" w:rsidRDefault="00352285" w:rsidP="00352285">
      <w:pPr>
        <w:pStyle w:val="SCCAppellantInfoAppellantInfo"/>
        <w:tabs>
          <w:tab w:val="left" w:pos="540"/>
        </w:tabs>
        <w:rPr>
          <w:sz w:val="22"/>
          <w:szCs w:val="22"/>
          <w:lang w:val="fr-CA"/>
        </w:rPr>
      </w:pPr>
      <w:r w:rsidRPr="00462FC1">
        <w:rPr>
          <w:i/>
          <w:sz w:val="22"/>
          <w:szCs w:val="22"/>
          <w:lang w:val="fr-CA"/>
        </w:rPr>
        <w:t xml:space="preserve">Option consommateurs c. Infineon Technologies AG et Infineon Technologies North America Corporation </w:t>
      </w:r>
      <w:r w:rsidRPr="00462FC1">
        <w:rPr>
          <w:sz w:val="22"/>
          <w:szCs w:val="22"/>
          <w:lang w:val="fr-CA"/>
        </w:rPr>
        <w:t>(Qc) (Civile) (Autorisation) (</w:t>
      </w:r>
      <w:hyperlink r:id="rId20" w:history="1">
        <w:r w:rsidRPr="00462FC1">
          <w:rPr>
            <w:rStyle w:val="Hyperlink"/>
            <w:sz w:val="22"/>
            <w:szCs w:val="22"/>
            <w:lang w:val="fr-CA"/>
          </w:rPr>
          <w:t>39057</w:t>
        </w:r>
      </w:hyperlink>
      <w:r w:rsidRPr="00462FC1">
        <w:rPr>
          <w:sz w:val="22"/>
          <w:szCs w:val="22"/>
          <w:lang w:val="fr-CA"/>
        </w:rPr>
        <w:t>)</w:t>
      </w:r>
    </w:p>
    <w:p w:rsidR="000A2B58" w:rsidRPr="00462FC1" w:rsidRDefault="000A2B58" w:rsidP="003747E8">
      <w:pPr>
        <w:widowControl w:val="0"/>
        <w:rPr>
          <w:sz w:val="20"/>
          <w:lang w:val="fr-CA"/>
        </w:rPr>
      </w:pPr>
    </w:p>
    <w:p w:rsidR="00352285" w:rsidRPr="00462FC1" w:rsidRDefault="00352285" w:rsidP="00352285">
      <w:pPr>
        <w:jc w:val="both"/>
        <w:rPr>
          <w:sz w:val="20"/>
          <w:lang w:val="fr-CA"/>
        </w:rPr>
      </w:pPr>
      <w:r w:rsidRPr="00462FC1">
        <w:rPr>
          <w:sz w:val="20"/>
          <w:lang w:val="fr-CA"/>
        </w:rPr>
        <w:t>La requête pour permission d’intervenir du Fonds d’aide aux actions collectives est rejetée sans dépens. La demande d’autorisation d’appel de l’arrêt de la Cour d’appel du Québec (Montréal), numéro 500-09-027542-182, 2019 QCCA 2132, daté du 10 décembre 2019, est rejetée.</w:t>
      </w:r>
    </w:p>
    <w:p w:rsidR="00352285" w:rsidRPr="00462FC1" w:rsidRDefault="00352285" w:rsidP="00352285">
      <w:pPr>
        <w:jc w:val="both"/>
        <w:rPr>
          <w:sz w:val="20"/>
          <w:lang w:val="fr-CA"/>
        </w:rPr>
      </w:pPr>
    </w:p>
    <w:p w:rsidR="00352285" w:rsidRPr="00462FC1" w:rsidRDefault="00352285" w:rsidP="00352285">
      <w:pPr>
        <w:jc w:val="both"/>
        <w:rPr>
          <w:sz w:val="20"/>
          <w:lang w:val="en-CA"/>
        </w:rPr>
      </w:pPr>
      <w:r w:rsidRPr="00462FC1">
        <w:rPr>
          <w:sz w:val="20"/>
          <w:lang w:val="en-CA"/>
        </w:rPr>
        <w:t xml:space="preserve">The motion for leave to intervene by the Fonds d’aide aux actions collectives is dismissed without costs. 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 xml:space="preserve">500-09-027542-182, 2019 QCCA 2132, </w:t>
      </w:r>
      <w:r w:rsidRPr="00462FC1">
        <w:rPr>
          <w:sz w:val="20"/>
          <w:lang w:val="en-CA"/>
        </w:rPr>
        <w:t xml:space="preserve">dated </w:t>
      </w:r>
      <w:r w:rsidRPr="00462FC1">
        <w:rPr>
          <w:sz w:val="20"/>
        </w:rPr>
        <w:t>December 10, 2019,</w:t>
      </w:r>
      <w:r w:rsidRPr="00462FC1">
        <w:rPr>
          <w:sz w:val="20"/>
          <w:lang w:val="en-CA"/>
        </w:rPr>
        <w:t xml:space="preserve"> is dismissed.</w:t>
      </w:r>
    </w:p>
    <w:p w:rsidR="009A7249" w:rsidRPr="00462FC1" w:rsidRDefault="009A7249" w:rsidP="003747E8">
      <w:pPr>
        <w:widowControl w:val="0"/>
        <w:rPr>
          <w:sz w:val="20"/>
        </w:rPr>
      </w:pPr>
    </w:p>
    <w:p w:rsidR="000776EA" w:rsidRPr="00462FC1" w:rsidRDefault="00462FC1" w:rsidP="003747E8">
      <w:pPr>
        <w:widowControl w:val="0"/>
        <w:rPr>
          <w:sz w:val="20"/>
          <w:lang w:val="fr-CA"/>
        </w:rPr>
      </w:pPr>
      <w:r w:rsidRPr="00462FC1">
        <w:rPr>
          <w:sz w:val="20"/>
        </w:rPr>
        <w:pict>
          <v:rect id="_x0000_i1039" style="width:2in;height:1pt" o:hrpct="0" o:hralign="center" o:hrstd="t" o:hrnoshade="t" o:hr="t" fillcolor="black [3213]" stroked="f"/>
        </w:pict>
      </w:r>
    </w:p>
    <w:p w:rsidR="002E6B31" w:rsidRPr="00462FC1" w:rsidRDefault="002E6B31" w:rsidP="003747E8">
      <w:pPr>
        <w:widowControl w:val="0"/>
        <w:rPr>
          <w:sz w:val="20"/>
          <w:lang w:val="fr-CA"/>
        </w:rPr>
      </w:pPr>
    </w:p>
    <w:p w:rsidR="00E41AC9" w:rsidRPr="00462FC1" w:rsidRDefault="00E41AC9" w:rsidP="00E41AC9">
      <w:pPr>
        <w:pStyle w:val="SCCAppellantInfoAppellantInfo"/>
        <w:tabs>
          <w:tab w:val="left" w:pos="540"/>
        </w:tabs>
        <w:rPr>
          <w:sz w:val="22"/>
          <w:szCs w:val="22"/>
          <w:lang w:val="en-US"/>
        </w:rPr>
      </w:pPr>
      <w:r w:rsidRPr="00462FC1">
        <w:rPr>
          <w:i/>
          <w:sz w:val="22"/>
          <w:szCs w:val="22"/>
          <w:lang w:val="en-US"/>
        </w:rPr>
        <w:t>Alex Martinez v. Communications Security Establishment</w:t>
      </w:r>
      <w:r w:rsidRPr="00462FC1">
        <w:rPr>
          <w:sz w:val="22"/>
          <w:szCs w:val="22"/>
          <w:lang w:val="en-US"/>
        </w:rPr>
        <w:t xml:space="preserve"> (F.C.) (Civil) (By Leave) (</w:t>
      </w:r>
      <w:hyperlink r:id="rId21" w:history="1">
        <w:r w:rsidRPr="00462FC1">
          <w:rPr>
            <w:rStyle w:val="Hyperlink"/>
            <w:sz w:val="22"/>
            <w:szCs w:val="22"/>
            <w:lang w:val="en-US"/>
          </w:rPr>
          <w:t>39061</w:t>
        </w:r>
      </w:hyperlink>
      <w:r w:rsidRPr="00462FC1">
        <w:rPr>
          <w:sz w:val="22"/>
          <w:szCs w:val="22"/>
          <w:lang w:val="en-US"/>
        </w:rPr>
        <w:t>)</w:t>
      </w:r>
    </w:p>
    <w:p w:rsidR="000A2B58" w:rsidRPr="00462FC1" w:rsidRDefault="000A2B58" w:rsidP="003747E8">
      <w:pPr>
        <w:widowControl w:val="0"/>
        <w:rPr>
          <w:sz w:val="20"/>
        </w:rPr>
      </w:pPr>
    </w:p>
    <w:p w:rsidR="00E41AC9" w:rsidRPr="00462FC1" w:rsidRDefault="00E41AC9" w:rsidP="00E41AC9">
      <w:pPr>
        <w:jc w:val="both"/>
        <w:rPr>
          <w:sz w:val="20"/>
        </w:rPr>
      </w:pPr>
      <w:r w:rsidRPr="00462FC1">
        <w:rPr>
          <w:sz w:val="20"/>
        </w:rPr>
        <w:t>The application for leave to appeal from the judgment of the Federal Court of Appeal, Number A-257-19, 2019 FCA 282, dated November 12, 2019, is dismissed with costs.</w:t>
      </w:r>
    </w:p>
    <w:p w:rsidR="00E41AC9" w:rsidRPr="00462FC1" w:rsidRDefault="00E41AC9" w:rsidP="00E41AC9">
      <w:pPr>
        <w:jc w:val="both"/>
        <w:rPr>
          <w:sz w:val="20"/>
        </w:rPr>
      </w:pPr>
    </w:p>
    <w:p w:rsidR="00E41AC9" w:rsidRPr="00462FC1" w:rsidRDefault="00E41AC9" w:rsidP="00E41AC9">
      <w:pPr>
        <w:rPr>
          <w:sz w:val="20"/>
          <w:lang w:val="fr-CA"/>
        </w:rPr>
      </w:pPr>
      <w:r w:rsidRPr="00462FC1">
        <w:rPr>
          <w:sz w:val="20"/>
          <w:lang w:val="fr-CA"/>
        </w:rPr>
        <w:t xml:space="preserve">La demande d’autorisation d’appel de l’arrêt de la Cour d’appel fédérale, numéro A-257-19, 2019 FCA 282, daté du 12 novembre 2019, est rejetée avec dépens. </w:t>
      </w:r>
    </w:p>
    <w:p w:rsidR="009A7249" w:rsidRPr="00462FC1" w:rsidRDefault="009A7249" w:rsidP="003747E8">
      <w:pPr>
        <w:widowControl w:val="0"/>
        <w:rPr>
          <w:sz w:val="20"/>
          <w:lang w:val="fr-CA"/>
        </w:rPr>
      </w:pPr>
    </w:p>
    <w:p w:rsidR="003747E8" w:rsidRPr="00462FC1" w:rsidRDefault="00462FC1" w:rsidP="003747E8">
      <w:pPr>
        <w:widowControl w:val="0"/>
        <w:rPr>
          <w:sz w:val="20"/>
          <w:lang w:val="fr-CA"/>
        </w:rPr>
      </w:pPr>
      <w:r w:rsidRPr="00462FC1">
        <w:rPr>
          <w:sz w:val="20"/>
        </w:rPr>
        <w:pict>
          <v:rect id="_x0000_i1040" style="width:2in;height:1pt" o:hrpct="0" o:hralign="center" o:hrstd="t" o:hrnoshade="t" o:hr="t" fillcolor="black [3213]" stroked="f"/>
        </w:pict>
      </w:r>
    </w:p>
    <w:p w:rsidR="003747E8" w:rsidRPr="00462FC1" w:rsidRDefault="003747E8" w:rsidP="003747E8">
      <w:pPr>
        <w:widowControl w:val="0"/>
        <w:rPr>
          <w:sz w:val="20"/>
          <w:lang w:val="fr-CA"/>
        </w:rPr>
      </w:pPr>
    </w:p>
    <w:p w:rsidR="00E41AC9" w:rsidRPr="00462FC1" w:rsidRDefault="00E41AC9" w:rsidP="00E41AC9">
      <w:pPr>
        <w:rPr>
          <w:sz w:val="22"/>
          <w:szCs w:val="22"/>
          <w:lang w:val="fr-CA"/>
        </w:rPr>
      </w:pPr>
      <w:r w:rsidRPr="00462FC1">
        <w:rPr>
          <w:i/>
          <w:sz w:val="22"/>
          <w:szCs w:val="22"/>
          <w:lang w:val="fr-CA"/>
        </w:rPr>
        <w:t>John Changchiang Chen c. Steven Lapointe, ès qualités de syndic du Collège des médecins du Québec</w:t>
      </w:r>
      <w:r w:rsidRPr="00462FC1">
        <w:rPr>
          <w:sz w:val="22"/>
          <w:szCs w:val="22"/>
          <w:lang w:val="fr-CA"/>
        </w:rPr>
        <w:t xml:space="preserve"> (Qc) (Civile) (Autorisation) (</w:t>
      </w:r>
      <w:hyperlink r:id="rId22" w:history="1">
        <w:r w:rsidRPr="00462FC1">
          <w:rPr>
            <w:rStyle w:val="Hyperlink"/>
            <w:sz w:val="22"/>
            <w:szCs w:val="22"/>
            <w:lang w:val="fr-CA"/>
          </w:rPr>
          <w:t>38863</w:t>
        </w:r>
      </w:hyperlink>
      <w:r w:rsidRPr="00462FC1">
        <w:rPr>
          <w:sz w:val="22"/>
          <w:szCs w:val="22"/>
          <w:lang w:val="fr-CA"/>
        </w:rPr>
        <w:t>)</w:t>
      </w:r>
    </w:p>
    <w:p w:rsidR="002F1D40" w:rsidRPr="00462FC1" w:rsidRDefault="002F1D40" w:rsidP="003747E8">
      <w:pPr>
        <w:widowControl w:val="0"/>
        <w:rPr>
          <w:sz w:val="20"/>
          <w:lang w:val="fr-CA"/>
        </w:rPr>
      </w:pPr>
    </w:p>
    <w:p w:rsidR="00E41AC9" w:rsidRPr="00462FC1" w:rsidRDefault="00E41AC9" w:rsidP="00E41AC9">
      <w:pPr>
        <w:jc w:val="both"/>
        <w:rPr>
          <w:sz w:val="20"/>
          <w:lang w:val="fr-CA"/>
        </w:rPr>
      </w:pPr>
      <w:r w:rsidRPr="00462FC1">
        <w:rPr>
          <w:sz w:val="20"/>
          <w:lang w:val="fr-CA"/>
        </w:rPr>
        <w:t>La demande d’autorisation d’appel de l’arrêt de la Cour d’appel du Québec (Montréal), numéro 500-09-026993-170, 2019 QCCA 1400, daté du 22 août 2019, est rejetée avec dépens.</w:t>
      </w:r>
    </w:p>
    <w:p w:rsidR="00E41AC9" w:rsidRPr="00462FC1" w:rsidRDefault="00E41AC9" w:rsidP="00E41AC9">
      <w:pPr>
        <w:jc w:val="both"/>
        <w:rPr>
          <w:sz w:val="20"/>
          <w:lang w:val="fr-CA"/>
        </w:rPr>
      </w:pPr>
    </w:p>
    <w:p w:rsidR="00E41AC9" w:rsidRPr="00462FC1" w:rsidRDefault="00E41AC9" w:rsidP="00E41AC9">
      <w:pPr>
        <w:jc w:val="both"/>
        <w:rPr>
          <w:sz w:val="20"/>
          <w:lang w:val="fr-CA"/>
        </w:rPr>
      </w:pPr>
      <w:r w:rsidRPr="00462FC1">
        <w:rPr>
          <w:sz w:val="20"/>
          <w:lang w:val="fr-CA"/>
        </w:rPr>
        <w:t>Le juge Kasirer n’a pas participé au jugement.</w:t>
      </w:r>
    </w:p>
    <w:p w:rsidR="00352285" w:rsidRPr="00462FC1" w:rsidRDefault="00352285" w:rsidP="003747E8">
      <w:pPr>
        <w:widowControl w:val="0"/>
        <w:rPr>
          <w:sz w:val="20"/>
          <w:lang w:val="fr-CA"/>
        </w:rPr>
      </w:pPr>
    </w:p>
    <w:p w:rsidR="00E41AC9" w:rsidRPr="00462FC1" w:rsidRDefault="00E41AC9" w:rsidP="00E41AC9">
      <w:pPr>
        <w:jc w:val="both"/>
        <w:rPr>
          <w:sz w:val="20"/>
          <w:lang w:val="en-CA"/>
        </w:rPr>
      </w:pPr>
      <w:r w:rsidRPr="00462FC1">
        <w:rPr>
          <w:sz w:val="20"/>
          <w:lang w:val="en-CA"/>
        </w:rPr>
        <w:t xml:space="preserve">The application for leave to appeal from the judgment of the </w:t>
      </w:r>
      <w:r w:rsidRPr="00462FC1">
        <w:rPr>
          <w:sz w:val="20"/>
        </w:rPr>
        <w:t>Court of Appeal of Quebec (Montréal)</w:t>
      </w:r>
      <w:r w:rsidRPr="00462FC1">
        <w:rPr>
          <w:sz w:val="20"/>
          <w:lang w:val="en-CA"/>
        </w:rPr>
        <w:t xml:space="preserve">, Number </w:t>
      </w:r>
      <w:r w:rsidRPr="00462FC1">
        <w:rPr>
          <w:sz w:val="20"/>
        </w:rPr>
        <w:t>500-09-026993-170</w:t>
      </w:r>
      <w:r w:rsidRPr="00462FC1">
        <w:rPr>
          <w:sz w:val="20"/>
          <w:lang w:val="en-CA"/>
        </w:rPr>
        <w:t xml:space="preserve">, </w:t>
      </w:r>
      <w:r w:rsidRPr="00462FC1">
        <w:rPr>
          <w:sz w:val="20"/>
        </w:rPr>
        <w:t xml:space="preserve">2019 QCCA 1400, </w:t>
      </w:r>
      <w:r w:rsidRPr="00462FC1">
        <w:rPr>
          <w:sz w:val="20"/>
          <w:lang w:val="en-CA"/>
        </w:rPr>
        <w:t xml:space="preserve">dated </w:t>
      </w:r>
      <w:r w:rsidRPr="00462FC1">
        <w:rPr>
          <w:sz w:val="20"/>
        </w:rPr>
        <w:t>August 22, 2019,</w:t>
      </w:r>
      <w:r w:rsidRPr="00462FC1">
        <w:rPr>
          <w:sz w:val="20"/>
          <w:lang w:val="en-CA"/>
        </w:rPr>
        <w:t xml:space="preserve"> is dismissed with costs. </w:t>
      </w:r>
    </w:p>
    <w:p w:rsidR="00E41AC9" w:rsidRPr="00462FC1" w:rsidRDefault="00E41AC9" w:rsidP="00E41AC9">
      <w:pPr>
        <w:jc w:val="both"/>
        <w:rPr>
          <w:sz w:val="20"/>
          <w:lang w:val="en-CA"/>
        </w:rPr>
      </w:pPr>
    </w:p>
    <w:p w:rsidR="00E41AC9" w:rsidRPr="00462FC1" w:rsidRDefault="00E41AC9" w:rsidP="00E41AC9">
      <w:pPr>
        <w:jc w:val="both"/>
        <w:rPr>
          <w:sz w:val="20"/>
        </w:rPr>
      </w:pPr>
      <w:r w:rsidRPr="00462FC1">
        <w:rPr>
          <w:sz w:val="20"/>
          <w:lang w:val="en-CA"/>
        </w:rPr>
        <w:t xml:space="preserve">Kasirer </w:t>
      </w:r>
      <w:r w:rsidRPr="00462FC1">
        <w:rPr>
          <w:sz w:val="20"/>
        </w:rPr>
        <w:t>J. took no part in the judgment.</w:t>
      </w:r>
    </w:p>
    <w:p w:rsidR="00352285" w:rsidRPr="00462FC1" w:rsidRDefault="00352285" w:rsidP="003747E8">
      <w:pPr>
        <w:widowControl w:val="0"/>
        <w:rPr>
          <w:sz w:val="20"/>
        </w:rPr>
      </w:pPr>
    </w:p>
    <w:p w:rsidR="002F1D40" w:rsidRPr="00462FC1" w:rsidRDefault="00352285" w:rsidP="003747E8">
      <w:pPr>
        <w:widowControl w:val="0"/>
        <w:rPr>
          <w:sz w:val="20"/>
          <w:lang w:val="fr-CA"/>
        </w:rPr>
      </w:pPr>
      <w:r w:rsidRPr="00462FC1">
        <w:rPr>
          <w:sz w:val="20"/>
        </w:rPr>
        <w:pict>
          <v:rect id="_x0000_i1043" style="width:2in;height:1pt" o:hrpct="0" o:hralign="center" o:hrstd="t" o:hrnoshade="t" o:hr="t" fillcolor="black [3213]" stroked="f"/>
        </w:pict>
      </w:r>
    </w:p>
    <w:p w:rsidR="000A2B58" w:rsidRPr="00462FC1" w:rsidRDefault="000A2B58" w:rsidP="003747E8">
      <w:pPr>
        <w:widowControl w:val="0"/>
        <w:rPr>
          <w:sz w:val="20"/>
          <w:lang w:val="fr-CA"/>
        </w:rPr>
      </w:pPr>
    </w:p>
    <w:p w:rsidR="00C75D18" w:rsidRPr="00462FC1" w:rsidRDefault="00C75D18" w:rsidP="00C75D18">
      <w:pPr>
        <w:rPr>
          <w:sz w:val="22"/>
          <w:szCs w:val="22"/>
        </w:rPr>
      </w:pPr>
      <w:r w:rsidRPr="00462FC1">
        <w:rPr>
          <w:i/>
          <w:sz w:val="22"/>
          <w:szCs w:val="22"/>
        </w:rPr>
        <w:t>Ian N. Roher v. Her Majesty the Queen</w:t>
      </w:r>
      <w:r w:rsidRPr="00462FC1">
        <w:rPr>
          <w:sz w:val="22"/>
          <w:szCs w:val="22"/>
        </w:rPr>
        <w:t xml:space="preserve"> (F.C.) (Civil) (By Leave) (</w:t>
      </w:r>
      <w:hyperlink r:id="rId23" w:history="1">
        <w:r w:rsidRPr="00462FC1">
          <w:rPr>
            <w:rStyle w:val="Hyperlink"/>
            <w:sz w:val="22"/>
            <w:szCs w:val="22"/>
          </w:rPr>
          <w:t>39059</w:t>
        </w:r>
      </w:hyperlink>
      <w:r w:rsidRPr="00462FC1">
        <w:rPr>
          <w:sz w:val="22"/>
          <w:szCs w:val="22"/>
        </w:rPr>
        <w:t>)</w:t>
      </w:r>
    </w:p>
    <w:p w:rsidR="00352285" w:rsidRPr="00462FC1" w:rsidRDefault="00352285" w:rsidP="003747E8">
      <w:pPr>
        <w:widowControl w:val="0"/>
        <w:rPr>
          <w:sz w:val="20"/>
        </w:rPr>
      </w:pPr>
    </w:p>
    <w:p w:rsidR="00C75D18" w:rsidRPr="00462FC1" w:rsidRDefault="00C75D18" w:rsidP="00C75D18">
      <w:pPr>
        <w:jc w:val="both"/>
        <w:rPr>
          <w:sz w:val="20"/>
        </w:rPr>
      </w:pPr>
      <w:r w:rsidRPr="00462FC1">
        <w:rPr>
          <w:sz w:val="20"/>
        </w:rPr>
        <w:t>The application for leave to appeal from the judgment of the Federal Court of Appeal, Number A-73-19, 2019 FCA 313, dated December 16, 2019, is dismissed with costs.</w:t>
      </w:r>
    </w:p>
    <w:p w:rsidR="00C75D18" w:rsidRPr="00462FC1" w:rsidRDefault="00C75D18" w:rsidP="00C75D18">
      <w:pPr>
        <w:jc w:val="both"/>
        <w:rPr>
          <w:sz w:val="20"/>
        </w:rPr>
      </w:pPr>
    </w:p>
    <w:p w:rsidR="00C75D18" w:rsidRPr="00462FC1" w:rsidRDefault="00C75D18" w:rsidP="00C75D18">
      <w:pPr>
        <w:rPr>
          <w:sz w:val="20"/>
          <w:lang w:val="fr-CA"/>
        </w:rPr>
      </w:pPr>
      <w:r w:rsidRPr="00462FC1">
        <w:rPr>
          <w:sz w:val="20"/>
          <w:lang w:val="fr-CA"/>
        </w:rPr>
        <w:t>La demande d’autorisation d’appel de l’arrêt de la Cour d’appel fédérale, numéro A-73-19, 2019 FCA 313, daté du 16 décembre 2019, est rejetée avec dépens.</w:t>
      </w:r>
    </w:p>
    <w:p w:rsidR="00352285" w:rsidRPr="00462FC1" w:rsidRDefault="00352285" w:rsidP="003747E8">
      <w:pPr>
        <w:widowControl w:val="0"/>
        <w:rPr>
          <w:sz w:val="20"/>
          <w:lang w:val="fr-CA"/>
        </w:rPr>
      </w:pPr>
    </w:p>
    <w:p w:rsidR="00352285" w:rsidRPr="00462FC1" w:rsidRDefault="00352285" w:rsidP="003747E8">
      <w:pPr>
        <w:widowControl w:val="0"/>
        <w:rPr>
          <w:sz w:val="20"/>
          <w:lang w:val="fr-CA"/>
        </w:rPr>
      </w:pPr>
      <w:r w:rsidRPr="00462FC1">
        <w:rPr>
          <w:sz w:val="20"/>
        </w:rPr>
        <w:pict>
          <v:rect id="_x0000_i1044" style="width:2in;height:1pt" o:hrpct="0" o:hralign="center" o:hrstd="t" o:hrnoshade="t" o:hr="t" fillcolor="black [3213]" stroked="f"/>
        </w:pict>
      </w:r>
    </w:p>
    <w:p w:rsidR="00352285" w:rsidRPr="00462FC1" w:rsidRDefault="00352285" w:rsidP="003747E8">
      <w:pPr>
        <w:widowControl w:val="0"/>
        <w:rPr>
          <w:sz w:val="20"/>
          <w:lang w:val="fr-CA"/>
        </w:rPr>
      </w:pPr>
    </w:p>
    <w:p w:rsidR="00CB53C1" w:rsidRPr="00462FC1" w:rsidRDefault="00CB53C1" w:rsidP="00CB53C1">
      <w:pPr>
        <w:rPr>
          <w:sz w:val="22"/>
          <w:szCs w:val="22"/>
        </w:rPr>
      </w:pPr>
      <w:r w:rsidRPr="00462FC1">
        <w:rPr>
          <w:i/>
          <w:sz w:val="22"/>
          <w:szCs w:val="22"/>
        </w:rPr>
        <w:t xml:space="preserve">Shawn Daniel Martin, Trisha Dollie Martin and TS Martin Inc. v. Christina Eggiman and Christina T.H. Corp. </w:t>
      </w:r>
      <w:r w:rsidRPr="00462FC1">
        <w:rPr>
          <w:sz w:val="22"/>
          <w:szCs w:val="22"/>
        </w:rPr>
        <w:t>(Ont.) (Civil) (By Leave) (</w:t>
      </w:r>
      <w:hyperlink r:id="rId24" w:history="1">
        <w:r w:rsidRPr="00462FC1">
          <w:rPr>
            <w:rStyle w:val="Hyperlink"/>
            <w:sz w:val="22"/>
            <w:szCs w:val="22"/>
          </w:rPr>
          <w:t>39056</w:t>
        </w:r>
      </w:hyperlink>
      <w:r w:rsidRPr="00462FC1">
        <w:rPr>
          <w:sz w:val="22"/>
          <w:szCs w:val="22"/>
        </w:rPr>
        <w:t>)</w:t>
      </w:r>
    </w:p>
    <w:p w:rsidR="00352285" w:rsidRPr="00462FC1" w:rsidRDefault="00352285" w:rsidP="003747E8">
      <w:pPr>
        <w:widowControl w:val="0"/>
        <w:rPr>
          <w:sz w:val="20"/>
        </w:rPr>
      </w:pPr>
    </w:p>
    <w:p w:rsidR="00CB53C1" w:rsidRPr="00462FC1" w:rsidRDefault="00CB53C1" w:rsidP="00CB53C1">
      <w:pPr>
        <w:jc w:val="both"/>
        <w:rPr>
          <w:sz w:val="20"/>
        </w:rPr>
      </w:pPr>
      <w:r w:rsidRPr="00462FC1">
        <w:rPr>
          <w:sz w:val="20"/>
        </w:rPr>
        <w:t>The application for leave to appeal from the judgment of the Court of Appeal for Ontario, Number C66745, 2019 ONCA 974, dated December 12, 2019, is dismissed with costs.</w:t>
      </w:r>
    </w:p>
    <w:p w:rsidR="00CB53C1" w:rsidRPr="00462FC1" w:rsidRDefault="00CB53C1" w:rsidP="00CB53C1">
      <w:pPr>
        <w:jc w:val="both"/>
        <w:rPr>
          <w:sz w:val="20"/>
        </w:rPr>
      </w:pPr>
    </w:p>
    <w:p w:rsidR="00CB53C1" w:rsidRPr="00462FC1" w:rsidRDefault="00CB53C1" w:rsidP="00CB53C1">
      <w:pPr>
        <w:rPr>
          <w:sz w:val="20"/>
          <w:lang w:val="fr-CA"/>
        </w:rPr>
      </w:pPr>
      <w:r w:rsidRPr="00462FC1">
        <w:rPr>
          <w:sz w:val="20"/>
          <w:lang w:val="fr-CA"/>
        </w:rPr>
        <w:t>La demande d’autorisation d’appel de l’arrêt de la Cour d’appel de l’Ontario, numéro C66745, 2019 ONCA 974, daté du 12 décembre 2019, est rejetée avec dépens.</w:t>
      </w:r>
    </w:p>
    <w:p w:rsidR="00352285" w:rsidRPr="00462FC1" w:rsidRDefault="00352285" w:rsidP="003747E8">
      <w:pPr>
        <w:widowControl w:val="0"/>
        <w:rPr>
          <w:sz w:val="20"/>
          <w:lang w:val="fr-CA"/>
        </w:rPr>
      </w:pPr>
    </w:p>
    <w:p w:rsidR="009A7249" w:rsidRPr="00462FC1" w:rsidRDefault="00462FC1" w:rsidP="003747E8">
      <w:pPr>
        <w:widowControl w:val="0"/>
        <w:rPr>
          <w:sz w:val="20"/>
          <w:lang w:val="fr-CA"/>
        </w:rPr>
      </w:pPr>
      <w:r w:rsidRPr="00462FC1">
        <w:rPr>
          <w:sz w:val="20"/>
        </w:rPr>
        <w:pict>
          <v:rect id="_x0000_i1041" style="width:2in;height:1pt" o:hrpct="0" o:hralign="center" o:hrstd="t" o:hrnoshade="t" o:hr="t" fillcolor="black [3213]" stroked="f"/>
        </w:pict>
      </w:r>
    </w:p>
    <w:p w:rsidR="009A7249" w:rsidRPr="00462FC1" w:rsidRDefault="009A7249" w:rsidP="003747E8">
      <w:pPr>
        <w:widowControl w:val="0"/>
        <w:rPr>
          <w:sz w:val="20"/>
          <w:lang w:val="fr-CA"/>
        </w:rPr>
      </w:pPr>
    </w:p>
    <w:p w:rsidR="00462FC1" w:rsidRPr="00462FC1" w:rsidRDefault="00462FC1" w:rsidP="00462FC1">
      <w:pPr>
        <w:rPr>
          <w:sz w:val="22"/>
          <w:szCs w:val="22"/>
        </w:rPr>
      </w:pPr>
      <w:r w:rsidRPr="00462FC1">
        <w:rPr>
          <w:i/>
          <w:sz w:val="22"/>
          <w:szCs w:val="22"/>
        </w:rPr>
        <w:t>Alexandre Popov v. Attorney General of Canada</w:t>
      </w:r>
      <w:r w:rsidRPr="00462FC1">
        <w:rPr>
          <w:sz w:val="22"/>
          <w:szCs w:val="22"/>
        </w:rPr>
        <w:t xml:space="preserve"> (F.C.) (Civil) (By Leave) (</w:t>
      </w:r>
      <w:hyperlink r:id="rId25" w:history="1">
        <w:r w:rsidRPr="00462FC1">
          <w:rPr>
            <w:rStyle w:val="Hyperlink"/>
            <w:sz w:val="22"/>
            <w:szCs w:val="22"/>
          </w:rPr>
          <w:t>38999</w:t>
        </w:r>
      </w:hyperlink>
      <w:r w:rsidRPr="00462FC1">
        <w:rPr>
          <w:sz w:val="22"/>
          <w:szCs w:val="22"/>
        </w:rPr>
        <w:t>)</w:t>
      </w:r>
    </w:p>
    <w:p w:rsidR="00640877" w:rsidRPr="00462FC1" w:rsidRDefault="00640877" w:rsidP="003747E8">
      <w:pPr>
        <w:widowControl w:val="0"/>
        <w:rPr>
          <w:sz w:val="20"/>
        </w:rPr>
      </w:pPr>
    </w:p>
    <w:p w:rsidR="00462FC1" w:rsidRPr="00462FC1" w:rsidRDefault="00462FC1" w:rsidP="00462FC1">
      <w:pPr>
        <w:jc w:val="both"/>
        <w:rPr>
          <w:sz w:val="20"/>
        </w:rPr>
      </w:pPr>
      <w:r w:rsidRPr="00462FC1">
        <w:rPr>
          <w:sz w:val="20"/>
        </w:rPr>
        <w:t>The motion for an extension of time to serve and file the reply is granted. The application for leave to appeal from the judgment of the Federal Court of Appeal, Number A-180-18, 2019 FCA 177, dated June 13, 2019, is dismissed with costs.</w:t>
      </w:r>
    </w:p>
    <w:p w:rsidR="00462FC1" w:rsidRPr="00462FC1" w:rsidRDefault="00462FC1" w:rsidP="00462FC1">
      <w:pPr>
        <w:jc w:val="both"/>
        <w:rPr>
          <w:sz w:val="20"/>
        </w:rPr>
      </w:pPr>
    </w:p>
    <w:p w:rsidR="00462FC1" w:rsidRPr="00462FC1" w:rsidRDefault="00462FC1" w:rsidP="00462FC1">
      <w:pPr>
        <w:rPr>
          <w:sz w:val="20"/>
          <w:lang w:val="fr-CA"/>
        </w:rPr>
      </w:pPr>
      <w:r w:rsidRPr="00462FC1">
        <w:rPr>
          <w:sz w:val="20"/>
          <w:lang w:val="fr-CA"/>
        </w:rPr>
        <w:t xml:space="preserve">La requête en prorogation du délai de signification et de dépôt de la réplique est accueillie. La demande d’autorisation d’appel de l’arrêt de la Cour d’appel fédérale, numéro A-180-18, 2019 FCA 177, daté du 13 juin 2019, est rejetée avec dépens. </w:t>
      </w:r>
    </w:p>
    <w:p w:rsidR="00640877" w:rsidRPr="00462FC1" w:rsidRDefault="00640877" w:rsidP="003747E8">
      <w:pPr>
        <w:widowControl w:val="0"/>
        <w:rPr>
          <w:sz w:val="20"/>
          <w:lang w:val="fr-CA"/>
        </w:rPr>
      </w:pPr>
    </w:p>
    <w:p w:rsidR="003747E8" w:rsidRPr="00462FC1" w:rsidRDefault="00462FC1" w:rsidP="003747E8">
      <w:pPr>
        <w:widowControl w:val="0"/>
        <w:rPr>
          <w:sz w:val="20"/>
          <w:lang w:val="fr-CA"/>
        </w:rPr>
      </w:pPr>
      <w:r w:rsidRPr="00462FC1">
        <w:rPr>
          <w:sz w:val="20"/>
        </w:rPr>
        <w:pict>
          <v:rect id="_x0000_i1042" style="width:2in;height:1pt" o:hrpct="0" o:hralign="center" o:hrstd="t" o:hrnoshade="t" o:hr="t" fillcolor="black [3213]" stroked="f"/>
        </w:pict>
      </w:r>
    </w:p>
    <w:p w:rsidR="003747E8" w:rsidRPr="00462FC1" w:rsidRDefault="003747E8" w:rsidP="003747E8">
      <w:pPr>
        <w:widowControl w:val="0"/>
        <w:rPr>
          <w:sz w:val="20"/>
          <w:lang w:val="fr-CA"/>
        </w:rPr>
      </w:pPr>
    </w:p>
    <w:p w:rsidR="00A6757A" w:rsidRPr="00462FC1" w:rsidRDefault="00A6757A" w:rsidP="00A6757A">
      <w:pPr>
        <w:ind w:left="357" w:hanging="357"/>
        <w:rPr>
          <w:sz w:val="20"/>
          <w:lang w:val="fr-CA"/>
        </w:rPr>
      </w:pPr>
    </w:p>
    <w:p w:rsidR="00A6757A" w:rsidRPr="00462FC1" w:rsidRDefault="00A6757A" w:rsidP="00A6757A">
      <w:pPr>
        <w:widowControl w:val="0"/>
        <w:autoSpaceDE w:val="0"/>
        <w:autoSpaceDN w:val="0"/>
        <w:adjustRightInd w:val="0"/>
        <w:ind w:left="357" w:hanging="357"/>
        <w:rPr>
          <w:sz w:val="20"/>
        </w:rPr>
      </w:pPr>
    </w:p>
    <w:p w:rsidR="00D3344A" w:rsidRPr="00462FC1" w:rsidRDefault="00D3344A" w:rsidP="00D3344A">
      <w:pPr>
        <w:widowControl w:val="0"/>
        <w:outlineLvl w:val="0"/>
      </w:pPr>
      <w:r w:rsidRPr="00462FC1">
        <w:t xml:space="preserve">Supreme Court of Canada / Cour suprême du </w:t>
      </w:r>
      <w:proofErr w:type="gramStart"/>
      <w:r w:rsidRPr="00462FC1">
        <w:t>Canada :</w:t>
      </w:r>
      <w:proofErr w:type="gramEnd"/>
      <w:r w:rsidRPr="00462FC1">
        <w:t xml:space="preserve"> </w:t>
      </w:r>
    </w:p>
    <w:p w:rsidR="00D3344A" w:rsidRPr="00462FC1" w:rsidRDefault="00462FC1" w:rsidP="00D3344A">
      <w:pPr>
        <w:widowControl w:val="0"/>
        <w:outlineLvl w:val="0"/>
        <w:rPr>
          <w:color w:val="0000FF"/>
          <w:u w:val="single"/>
        </w:rPr>
      </w:pPr>
      <w:hyperlink r:id="rId26" w:history="1">
        <w:r w:rsidR="00D3344A" w:rsidRPr="00462FC1">
          <w:rPr>
            <w:rStyle w:val="Hyperlink"/>
          </w:rPr>
          <w:t>comments-commentaires@scc-csc.ca</w:t>
        </w:r>
      </w:hyperlink>
    </w:p>
    <w:p w:rsidR="00D3344A" w:rsidRPr="00462FC1" w:rsidRDefault="00D3344A" w:rsidP="00D3344A">
      <w:pPr>
        <w:widowControl w:val="0"/>
        <w:outlineLvl w:val="0"/>
      </w:pPr>
      <w:r w:rsidRPr="00462FC1">
        <w:t>(613) 995-4330</w:t>
      </w:r>
    </w:p>
    <w:p w:rsidR="00497B5E" w:rsidRPr="00462FC1" w:rsidRDefault="00497B5E" w:rsidP="00497B5E">
      <w:pPr>
        <w:widowControl w:val="0"/>
        <w:rPr>
          <w:sz w:val="20"/>
        </w:rPr>
      </w:pPr>
    </w:p>
    <w:p w:rsidR="003F43E6" w:rsidRPr="00462FC1" w:rsidRDefault="003F43E6" w:rsidP="00497B5E">
      <w:pPr>
        <w:widowControl w:val="0"/>
        <w:rPr>
          <w:sz w:val="20"/>
        </w:rPr>
      </w:pPr>
    </w:p>
    <w:p w:rsidR="00224F26" w:rsidRPr="00910AEC" w:rsidRDefault="003F43E6" w:rsidP="00DE0F77">
      <w:pPr>
        <w:pStyle w:val="Footer"/>
        <w:jc w:val="center"/>
      </w:pPr>
      <w:r w:rsidRPr="00462FC1">
        <w:t>- 30</w:t>
      </w:r>
      <w:r w:rsidR="00312438" w:rsidRPr="00462FC1">
        <w:t xml:space="preserve"> -</w:t>
      </w:r>
      <w:bookmarkStart w:id="1" w:name="_GoBack"/>
      <w:bookmarkEnd w:id="1"/>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21"/>
  </w:num>
  <w:num w:numId="5">
    <w:abstractNumId w:val="18"/>
  </w:num>
  <w:num w:numId="6">
    <w:abstractNumId w:val="10"/>
  </w:num>
  <w:num w:numId="7">
    <w:abstractNumId w:val="15"/>
  </w:num>
  <w:num w:numId="8">
    <w:abstractNumId w:val="14"/>
  </w:num>
  <w:num w:numId="9">
    <w:abstractNumId w:val="2"/>
  </w:num>
  <w:num w:numId="10">
    <w:abstractNumId w:val="12"/>
  </w:num>
  <w:num w:numId="11">
    <w:abstractNumId w:val="20"/>
  </w:num>
  <w:num w:numId="12">
    <w:abstractNumId w:val="13"/>
  </w:num>
  <w:num w:numId="13">
    <w:abstractNumId w:val="9"/>
  </w:num>
  <w:num w:numId="14">
    <w:abstractNumId w:val="11"/>
  </w:num>
  <w:num w:numId="15">
    <w:abstractNumId w:val="0"/>
  </w:num>
  <w:num w:numId="16">
    <w:abstractNumId w:val="5"/>
  </w:num>
  <w:num w:numId="17">
    <w:abstractNumId w:val="16"/>
  </w:num>
  <w:num w:numId="18">
    <w:abstractNumId w:val="7"/>
  </w:num>
  <w:num w:numId="19">
    <w:abstractNumId w:val="8"/>
  </w:num>
  <w:num w:numId="20">
    <w:abstractNumId w:val="1"/>
  </w:num>
  <w:num w:numId="21">
    <w:abstractNumId w:val="2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7065"/>
    <w:rsid w:val="001670D6"/>
    <w:rsid w:val="00167970"/>
    <w:rsid w:val="00167B9C"/>
    <w:rsid w:val="0017003E"/>
    <w:rsid w:val="00170148"/>
    <w:rsid w:val="001704AC"/>
    <w:rsid w:val="00170617"/>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122"/>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758" TargetMode="External"/><Relationship Id="rId13" Type="http://schemas.openxmlformats.org/officeDocument/2006/relationships/hyperlink" Target="https://www.scc-csc.ca/case-dossier/info/sum-som-eng.aspx?cas=38990" TargetMode="External"/><Relationship Id="rId18" Type="http://schemas.openxmlformats.org/officeDocument/2006/relationships/hyperlink" Target="https://www.scc-csc.ca/case-dossier/info/sum-som-fra.aspx?cas=38912"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scc-csc.ca/case-dossier/info/sum-som-eng.aspx?cas=390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8935" TargetMode="External"/><Relationship Id="rId17" Type="http://schemas.openxmlformats.org/officeDocument/2006/relationships/hyperlink" Target="https://www.scc-csc.ca/case-dossier/info/sum-som-fra.aspx?cas=38971" TargetMode="External"/><Relationship Id="rId25" Type="http://schemas.openxmlformats.org/officeDocument/2006/relationships/hyperlink" Target="https://www.scc-csc.ca/case-dossier/info/sum-som-eng.aspx?cas=3899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8966" TargetMode="External"/><Relationship Id="rId20" Type="http://schemas.openxmlformats.org/officeDocument/2006/relationships/hyperlink" Target="https://www.scc-csc.ca/case-dossier/info/sum-som-fra.aspx?cas=390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04" TargetMode="External"/><Relationship Id="rId24" Type="http://schemas.openxmlformats.org/officeDocument/2006/relationships/hyperlink" Target="https://www.scc-csc.ca/case-dossier/info/sum-som-eng.aspx?cas=3905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8916" TargetMode="External"/><Relationship Id="rId23" Type="http://schemas.openxmlformats.org/officeDocument/2006/relationships/hyperlink" Target="https://www.scc-csc.ca/case-dossier/info/sum-som-eng.aspx?cas=39059" TargetMode="External"/><Relationship Id="rId28" Type="http://schemas.openxmlformats.org/officeDocument/2006/relationships/header" Target="header2.xml"/><Relationship Id="rId10" Type="http://schemas.openxmlformats.org/officeDocument/2006/relationships/hyperlink" Target="https://www.scc-csc.ca/case-dossier/info/sum-som-fra.aspx?cas=38908" TargetMode="External"/><Relationship Id="rId19" Type="http://schemas.openxmlformats.org/officeDocument/2006/relationships/hyperlink" Target="https://www.scc-csc.ca/case-dossier/info/sum-som-eng.aspx?cas=3903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025" TargetMode="External"/><Relationship Id="rId14" Type="http://schemas.openxmlformats.org/officeDocument/2006/relationships/hyperlink" Target="https://www.scc-csc.ca/case-dossier/info/sum-som-fra.aspx?cas=38779" TargetMode="External"/><Relationship Id="rId22" Type="http://schemas.openxmlformats.org/officeDocument/2006/relationships/hyperlink" Target="https://www.scc-csc.ca/case-dossier/info/sum-som-fra.aspx?cas=38863"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EE68-9A1D-417D-8E00-9A070E54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2020-04-28T15:15:00Z</dcterms:modified>
</cp:coreProperties>
</file>