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467E7" w:rsidRDefault="000E391F" w:rsidP="000E391F">
      <w:pPr>
        <w:pStyle w:val="Header"/>
        <w:jc w:val="center"/>
        <w:rPr>
          <w:b/>
        </w:rPr>
      </w:pPr>
      <w:r w:rsidRPr="008467E7">
        <w:rPr>
          <w:b/>
        </w:rPr>
        <w:t>Supreme Court of Canada / Cour suprême du Canada</w:t>
      </w:r>
    </w:p>
    <w:p w:rsidR="000E391F" w:rsidRPr="008467E7" w:rsidRDefault="000E391F" w:rsidP="000E391F">
      <w:pPr>
        <w:widowControl w:val="0"/>
      </w:pPr>
    </w:p>
    <w:p w:rsidR="000E391F" w:rsidRPr="008467E7" w:rsidRDefault="000E391F" w:rsidP="000E391F">
      <w:pPr>
        <w:widowControl w:val="0"/>
        <w:rPr>
          <w:i/>
        </w:rPr>
      </w:pPr>
    </w:p>
    <w:p w:rsidR="006F2579" w:rsidRPr="008467E7" w:rsidRDefault="006F2579" w:rsidP="006F2579">
      <w:pPr>
        <w:widowControl w:val="0"/>
        <w:rPr>
          <w:i/>
        </w:rPr>
      </w:pPr>
      <w:r w:rsidRPr="008467E7">
        <w:rPr>
          <w:i/>
        </w:rPr>
        <w:t>(</w:t>
      </w:r>
      <w:r w:rsidR="003240B6" w:rsidRPr="008467E7">
        <w:rPr>
          <w:i/>
        </w:rPr>
        <w:t>L</w:t>
      </w:r>
      <w:r w:rsidRPr="008467E7">
        <w:rPr>
          <w:i/>
        </w:rPr>
        <w:t>e français suit)</w:t>
      </w:r>
    </w:p>
    <w:p w:rsidR="006F2579" w:rsidRPr="008467E7" w:rsidRDefault="006F2579" w:rsidP="006F2579">
      <w:pPr>
        <w:widowControl w:val="0"/>
      </w:pPr>
    </w:p>
    <w:p w:rsidR="006F2579" w:rsidRPr="008467E7" w:rsidRDefault="00B07908" w:rsidP="006F2579">
      <w:pPr>
        <w:widowControl w:val="0"/>
        <w:jc w:val="center"/>
        <w:rPr>
          <w:b/>
        </w:rPr>
      </w:pPr>
      <w:r w:rsidRPr="008467E7">
        <w:fldChar w:fldCharType="begin"/>
      </w:r>
      <w:r w:rsidR="006F2579" w:rsidRPr="008467E7">
        <w:instrText xml:space="preserve"> SEQ CHAPTER \h \r 1</w:instrText>
      </w:r>
      <w:r w:rsidRPr="008467E7">
        <w:fldChar w:fldCharType="end"/>
      </w:r>
      <w:r w:rsidR="006F2579" w:rsidRPr="008467E7">
        <w:rPr>
          <w:b/>
        </w:rPr>
        <w:t>JUDGMENT</w:t>
      </w:r>
      <w:r w:rsidR="00B17AAC" w:rsidRPr="008467E7">
        <w:rPr>
          <w:b/>
        </w:rPr>
        <w:t>S</w:t>
      </w:r>
      <w:r w:rsidR="006F2579" w:rsidRPr="008467E7">
        <w:rPr>
          <w:b/>
        </w:rPr>
        <w:t xml:space="preserve"> TO B</w:t>
      </w:r>
      <w:r w:rsidR="00001846" w:rsidRPr="008467E7">
        <w:rPr>
          <w:b/>
        </w:rPr>
        <w:t>E RENDERED IN LE</w:t>
      </w:r>
      <w:r w:rsidR="00A0288A" w:rsidRPr="008467E7">
        <w:rPr>
          <w:b/>
        </w:rPr>
        <w:t>A</w:t>
      </w:r>
      <w:r w:rsidR="00001846" w:rsidRPr="008467E7">
        <w:rPr>
          <w:b/>
        </w:rPr>
        <w:t>VE APPLICATION</w:t>
      </w:r>
      <w:r w:rsidR="00511288" w:rsidRPr="008467E7">
        <w:rPr>
          <w:b/>
        </w:rPr>
        <w:t>S</w:t>
      </w:r>
    </w:p>
    <w:p w:rsidR="006F2579" w:rsidRPr="008467E7" w:rsidRDefault="006F2579" w:rsidP="006F2579">
      <w:pPr>
        <w:widowControl w:val="0"/>
      </w:pPr>
    </w:p>
    <w:p w:rsidR="006F2579" w:rsidRPr="008467E7" w:rsidRDefault="00427C25" w:rsidP="006F2579">
      <w:pPr>
        <w:widowControl w:val="0"/>
      </w:pPr>
      <w:r w:rsidRPr="008467E7">
        <w:rPr>
          <w:b/>
        </w:rPr>
        <w:t>August</w:t>
      </w:r>
      <w:r w:rsidR="00A15B66" w:rsidRPr="008467E7">
        <w:rPr>
          <w:b/>
        </w:rPr>
        <w:t xml:space="preserve"> </w:t>
      </w:r>
      <w:r w:rsidR="001C7030" w:rsidRPr="008467E7">
        <w:rPr>
          <w:b/>
        </w:rPr>
        <w:t>10</w:t>
      </w:r>
      <w:r w:rsidR="004441C7" w:rsidRPr="008467E7">
        <w:rPr>
          <w:b/>
        </w:rPr>
        <w:t>,</w:t>
      </w:r>
      <w:r w:rsidR="006F2579" w:rsidRPr="008467E7">
        <w:rPr>
          <w:b/>
        </w:rPr>
        <w:t xml:space="preserve"> </w:t>
      </w:r>
      <w:r w:rsidR="0054689F" w:rsidRPr="008467E7">
        <w:rPr>
          <w:b/>
        </w:rPr>
        <w:t>20</w:t>
      </w:r>
      <w:r w:rsidR="00526754" w:rsidRPr="008467E7">
        <w:rPr>
          <w:b/>
        </w:rPr>
        <w:t>20</w:t>
      </w:r>
    </w:p>
    <w:p w:rsidR="006F2579" w:rsidRPr="008467E7" w:rsidRDefault="00674F39" w:rsidP="006F2579">
      <w:pPr>
        <w:widowControl w:val="0"/>
        <w:rPr>
          <w:b/>
        </w:rPr>
      </w:pPr>
      <w:r w:rsidRPr="008467E7">
        <w:rPr>
          <w:b/>
        </w:rPr>
        <w:t>For immediate release</w:t>
      </w:r>
    </w:p>
    <w:p w:rsidR="006F2579" w:rsidRPr="008467E7" w:rsidRDefault="006F2579" w:rsidP="006F2579">
      <w:pPr>
        <w:widowControl w:val="0"/>
      </w:pPr>
    </w:p>
    <w:p w:rsidR="006F2579" w:rsidRPr="008467E7" w:rsidRDefault="006F2579" w:rsidP="006F2579">
      <w:pPr>
        <w:widowControl w:val="0"/>
        <w:rPr>
          <w:lang w:val="fr-CA"/>
        </w:rPr>
      </w:pPr>
      <w:r w:rsidRPr="008467E7">
        <w:rPr>
          <w:b/>
        </w:rPr>
        <w:t>OTTAWA</w:t>
      </w:r>
      <w:r w:rsidRPr="008467E7">
        <w:t xml:space="preserve"> – The Supreme Court of Canad</w:t>
      </w:r>
      <w:r w:rsidR="006246E4" w:rsidRPr="008467E7">
        <w:t>a</w:t>
      </w:r>
      <w:r w:rsidRPr="008467E7">
        <w:t xml:space="preserve"> announced today that judgment in the following </w:t>
      </w:r>
      <w:r w:rsidR="00DB6199" w:rsidRPr="008467E7">
        <w:t xml:space="preserve">leave applications </w:t>
      </w:r>
      <w:r w:rsidRPr="008467E7">
        <w:t xml:space="preserve">will be delivered at 9:45 a.m. </w:t>
      </w:r>
      <w:r w:rsidR="00E05816" w:rsidRPr="008467E7">
        <w:t>E</w:t>
      </w:r>
      <w:r w:rsidR="00273FF3" w:rsidRPr="008467E7">
        <w:t>D</w:t>
      </w:r>
      <w:r w:rsidR="00E05816" w:rsidRPr="008467E7">
        <w:t>T</w:t>
      </w:r>
      <w:r w:rsidRPr="008467E7">
        <w:t xml:space="preserve"> on Thursday, </w:t>
      </w:r>
      <w:r w:rsidR="00427C25" w:rsidRPr="008467E7">
        <w:t>August</w:t>
      </w:r>
      <w:r w:rsidR="00455912" w:rsidRPr="008467E7">
        <w:t xml:space="preserve"> </w:t>
      </w:r>
      <w:r w:rsidR="001C7030" w:rsidRPr="008467E7">
        <w:t>13</w:t>
      </w:r>
      <w:r w:rsidR="007E112F" w:rsidRPr="008467E7">
        <w:t>,</w:t>
      </w:r>
      <w:r w:rsidR="002F38D7" w:rsidRPr="008467E7">
        <w:t xml:space="preserve"> </w:t>
      </w:r>
      <w:r w:rsidR="006648D1" w:rsidRPr="008467E7">
        <w:t>20</w:t>
      </w:r>
      <w:r w:rsidR="00526754" w:rsidRPr="008467E7">
        <w:t>20</w:t>
      </w:r>
      <w:r w:rsidRPr="008467E7">
        <w:t xml:space="preserve">. </w:t>
      </w:r>
      <w:r w:rsidRPr="008467E7">
        <w:rPr>
          <w:lang w:val="fr-CA"/>
        </w:rPr>
        <w:t>This list is subject to chang</w:t>
      </w:r>
      <w:r w:rsidR="00192F7F" w:rsidRPr="008467E7">
        <w:rPr>
          <w:lang w:val="fr-CA"/>
        </w:rPr>
        <w:t>e</w:t>
      </w:r>
      <w:r w:rsidRPr="008467E7">
        <w:rPr>
          <w:lang w:val="fr-CA"/>
        </w:rPr>
        <w:t>.</w:t>
      </w:r>
    </w:p>
    <w:p w:rsidR="00FF5AA4" w:rsidRPr="008467E7" w:rsidRDefault="00FF5AA4" w:rsidP="006F2579">
      <w:pPr>
        <w:widowControl w:val="0"/>
        <w:rPr>
          <w:lang w:val="fr-CA"/>
        </w:rPr>
      </w:pPr>
    </w:p>
    <w:p w:rsidR="00B43418" w:rsidRPr="008467E7" w:rsidRDefault="00B43418" w:rsidP="006F2579">
      <w:pPr>
        <w:widowControl w:val="0"/>
        <w:rPr>
          <w:lang w:val="fr-CA"/>
        </w:rPr>
      </w:pPr>
    </w:p>
    <w:p w:rsidR="006F2579" w:rsidRPr="008467E7" w:rsidRDefault="006F2579" w:rsidP="006F2579">
      <w:pPr>
        <w:widowControl w:val="0"/>
        <w:jc w:val="center"/>
        <w:rPr>
          <w:lang w:val="fr-CA"/>
        </w:rPr>
      </w:pPr>
      <w:r w:rsidRPr="008467E7">
        <w:rPr>
          <w:b/>
          <w:lang w:val="fr-CA"/>
        </w:rPr>
        <w:t>PROCHAIN</w:t>
      </w:r>
      <w:r w:rsidR="00B17AAC" w:rsidRPr="008467E7">
        <w:rPr>
          <w:b/>
          <w:lang w:val="fr-CA"/>
        </w:rPr>
        <w:t>S</w:t>
      </w:r>
      <w:r w:rsidRPr="008467E7">
        <w:rPr>
          <w:b/>
          <w:lang w:val="fr-CA"/>
        </w:rPr>
        <w:t xml:space="preserve"> JUGEMENT</w:t>
      </w:r>
      <w:r w:rsidR="00B17AAC" w:rsidRPr="008467E7">
        <w:rPr>
          <w:b/>
          <w:lang w:val="fr-CA"/>
        </w:rPr>
        <w:t>S</w:t>
      </w:r>
      <w:r w:rsidR="00001846" w:rsidRPr="008467E7">
        <w:rPr>
          <w:b/>
          <w:lang w:val="fr-CA"/>
        </w:rPr>
        <w:t xml:space="preserve"> SUR DEMANDE</w:t>
      </w:r>
      <w:r w:rsidR="00B17AAC" w:rsidRPr="008467E7">
        <w:rPr>
          <w:b/>
          <w:lang w:val="fr-CA"/>
        </w:rPr>
        <w:t>S</w:t>
      </w:r>
      <w:r w:rsidRPr="008467E7">
        <w:rPr>
          <w:b/>
          <w:lang w:val="fr-CA"/>
        </w:rPr>
        <w:t xml:space="preserve"> D’AUTORISATION</w:t>
      </w:r>
    </w:p>
    <w:p w:rsidR="006F2579" w:rsidRPr="008467E7" w:rsidRDefault="006F2579" w:rsidP="006F2579">
      <w:pPr>
        <w:widowControl w:val="0"/>
        <w:rPr>
          <w:lang w:val="fr-CA"/>
        </w:rPr>
      </w:pPr>
    </w:p>
    <w:p w:rsidR="006F2579" w:rsidRPr="008467E7" w:rsidRDefault="006F2579" w:rsidP="006F2579">
      <w:pPr>
        <w:widowControl w:val="0"/>
        <w:rPr>
          <w:lang w:val="fr-CA"/>
        </w:rPr>
      </w:pPr>
      <w:r w:rsidRPr="008467E7">
        <w:rPr>
          <w:b/>
          <w:lang w:val="fr-CA"/>
        </w:rPr>
        <w:t>Le</w:t>
      </w:r>
      <w:r w:rsidR="00957A76" w:rsidRPr="008467E7">
        <w:rPr>
          <w:b/>
          <w:lang w:val="fr-CA"/>
        </w:rPr>
        <w:t xml:space="preserve"> </w:t>
      </w:r>
      <w:r w:rsidR="001C7030" w:rsidRPr="008467E7">
        <w:rPr>
          <w:b/>
          <w:lang w:val="fr-CA"/>
        </w:rPr>
        <w:t>10</w:t>
      </w:r>
      <w:r w:rsidR="007A72CA" w:rsidRPr="008467E7">
        <w:rPr>
          <w:b/>
          <w:lang w:val="fr-CA"/>
        </w:rPr>
        <w:t xml:space="preserve"> </w:t>
      </w:r>
      <w:r w:rsidR="00427C25" w:rsidRPr="008467E7">
        <w:rPr>
          <w:b/>
          <w:lang w:val="fr-CA"/>
        </w:rPr>
        <w:t>août</w:t>
      </w:r>
      <w:r w:rsidR="00A151D1" w:rsidRPr="008467E7">
        <w:rPr>
          <w:b/>
          <w:lang w:val="fr-CA"/>
        </w:rPr>
        <w:t xml:space="preserve"> 20</w:t>
      </w:r>
      <w:r w:rsidR="00526754" w:rsidRPr="008467E7">
        <w:rPr>
          <w:b/>
          <w:lang w:val="fr-CA"/>
        </w:rPr>
        <w:t>20</w:t>
      </w:r>
    </w:p>
    <w:p w:rsidR="006F2579" w:rsidRPr="008467E7" w:rsidRDefault="006F2579" w:rsidP="006F2579">
      <w:pPr>
        <w:widowControl w:val="0"/>
        <w:rPr>
          <w:b/>
          <w:lang w:val="fr-CA"/>
        </w:rPr>
      </w:pPr>
      <w:r w:rsidRPr="008467E7">
        <w:rPr>
          <w:b/>
          <w:lang w:val="fr-CA"/>
        </w:rPr>
        <w:t>Pour diffusion immédiate</w:t>
      </w:r>
    </w:p>
    <w:p w:rsidR="006F2579" w:rsidRPr="008467E7" w:rsidRDefault="006F2579" w:rsidP="006F2579">
      <w:pPr>
        <w:widowControl w:val="0"/>
        <w:rPr>
          <w:lang w:val="fr-CA"/>
        </w:rPr>
      </w:pPr>
    </w:p>
    <w:p w:rsidR="006F2579" w:rsidRPr="008467E7" w:rsidRDefault="006F2579" w:rsidP="006F2579">
      <w:pPr>
        <w:widowControl w:val="0"/>
        <w:rPr>
          <w:lang w:val="fr-CA"/>
        </w:rPr>
      </w:pPr>
      <w:r w:rsidRPr="008467E7">
        <w:rPr>
          <w:b/>
          <w:lang w:val="fr-CA"/>
        </w:rPr>
        <w:t>OTTAWA</w:t>
      </w:r>
      <w:r w:rsidRPr="008467E7">
        <w:rPr>
          <w:lang w:val="fr-CA"/>
        </w:rPr>
        <w:t xml:space="preserve"> – La Cour suprême du Canada annonce que jugement ser</w:t>
      </w:r>
      <w:r w:rsidR="004259F9" w:rsidRPr="008467E7">
        <w:rPr>
          <w:lang w:val="fr-CA"/>
        </w:rPr>
        <w:t>a</w:t>
      </w:r>
      <w:r w:rsidRPr="008467E7">
        <w:rPr>
          <w:lang w:val="fr-CA"/>
        </w:rPr>
        <w:t xml:space="preserve"> rendu dans l</w:t>
      </w:r>
      <w:r w:rsidR="008600ED" w:rsidRPr="008467E7">
        <w:rPr>
          <w:lang w:val="fr-CA"/>
        </w:rPr>
        <w:t>es</w:t>
      </w:r>
      <w:r w:rsidRPr="008467E7">
        <w:rPr>
          <w:lang w:val="fr-CA"/>
        </w:rPr>
        <w:t xml:space="preserve"> demande</w:t>
      </w:r>
      <w:r w:rsidR="008600ED" w:rsidRPr="008467E7">
        <w:rPr>
          <w:lang w:val="fr-CA"/>
        </w:rPr>
        <w:t>s</w:t>
      </w:r>
      <w:r w:rsidRPr="008467E7">
        <w:rPr>
          <w:lang w:val="fr-CA"/>
        </w:rPr>
        <w:t xml:space="preserve"> d</w:t>
      </w:r>
      <w:r w:rsidR="00001846" w:rsidRPr="008467E7">
        <w:rPr>
          <w:lang w:val="fr-CA"/>
        </w:rPr>
        <w:t>’autorisation suivante</w:t>
      </w:r>
      <w:r w:rsidR="008600ED" w:rsidRPr="008467E7">
        <w:rPr>
          <w:lang w:val="fr-CA"/>
        </w:rPr>
        <w:t>s</w:t>
      </w:r>
      <w:r w:rsidRPr="008467E7">
        <w:rPr>
          <w:lang w:val="fr-CA"/>
        </w:rPr>
        <w:t xml:space="preserve"> le jeudi </w:t>
      </w:r>
      <w:r w:rsidR="001C7030" w:rsidRPr="008467E7">
        <w:rPr>
          <w:lang w:val="fr-CA"/>
        </w:rPr>
        <w:t>13</w:t>
      </w:r>
      <w:r w:rsidR="00780317" w:rsidRPr="008467E7">
        <w:rPr>
          <w:lang w:val="fr-CA"/>
        </w:rPr>
        <w:t xml:space="preserve"> </w:t>
      </w:r>
      <w:r w:rsidR="00427C25" w:rsidRPr="008467E7">
        <w:rPr>
          <w:lang w:val="fr-CA"/>
        </w:rPr>
        <w:t>août</w:t>
      </w:r>
      <w:r w:rsidR="00694391" w:rsidRPr="008467E7">
        <w:rPr>
          <w:lang w:val="fr-CA"/>
        </w:rPr>
        <w:t xml:space="preserve"> 2</w:t>
      </w:r>
      <w:r w:rsidR="006648D1" w:rsidRPr="008467E7">
        <w:rPr>
          <w:lang w:val="fr-CA"/>
        </w:rPr>
        <w:t>0</w:t>
      </w:r>
      <w:r w:rsidR="00526754" w:rsidRPr="008467E7">
        <w:rPr>
          <w:lang w:val="fr-CA"/>
        </w:rPr>
        <w:t>20</w:t>
      </w:r>
      <w:r w:rsidRPr="008467E7">
        <w:rPr>
          <w:lang w:val="fr-CA"/>
        </w:rPr>
        <w:t xml:space="preserve">, à 9 h 45 </w:t>
      </w:r>
      <w:r w:rsidR="000627A2" w:rsidRPr="008467E7">
        <w:rPr>
          <w:lang w:val="fr-CA"/>
        </w:rPr>
        <w:t>H</w:t>
      </w:r>
      <w:r w:rsidR="00273FF3" w:rsidRPr="008467E7">
        <w:rPr>
          <w:lang w:val="fr-CA"/>
        </w:rPr>
        <w:t>A</w:t>
      </w:r>
      <w:r w:rsidRPr="008467E7">
        <w:rPr>
          <w:lang w:val="fr-CA"/>
        </w:rPr>
        <w:t>E. Cette liste est sujette à modifications.</w:t>
      </w:r>
    </w:p>
    <w:p w:rsidR="0080556B" w:rsidRPr="008467E7" w:rsidRDefault="0080556B" w:rsidP="009B14F4">
      <w:pPr>
        <w:widowControl w:val="0"/>
        <w:jc w:val="both"/>
        <w:rPr>
          <w:lang w:val="fr-CA"/>
        </w:rPr>
      </w:pPr>
    </w:p>
    <w:p w:rsidR="00867C61" w:rsidRPr="0095757D" w:rsidRDefault="00C377A8" w:rsidP="009B14F4">
      <w:pPr>
        <w:widowControl w:val="0"/>
        <w:jc w:val="both"/>
        <w:rPr>
          <w:sz w:val="20"/>
          <w:lang w:val="fr-CA"/>
        </w:rPr>
      </w:pPr>
      <w:r>
        <w:rPr>
          <w:sz w:val="20"/>
        </w:rPr>
        <w:pict>
          <v:rect id="_x0000_i1025" style="width:2in;height:1pt" o:hrpct="0" o:hralign="center" o:hrstd="t" o:hrnoshade="t" o:hr="t" fillcolor="black [3213]" stroked="f"/>
        </w:pict>
      </w:r>
    </w:p>
    <w:p w:rsidR="00774C10" w:rsidRPr="0095757D" w:rsidRDefault="00774C10" w:rsidP="009B14F4">
      <w:pPr>
        <w:widowControl w:val="0"/>
        <w:jc w:val="both"/>
        <w:rPr>
          <w:sz w:val="20"/>
          <w:lang w:val="fr-CA"/>
        </w:rPr>
      </w:pPr>
    </w:p>
    <w:p w:rsidR="00D70835" w:rsidRPr="0095757D" w:rsidRDefault="00D70835" w:rsidP="00EC51BE">
      <w:pPr>
        <w:pStyle w:val="ListParagraph"/>
        <w:numPr>
          <w:ilvl w:val="0"/>
          <w:numId w:val="21"/>
        </w:numPr>
        <w:tabs>
          <w:tab w:val="left" w:pos="0"/>
        </w:tabs>
        <w:ind w:left="357" w:hanging="357"/>
        <w:rPr>
          <w:sz w:val="20"/>
          <w:szCs w:val="20"/>
        </w:rPr>
      </w:pPr>
      <w:r w:rsidRPr="0095757D">
        <w:rPr>
          <w:i/>
          <w:sz w:val="20"/>
          <w:szCs w:val="20"/>
        </w:rPr>
        <w:t>Greg Roy v. Her Majesty the Queen</w:t>
      </w:r>
      <w:r w:rsidRPr="0095757D">
        <w:rPr>
          <w:sz w:val="20"/>
          <w:szCs w:val="20"/>
        </w:rPr>
        <w:t xml:space="preserve"> (Ont.) (Criminal) (By Leave) (</w:t>
      </w:r>
      <w:hyperlink r:id="rId8" w:history="1">
        <w:r w:rsidRPr="0095757D">
          <w:rPr>
            <w:rStyle w:val="Hyperlink"/>
            <w:sz w:val="20"/>
            <w:szCs w:val="20"/>
          </w:rPr>
          <w:t>391</w:t>
        </w:r>
        <w:r w:rsidR="002F576A" w:rsidRPr="0095757D">
          <w:rPr>
            <w:rStyle w:val="Hyperlink"/>
            <w:sz w:val="20"/>
            <w:szCs w:val="20"/>
          </w:rPr>
          <w:t>27</w:t>
        </w:r>
      </w:hyperlink>
      <w:r w:rsidRPr="0095757D">
        <w:rPr>
          <w:sz w:val="20"/>
          <w:szCs w:val="20"/>
        </w:rPr>
        <w:t>)</w:t>
      </w:r>
    </w:p>
    <w:p w:rsidR="00D70835" w:rsidRPr="0095757D" w:rsidRDefault="00D70835" w:rsidP="00EC51BE">
      <w:pPr>
        <w:tabs>
          <w:tab w:val="left" w:pos="0"/>
        </w:tabs>
        <w:ind w:left="357" w:hanging="357"/>
        <w:rPr>
          <w:sz w:val="20"/>
        </w:rPr>
      </w:pPr>
    </w:p>
    <w:p w:rsidR="00D70835" w:rsidRPr="0095757D" w:rsidRDefault="00D70835" w:rsidP="00EC51BE">
      <w:pPr>
        <w:pStyle w:val="ListParagraph"/>
        <w:numPr>
          <w:ilvl w:val="0"/>
          <w:numId w:val="21"/>
        </w:numPr>
        <w:tabs>
          <w:tab w:val="left" w:pos="0"/>
        </w:tabs>
        <w:ind w:left="357" w:hanging="357"/>
        <w:rPr>
          <w:sz w:val="20"/>
          <w:szCs w:val="20"/>
        </w:rPr>
      </w:pPr>
      <w:r w:rsidRPr="0095757D">
        <w:rPr>
          <w:i/>
          <w:sz w:val="20"/>
          <w:szCs w:val="20"/>
        </w:rPr>
        <w:t>Charles A. Carlock, et al. v. ExxonMobil Canada Holdings ULC</w:t>
      </w:r>
      <w:r w:rsidRPr="0095757D">
        <w:rPr>
          <w:sz w:val="20"/>
          <w:szCs w:val="20"/>
        </w:rPr>
        <w:t xml:space="preserve"> (Y.T.) (Civil) (By Leave) (</w:t>
      </w:r>
      <w:hyperlink r:id="rId9" w:history="1">
        <w:r w:rsidRPr="0095757D">
          <w:rPr>
            <w:rStyle w:val="Hyperlink"/>
            <w:sz w:val="20"/>
            <w:szCs w:val="20"/>
          </w:rPr>
          <w:t>391</w:t>
        </w:r>
        <w:r w:rsidR="002F576A" w:rsidRPr="0095757D">
          <w:rPr>
            <w:rStyle w:val="Hyperlink"/>
            <w:sz w:val="20"/>
            <w:szCs w:val="20"/>
          </w:rPr>
          <w:t>25</w:t>
        </w:r>
      </w:hyperlink>
      <w:r w:rsidRPr="0095757D">
        <w:rPr>
          <w:sz w:val="20"/>
          <w:szCs w:val="20"/>
        </w:rPr>
        <w:t>)</w:t>
      </w:r>
    </w:p>
    <w:p w:rsidR="0057402C" w:rsidRPr="0095757D" w:rsidRDefault="0057402C" w:rsidP="00EC51BE">
      <w:pPr>
        <w:widowControl w:val="0"/>
        <w:ind w:left="357" w:hanging="357"/>
        <w:rPr>
          <w:sz w:val="20"/>
        </w:rPr>
      </w:pPr>
    </w:p>
    <w:p w:rsidR="00F076E3" w:rsidRPr="0095757D" w:rsidRDefault="00F076E3" w:rsidP="00EC51BE">
      <w:pPr>
        <w:pStyle w:val="ListParagraph"/>
        <w:numPr>
          <w:ilvl w:val="0"/>
          <w:numId w:val="21"/>
        </w:numPr>
        <w:ind w:left="357" w:hanging="357"/>
        <w:rPr>
          <w:sz w:val="20"/>
          <w:szCs w:val="20"/>
          <w:lang w:val="en-CA"/>
        </w:rPr>
      </w:pPr>
      <w:r w:rsidRPr="0095757D">
        <w:rPr>
          <w:rFonts w:eastAsiaTheme="minorHAnsi" w:cstheme="minorBidi"/>
          <w:i/>
          <w:sz w:val="20"/>
          <w:szCs w:val="20"/>
          <w:lang w:val="en-CA"/>
        </w:rPr>
        <w:t>A.B. v. Steven Galloway</w:t>
      </w:r>
      <w:r w:rsidRPr="0095757D">
        <w:rPr>
          <w:rFonts w:eastAsiaTheme="minorHAnsi" w:cstheme="minorBidi"/>
          <w:sz w:val="20"/>
          <w:szCs w:val="20"/>
          <w:lang w:val="en-CA"/>
        </w:rPr>
        <w:t xml:space="preserve"> (B.C.) (Civil) (By Leave) </w:t>
      </w:r>
      <w:r w:rsidRPr="0095757D">
        <w:rPr>
          <w:sz w:val="20"/>
          <w:szCs w:val="20"/>
        </w:rPr>
        <w:t>(</w:t>
      </w:r>
      <w:hyperlink r:id="rId10" w:history="1">
        <w:r w:rsidRPr="0095757D">
          <w:rPr>
            <w:rStyle w:val="Hyperlink"/>
            <w:sz w:val="20"/>
            <w:szCs w:val="20"/>
          </w:rPr>
          <w:t>39203</w:t>
        </w:r>
      </w:hyperlink>
      <w:r w:rsidRPr="0095757D">
        <w:rPr>
          <w:sz w:val="20"/>
          <w:szCs w:val="20"/>
        </w:rPr>
        <w:t>)</w:t>
      </w:r>
    </w:p>
    <w:p w:rsidR="00F076E3" w:rsidRPr="0095757D" w:rsidRDefault="00F076E3" w:rsidP="00EC51BE">
      <w:pPr>
        <w:widowControl w:val="0"/>
        <w:ind w:left="357" w:hanging="357"/>
        <w:rPr>
          <w:sz w:val="20"/>
        </w:rPr>
      </w:pPr>
    </w:p>
    <w:p w:rsidR="002157D1" w:rsidRPr="0095757D" w:rsidRDefault="002157D1" w:rsidP="00EC51BE">
      <w:pPr>
        <w:pStyle w:val="SCCAppellantInfoAppellantInfo"/>
        <w:numPr>
          <w:ilvl w:val="0"/>
          <w:numId w:val="21"/>
        </w:numPr>
        <w:ind w:left="357" w:hanging="357"/>
        <w:rPr>
          <w:sz w:val="20"/>
          <w:szCs w:val="20"/>
        </w:rPr>
      </w:pPr>
      <w:r w:rsidRPr="0095757D">
        <w:rPr>
          <w:i/>
          <w:sz w:val="20"/>
          <w:szCs w:val="20"/>
        </w:rPr>
        <w:t>City of Corner Brook v. Mary Bailey</w:t>
      </w:r>
      <w:r w:rsidRPr="0095757D">
        <w:rPr>
          <w:sz w:val="20"/>
          <w:szCs w:val="20"/>
        </w:rPr>
        <w:t xml:space="preserve"> (N.L.) (Civil) (By Leave) (</w:t>
      </w:r>
      <w:hyperlink r:id="rId11" w:history="1">
        <w:r w:rsidRPr="0095757D">
          <w:rPr>
            <w:rStyle w:val="Hyperlink"/>
            <w:sz w:val="20"/>
            <w:szCs w:val="20"/>
          </w:rPr>
          <w:t>39122</w:t>
        </w:r>
      </w:hyperlink>
      <w:r w:rsidRPr="0095757D">
        <w:rPr>
          <w:sz w:val="20"/>
          <w:szCs w:val="20"/>
        </w:rPr>
        <w:t>)</w:t>
      </w:r>
    </w:p>
    <w:p w:rsidR="00F076E3" w:rsidRPr="0095757D" w:rsidRDefault="00F076E3" w:rsidP="00EC51BE">
      <w:pPr>
        <w:widowControl w:val="0"/>
        <w:ind w:left="357" w:hanging="357"/>
        <w:rPr>
          <w:sz w:val="20"/>
        </w:rPr>
      </w:pPr>
    </w:p>
    <w:p w:rsidR="002157D1" w:rsidRPr="0095757D" w:rsidRDefault="002157D1" w:rsidP="00EC51BE">
      <w:pPr>
        <w:pStyle w:val="SCCAppellantInfoAppellantInfo"/>
        <w:numPr>
          <w:ilvl w:val="0"/>
          <w:numId w:val="21"/>
        </w:numPr>
        <w:ind w:left="357" w:hanging="357"/>
        <w:rPr>
          <w:sz w:val="20"/>
          <w:szCs w:val="20"/>
        </w:rPr>
      </w:pPr>
      <w:r w:rsidRPr="0095757D">
        <w:rPr>
          <w:i/>
          <w:sz w:val="20"/>
          <w:szCs w:val="20"/>
        </w:rPr>
        <w:t>David Gallant v. Her Majesty the Queen</w:t>
      </w:r>
      <w:r w:rsidRPr="0095757D">
        <w:rPr>
          <w:sz w:val="20"/>
          <w:szCs w:val="20"/>
        </w:rPr>
        <w:t xml:space="preserve"> (B.C.) (Criminal) (By Leave) (</w:t>
      </w:r>
      <w:hyperlink r:id="rId12" w:history="1">
        <w:r w:rsidRPr="0095757D">
          <w:rPr>
            <w:rStyle w:val="Hyperlink"/>
            <w:sz w:val="20"/>
            <w:szCs w:val="20"/>
          </w:rPr>
          <w:t>39159</w:t>
        </w:r>
      </w:hyperlink>
      <w:r w:rsidRPr="0095757D">
        <w:rPr>
          <w:sz w:val="20"/>
          <w:szCs w:val="20"/>
        </w:rPr>
        <w:t>)</w:t>
      </w:r>
    </w:p>
    <w:p w:rsidR="00F076E3" w:rsidRPr="0095757D" w:rsidRDefault="00F076E3" w:rsidP="00EC51BE">
      <w:pPr>
        <w:widowControl w:val="0"/>
        <w:ind w:left="357" w:hanging="357"/>
        <w:rPr>
          <w:sz w:val="20"/>
        </w:rPr>
      </w:pPr>
    </w:p>
    <w:p w:rsidR="002157D1" w:rsidRPr="0095757D" w:rsidRDefault="002157D1" w:rsidP="00EC51BE">
      <w:pPr>
        <w:pStyle w:val="SCCAppellantInfoAppellantInfo"/>
        <w:numPr>
          <w:ilvl w:val="0"/>
          <w:numId w:val="21"/>
        </w:numPr>
        <w:ind w:left="357" w:hanging="357"/>
        <w:rPr>
          <w:sz w:val="20"/>
          <w:szCs w:val="20"/>
        </w:rPr>
      </w:pPr>
      <w:r w:rsidRPr="0095757D">
        <w:rPr>
          <w:i/>
          <w:sz w:val="20"/>
          <w:szCs w:val="20"/>
        </w:rPr>
        <w:t>P.T. v. S.M.</w:t>
      </w:r>
      <w:r w:rsidRPr="0095757D">
        <w:rPr>
          <w:sz w:val="20"/>
          <w:szCs w:val="20"/>
        </w:rPr>
        <w:t xml:space="preserve"> (Que.) (Civil) (By Leave) (</w:t>
      </w:r>
      <w:hyperlink r:id="rId13" w:history="1">
        <w:r w:rsidRPr="0095757D">
          <w:rPr>
            <w:rStyle w:val="Hyperlink"/>
            <w:sz w:val="20"/>
            <w:szCs w:val="20"/>
          </w:rPr>
          <w:t>39136</w:t>
        </w:r>
      </w:hyperlink>
      <w:r w:rsidRPr="0095757D">
        <w:rPr>
          <w:sz w:val="20"/>
          <w:szCs w:val="20"/>
        </w:rPr>
        <w:t>)</w:t>
      </w:r>
    </w:p>
    <w:p w:rsidR="00F076E3" w:rsidRPr="0095757D" w:rsidRDefault="00F076E3" w:rsidP="00EC51BE">
      <w:pPr>
        <w:widowControl w:val="0"/>
        <w:ind w:left="357" w:hanging="357"/>
        <w:rPr>
          <w:sz w:val="20"/>
        </w:rPr>
      </w:pPr>
    </w:p>
    <w:p w:rsidR="00EC51BE" w:rsidRPr="0095757D" w:rsidRDefault="00EC51BE" w:rsidP="00EC51BE">
      <w:pPr>
        <w:pStyle w:val="ListParagraph"/>
        <w:numPr>
          <w:ilvl w:val="0"/>
          <w:numId w:val="21"/>
        </w:numPr>
        <w:ind w:left="357" w:hanging="357"/>
        <w:rPr>
          <w:i/>
          <w:sz w:val="20"/>
          <w:szCs w:val="20"/>
        </w:rPr>
      </w:pPr>
      <w:r w:rsidRPr="0095757D">
        <w:rPr>
          <w:i/>
          <w:sz w:val="20"/>
          <w:szCs w:val="20"/>
          <w:lang w:val="en-CA"/>
        </w:rPr>
        <w:t>David Leslie Capewell v. Her Majesty the Queen</w:t>
      </w:r>
      <w:r w:rsidRPr="0095757D">
        <w:rPr>
          <w:sz w:val="20"/>
          <w:szCs w:val="20"/>
          <w:lang w:val="en-CA"/>
        </w:rPr>
        <w:t xml:space="preserve"> (B.C.) (Criminal) (By Leave) </w:t>
      </w:r>
      <w:r w:rsidRPr="0095757D">
        <w:rPr>
          <w:sz w:val="20"/>
          <w:szCs w:val="20"/>
        </w:rPr>
        <w:t>(</w:t>
      </w:r>
      <w:hyperlink r:id="rId14" w:history="1">
        <w:r w:rsidRPr="0095757D">
          <w:rPr>
            <w:rStyle w:val="Hyperlink"/>
            <w:sz w:val="20"/>
            <w:szCs w:val="20"/>
          </w:rPr>
          <w:t>39161</w:t>
        </w:r>
      </w:hyperlink>
      <w:r w:rsidRPr="0095757D">
        <w:rPr>
          <w:sz w:val="20"/>
          <w:szCs w:val="20"/>
        </w:rPr>
        <w:t>)</w:t>
      </w:r>
    </w:p>
    <w:p w:rsidR="00EC51BE" w:rsidRPr="0095757D" w:rsidRDefault="00EC51BE" w:rsidP="00EC51BE">
      <w:pPr>
        <w:ind w:left="357" w:hanging="357"/>
        <w:rPr>
          <w:rFonts w:eastAsia="Calibri"/>
          <w:sz w:val="20"/>
        </w:rPr>
      </w:pPr>
    </w:p>
    <w:p w:rsidR="00EC51BE" w:rsidRPr="0095757D" w:rsidRDefault="00EC51BE" w:rsidP="00EC51BE">
      <w:pPr>
        <w:pStyle w:val="ListParagraph"/>
        <w:numPr>
          <w:ilvl w:val="0"/>
          <w:numId w:val="21"/>
        </w:numPr>
        <w:ind w:left="357" w:hanging="357"/>
        <w:rPr>
          <w:i/>
          <w:sz w:val="20"/>
          <w:szCs w:val="20"/>
          <w:lang w:val="en-CA"/>
        </w:rPr>
      </w:pPr>
      <w:r w:rsidRPr="0095757D">
        <w:rPr>
          <w:i/>
          <w:sz w:val="20"/>
          <w:szCs w:val="20"/>
          <w:lang w:val="en-CA"/>
        </w:rPr>
        <w:t>Grant Thornton LLP, et al. v. Province of New Brunswick, et al.</w:t>
      </w:r>
      <w:r w:rsidRPr="0095757D">
        <w:rPr>
          <w:sz w:val="20"/>
          <w:szCs w:val="20"/>
          <w:lang w:val="en-CA"/>
        </w:rPr>
        <w:t xml:space="preserve"> (N.B.) (Civil) (By Leave) </w:t>
      </w:r>
      <w:r w:rsidRPr="0095757D">
        <w:rPr>
          <w:sz w:val="20"/>
          <w:szCs w:val="20"/>
        </w:rPr>
        <w:t>(</w:t>
      </w:r>
      <w:hyperlink r:id="rId15" w:history="1">
        <w:r w:rsidRPr="0095757D">
          <w:rPr>
            <w:rStyle w:val="Hyperlink"/>
            <w:sz w:val="20"/>
            <w:szCs w:val="20"/>
          </w:rPr>
          <w:t>39182</w:t>
        </w:r>
      </w:hyperlink>
      <w:r w:rsidRPr="0095757D">
        <w:rPr>
          <w:sz w:val="20"/>
          <w:szCs w:val="20"/>
        </w:rPr>
        <w:t>)</w:t>
      </w:r>
    </w:p>
    <w:p w:rsidR="00F076E3" w:rsidRPr="0095757D" w:rsidRDefault="00F076E3" w:rsidP="0057402C">
      <w:pPr>
        <w:widowControl w:val="0"/>
        <w:ind w:left="357" w:hanging="357"/>
        <w:rPr>
          <w:sz w:val="20"/>
        </w:rPr>
      </w:pPr>
    </w:p>
    <w:p w:rsidR="0057402C" w:rsidRPr="0095757D" w:rsidRDefault="00C377A8" w:rsidP="009B14F4">
      <w:pPr>
        <w:widowControl w:val="0"/>
        <w:jc w:val="both"/>
        <w:rPr>
          <w:sz w:val="20"/>
        </w:rPr>
      </w:pPr>
      <w:r>
        <w:rPr>
          <w:sz w:val="20"/>
        </w:rPr>
        <w:pict>
          <v:rect id="_x0000_i1026" style="width:2in;height:1pt" o:hrpct="0" o:hralign="center" o:hrstd="t" o:hrnoshade="t" o:hr="t" fillcolor="black [3213]" stroked="f"/>
        </w:pict>
      </w:r>
    </w:p>
    <w:p w:rsidR="00F61FFA" w:rsidRPr="0095757D" w:rsidRDefault="00F61FFA" w:rsidP="002E6084">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39127</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Greg Roy v. Her Majesty the Queen</w:t>
            </w:r>
          </w:p>
          <w:p w:rsidR="0095757D" w:rsidRPr="002528DF" w:rsidRDefault="0095757D" w:rsidP="002528DF">
            <w:pPr>
              <w:jc w:val="both"/>
              <w:rPr>
                <w:sz w:val="20"/>
              </w:rPr>
            </w:pPr>
            <w:r w:rsidRPr="002528DF">
              <w:rPr>
                <w:sz w:val="20"/>
              </w:rPr>
              <w:t>(Ont.) (Criminal) (By Leave)</w:t>
            </w:r>
          </w:p>
        </w:tc>
      </w:tr>
      <w:tr w:rsidR="0095757D" w:rsidRPr="002528DF" w:rsidTr="008467E7">
        <w:tc>
          <w:tcPr>
            <w:tcW w:w="5000" w:type="pct"/>
            <w:gridSpan w:val="4"/>
          </w:tcPr>
          <w:p w:rsidR="0095757D" w:rsidRPr="002528DF" w:rsidRDefault="0095757D" w:rsidP="002528DF">
            <w:pPr>
              <w:jc w:val="both"/>
              <w:rPr>
                <w:sz w:val="20"/>
              </w:rPr>
            </w:pPr>
            <w:r w:rsidRPr="002528DF">
              <w:rPr>
                <w:i/>
                <w:sz w:val="20"/>
              </w:rPr>
              <w:t>Charter of Rights and Freedoms</w:t>
            </w:r>
            <w:r w:rsidRPr="002528DF">
              <w:rPr>
                <w:sz w:val="20"/>
              </w:rPr>
              <w:t xml:space="preserve"> — Search and Seizure — Whether police breached accused’s reasonable expectation of privacy in his own backyard — Whether Court of Appeal erred by declining to exclude evidence?</w:t>
            </w:r>
          </w:p>
        </w:tc>
      </w:tr>
      <w:tr w:rsidR="0095757D" w:rsidRPr="002528DF" w:rsidTr="008467E7">
        <w:tc>
          <w:tcPr>
            <w:tcW w:w="5000" w:type="pct"/>
            <w:gridSpan w:val="4"/>
          </w:tcPr>
          <w:p w:rsidR="0095757D" w:rsidRPr="002528DF" w:rsidRDefault="0095757D" w:rsidP="002528DF">
            <w:pPr>
              <w:jc w:val="both"/>
              <w:rPr>
                <w:sz w:val="20"/>
              </w:rPr>
            </w:pPr>
          </w:p>
          <w:p w:rsidR="0095757D" w:rsidRPr="002528DF" w:rsidRDefault="0095757D" w:rsidP="002528DF">
            <w:pPr>
              <w:jc w:val="both"/>
              <w:rPr>
                <w:sz w:val="20"/>
              </w:rPr>
            </w:pPr>
            <w:r w:rsidRPr="002528DF">
              <w:rPr>
                <w:sz w:val="20"/>
                <w:lang w:val="en"/>
              </w:rPr>
              <w:t xml:space="preserve">Police surveilled Mr. Roy’s rural residential property from a neighbouring farm field onto which they trespassed and from a ditch across the road from the front of the property. Twice, they heard gunshots. Once, they saw Mr. Roy holding a rifle. Once, they saw a woman firing a rifle. The police obtained a warrant to search the house for weapons. </w:t>
            </w:r>
            <w:r w:rsidRPr="002528DF">
              <w:rPr>
                <w:sz w:val="20"/>
                <w:lang w:val="en"/>
              </w:rPr>
              <w:lastRenderedPageBreak/>
              <w:t xml:space="preserve">During the search, they observed marijuana plants and psilocybin mushrooms in the residence. They suspended the search to obtain an additional warrant. They seized firearms, psilocybin mushrooms and marijuana plants. The trial judge dismissed an application to exclude the evidence for beach of s. 8 of the </w:t>
            </w:r>
            <w:r w:rsidRPr="002528DF">
              <w:rPr>
                <w:i/>
                <w:iCs/>
                <w:sz w:val="20"/>
                <w:lang w:val="en"/>
              </w:rPr>
              <w:t>Charter</w:t>
            </w:r>
            <w:r w:rsidRPr="002528DF">
              <w:rPr>
                <w:sz w:val="20"/>
                <w:lang w:val="en"/>
              </w:rPr>
              <w:t xml:space="preserve"> and convicted Mr. Roy of firearms and narcotics offences. Mr. Roy appealed. The Court of Appeal dismissed the appeal.</w:t>
            </w:r>
          </w:p>
        </w:tc>
      </w:tr>
      <w:tr w:rsidR="0095757D" w:rsidRPr="002528DF" w:rsidTr="008467E7">
        <w:tc>
          <w:tcPr>
            <w:tcW w:w="5000" w:type="pct"/>
            <w:gridSpan w:val="4"/>
          </w:tcPr>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October 1, 2017</w:t>
            </w:r>
          </w:p>
          <w:p w:rsidR="0095757D" w:rsidRPr="002528DF" w:rsidRDefault="0095757D" w:rsidP="002528DF">
            <w:pPr>
              <w:jc w:val="both"/>
              <w:rPr>
                <w:sz w:val="20"/>
              </w:rPr>
            </w:pPr>
            <w:r w:rsidRPr="002528DF">
              <w:rPr>
                <w:sz w:val="20"/>
              </w:rPr>
              <w:t>Superior Court of Justice</w:t>
            </w:r>
          </w:p>
          <w:p w:rsidR="0095757D" w:rsidRPr="002528DF" w:rsidRDefault="0095757D" w:rsidP="002528DF">
            <w:pPr>
              <w:jc w:val="both"/>
              <w:rPr>
                <w:sz w:val="20"/>
              </w:rPr>
            </w:pPr>
            <w:r w:rsidRPr="002528DF">
              <w:rPr>
                <w:sz w:val="20"/>
              </w:rPr>
              <w:t>(Lacelle J.)</w:t>
            </w:r>
          </w:p>
          <w:p w:rsidR="0095757D" w:rsidRPr="002528DF" w:rsidRDefault="00C377A8" w:rsidP="002528DF">
            <w:pPr>
              <w:jc w:val="both"/>
              <w:rPr>
                <w:sz w:val="20"/>
              </w:rPr>
            </w:pPr>
            <w:hyperlink r:id="rId16" w:history="1">
              <w:r w:rsidR="0095757D" w:rsidRPr="002528DF">
                <w:rPr>
                  <w:rStyle w:val="Hyperlink"/>
                  <w:sz w:val="20"/>
                </w:rPr>
                <w:t>2017 ONSC 6020</w:t>
              </w:r>
            </w:hyperlink>
            <w:r w:rsidR="0095757D" w:rsidRPr="002528DF">
              <w:rPr>
                <w:sz w:val="20"/>
              </w:rPr>
              <w:t xml:space="preserve"> </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Application to exclude evidence dismissed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 xml:space="preserve">December 11, 2017 </w:t>
            </w:r>
          </w:p>
          <w:p w:rsidR="0095757D" w:rsidRPr="002528DF" w:rsidRDefault="0095757D" w:rsidP="002528DF">
            <w:pPr>
              <w:jc w:val="both"/>
              <w:rPr>
                <w:sz w:val="20"/>
              </w:rPr>
            </w:pPr>
            <w:r w:rsidRPr="002528DF">
              <w:rPr>
                <w:sz w:val="20"/>
              </w:rPr>
              <w:t>Superior Court of Justice</w:t>
            </w:r>
          </w:p>
          <w:p w:rsidR="0095757D" w:rsidRPr="002528DF" w:rsidRDefault="0095757D" w:rsidP="002528DF">
            <w:pPr>
              <w:jc w:val="both"/>
              <w:rPr>
                <w:sz w:val="20"/>
              </w:rPr>
            </w:pPr>
            <w:r w:rsidRPr="002528DF">
              <w:rPr>
                <w:sz w:val="20"/>
              </w:rPr>
              <w:t>(Lacelle J.)</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Convictions for firearms and narcotics offences</w:t>
            </w:r>
          </w:p>
        </w:tc>
      </w:tr>
      <w:tr w:rsidR="0095757D" w:rsidRPr="002528DF" w:rsidTr="008467E7">
        <w:tc>
          <w:tcPr>
            <w:tcW w:w="2427" w:type="pct"/>
            <w:gridSpan w:val="2"/>
          </w:tcPr>
          <w:p w:rsidR="0095757D" w:rsidRPr="002528DF" w:rsidRDefault="0095757D" w:rsidP="002528DF">
            <w:pPr>
              <w:jc w:val="both"/>
              <w:rPr>
                <w:sz w:val="20"/>
              </w:rPr>
            </w:pPr>
            <w:r w:rsidRPr="002528DF">
              <w:rPr>
                <w:sz w:val="20"/>
              </w:rPr>
              <w:t>January 13, 2020</w:t>
            </w:r>
          </w:p>
          <w:p w:rsidR="0095757D" w:rsidRPr="002528DF" w:rsidRDefault="0095757D" w:rsidP="002528DF">
            <w:pPr>
              <w:jc w:val="both"/>
              <w:rPr>
                <w:sz w:val="20"/>
              </w:rPr>
            </w:pPr>
            <w:r w:rsidRPr="002528DF">
              <w:rPr>
                <w:sz w:val="20"/>
              </w:rPr>
              <w:t>Court of Appeal for Ontario</w:t>
            </w:r>
          </w:p>
          <w:p w:rsidR="0095757D" w:rsidRPr="002528DF" w:rsidRDefault="0095757D" w:rsidP="002528DF">
            <w:pPr>
              <w:jc w:val="both"/>
              <w:rPr>
                <w:sz w:val="20"/>
              </w:rPr>
            </w:pPr>
            <w:r w:rsidRPr="002528DF">
              <w:rPr>
                <w:sz w:val="20"/>
              </w:rPr>
              <w:t>(Simmons, Watt, Miller JJ.A.)</w:t>
            </w:r>
          </w:p>
          <w:p w:rsidR="0095757D" w:rsidRPr="002528DF" w:rsidRDefault="00C377A8" w:rsidP="002528DF">
            <w:pPr>
              <w:jc w:val="both"/>
              <w:rPr>
                <w:sz w:val="20"/>
              </w:rPr>
            </w:pPr>
            <w:hyperlink r:id="rId17" w:history="1">
              <w:r w:rsidR="0095757D" w:rsidRPr="002528DF">
                <w:rPr>
                  <w:rStyle w:val="Hyperlink"/>
                  <w:sz w:val="20"/>
                </w:rPr>
                <w:t>2020 ONCA 18</w:t>
              </w:r>
            </w:hyperlink>
            <w:r w:rsidR="0095757D" w:rsidRPr="002528DF">
              <w:rPr>
                <w:sz w:val="20"/>
              </w:rPr>
              <w:t>; C65127</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Appeal dismissed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May 19, 2020</w:t>
            </w:r>
          </w:p>
          <w:p w:rsidR="0095757D" w:rsidRPr="002528DF" w:rsidRDefault="0095757D" w:rsidP="002528DF">
            <w:pPr>
              <w:jc w:val="both"/>
              <w:rPr>
                <w:sz w:val="20"/>
              </w:rPr>
            </w:pPr>
            <w:r w:rsidRPr="002528DF">
              <w:rPr>
                <w:sz w:val="20"/>
              </w:rPr>
              <w:t>Supreme Court of Canada</w:t>
            </w: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Motion for extension of time to serve and file application for leave to appeal and Application for leave to appeal filed</w:t>
            </w:r>
          </w:p>
        </w:tc>
      </w:tr>
    </w:tbl>
    <w:p w:rsidR="0095757D" w:rsidRPr="002528DF" w:rsidRDefault="0095757D" w:rsidP="002528DF">
      <w:pPr>
        <w:jc w:val="both"/>
        <w:rPr>
          <w:sz w:val="20"/>
        </w:rPr>
      </w:pPr>
    </w:p>
    <w:p w:rsidR="0095757D" w:rsidRPr="002528DF" w:rsidRDefault="00C377A8" w:rsidP="002528DF">
      <w:pPr>
        <w:jc w:val="both"/>
        <w:rPr>
          <w:sz w:val="20"/>
        </w:rPr>
      </w:pPr>
      <w:r>
        <w:rPr>
          <w:sz w:val="20"/>
        </w:rPr>
        <w:pict>
          <v:rect id="_x0000_i1027" style="width:2in;height:1pt" o:hrpct="0" o:hralign="center" o:hrstd="t" o:hrnoshade="t" o:hr="t" fillcolor="black [3213]" stroked="f"/>
        </w:pict>
      </w:r>
    </w:p>
    <w:p w:rsidR="0095757D" w:rsidRPr="002528DF" w:rsidRDefault="0095757D" w:rsidP="002528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lang w:val="fr-CA"/>
              </w:rPr>
            </w:pPr>
            <w:r w:rsidRPr="002528DF">
              <w:rPr>
                <w:rStyle w:val="SCCFileNumberChar"/>
                <w:sz w:val="20"/>
                <w:szCs w:val="20"/>
                <w:lang w:val="fr-CA"/>
              </w:rPr>
              <w:t>39127</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Greg Roy c. Sa Majesty the Queen</w:t>
            </w:r>
          </w:p>
          <w:p w:rsidR="0095757D" w:rsidRPr="002528DF" w:rsidRDefault="0095757D" w:rsidP="002528DF">
            <w:pPr>
              <w:jc w:val="both"/>
              <w:rPr>
                <w:sz w:val="20"/>
                <w:lang w:val="fr-CA"/>
              </w:rPr>
            </w:pPr>
            <w:r w:rsidRPr="002528DF">
              <w:rPr>
                <w:sz w:val="20"/>
                <w:lang w:val="fr-CA"/>
              </w:rPr>
              <w:t>(Ont.) (Criminelle) (Sur autorisation)</w:t>
            </w:r>
          </w:p>
        </w:tc>
      </w:tr>
      <w:tr w:rsidR="0095757D" w:rsidRPr="00C377A8" w:rsidTr="008467E7">
        <w:tc>
          <w:tcPr>
            <w:tcW w:w="5000" w:type="pct"/>
            <w:gridSpan w:val="4"/>
          </w:tcPr>
          <w:p w:rsidR="0095757D" w:rsidRPr="002528DF" w:rsidRDefault="0095757D" w:rsidP="002528DF">
            <w:pPr>
              <w:jc w:val="both"/>
              <w:rPr>
                <w:sz w:val="20"/>
                <w:lang w:val="fr-CA"/>
              </w:rPr>
            </w:pPr>
            <w:r w:rsidRPr="002528DF">
              <w:rPr>
                <w:i/>
                <w:sz w:val="20"/>
                <w:lang w:val="fr-CA"/>
              </w:rPr>
              <w:t>Charte des droits et libertés</w:t>
            </w:r>
            <w:r w:rsidRPr="002528DF">
              <w:rPr>
                <w:sz w:val="20"/>
                <w:lang w:val="fr-CA"/>
              </w:rPr>
              <w:t xml:space="preserve"> — </w:t>
            </w:r>
            <w:r w:rsidRPr="002528DF">
              <w:rPr>
                <w:iCs/>
                <w:sz w:val="20"/>
                <w:lang w:val="fr-CA"/>
              </w:rPr>
              <w:t>Fouilles, perquisitions et saisies</w:t>
            </w:r>
            <w:r w:rsidRPr="002528DF">
              <w:rPr>
                <w:sz w:val="20"/>
                <w:lang w:val="fr-CA"/>
              </w:rPr>
              <w:t xml:space="preserve"> — Les policiers ont</w:t>
            </w:r>
            <w:r w:rsidRPr="002528DF">
              <w:rPr>
                <w:sz w:val="20"/>
                <w:lang w:val="fr-CA"/>
              </w:rPr>
              <w:noBreakHyphen/>
              <w:t>ils porté atteinte au droit de l’accusé quant à l’</w:t>
            </w:r>
            <w:r w:rsidRPr="002528DF">
              <w:rPr>
                <w:iCs/>
                <w:sz w:val="20"/>
                <w:lang w:val="fr-CA"/>
              </w:rPr>
              <w:t>attente raisonnable de protection en matière de vie privée</w:t>
            </w:r>
            <w:r w:rsidRPr="002528DF">
              <w:rPr>
                <w:sz w:val="20"/>
                <w:lang w:val="fr-CA"/>
              </w:rPr>
              <w:t xml:space="preserve"> alors qu’il était dans sa propre cour arrière ? — La Cour d’appel a</w:t>
            </w:r>
            <w:r w:rsidRPr="002528DF">
              <w:rPr>
                <w:sz w:val="20"/>
                <w:lang w:val="fr-CA"/>
              </w:rPr>
              <w:noBreakHyphen/>
              <w:t>t</w:t>
            </w:r>
            <w:r w:rsidRPr="002528DF">
              <w:rPr>
                <w:sz w:val="20"/>
                <w:lang w:val="fr-CA"/>
              </w:rPr>
              <w:noBreakHyphen/>
              <w:t>elle commis une erreur en refusant d’écarter la preuve ?</w:t>
            </w:r>
          </w:p>
        </w:tc>
      </w:tr>
      <w:tr w:rsidR="0095757D" w:rsidRPr="00C377A8" w:rsidTr="008467E7">
        <w:tc>
          <w:tcPr>
            <w:tcW w:w="5000" w:type="pct"/>
            <w:gridSpan w:val="4"/>
          </w:tcPr>
          <w:p w:rsidR="0095757D" w:rsidRPr="002528DF" w:rsidRDefault="0095757D" w:rsidP="002528DF">
            <w:pPr>
              <w:jc w:val="both"/>
              <w:rPr>
                <w:sz w:val="20"/>
                <w:lang w:val="fr-CA"/>
              </w:rPr>
            </w:pPr>
          </w:p>
          <w:p w:rsidR="0095757D" w:rsidRPr="002528DF" w:rsidRDefault="0095757D" w:rsidP="002528DF">
            <w:pPr>
              <w:jc w:val="both"/>
              <w:rPr>
                <w:sz w:val="20"/>
                <w:lang w:val="fr-CA"/>
              </w:rPr>
            </w:pPr>
            <w:r w:rsidRPr="002528DF">
              <w:rPr>
                <w:sz w:val="20"/>
                <w:lang w:val="fr-CA"/>
              </w:rPr>
              <w:t xml:space="preserve">La propriété résidentielle en milieu rural de M. Roy a fait l’objet d’une surveillance policière à partir d’une ferme avoisinante sur laquelle les policiers se sont introduits sans autorisation, et d’un fossé situé de l’autre côté du chemin en face de sa propriété. À deux reprises, les policiers ont entendu des coups de feu. Ils ont vu M. Roy avec une carabine en mains à une reprise, et ont aussi vu une femme tirer un coup de carabine, à un autre moment. Les policiers ont obtenu un mandat de perquisition les autorisant à entrer dans la résidence pour y chercher des armes. Au cours de la perquisition, ils ont aperçu des plants de marihuana et des champignons de psilocybine dans la résidence. Les policiers ont suspendu la perquisition afin d’obtenir un mandat supplémentaire. Ils ont saisi des armes à feu, des champignons de psilocybine et des plants de marihuana. Le juge de première instance a rejeté la demande en exclusion de la preuve au motif de violation de l’art. 8 de la </w:t>
            </w:r>
            <w:r w:rsidRPr="002528DF">
              <w:rPr>
                <w:i/>
                <w:iCs/>
                <w:sz w:val="20"/>
                <w:lang w:val="fr-CA"/>
              </w:rPr>
              <w:t>Charte</w:t>
            </w:r>
            <w:r w:rsidRPr="002528DF">
              <w:rPr>
                <w:iCs/>
                <w:sz w:val="20"/>
                <w:lang w:val="fr-CA"/>
              </w:rPr>
              <w:t xml:space="preserve">, et a déclaré </w:t>
            </w:r>
            <w:r w:rsidRPr="002528DF">
              <w:rPr>
                <w:sz w:val="20"/>
                <w:lang w:val="fr-CA"/>
              </w:rPr>
              <w:t>M. Roy coupable d’infractions relatives aux armes à feu et aux stupéfiants. M. Roy a appelé de la décision. La Cour d’appel a rejeté l’appel.</w:t>
            </w:r>
          </w:p>
        </w:tc>
      </w:tr>
      <w:tr w:rsidR="0095757D" w:rsidRPr="00C377A8" w:rsidTr="008467E7">
        <w:tc>
          <w:tcPr>
            <w:tcW w:w="5000" w:type="pct"/>
            <w:gridSpan w:val="4"/>
          </w:tcPr>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1</w:t>
            </w:r>
            <w:r w:rsidRPr="002528DF">
              <w:rPr>
                <w:sz w:val="20"/>
                <w:vertAlign w:val="superscript"/>
                <w:lang w:val="fr-CA"/>
              </w:rPr>
              <w:t>er</w:t>
            </w:r>
            <w:r w:rsidRPr="002528DF">
              <w:rPr>
                <w:sz w:val="20"/>
                <w:lang w:val="fr-CA"/>
              </w:rPr>
              <w:t xml:space="preserve"> octobre 2017</w:t>
            </w:r>
          </w:p>
          <w:p w:rsidR="0095757D" w:rsidRPr="002528DF" w:rsidRDefault="0095757D" w:rsidP="002528DF">
            <w:pPr>
              <w:jc w:val="both"/>
              <w:rPr>
                <w:sz w:val="20"/>
                <w:lang w:val="fr-CA"/>
              </w:rPr>
            </w:pPr>
            <w:r w:rsidRPr="002528DF">
              <w:rPr>
                <w:sz w:val="20"/>
                <w:lang w:val="fr-CA"/>
              </w:rPr>
              <w:t>Cour supérieure de justice</w:t>
            </w:r>
          </w:p>
          <w:p w:rsidR="0095757D" w:rsidRPr="002528DF" w:rsidRDefault="0095757D" w:rsidP="002528DF">
            <w:pPr>
              <w:jc w:val="both"/>
              <w:rPr>
                <w:sz w:val="20"/>
                <w:lang w:val="fr-CA"/>
              </w:rPr>
            </w:pPr>
            <w:r w:rsidRPr="002528DF">
              <w:rPr>
                <w:sz w:val="20"/>
                <w:lang w:val="fr-CA"/>
              </w:rPr>
              <w:t>(Juge Lacelle)</w:t>
            </w:r>
          </w:p>
          <w:p w:rsidR="0095757D" w:rsidRPr="002528DF" w:rsidRDefault="00C377A8" w:rsidP="002528DF">
            <w:pPr>
              <w:jc w:val="both"/>
              <w:rPr>
                <w:sz w:val="20"/>
                <w:lang w:val="fr-CA"/>
              </w:rPr>
            </w:pPr>
            <w:hyperlink r:id="rId18" w:history="1">
              <w:r w:rsidR="0095757D" w:rsidRPr="002528DF">
                <w:rPr>
                  <w:rStyle w:val="Hyperlink"/>
                  <w:sz w:val="20"/>
                  <w:lang w:val="fr-CA"/>
                </w:rPr>
                <w:t>2017 ONSC 6020</w:t>
              </w:r>
            </w:hyperlink>
            <w:r w:rsidR="0095757D" w:rsidRPr="002528DF">
              <w:rPr>
                <w:sz w:val="20"/>
                <w:lang w:val="fr-CA"/>
              </w:rPr>
              <w:t xml:space="preserve"> </w:t>
            </w:r>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Demande en exclusion de la preuve rejetée.</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 xml:space="preserve">11 décembre 2017 </w:t>
            </w:r>
          </w:p>
          <w:p w:rsidR="0095757D" w:rsidRPr="002528DF" w:rsidRDefault="0095757D" w:rsidP="002528DF">
            <w:pPr>
              <w:jc w:val="both"/>
              <w:rPr>
                <w:sz w:val="20"/>
                <w:lang w:val="fr-CA"/>
              </w:rPr>
            </w:pPr>
            <w:r w:rsidRPr="002528DF">
              <w:rPr>
                <w:sz w:val="20"/>
                <w:lang w:val="fr-CA"/>
              </w:rPr>
              <w:t>Cour supérieure de justice</w:t>
            </w:r>
          </w:p>
          <w:p w:rsidR="0095757D" w:rsidRPr="002528DF" w:rsidRDefault="0095757D" w:rsidP="002528DF">
            <w:pPr>
              <w:jc w:val="both"/>
              <w:rPr>
                <w:sz w:val="20"/>
                <w:lang w:val="fr-CA"/>
              </w:rPr>
            </w:pPr>
            <w:r w:rsidRPr="002528DF">
              <w:rPr>
                <w:sz w:val="20"/>
                <w:lang w:val="fr-CA"/>
              </w:rPr>
              <w:t>(Juge Lacelle)</w:t>
            </w:r>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Déclarations de culpabilité prononcées contre l’accusé pour des infractions relatives aux armes à feu et aux stupéfiants.</w:t>
            </w:r>
          </w:p>
        </w:tc>
      </w:tr>
      <w:tr w:rsidR="0095757D" w:rsidRPr="002528DF" w:rsidTr="008467E7">
        <w:tc>
          <w:tcPr>
            <w:tcW w:w="2427" w:type="pct"/>
            <w:gridSpan w:val="2"/>
          </w:tcPr>
          <w:p w:rsidR="0095757D" w:rsidRPr="002528DF" w:rsidRDefault="0095757D" w:rsidP="002528DF">
            <w:pPr>
              <w:jc w:val="both"/>
              <w:rPr>
                <w:sz w:val="20"/>
                <w:lang w:val="fr-CA"/>
              </w:rPr>
            </w:pPr>
            <w:r w:rsidRPr="002528DF">
              <w:rPr>
                <w:sz w:val="20"/>
                <w:lang w:val="fr-CA"/>
              </w:rPr>
              <w:lastRenderedPageBreak/>
              <w:t>13 janvier 2020</w:t>
            </w:r>
          </w:p>
          <w:p w:rsidR="0095757D" w:rsidRPr="002528DF" w:rsidRDefault="0095757D" w:rsidP="002528DF">
            <w:pPr>
              <w:jc w:val="both"/>
              <w:rPr>
                <w:sz w:val="20"/>
                <w:lang w:val="fr-CA"/>
              </w:rPr>
            </w:pPr>
            <w:r w:rsidRPr="002528DF">
              <w:rPr>
                <w:sz w:val="20"/>
                <w:lang w:val="fr-CA"/>
              </w:rPr>
              <w:t>Cour d’appel de l’Ontario</w:t>
            </w:r>
          </w:p>
          <w:p w:rsidR="0095757D" w:rsidRPr="002528DF" w:rsidRDefault="0095757D" w:rsidP="002528DF">
            <w:pPr>
              <w:jc w:val="both"/>
              <w:rPr>
                <w:sz w:val="20"/>
                <w:lang w:val="fr-CA"/>
              </w:rPr>
            </w:pPr>
            <w:r w:rsidRPr="002528DF">
              <w:rPr>
                <w:sz w:val="20"/>
                <w:lang w:val="fr-CA"/>
              </w:rPr>
              <w:t>(Juges Simmons, Watt, Miller)</w:t>
            </w:r>
          </w:p>
          <w:p w:rsidR="0095757D" w:rsidRPr="002528DF" w:rsidRDefault="00C377A8" w:rsidP="002528DF">
            <w:pPr>
              <w:jc w:val="both"/>
              <w:rPr>
                <w:sz w:val="20"/>
                <w:lang w:val="fr-CA"/>
              </w:rPr>
            </w:pPr>
            <w:hyperlink r:id="rId19" w:history="1">
              <w:r w:rsidR="0095757D" w:rsidRPr="002528DF">
                <w:rPr>
                  <w:rStyle w:val="Hyperlink"/>
                  <w:sz w:val="20"/>
                  <w:lang w:val="fr-CA"/>
                </w:rPr>
                <w:t>2020 ONCA 18</w:t>
              </w:r>
            </w:hyperlink>
            <w:r w:rsidR="0095757D" w:rsidRPr="002528DF">
              <w:rPr>
                <w:sz w:val="20"/>
                <w:lang w:val="fr-CA"/>
              </w:rPr>
              <w:t>; C65127</w:t>
            </w:r>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Appel rejeté.</w:t>
            </w:r>
          </w:p>
          <w:p w:rsidR="0095757D" w:rsidRPr="002528DF" w:rsidRDefault="0095757D" w:rsidP="002528DF">
            <w:pPr>
              <w:spacing w:line="600" w:lineRule="auto"/>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19 mai 2020</w:t>
            </w:r>
          </w:p>
          <w:p w:rsidR="0095757D" w:rsidRPr="002528DF" w:rsidRDefault="0095757D" w:rsidP="002528DF">
            <w:pPr>
              <w:jc w:val="both"/>
              <w:rPr>
                <w:sz w:val="20"/>
                <w:lang w:val="fr-CA"/>
              </w:rPr>
            </w:pPr>
            <w:r w:rsidRPr="002528DF">
              <w:rPr>
                <w:sz w:val="20"/>
                <w:lang w:val="fr-CA"/>
              </w:rPr>
              <w:t>Cour suprême du Canada</w:t>
            </w: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 xml:space="preserve">Requête en prorogation de délai pour déposer et signifier une demande d’autorisation d’appel et demande d’autorisation </w:t>
            </w:r>
            <w:proofErr w:type="gramStart"/>
            <w:r w:rsidRPr="002528DF">
              <w:rPr>
                <w:sz w:val="20"/>
                <w:lang w:val="fr-CA"/>
              </w:rPr>
              <w:t>d’appel déposées</w:t>
            </w:r>
            <w:proofErr w:type="gramEnd"/>
            <w:r w:rsidRPr="002528DF">
              <w:rPr>
                <w:sz w:val="20"/>
                <w:lang w:val="fr-CA"/>
              </w:rPr>
              <w:t>.</w:t>
            </w:r>
          </w:p>
        </w:tc>
      </w:tr>
    </w:tbl>
    <w:p w:rsidR="00F076E3" w:rsidRPr="002528DF" w:rsidRDefault="00F076E3" w:rsidP="002528DF">
      <w:pPr>
        <w:widowControl w:val="0"/>
        <w:jc w:val="both"/>
        <w:rPr>
          <w:sz w:val="20"/>
          <w:lang w:val="fr-CA"/>
        </w:rPr>
      </w:pPr>
    </w:p>
    <w:p w:rsidR="00F076E3" w:rsidRPr="002528DF" w:rsidRDefault="00C377A8" w:rsidP="002528DF">
      <w:pPr>
        <w:widowControl w:val="0"/>
        <w:jc w:val="both"/>
        <w:rPr>
          <w:sz w:val="20"/>
          <w:lang w:val="fr-CA"/>
        </w:rPr>
      </w:pPr>
      <w:r>
        <w:rPr>
          <w:sz w:val="20"/>
        </w:rPr>
        <w:pict>
          <v:rect id="_x0000_i1028" style="width:2in;height:1pt" o:hrpct="0" o:hralign="center" o:hrstd="t" o:hrnoshade="t" o:hr="t" fillcolor="black [3213]" stroked="f"/>
        </w:pict>
      </w:r>
    </w:p>
    <w:p w:rsidR="00F61FFA" w:rsidRPr="002528DF" w:rsidRDefault="00F61FFA" w:rsidP="002528D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39125</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Charles A. Carlock, Dissenting Shareholders, as Defined in Paragraph One of the Order of June 20, 2017 v. ExxonMobil Canada Holdings ULC</w:t>
            </w:r>
          </w:p>
          <w:p w:rsidR="0095757D" w:rsidRPr="002528DF" w:rsidRDefault="0095757D" w:rsidP="00C377A8">
            <w:pPr>
              <w:jc w:val="both"/>
              <w:rPr>
                <w:sz w:val="20"/>
              </w:rPr>
            </w:pPr>
            <w:r w:rsidRPr="002528DF">
              <w:rPr>
                <w:sz w:val="20"/>
              </w:rPr>
              <w:t>(Y.T.) (Civil) (By Leave)</w:t>
            </w:r>
          </w:p>
        </w:tc>
      </w:tr>
      <w:tr w:rsidR="0095757D" w:rsidRPr="002528DF" w:rsidTr="008467E7">
        <w:tc>
          <w:tcPr>
            <w:tcW w:w="5000" w:type="pct"/>
            <w:gridSpan w:val="4"/>
          </w:tcPr>
          <w:p w:rsidR="0095757D" w:rsidRPr="002528DF" w:rsidRDefault="0095757D" w:rsidP="002528DF">
            <w:pPr>
              <w:jc w:val="both"/>
              <w:rPr>
                <w:sz w:val="20"/>
              </w:rPr>
            </w:pPr>
            <w:r w:rsidRPr="002528DF">
              <w:rPr>
                <w:sz w:val="20"/>
              </w:rPr>
              <w:t>Commercial law — Arrangement — Shareholder right to dissent — Fair value of shares —Whether there is a presumption of law that a court</w:t>
            </w:r>
            <w:r w:rsidRPr="002528DF">
              <w:rPr>
                <w:sz w:val="20"/>
              </w:rPr>
              <w:noBreakHyphen/>
              <w:t xml:space="preserve">approved transaction price is fair value for the purposes of a statutory appraisal remedy — </w:t>
            </w:r>
            <w:r w:rsidRPr="002528DF">
              <w:rPr>
                <w:i/>
                <w:sz w:val="20"/>
              </w:rPr>
              <w:t>Business Corporations Act</w:t>
            </w:r>
            <w:r w:rsidRPr="002528DF">
              <w:rPr>
                <w:sz w:val="20"/>
              </w:rPr>
              <w:t>, R.S.Y. 2002, c. 20, s. 193.</w:t>
            </w:r>
          </w:p>
        </w:tc>
      </w:tr>
      <w:tr w:rsidR="0095757D" w:rsidRPr="002528DF" w:rsidTr="008467E7">
        <w:tc>
          <w:tcPr>
            <w:tcW w:w="5000" w:type="pct"/>
            <w:gridSpan w:val="4"/>
          </w:tcPr>
          <w:p w:rsidR="0095757D" w:rsidRPr="002528DF" w:rsidRDefault="0095757D" w:rsidP="002528DF">
            <w:pPr>
              <w:jc w:val="both"/>
              <w:rPr>
                <w:sz w:val="20"/>
              </w:rPr>
            </w:pPr>
          </w:p>
        </w:tc>
      </w:tr>
      <w:tr w:rsidR="0095757D" w:rsidRPr="002528DF" w:rsidTr="008467E7">
        <w:tc>
          <w:tcPr>
            <w:tcW w:w="5000" w:type="pct"/>
            <w:gridSpan w:val="4"/>
          </w:tcPr>
          <w:p w:rsidR="0095757D" w:rsidRPr="002528DF" w:rsidRDefault="0095757D" w:rsidP="002528DF">
            <w:pPr>
              <w:jc w:val="both"/>
              <w:rPr>
                <w:sz w:val="20"/>
              </w:rPr>
            </w:pPr>
            <w:r w:rsidRPr="002528DF">
              <w:rPr>
                <w:sz w:val="20"/>
              </w:rPr>
              <w:t>In 2016, Exxon, the respondent, made an offer to InterOil for a whole company transaction, which led to an arrangement agreement. Exxon agreed to purchase the shares of InterOil. The applicants Mr. Carlock et al. dissented, as shareholders of InterOil. They applied to the Supreme Court of Yukon to have the court set the fair value of their shares in InterOil. The Supreme Court of Yukon found that the transaction price for the shares was established in a flawed corporate governance process. It concluded that the dissenting shareholders were entitled to be paid $71.46 USD for each InterOil share. The Court of Appeal unanimously allowed the appeal. In its view, the transaction price was the fair value for Mr. Carlock et al.’s shares.</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February 18, 2019</w:t>
            </w:r>
          </w:p>
          <w:p w:rsidR="0095757D" w:rsidRPr="002528DF" w:rsidRDefault="0095757D" w:rsidP="002528DF">
            <w:pPr>
              <w:jc w:val="both"/>
              <w:rPr>
                <w:sz w:val="20"/>
              </w:rPr>
            </w:pPr>
            <w:r w:rsidRPr="002528DF">
              <w:rPr>
                <w:sz w:val="20"/>
              </w:rPr>
              <w:t>Supreme Court of the Yukon Territory</w:t>
            </w:r>
          </w:p>
          <w:p w:rsidR="0095757D" w:rsidRPr="002528DF" w:rsidRDefault="0095757D" w:rsidP="002528DF">
            <w:pPr>
              <w:jc w:val="both"/>
              <w:rPr>
                <w:sz w:val="20"/>
              </w:rPr>
            </w:pPr>
            <w:r w:rsidRPr="002528DF">
              <w:rPr>
                <w:sz w:val="20"/>
              </w:rPr>
              <w:t>(Veale J.)</w:t>
            </w:r>
          </w:p>
          <w:p w:rsidR="0095757D" w:rsidRPr="002528DF" w:rsidRDefault="00C377A8" w:rsidP="002528DF">
            <w:pPr>
              <w:jc w:val="both"/>
              <w:rPr>
                <w:sz w:val="20"/>
              </w:rPr>
            </w:pPr>
            <w:hyperlink r:id="rId20" w:history="1">
              <w:r w:rsidR="0095757D" w:rsidRPr="002528DF">
                <w:rPr>
                  <w:rStyle w:val="Hyperlink"/>
                  <w:sz w:val="20"/>
                </w:rPr>
                <w:t>2019 YKSC 10</w:t>
              </w:r>
            </w:hyperlink>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Fair value of each InterOil Corporation share as of February 22, 2017 ordered to be $71.46</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February 7, 2020</w:t>
            </w:r>
          </w:p>
          <w:p w:rsidR="0095757D" w:rsidRPr="002528DF" w:rsidRDefault="0095757D" w:rsidP="002528DF">
            <w:pPr>
              <w:jc w:val="both"/>
              <w:rPr>
                <w:sz w:val="20"/>
              </w:rPr>
            </w:pPr>
            <w:r w:rsidRPr="002528DF">
              <w:rPr>
                <w:sz w:val="20"/>
              </w:rPr>
              <w:t>Court of Appeal of the Yukon Territory</w:t>
            </w:r>
          </w:p>
          <w:p w:rsidR="0095757D" w:rsidRPr="002528DF" w:rsidRDefault="0095757D" w:rsidP="002528DF">
            <w:pPr>
              <w:jc w:val="both"/>
              <w:rPr>
                <w:sz w:val="20"/>
              </w:rPr>
            </w:pPr>
            <w:r w:rsidRPr="002528DF">
              <w:rPr>
                <w:sz w:val="20"/>
              </w:rPr>
              <w:t xml:space="preserve">(Smith, Harris and </w:t>
            </w:r>
            <w:proofErr w:type="spellStart"/>
            <w:r w:rsidRPr="002528DF">
              <w:rPr>
                <w:sz w:val="20"/>
              </w:rPr>
              <w:t>Shaner</w:t>
            </w:r>
            <w:proofErr w:type="spellEnd"/>
            <w:r w:rsidRPr="002528DF">
              <w:rPr>
                <w:sz w:val="20"/>
              </w:rPr>
              <w:t xml:space="preserve"> JJ.A.)</w:t>
            </w:r>
          </w:p>
          <w:p w:rsidR="0095757D" w:rsidRPr="002528DF" w:rsidRDefault="00C377A8" w:rsidP="002528DF">
            <w:pPr>
              <w:jc w:val="both"/>
              <w:rPr>
                <w:sz w:val="20"/>
              </w:rPr>
            </w:pPr>
            <w:hyperlink r:id="rId21" w:history="1">
              <w:r w:rsidR="0095757D" w:rsidRPr="002528DF">
                <w:rPr>
                  <w:rStyle w:val="Hyperlink"/>
                  <w:sz w:val="20"/>
                </w:rPr>
                <w:t>2020 YKCA 4</w:t>
              </w:r>
            </w:hyperlink>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Appeal allowed; fair value of respondent’s shares declared to be transaction price</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April 7, 2020</w:t>
            </w:r>
          </w:p>
          <w:p w:rsidR="0095757D" w:rsidRPr="002528DF" w:rsidRDefault="0095757D" w:rsidP="002528DF">
            <w:pPr>
              <w:jc w:val="both"/>
              <w:rPr>
                <w:sz w:val="20"/>
              </w:rPr>
            </w:pPr>
            <w:r w:rsidRPr="002528DF">
              <w:rPr>
                <w:sz w:val="20"/>
              </w:rPr>
              <w:t>Supreme Court of Canada</w:t>
            </w: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Application for leave to appeal filed</w:t>
            </w:r>
          </w:p>
          <w:p w:rsidR="0095757D" w:rsidRPr="002528DF" w:rsidRDefault="0095757D" w:rsidP="002528DF">
            <w:pPr>
              <w:jc w:val="both"/>
              <w:rPr>
                <w:sz w:val="20"/>
              </w:rPr>
            </w:pPr>
          </w:p>
        </w:tc>
      </w:tr>
    </w:tbl>
    <w:p w:rsidR="0095757D" w:rsidRPr="002528DF" w:rsidRDefault="0095757D" w:rsidP="002528DF">
      <w:pPr>
        <w:jc w:val="both"/>
        <w:rPr>
          <w:sz w:val="20"/>
        </w:rPr>
      </w:pPr>
    </w:p>
    <w:p w:rsidR="0095757D" w:rsidRPr="002528DF" w:rsidRDefault="00C377A8" w:rsidP="002528DF">
      <w:pPr>
        <w:jc w:val="both"/>
        <w:rPr>
          <w:sz w:val="20"/>
        </w:rPr>
      </w:pPr>
      <w:r>
        <w:rPr>
          <w:sz w:val="20"/>
        </w:rPr>
        <w:pict>
          <v:rect id="_x0000_i1029" style="width:2in;height:1pt" o:hrpct="0" o:hralign="center" o:hrstd="t" o:hrnoshade="t" o:hr="t" fillcolor="black [3213]" stroked="f"/>
        </w:pict>
      </w:r>
    </w:p>
    <w:p w:rsidR="0095757D" w:rsidRPr="002528DF" w:rsidRDefault="0095757D" w:rsidP="002528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lang w:val="fr-CA"/>
              </w:rPr>
            </w:pPr>
            <w:r w:rsidRPr="002528DF">
              <w:rPr>
                <w:rStyle w:val="SCCFileNumberChar"/>
                <w:sz w:val="20"/>
                <w:szCs w:val="20"/>
                <w:lang w:val="fr-CA"/>
              </w:rPr>
              <w:t>39125</w:t>
            </w:r>
          </w:p>
        </w:tc>
        <w:tc>
          <w:tcPr>
            <w:tcW w:w="4457" w:type="pct"/>
            <w:gridSpan w:val="3"/>
          </w:tcPr>
          <w:p w:rsidR="0095757D" w:rsidRPr="002528DF" w:rsidRDefault="0095757D" w:rsidP="002528DF">
            <w:pPr>
              <w:pStyle w:val="SCCLsocParty"/>
              <w:jc w:val="both"/>
              <w:rPr>
                <w:b/>
                <w:sz w:val="20"/>
                <w:szCs w:val="20"/>
              </w:rPr>
            </w:pPr>
            <w:r w:rsidRPr="002528DF">
              <w:rPr>
                <w:b/>
                <w:sz w:val="20"/>
                <w:szCs w:val="20"/>
              </w:rPr>
              <w:t>Charles A. Carlock, actionnaires dissidents, au sens du premier paragraphe de l’ordonnance datée du 20 juin 2017 c. ExxonMobil Canada Holdings ULC</w:t>
            </w:r>
          </w:p>
          <w:p w:rsidR="0095757D" w:rsidRPr="002528DF" w:rsidRDefault="0095757D" w:rsidP="00C377A8">
            <w:pPr>
              <w:jc w:val="both"/>
              <w:rPr>
                <w:sz w:val="20"/>
                <w:lang w:val="fr-CA"/>
              </w:rPr>
            </w:pPr>
            <w:r w:rsidRPr="002528DF">
              <w:rPr>
                <w:sz w:val="20"/>
                <w:lang w:val="fr-CA"/>
              </w:rPr>
              <w:t>(Yn) (Civile) (Sur autorisation)</w:t>
            </w:r>
          </w:p>
        </w:tc>
      </w:tr>
      <w:tr w:rsidR="0095757D" w:rsidRPr="00C377A8" w:rsidTr="008467E7">
        <w:tc>
          <w:tcPr>
            <w:tcW w:w="5000" w:type="pct"/>
            <w:gridSpan w:val="4"/>
          </w:tcPr>
          <w:p w:rsidR="0095757D" w:rsidRPr="002528DF" w:rsidRDefault="0095757D" w:rsidP="002528DF">
            <w:pPr>
              <w:jc w:val="both"/>
              <w:rPr>
                <w:sz w:val="20"/>
                <w:lang w:val="fr-CA"/>
              </w:rPr>
            </w:pPr>
            <w:r w:rsidRPr="002528DF">
              <w:rPr>
                <w:sz w:val="20"/>
                <w:lang w:val="fr-CA"/>
              </w:rPr>
              <w:t>Droit commercial — Arrangement — Droit de l’actionnaire à la dissidence — Juste valeur des actions — Existe</w:t>
            </w:r>
            <w:r w:rsidRPr="002528DF">
              <w:rPr>
                <w:sz w:val="20"/>
                <w:lang w:val="fr-CA"/>
              </w:rPr>
              <w:noBreakHyphen/>
              <w:t>t</w:t>
            </w:r>
            <w:r w:rsidRPr="002528DF">
              <w:rPr>
                <w:sz w:val="20"/>
                <w:lang w:val="fr-CA"/>
              </w:rPr>
              <w:noBreakHyphen/>
              <w:t xml:space="preserve">il une présomption de droit portant que le prix de la transaction approuvé par le tribunal constitue la juste valeur aux fins d’un recours en évaluation prévu par la loi ? — </w:t>
            </w:r>
            <w:r w:rsidRPr="002528DF">
              <w:rPr>
                <w:i/>
                <w:sz w:val="20"/>
                <w:lang w:val="fr-CA"/>
              </w:rPr>
              <w:t>Business Corporations Act</w:t>
            </w:r>
            <w:r w:rsidRPr="002528DF">
              <w:rPr>
                <w:sz w:val="20"/>
                <w:lang w:val="fr-CA"/>
              </w:rPr>
              <w:t>, R.S.Y. 2002, c. 20, art. 193.</w:t>
            </w:r>
          </w:p>
        </w:tc>
      </w:tr>
      <w:tr w:rsidR="0095757D" w:rsidRPr="00C377A8" w:rsidTr="008467E7">
        <w:tc>
          <w:tcPr>
            <w:tcW w:w="5000" w:type="pct"/>
            <w:gridSpan w:val="4"/>
          </w:tcPr>
          <w:p w:rsidR="0095757D" w:rsidRPr="002528DF" w:rsidRDefault="0095757D" w:rsidP="002528DF">
            <w:pPr>
              <w:jc w:val="both"/>
              <w:rPr>
                <w:sz w:val="20"/>
                <w:lang w:val="fr-CA"/>
              </w:rPr>
            </w:pPr>
          </w:p>
        </w:tc>
      </w:tr>
      <w:tr w:rsidR="0095757D" w:rsidRPr="00C377A8" w:rsidTr="008467E7">
        <w:tc>
          <w:tcPr>
            <w:tcW w:w="5000" w:type="pct"/>
            <w:gridSpan w:val="4"/>
          </w:tcPr>
          <w:p w:rsidR="0095757D" w:rsidRPr="002528DF" w:rsidRDefault="0095757D" w:rsidP="002528DF">
            <w:pPr>
              <w:jc w:val="both"/>
              <w:rPr>
                <w:sz w:val="20"/>
                <w:lang w:val="fr-CA"/>
              </w:rPr>
            </w:pPr>
            <w:r w:rsidRPr="002528DF">
              <w:rPr>
                <w:sz w:val="20"/>
                <w:lang w:val="fr-CA"/>
              </w:rPr>
              <w:t>En 2016, Exxon, l’intimée, a présenté à InterOil une offre de transaction visant l’ensemble de la société, ce qui a mené à une entente quant à un arrangement. Exxon a convenu d’acheter les actions d’InterOil. Les demandeurs, M. Carlock et autres, en tant qu’actionnaires d’InterOil, ont exprimé leur dissidence. Ils ont déposé une demande auprès de la Cour suprême du Yukon afin qu’elle détermine la juste valeur de leurs actions dans la société InterOil. La Cour suprême du Yukon a statué que le prix de la transaction visant les actions avait été établi selon un processus de gouvernance d’entreprise vicié. Elle a conclu que les actionnaires dissidents avaient le droit de se faire payer 71,46 $ US pour chacune des actions d’InterOil. La Cour d’appel a accueilli l’appel à l’unanimité. À son avis, le prix de la transaction constituait la juste valeur des actions de M. Carlock et autres.</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18 février 2019</w:t>
            </w:r>
          </w:p>
          <w:p w:rsidR="0095757D" w:rsidRPr="002528DF" w:rsidRDefault="0095757D" w:rsidP="002528DF">
            <w:pPr>
              <w:jc w:val="both"/>
              <w:rPr>
                <w:sz w:val="20"/>
                <w:lang w:val="fr-CA"/>
              </w:rPr>
            </w:pPr>
            <w:r w:rsidRPr="002528DF">
              <w:rPr>
                <w:sz w:val="20"/>
                <w:lang w:val="fr-CA"/>
              </w:rPr>
              <w:t xml:space="preserve">Cour suprême du territoire du Yukon </w:t>
            </w:r>
          </w:p>
          <w:p w:rsidR="0095757D" w:rsidRPr="002528DF" w:rsidRDefault="0095757D" w:rsidP="002528DF">
            <w:pPr>
              <w:jc w:val="both"/>
              <w:rPr>
                <w:sz w:val="20"/>
                <w:lang w:val="fr-CA"/>
              </w:rPr>
            </w:pPr>
            <w:r w:rsidRPr="002528DF">
              <w:rPr>
                <w:sz w:val="20"/>
                <w:lang w:val="fr-CA"/>
              </w:rPr>
              <w:t xml:space="preserve">(Juge </w:t>
            </w:r>
            <w:proofErr w:type="spellStart"/>
            <w:r w:rsidRPr="002528DF">
              <w:rPr>
                <w:sz w:val="20"/>
                <w:lang w:val="fr-CA"/>
              </w:rPr>
              <w:t>Veale</w:t>
            </w:r>
            <w:proofErr w:type="spellEnd"/>
            <w:r w:rsidRPr="002528DF">
              <w:rPr>
                <w:sz w:val="20"/>
                <w:lang w:val="fr-CA"/>
              </w:rPr>
              <w:t>)</w:t>
            </w:r>
          </w:p>
          <w:p w:rsidR="0095757D" w:rsidRPr="002528DF" w:rsidRDefault="00C377A8" w:rsidP="002528DF">
            <w:pPr>
              <w:jc w:val="both"/>
              <w:rPr>
                <w:sz w:val="20"/>
                <w:lang w:val="fr-CA"/>
              </w:rPr>
            </w:pPr>
            <w:hyperlink r:id="rId22" w:history="1">
              <w:r w:rsidR="0095757D" w:rsidRPr="002528DF">
                <w:rPr>
                  <w:rStyle w:val="Hyperlink"/>
                  <w:sz w:val="20"/>
                  <w:lang w:val="fr-CA"/>
                </w:rPr>
                <w:t>2019 YKSC 10</w:t>
              </w:r>
            </w:hyperlink>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Ordonnance rendue fixant la juste valeur de chacune des actions d’InterOil Corporation à 71,46 $, à compter du 22 février 2017.</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7 février 2020</w:t>
            </w:r>
          </w:p>
          <w:p w:rsidR="0095757D" w:rsidRPr="002528DF" w:rsidRDefault="0095757D" w:rsidP="002528DF">
            <w:pPr>
              <w:jc w:val="both"/>
              <w:rPr>
                <w:sz w:val="20"/>
                <w:lang w:val="fr-CA"/>
              </w:rPr>
            </w:pPr>
            <w:r w:rsidRPr="002528DF">
              <w:rPr>
                <w:sz w:val="20"/>
                <w:lang w:val="fr-CA"/>
              </w:rPr>
              <w:t>Cour d’appel du territoire du Yukon</w:t>
            </w:r>
          </w:p>
          <w:p w:rsidR="0095757D" w:rsidRPr="002528DF" w:rsidRDefault="0095757D" w:rsidP="002528DF">
            <w:pPr>
              <w:jc w:val="both"/>
              <w:rPr>
                <w:sz w:val="20"/>
              </w:rPr>
            </w:pPr>
            <w:r w:rsidRPr="002528DF">
              <w:rPr>
                <w:sz w:val="20"/>
              </w:rPr>
              <w:t xml:space="preserve">(Juges Smith, Harris et </w:t>
            </w:r>
            <w:proofErr w:type="spellStart"/>
            <w:r w:rsidRPr="002528DF">
              <w:rPr>
                <w:sz w:val="20"/>
              </w:rPr>
              <w:t>Shaner</w:t>
            </w:r>
            <w:proofErr w:type="spellEnd"/>
            <w:r w:rsidRPr="002528DF">
              <w:rPr>
                <w:sz w:val="20"/>
              </w:rPr>
              <w:t>)</w:t>
            </w:r>
          </w:p>
          <w:p w:rsidR="0095757D" w:rsidRPr="002528DF" w:rsidRDefault="00C377A8" w:rsidP="002528DF">
            <w:pPr>
              <w:jc w:val="both"/>
              <w:rPr>
                <w:sz w:val="20"/>
              </w:rPr>
            </w:pPr>
            <w:hyperlink r:id="rId23" w:history="1">
              <w:r w:rsidR="0095757D" w:rsidRPr="002528DF">
                <w:rPr>
                  <w:rStyle w:val="Hyperlink"/>
                  <w:sz w:val="20"/>
                </w:rPr>
                <w:t>2020 YKCA 4</w:t>
              </w:r>
            </w:hyperlink>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lang w:val="fr-CA"/>
              </w:rPr>
            </w:pPr>
            <w:r w:rsidRPr="002528DF">
              <w:rPr>
                <w:sz w:val="20"/>
                <w:lang w:val="fr-CA"/>
              </w:rPr>
              <w:t>Appel accueilli; il est déclaré que la juste valeur des actions de l’intimée constitue le prix de la transaction.</w:t>
            </w:r>
          </w:p>
          <w:p w:rsidR="0095757D" w:rsidRPr="002528DF" w:rsidRDefault="0095757D" w:rsidP="002528DF">
            <w:pPr>
              <w:jc w:val="both"/>
              <w:rPr>
                <w:sz w:val="20"/>
                <w:lang w:val="fr-CA"/>
              </w:rPr>
            </w:pPr>
          </w:p>
        </w:tc>
      </w:tr>
      <w:tr w:rsidR="0095757D" w:rsidRPr="002528DF" w:rsidTr="008467E7">
        <w:tc>
          <w:tcPr>
            <w:tcW w:w="2427" w:type="pct"/>
            <w:gridSpan w:val="2"/>
          </w:tcPr>
          <w:p w:rsidR="0095757D" w:rsidRPr="002528DF" w:rsidRDefault="0095757D" w:rsidP="002528DF">
            <w:pPr>
              <w:jc w:val="both"/>
              <w:rPr>
                <w:sz w:val="20"/>
                <w:lang w:val="fr-CA"/>
              </w:rPr>
            </w:pPr>
            <w:r w:rsidRPr="002528DF">
              <w:rPr>
                <w:sz w:val="20"/>
                <w:lang w:val="fr-CA"/>
              </w:rPr>
              <w:t>7 avril 2020</w:t>
            </w:r>
          </w:p>
          <w:p w:rsidR="0095757D" w:rsidRPr="002528DF" w:rsidRDefault="0095757D" w:rsidP="002528DF">
            <w:pPr>
              <w:jc w:val="both"/>
              <w:rPr>
                <w:sz w:val="20"/>
                <w:lang w:val="fr-CA"/>
              </w:rPr>
            </w:pPr>
            <w:r w:rsidRPr="002528DF">
              <w:rPr>
                <w:sz w:val="20"/>
                <w:lang w:val="fr-CA"/>
              </w:rPr>
              <w:t>Cour suprême du Canada</w:t>
            </w: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Demande d’autorisation d’appel déposée.</w:t>
            </w:r>
          </w:p>
          <w:p w:rsidR="0095757D" w:rsidRPr="002528DF" w:rsidRDefault="0095757D" w:rsidP="002528DF">
            <w:pPr>
              <w:jc w:val="both"/>
              <w:rPr>
                <w:sz w:val="20"/>
                <w:lang w:val="fr-CA"/>
              </w:rPr>
            </w:pPr>
          </w:p>
        </w:tc>
      </w:tr>
    </w:tbl>
    <w:p w:rsidR="0095757D" w:rsidRPr="002528DF" w:rsidRDefault="0095757D" w:rsidP="002528DF">
      <w:pPr>
        <w:jc w:val="both"/>
        <w:rPr>
          <w:sz w:val="20"/>
          <w:lang w:val="fr-CA"/>
        </w:rPr>
      </w:pPr>
    </w:p>
    <w:p w:rsidR="0095757D" w:rsidRPr="002528DF" w:rsidRDefault="00C377A8" w:rsidP="002528DF">
      <w:pPr>
        <w:jc w:val="both"/>
        <w:rPr>
          <w:sz w:val="20"/>
          <w:lang w:val="fr-CA"/>
        </w:rPr>
      </w:pPr>
      <w:r>
        <w:rPr>
          <w:sz w:val="20"/>
        </w:rPr>
        <w:pict>
          <v:rect id="_x0000_i1030" style="width:2in;height:1pt" o:hrpct="0" o:hralign="center" o:hrstd="t" o:hrnoshade="t" o:hr="t" fillcolor="black [3213]" stroked="f"/>
        </w:pict>
      </w:r>
    </w:p>
    <w:p w:rsidR="0095757D" w:rsidRPr="002528DF" w:rsidRDefault="0095757D" w:rsidP="002528D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39203</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A.B. v. Steven Galloway</w:t>
            </w:r>
          </w:p>
          <w:p w:rsidR="0095757D" w:rsidRPr="002528DF" w:rsidRDefault="0095757D" w:rsidP="002528DF">
            <w:pPr>
              <w:jc w:val="both"/>
              <w:rPr>
                <w:sz w:val="20"/>
              </w:rPr>
            </w:pPr>
            <w:r w:rsidRPr="002528DF">
              <w:rPr>
                <w:sz w:val="20"/>
              </w:rPr>
              <w:t>(B.C.) (Civil) (By Leave)</w:t>
            </w:r>
          </w:p>
        </w:tc>
      </w:tr>
      <w:tr w:rsidR="0095757D" w:rsidRPr="002528DF" w:rsidTr="008467E7">
        <w:tc>
          <w:tcPr>
            <w:tcW w:w="5000" w:type="pct"/>
            <w:gridSpan w:val="4"/>
          </w:tcPr>
          <w:p w:rsidR="0095757D" w:rsidRPr="002528DF" w:rsidRDefault="0095757D" w:rsidP="002528DF">
            <w:pPr>
              <w:pStyle w:val="SCCBanSummary"/>
              <w:rPr>
                <w:sz w:val="20"/>
                <w:szCs w:val="20"/>
              </w:rPr>
            </w:pPr>
            <w:r w:rsidRPr="002528DF">
              <w:rPr>
                <w:sz w:val="20"/>
                <w:szCs w:val="20"/>
              </w:rPr>
              <w:t>(Publication ban in case) (Sealing order) (Court file contains information that is not available for inspection by the public)</w:t>
            </w:r>
          </w:p>
          <w:p w:rsidR="0095757D" w:rsidRPr="002528DF" w:rsidRDefault="0095757D" w:rsidP="002528DF">
            <w:pPr>
              <w:jc w:val="both"/>
              <w:rPr>
                <w:sz w:val="20"/>
              </w:rPr>
            </w:pPr>
          </w:p>
        </w:tc>
      </w:tr>
      <w:tr w:rsidR="0095757D" w:rsidRPr="002528DF" w:rsidTr="008467E7">
        <w:tc>
          <w:tcPr>
            <w:tcW w:w="5000" w:type="pct"/>
            <w:gridSpan w:val="4"/>
          </w:tcPr>
          <w:p w:rsidR="0095757D" w:rsidRPr="002528DF" w:rsidRDefault="0095757D" w:rsidP="002528DF">
            <w:pPr>
              <w:jc w:val="both"/>
              <w:rPr>
                <w:sz w:val="20"/>
              </w:rPr>
            </w:pPr>
            <w:r w:rsidRPr="002528DF">
              <w:rPr>
                <w:sz w:val="20"/>
              </w:rPr>
              <w:t>Judgments and orders — Anti</w:t>
            </w:r>
            <w:r w:rsidRPr="002528DF">
              <w:rPr>
                <w:sz w:val="20"/>
              </w:rPr>
              <w:noBreakHyphen/>
              <w:t>SLAPP legislation — Summary dismissal — Defamation — University student making allegations of physical and sexual assault against professor — Professor suing student for defamation — Student applying for dismissal of defamation action pursuant to provincial legislation designed to protect individuals from “Strategic Lawsuits Against Public Participation” — In response to dismissal application, professor seeking disclosure of student’s communications to various individuals — Chambers judge and Court of Appeal ordering student to disclose documents — How does procedure of legislation meant to protect expression and participation on matters of public interest align with its purpose? — How do courts balance competing interests of a defendant in seeking dismissal of a claim, and the interests of a plaintiff in resisting dismissal of that claim, under anti</w:t>
            </w:r>
            <w:r w:rsidRPr="002528DF">
              <w:rPr>
                <w:sz w:val="20"/>
              </w:rPr>
              <w:noBreakHyphen/>
              <w:t>SLAPP legislation? — What is purpose and effect of legislative stay of proceedings under anti</w:t>
            </w:r>
            <w:r w:rsidRPr="002528DF">
              <w:rPr>
                <w:sz w:val="20"/>
              </w:rPr>
              <w:noBreakHyphen/>
              <w:t>SLAPP legislation? — What is scope of court’s discretion to order document production once dismissal application is filed and stay is automatically in place? — How do courts give effect to rights of sexual assault complainants and societal interest in encouraging reporting in the course of litigating anti</w:t>
            </w:r>
            <w:r w:rsidRPr="002528DF">
              <w:rPr>
                <w:sz w:val="20"/>
              </w:rPr>
              <w:noBreakHyphen/>
              <w:t xml:space="preserve">SLAPP applications? — </w:t>
            </w:r>
            <w:r w:rsidRPr="002528DF">
              <w:rPr>
                <w:i/>
                <w:sz w:val="20"/>
              </w:rPr>
              <w:t>Protection of Public Participation Act</w:t>
            </w:r>
            <w:r w:rsidRPr="002528DF">
              <w:rPr>
                <w:sz w:val="20"/>
              </w:rPr>
              <w:t>, S.B.C. 2019. c. 3.</w:t>
            </w:r>
          </w:p>
        </w:tc>
      </w:tr>
      <w:tr w:rsidR="0095757D" w:rsidRPr="002528DF" w:rsidTr="008467E7">
        <w:tc>
          <w:tcPr>
            <w:tcW w:w="5000" w:type="pct"/>
            <w:gridSpan w:val="4"/>
          </w:tcPr>
          <w:p w:rsidR="0095757D" w:rsidRPr="002528DF" w:rsidRDefault="0095757D" w:rsidP="002528DF">
            <w:pPr>
              <w:jc w:val="both"/>
              <w:rPr>
                <w:sz w:val="20"/>
              </w:rPr>
            </w:pPr>
          </w:p>
          <w:p w:rsidR="0095757D" w:rsidRPr="002528DF" w:rsidRDefault="0095757D" w:rsidP="002528DF">
            <w:pPr>
              <w:jc w:val="both"/>
              <w:rPr>
                <w:sz w:val="20"/>
              </w:rPr>
            </w:pPr>
            <w:r w:rsidRPr="002528DF">
              <w:rPr>
                <w:sz w:val="20"/>
              </w:rPr>
              <w:t>Following allegations of physical and sexual assault made by his then</w:t>
            </w:r>
            <w:r w:rsidRPr="002528DF">
              <w:rPr>
                <w:sz w:val="20"/>
              </w:rPr>
              <w:noBreakHyphen/>
              <w:t xml:space="preserve">graduate student (“A.B.”), Steven Galloway commenced a defamation action against A.B. and against other individuals who allegedly repeated the allegations online. In the course of the litigation, A.B. brought an application under s. 4 of the </w:t>
            </w:r>
            <w:r w:rsidRPr="002528DF">
              <w:rPr>
                <w:i/>
                <w:sz w:val="20"/>
              </w:rPr>
              <w:t>Protection of Public Participation Act</w:t>
            </w:r>
            <w:r w:rsidRPr="002528DF">
              <w:rPr>
                <w:sz w:val="20"/>
              </w:rPr>
              <w:t>, S.B.C. 2019, c. 3, a provincial statute designed to protect individuals from “Strategic Lawsuits Against Public Participation” (“anti</w:t>
            </w:r>
            <w:r w:rsidRPr="002528DF">
              <w:rPr>
                <w:sz w:val="20"/>
              </w:rPr>
              <w:noBreakHyphen/>
              <w:t>SLAPP legislation”), for dismissal of Mr. Galloway’s defamation claim against her. During cross</w:t>
            </w:r>
            <w:r w:rsidRPr="002528DF">
              <w:rPr>
                <w:sz w:val="20"/>
              </w:rPr>
              <w:noBreakHyphen/>
              <w:t>examination in the context of the dismissal application, Mr. Galloway’s counsel sought production and disclosure of certain documents thought to be relevant to A.B.’s allegations and to the validity of the defences that were being advanced by A.B. in the defamation action. The requests for disclosure were refused. Mr. Galloway then asked the court to order production and disclosure of the documents. The chambers judge, Justice Murray of the Supreme Court of British Columbia, allowed Mr. Galloway’s application for disclosure, and ordered A.B. to produce and disclose various documents and correspondences related to her disclosure of the allegations. The Court of Appeal unanimously dismissed A.B.’s appeal, finding that the disclosure ordered by the chambers judge was measured in scope and justified on grounds of relevance.</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August 22, 2019</w:t>
            </w:r>
          </w:p>
          <w:p w:rsidR="0095757D" w:rsidRPr="002528DF" w:rsidRDefault="0095757D" w:rsidP="002528DF">
            <w:pPr>
              <w:jc w:val="both"/>
              <w:rPr>
                <w:sz w:val="20"/>
              </w:rPr>
            </w:pPr>
            <w:r w:rsidRPr="002528DF">
              <w:rPr>
                <w:sz w:val="20"/>
              </w:rPr>
              <w:t>Supreme Court of British Columbia</w:t>
            </w:r>
          </w:p>
          <w:p w:rsidR="0095757D" w:rsidRPr="002528DF" w:rsidRDefault="0095757D" w:rsidP="002528DF">
            <w:pPr>
              <w:jc w:val="both"/>
              <w:rPr>
                <w:sz w:val="20"/>
              </w:rPr>
            </w:pPr>
            <w:r w:rsidRPr="002528DF">
              <w:rPr>
                <w:sz w:val="20"/>
              </w:rPr>
              <w:t>(Murray J.)</w:t>
            </w:r>
          </w:p>
          <w:p w:rsidR="0095757D" w:rsidRPr="002528DF" w:rsidRDefault="00C377A8" w:rsidP="002528DF">
            <w:pPr>
              <w:jc w:val="both"/>
              <w:rPr>
                <w:sz w:val="20"/>
              </w:rPr>
            </w:pPr>
            <w:hyperlink r:id="rId24" w:history="1">
              <w:r w:rsidR="0095757D" w:rsidRPr="002528DF">
                <w:rPr>
                  <w:rStyle w:val="Hyperlink"/>
                  <w:sz w:val="20"/>
                </w:rPr>
                <w:t>2019 BCSC 1417</w:t>
              </w:r>
            </w:hyperlink>
            <w:r w:rsidR="0095757D" w:rsidRPr="002528DF">
              <w:rPr>
                <w:sz w:val="20"/>
              </w:rPr>
              <w:t xml:space="preserve"> </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Application by Steven Galloway for production and disclosure of certain documents — granted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April 8, 2020</w:t>
            </w:r>
          </w:p>
          <w:p w:rsidR="0095757D" w:rsidRPr="002528DF" w:rsidRDefault="0095757D" w:rsidP="002528DF">
            <w:pPr>
              <w:jc w:val="both"/>
              <w:rPr>
                <w:sz w:val="20"/>
              </w:rPr>
            </w:pPr>
            <w:r w:rsidRPr="002528DF">
              <w:rPr>
                <w:sz w:val="20"/>
              </w:rPr>
              <w:t xml:space="preserve">Court of Appeal for British Columbia </w:t>
            </w:r>
          </w:p>
          <w:p w:rsidR="0095757D" w:rsidRPr="002528DF" w:rsidRDefault="0095757D" w:rsidP="002528DF">
            <w:pPr>
              <w:jc w:val="both"/>
              <w:rPr>
                <w:sz w:val="20"/>
              </w:rPr>
            </w:pPr>
            <w:r w:rsidRPr="002528DF">
              <w:rPr>
                <w:sz w:val="20"/>
              </w:rPr>
              <w:t>(Vancouver)</w:t>
            </w:r>
          </w:p>
          <w:p w:rsidR="0095757D" w:rsidRPr="002528DF" w:rsidRDefault="0095757D" w:rsidP="002528DF">
            <w:pPr>
              <w:jc w:val="both"/>
              <w:rPr>
                <w:sz w:val="20"/>
              </w:rPr>
            </w:pPr>
            <w:r w:rsidRPr="002528DF">
              <w:rPr>
                <w:sz w:val="20"/>
              </w:rPr>
              <w:t>(Bauman, Tysoe and Abrioux JJ.A.)</w:t>
            </w:r>
          </w:p>
          <w:p w:rsidR="0095757D" w:rsidRPr="002528DF" w:rsidRDefault="00C377A8" w:rsidP="002528DF">
            <w:pPr>
              <w:jc w:val="both"/>
              <w:rPr>
                <w:sz w:val="20"/>
              </w:rPr>
            </w:pPr>
            <w:hyperlink r:id="rId25" w:history="1">
              <w:r w:rsidR="0095757D" w:rsidRPr="002528DF">
                <w:rPr>
                  <w:rStyle w:val="Hyperlink"/>
                  <w:sz w:val="20"/>
                </w:rPr>
                <w:t>2020 BCCA 106</w:t>
              </w:r>
            </w:hyperlink>
            <w:r w:rsidR="0095757D" w:rsidRPr="002528DF">
              <w:rPr>
                <w:sz w:val="20"/>
              </w:rPr>
              <w:t xml:space="preserve"> </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Appeal by A.B. — dismissed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June 4, 2020</w:t>
            </w:r>
          </w:p>
          <w:p w:rsidR="0095757D" w:rsidRPr="002528DF" w:rsidRDefault="0095757D" w:rsidP="002528DF">
            <w:pPr>
              <w:jc w:val="both"/>
              <w:rPr>
                <w:sz w:val="20"/>
              </w:rPr>
            </w:pPr>
            <w:r w:rsidRPr="002528DF">
              <w:rPr>
                <w:sz w:val="20"/>
              </w:rPr>
              <w:t>Supreme Court of Canada</w:t>
            </w: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Application for leave to appeal filed by A.B.</w:t>
            </w:r>
          </w:p>
        </w:tc>
      </w:tr>
    </w:tbl>
    <w:p w:rsidR="0095757D" w:rsidRPr="002528DF" w:rsidRDefault="0095757D" w:rsidP="002528DF">
      <w:pPr>
        <w:jc w:val="both"/>
        <w:rPr>
          <w:sz w:val="20"/>
        </w:rPr>
      </w:pPr>
    </w:p>
    <w:p w:rsidR="0095757D" w:rsidRPr="002528DF" w:rsidRDefault="00C377A8" w:rsidP="002528DF">
      <w:pPr>
        <w:jc w:val="both"/>
        <w:rPr>
          <w:sz w:val="20"/>
        </w:rPr>
      </w:pPr>
      <w:r>
        <w:rPr>
          <w:sz w:val="20"/>
        </w:rPr>
        <w:pict>
          <v:rect id="_x0000_i1031" style="width:2in;height:1pt" o:hrpct="0" o:hralign="center" o:hrstd="t" o:hrnoshade="t" o:hr="t" fillcolor="black [3213]" stroked="f"/>
        </w:pict>
      </w:r>
    </w:p>
    <w:p w:rsidR="0095757D" w:rsidRPr="002528DF" w:rsidRDefault="0095757D" w:rsidP="002528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39203</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A.B. c. Steven Galloway</w:t>
            </w:r>
          </w:p>
          <w:p w:rsidR="0095757D" w:rsidRPr="002528DF" w:rsidRDefault="0095757D" w:rsidP="002528DF">
            <w:pPr>
              <w:jc w:val="both"/>
              <w:rPr>
                <w:sz w:val="20"/>
              </w:rPr>
            </w:pPr>
            <w:r w:rsidRPr="002528DF">
              <w:rPr>
                <w:sz w:val="20"/>
              </w:rPr>
              <w:t>(C.</w:t>
            </w:r>
            <w:r w:rsidRPr="002528DF">
              <w:rPr>
                <w:sz w:val="20"/>
              </w:rPr>
              <w:noBreakHyphen/>
              <w:t>B.) (Civile) (Autorisation)</w:t>
            </w:r>
          </w:p>
        </w:tc>
      </w:tr>
      <w:tr w:rsidR="0095757D" w:rsidRPr="00C377A8" w:rsidTr="008467E7">
        <w:tc>
          <w:tcPr>
            <w:tcW w:w="5000" w:type="pct"/>
            <w:gridSpan w:val="4"/>
          </w:tcPr>
          <w:p w:rsidR="0095757D" w:rsidRPr="002528DF" w:rsidRDefault="0095757D" w:rsidP="002528DF">
            <w:pPr>
              <w:pStyle w:val="SCCBanSummary"/>
              <w:rPr>
                <w:sz w:val="20"/>
                <w:szCs w:val="20"/>
                <w:lang w:val="fr-CA"/>
              </w:rPr>
            </w:pPr>
            <w:r w:rsidRPr="002528DF">
              <w:rPr>
                <w:sz w:val="20"/>
                <w:szCs w:val="20"/>
                <w:lang w:val="fr-CA"/>
              </w:rPr>
              <w:t>(Or</w:t>
            </w:r>
            <w:r w:rsidR="00C377A8">
              <w:rPr>
                <w:sz w:val="20"/>
                <w:szCs w:val="20"/>
                <w:lang w:val="fr-CA"/>
              </w:rPr>
              <w:t>d</w:t>
            </w:r>
            <w:r w:rsidRPr="002528DF">
              <w:rPr>
                <w:sz w:val="20"/>
                <w:szCs w:val="20"/>
                <w:lang w:val="fr-CA"/>
              </w:rPr>
              <w:t>onnance de non</w:t>
            </w:r>
            <w:r w:rsidRPr="002528DF">
              <w:rPr>
                <w:sz w:val="20"/>
                <w:szCs w:val="20"/>
                <w:lang w:val="fr-CA"/>
              </w:rPr>
              <w:noBreakHyphen/>
              <w:t>publication dans le dossier) (Ordonnance de mise sous scellés) (Le dossier de la Cour renferme des données que le public n’est pas autorisé à consulter)</w:t>
            </w:r>
          </w:p>
          <w:p w:rsidR="0095757D" w:rsidRPr="002528DF" w:rsidRDefault="0095757D" w:rsidP="002528DF">
            <w:pPr>
              <w:jc w:val="both"/>
              <w:rPr>
                <w:sz w:val="20"/>
                <w:lang w:val="fr-CA"/>
              </w:rPr>
            </w:pPr>
          </w:p>
        </w:tc>
      </w:tr>
      <w:tr w:rsidR="0095757D" w:rsidRPr="00C377A8" w:rsidTr="008467E7">
        <w:tc>
          <w:tcPr>
            <w:tcW w:w="5000" w:type="pct"/>
            <w:gridSpan w:val="4"/>
          </w:tcPr>
          <w:p w:rsidR="0095757D" w:rsidRPr="002528DF" w:rsidRDefault="0095757D" w:rsidP="002528DF">
            <w:pPr>
              <w:jc w:val="both"/>
              <w:rPr>
                <w:sz w:val="20"/>
                <w:lang w:val="fr-CA"/>
              </w:rPr>
            </w:pPr>
            <w:r w:rsidRPr="002528DF">
              <w:rPr>
                <w:sz w:val="20"/>
                <w:lang w:val="fr-CA"/>
              </w:rPr>
              <w:t>Jugements et ordonnances — Loi anti</w:t>
            </w:r>
            <w:r w:rsidRPr="002528DF">
              <w:rPr>
                <w:sz w:val="20"/>
                <w:lang w:val="fr-CA"/>
              </w:rPr>
              <w:noBreakHyphen/>
              <w:t>SLAPP — Rejet sommaire — Diffamation — Une étudiante d’université a porté des allégations d’agression physique et sexuelle contre un professeur — La professeur poursuit l’étudiante pour diffamation — L’étudiante demande le rejet de l’action en diffamation en application de la loi provinciale qui vise à protéger les particuliers contre les « poursuites stratégiques contre la mobilisation publique » (SLAPP) — En réponse à la demande de rejet, le professeur sollicite la divulgation des communications de l’étudiante à divers particuliers — La juge en cabinet et la Cour d’appel ordonnent à l’étudiante de divulguer les documents — Comment la procédure prévue par la loi qui vise à protéger l’expression et la participation concernant des questions d’intérêt public s’accorde</w:t>
            </w:r>
            <w:r w:rsidRPr="002528DF">
              <w:rPr>
                <w:sz w:val="20"/>
                <w:lang w:val="fr-CA"/>
              </w:rPr>
              <w:noBreakHyphen/>
              <w:t>t</w:t>
            </w:r>
            <w:r w:rsidRPr="002528DF">
              <w:rPr>
                <w:sz w:val="20"/>
                <w:lang w:val="fr-CA"/>
              </w:rPr>
              <w:noBreakHyphen/>
              <w:t>elle avec l’objet de la loi? — Comment les tribunaux mettent</w:t>
            </w:r>
            <w:r w:rsidRPr="002528DF">
              <w:rPr>
                <w:sz w:val="20"/>
                <w:lang w:val="fr-CA"/>
              </w:rPr>
              <w:noBreakHyphen/>
              <w:t>ils en balance les intérêts divergents d’un défendeur qui sollicite le rejet d’une demande et ceux d’une demanderesse qui s’oppose au rejet de cette demande, sous le régime de la loi anti</w:t>
            </w:r>
            <w:r w:rsidRPr="002528DF">
              <w:rPr>
                <w:sz w:val="20"/>
                <w:lang w:val="fr-CA"/>
              </w:rPr>
              <w:noBreakHyphen/>
              <w:t>SLAP? — Quels sont l’objet et l’effet d’une suspension d’instance prévue dans une loi anti</w:t>
            </w:r>
            <w:r w:rsidRPr="002528DF">
              <w:rPr>
                <w:sz w:val="20"/>
                <w:lang w:val="fr-CA"/>
              </w:rPr>
              <w:noBreakHyphen/>
              <w:t>SLAPP? — Quelle est la portée du pouvoir discrétionnaire du tribunal d’ordonner la production de documents dès lors que la demande de rejet est déposée et la suspension est automatiquement en place? — Comment les tribunaux donnent</w:t>
            </w:r>
            <w:r w:rsidRPr="002528DF">
              <w:rPr>
                <w:sz w:val="20"/>
                <w:lang w:val="fr-CA"/>
              </w:rPr>
              <w:noBreakHyphen/>
              <w:t>ils effet aux droits des plaignantes d’agression sexuelle et à l’intérêt de la société d’encourager la déclaration en traitant des demandes anti</w:t>
            </w:r>
            <w:r w:rsidRPr="002528DF">
              <w:rPr>
                <w:sz w:val="20"/>
                <w:lang w:val="fr-CA"/>
              </w:rPr>
              <w:noBreakHyphen/>
              <w:t xml:space="preserve">SLAPP? — </w:t>
            </w:r>
            <w:r w:rsidRPr="002528DF">
              <w:rPr>
                <w:i/>
                <w:sz w:val="20"/>
                <w:lang w:val="fr-CA"/>
              </w:rPr>
              <w:t>Protection of Public Participation Act</w:t>
            </w:r>
            <w:r w:rsidRPr="002528DF">
              <w:rPr>
                <w:sz w:val="20"/>
                <w:lang w:val="fr-CA"/>
              </w:rPr>
              <w:t>, S.B.C. 2019. ch. 3.</w:t>
            </w:r>
          </w:p>
        </w:tc>
      </w:tr>
      <w:tr w:rsidR="0095757D" w:rsidRPr="00C377A8" w:rsidTr="008467E7">
        <w:tc>
          <w:tcPr>
            <w:tcW w:w="5000" w:type="pct"/>
            <w:gridSpan w:val="4"/>
          </w:tcPr>
          <w:p w:rsidR="0095757D" w:rsidRPr="002528DF" w:rsidRDefault="0095757D" w:rsidP="002528DF">
            <w:pPr>
              <w:jc w:val="both"/>
              <w:rPr>
                <w:sz w:val="20"/>
                <w:lang w:val="fr-CA"/>
              </w:rPr>
            </w:pPr>
          </w:p>
          <w:p w:rsidR="0095757D" w:rsidRPr="002528DF" w:rsidRDefault="0095757D" w:rsidP="002528DF">
            <w:pPr>
              <w:jc w:val="both"/>
              <w:rPr>
                <w:sz w:val="20"/>
                <w:lang w:val="fr-CA"/>
              </w:rPr>
            </w:pPr>
            <w:r w:rsidRPr="002528DF">
              <w:rPr>
                <w:sz w:val="20"/>
                <w:lang w:val="fr-CA"/>
              </w:rPr>
              <w:t xml:space="preserve">À la suite d’allégations d’agression physique et sexuelle portées par une de ses étudiantes de cycle supérieur à l’époque (« A.B. »), Steven Galloway a intenté une action en diffamation contre A.B. et contre d’autres particuliers qui auraient répété les allégations en ligne. Dans le cadre du litige, A.B. a présenté une demande fondée sur l’art. 4 de la </w:t>
            </w:r>
            <w:r w:rsidRPr="002528DF">
              <w:rPr>
                <w:i/>
                <w:sz w:val="20"/>
                <w:lang w:val="fr-CA"/>
              </w:rPr>
              <w:t>Protection of Public Participation Act</w:t>
            </w:r>
            <w:r w:rsidRPr="002528DF">
              <w:rPr>
                <w:sz w:val="20"/>
                <w:lang w:val="fr-CA"/>
              </w:rPr>
              <w:t>, S.B.C. 2019, ch. 3, une loi provinciale qui vise à protéger les particuliers contre les « poursuites stratégiques contre la mobilisation publique » (loi anti</w:t>
            </w:r>
            <w:r w:rsidRPr="002528DF">
              <w:rPr>
                <w:sz w:val="20"/>
                <w:lang w:val="fr-CA"/>
              </w:rPr>
              <w:noBreakHyphen/>
              <w:t>SLAPP), en vue du rejet de l’action en diffamation que M. Galloway a intentée contre elle. Pendant un contre-interrogatoire dans le contexte de la demande de rejet, l’avocat de M. Galloway a demandé la production et la divulgation de certains documents considérés pertinents en qui concerne les allégations d’A.B. et la validité des moyens de défense avancés par A.B. dans l’action en diffamation. Les demandes de divulgation ont été rejetées. Monsieur Galloway a alors demandé au tribunal d’ordonner la production et la divulgation des documents. La juge en cabinet, la juge Murray de la Cour suprême de la Colombi</w:t>
            </w:r>
            <w:r w:rsidR="00C377A8">
              <w:rPr>
                <w:sz w:val="20"/>
                <w:lang w:val="fr-CA"/>
              </w:rPr>
              <w:t>e</w:t>
            </w:r>
            <w:r w:rsidRPr="002528DF">
              <w:rPr>
                <w:sz w:val="20"/>
                <w:lang w:val="fr-CA"/>
              </w:rPr>
              <w:noBreakHyphen/>
              <w:t>Britannique, a accueilli la demande de divulgation déposée par M. Galloway et a ordonné à A.B. de produire et de divulguer divers documents et correspondances liés à sa divulgation des allégations. La Cour d’appel a rejeté à l’unanimité l’appel d’A.B., concluant que la divulgation ordonnée par la juge en cabinet était mesurée quant à sa portée et justifiée par sa pertinence.</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2 août 2019</w:t>
            </w:r>
          </w:p>
          <w:p w:rsidR="0095757D" w:rsidRPr="002528DF" w:rsidRDefault="0095757D" w:rsidP="002528DF">
            <w:pPr>
              <w:jc w:val="both"/>
              <w:rPr>
                <w:sz w:val="20"/>
                <w:lang w:val="fr-CA"/>
              </w:rPr>
            </w:pPr>
            <w:r w:rsidRPr="002528DF">
              <w:rPr>
                <w:sz w:val="20"/>
                <w:lang w:val="fr-CA"/>
              </w:rPr>
              <w:t>Cour suprême de la Colombie</w:t>
            </w:r>
            <w:r w:rsidRPr="002528DF">
              <w:rPr>
                <w:sz w:val="20"/>
                <w:lang w:val="fr-CA"/>
              </w:rPr>
              <w:noBreakHyphen/>
              <w:t>Britannique</w:t>
            </w:r>
          </w:p>
          <w:p w:rsidR="0095757D" w:rsidRPr="002528DF" w:rsidRDefault="0095757D" w:rsidP="002528DF">
            <w:pPr>
              <w:jc w:val="both"/>
              <w:rPr>
                <w:sz w:val="20"/>
              </w:rPr>
            </w:pPr>
            <w:r w:rsidRPr="002528DF">
              <w:rPr>
                <w:sz w:val="20"/>
              </w:rPr>
              <w:t>(Juge Murray)</w:t>
            </w:r>
          </w:p>
          <w:p w:rsidR="0095757D" w:rsidRPr="002528DF" w:rsidRDefault="00C377A8" w:rsidP="002528DF">
            <w:pPr>
              <w:jc w:val="both"/>
              <w:rPr>
                <w:sz w:val="20"/>
              </w:rPr>
            </w:pPr>
            <w:hyperlink r:id="rId26" w:history="1">
              <w:r w:rsidR="0095757D" w:rsidRPr="002528DF">
                <w:rPr>
                  <w:rStyle w:val="Hyperlink"/>
                  <w:sz w:val="20"/>
                </w:rPr>
                <w:t>2019 BCSC 1417</w:t>
              </w:r>
            </w:hyperlink>
            <w:r w:rsidR="0095757D" w:rsidRPr="002528DF">
              <w:rPr>
                <w:sz w:val="20"/>
              </w:rPr>
              <w:t xml:space="preserve"> </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lang w:val="fr-CA"/>
              </w:rPr>
            </w:pPr>
            <w:r w:rsidRPr="002528DF">
              <w:rPr>
                <w:sz w:val="20"/>
                <w:lang w:val="fr-CA"/>
              </w:rPr>
              <w:t xml:space="preserve">Jugement accueillant la demande de Steven Galloway pour la production et la divulgation de certains documents </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8 avril 2020</w:t>
            </w:r>
          </w:p>
          <w:p w:rsidR="0095757D" w:rsidRPr="002528DF" w:rsidRDefault="0095757D" w:rsidP="002528DF">
            <w:pPr>
              <w:jc w:val="both"/>
              <w:rPr>
                <w:sz w:val="20"/>
                <w:lang w:val="fr-CA"/>
              </w:rPr>
            </w:pPr>
            <w:r w:rsidRPr="002528DF">
              <w:rPr>
                <w:sz w:val="20"/>
                <w:lang w:val="fr-CA"/>
              </w:rPr>
              <w:t>Cour d’appel de la Colombie</w:t>
            </w:r>
            <w:r w:rsidRPr="002528DF">
              <w:rPr>
                <w:sz w:val="20"/>
                <w:lang w:val="fr-CA"/>
              </w:rPr>
              <w:noBreakHyphen/>
              <w:t>Britannique</w:t>
            </w:r>
          </w:p>
          <w:p w:rsidR="0095757D" w:rsidRPr="002528DF" w:rsidRDefault="0095757D" w:rsidP="002528DF">
            <w:pPr>
              <w:jc w:val="both"/>
              <w:rPr>
                <w:sz w:val="20"/>
                <w:lang w:val="fr-CA"/>
              </w:rPr>
            </w:pPr>
            <w:r w:rsidRPr="002528DF">
              <w:rPr>
                <w:sz w:val="20"/>
                <w:lang w:val="fr-CA"/>
              </w:rPr>
              <w:t>(Vancouver)</w:t>
            </w:r>
          </w:p>
          <w:p w:rsidR="0095757D" w:rsidRPr="002528DF" w:rsidRDefault="0095757D" w:rsidP="002528DF">
            <w:pPr>
              <w:jc w:val="both"/>
              <w:rPr>
                <w:sz w:val="20"/>
                <w:lang w:val="fr-CA"/>
              </w:rPr>
            </w:pPr>
            <w:r w:rsidRPr="002528DF">
              <w:rPr>
                <w:sz w:val="20"/>
                <w:lang w:val="fr-CA"/>
              </w:rPr>
              <w:t xml:space="preserve">(Juges </w:t>
            </w:r>
            <w:proofErr w:type="spellStart"/>
            <w:r w:rsidRPr="002528DF">
              <w:rPr>
                <w:sz w:val="20"/>
                <w:lang w:val="fr-CA"/>
              </w:rPr>
              <w:t>Bauman</w:t>
            </w:r>
            <w:proofErr w:type="spellEnd"/>
            <w:r w:rsidRPr="002528DF">
              <w:rPr>
                <w:sz w:val="20"/>
                <w:lang w:val="fr-CA"/>
              </w:rPr>
              <w:t xml:space="preserve">, </w:t>
            </w:r>
            <w:proofErr w:type="spellStart"/>
            <w:r w:rsidRPr="002528DF">
              <w:rPr>
                <w:sz w:val="20"/>
                <w:lang w:val="fr-CA"/>
              </w:rPr>
              <w:t>Tysoe</w:t>
            </w:r>
            <w:proofErr w:type="spellEnd"/>
            <w:r w:rsidRPr="002528DF">
              <w:rPr>
                <w:sz w:val="20"/>
                <w:lang w:val="fr-CA"/>
              </w:rPr>
              <w:t xml:space="preserve"> et </w:t>
            </w:r>
            <w:proofErr w:type="spellStart"/>
            <w:r w:rsidRPr="002528DF">
              <w:rPr>
                <w:sz w:val="20"/>
                <w:lang w:val="fr-CA"/>
              </w:rPr>
              <w:t>Abrioux</w:t>
            </w:r>
            <w:proofErr w:type="spellEnd"/>
            <w:r w:rsidRPr="002528DF">
              <w:rPr>
                <w:sz w:val="20"/>
                <w:lang w:val="fr-CA"/>
              </w:rPr>
              <w:t>)</w:t>
            </w:r>
          </w:p>
          <w:p w:rsidR="0095757D" w:rsidRPr="002528DF" w:rsidRDefault="00C377A8" w:rsidP="002528DF">
            <w:pPr>
              <w:jc w:val="both"/>
              <w:rPr>
                <w:sz w:val="20"/>
              </w:rPr>
            </w:pPr>
            <w:hyperlink r:id="rId27" w:history="1">
              <w:r w:rsidR="0095757D" w:rsidRPr="002528DF">
                <w:rPr>
                  <w:rStyle w:val="Hyperlink"/>
                  <w:sz w:val="20"/>
                </w:rPr>
                <w:t>2020 BCCA 106</w:t>
              </w:r>
            </w:hyperlink>
            <w:r w:rsidR="0095757D" w:rsidRPr="002528DF">
              <w:rPr>
                <w:sz w:val="20"/>
              </w:rPr>
              <w:t xml:space="preserve"> </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lang w:val="fr-CA"/>
              </w:rPr>
            </w:pPr>
            <w:r w:rsidRPr="002528DF">
              <w:rPr>
                <w:sz w:val="20"/>
                <w:lang w:val="fr-CA"/>
              </w:rPr>
              <w:t xml:space="preserve">Rejet de l’appel d’A.B. </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4 juin 2020</w:t>
            </w:r>
          </w:p>
          <w:p w:rsidR="0095757D" w:rsidRPr="002528DF" w:rsidRDefault="0095757D" w:rsidP="002528DF">
            <w:pPr>
              <w:jc w:val="both"/>
              <w:rPr>
                <w:sz w:val="20"/>
                <w:lang w:val="fr-CA"/>
              </w:rPr>
            </w:pPr>
            <w:r w:rsidRPr="002528DF">
              <w:rPr>
                <w:sz w:val="20"/>
                <w:lang w:val="fr-CA"/>
              </w:rPr>
              <w:t>Cour suprême du Canada</w:t>
            </w: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Dépôt par A.B. de la demande d’autorisation d’appel</w:t>
            </w:r>
          </w:p>
        </w:tc>
      </w:tr>
    </w:tbl>
    <w:p w:rsidR="0095757D" w:rsidRPr="002528DF" w:rsidRDefault="0095757D" w:rsidP="002528DF">
      <w:pPr>
        <w:jc w:val="both"/>
        <w:rPr>
          <w:sz w:val="20"/>
          <w:lang w:val="fr-CA"/>
        </w:rPr>
      </w:pPr>
    </w:p>
    <w:p w:rsidR="0095757D" w:rsidRPr="002528DF" w:rsidRDefault="00C377A8" w:rsidP="002528DF">
      <w:pPr>
        <w:widowControl w:val="0"/>
        <w:jc w:val="both"/>
        <w:rPr>
          <w:sz w:val="20"/>
          <w:lang w:val="fr-CA"/>
        </w:rPr>
      </w:pPr>
      <w:r>
        <w:rPr>
          <w:sz w:val="20"/>
        </w:rPr>
        <w:pict>
          <v:rect id="_x0000_i1032" style="width:2in;height:1pt" o:hrpct="0" o:hralign="center" o:hrstd="t" o:hrnoshade="t" o:hr="t" fillcolor="black [3213]" stroked="f"/>
        </w:pict>
      </w:r>
    </w:p>
    <w:p w:rsidR="0095757D" w:rsidRPr="002528DF" w:rsidRDefault="0095757D" w:rsidP="002528D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39122</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City of Corner Brook v. Mary Bailey</w:t>
            </w:r>
          </w:p>
          <w:p w:rsidR="0095757D" w:rsidRPr="002528DF" w:rsidRDefault="0095757D" w:rsidP="002528DF">
            <w:pPr>
              <w:jc w:val="both"/>
              <w:rPr>
                <w:sz w:val="20"/>
              </w:rPr>
            </w:pPr>
            <w:r w:rsidRPr="002528DF">
              <w:rPr>
                <w:sz w:val="20"/>
              </w:rPr>
              <w:t>(N.L.) (Civil) (By Leave)</w:t>
            </w:r>
          </w:p>
        </w:tc>
      </w:tr>
      <w:tr w:rsidR="0095757D" w:rsidRPr="002528DF" w:rsidTr="008467E7">
        <w:tc>
          <w:tcPr>
            <w:tcW w:w="5000" w:type="pct"/>
            <w:gridSpan w:val="4"/>
          </w:tcPr>
          <w:p w:rsidR="0095757D" w:rsidRPr="002528DF" w:rsidRDefault="0095757D" w:rsidP="002528DF">
            <w:pPr>
              <w:jc w:val="both"/>
              <w:rPr>
                <w:sz w:val="20"/>
              </w:rPr>
            </w:pPr>
            <w:r w:rsidRPr="002528DF">
              <w:rPr>
                <w:sz w:val="20"/>
              </w:rPr>
              <w:t>Contracts — Interpretation — Releases — Parties entering into release agreement by which motorist released municipality from liability in relation to an accident and, more particularly, in relation to a specified action relating to that accident — Motorist’s insurer subsequently bringing third party claim against municipality in separate action relating to same accident — Municipality claiming release agreement barred third party claim — Trial judge finding release barred third party claim — Court of Appeal holding third party claim not barred by release and reinstating third party claim — Whether release and indemnity agreements are subject to ordinary rules of contractual interpretation or whether there is a special rule of interpretation that limits their scope — If there is a special rule, whether it requires that parties describe every claim that could be released or whether it only requires that  parties know the facts that could give rise to a released claim — Whether releasers can release unknown claims, and if so, whether they can do so by using broad and general language.</w:t>
            </w:r>
          </w:p>
        </w:tc>
      </w:tr>
      <w:tr w:rsidR="0095757D" w:rsidRPr="002528DF" w:rsidTr="008467E7">
        <w:tc>
          <w:tcPr>
            <w:tcW w:w="5000" w:type="pct"/>
            <w:gridSpan w:val="4"/>
          </w:tcPr>
          <w:p w:rsidR="0095757D" w:rsidRPr="002528DF" w:rsidRDefault="0095757D" w:rsidP="002528DF">
            <w:pPr>
              <w:jc w:val="both"/>
              <w:rPr>
                <w:sz w:val="20"/>
              </w:rPr>
            </w:pPr>
          </w:p>
        </w:tc>
      </w:tr>
      <w:tr w:rsidR="0095757D" w:rsidRPr="002528DF" w:rsidTr="008467E7">
        <w:tc>
          <w:tcPr>
            <w:tcW w:w="5000" w:type="pct"/>
            <w:gridSpan w:val="4"/>
          </w:tcPr>
          <w:p w:rsidR="0095757D" w:rsidRPr="002528DF" w:rsidRDefault="0095757D" w:rsidP="002528DF">
            <w:pPr>
              <w:jc w:val="both"/>
              <w:rPr>
                <w:sz w:val="20"/>
              </w:rPr>
            </w:pPr>
            <w:r w:rsidRPr="002528DF">
              <w:rPr>
                <w:sz w:val="20"/>
              </w:rPr>
              <w:t xml:space="preserve">The respondent, Ms. Bailey, struck a city employee with her husband’s motor vehicle when the employee was performing road work. The employee commenced an action against her (“employee action”). She referred the matter to her insurer. Ms. Bailey and her husband then commenced a separate action against the applicant, the City of Corner Brook (“City”) for alleged property damage and physical injury arising from the accident. The Baileys settled their claim with the City; they executed a release through their respective legal representatives and discontinued their action. Four years later, in the course of the employee action, counsel for Ms. Bailey’s automobile insurers filed a defence and issued a third party notice to the City claiming that the City was liable to the employee. The City took the position that the release precluded such a claim. The trial judge granted the City’s application for summary trial. The Court of Appeal allowed Ms. Bailey’s appeal, interpreting the release as releasing only the claims in the action the Baileys had commenced against the City and not applying to a claim to recover damages of a third party. </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August 28, 2018</w:t>
            </w:r>
          </w:p>
          <w:p w:rsidR="0095757D" w:rsidRPr="002528DF" w:rsidRDefault="0095757D" w:rsidP="002528DF">
            <w:pPr>
              <w:jc w:val="both"/>
              <w:rPr>
                <w:sz w:val="20"/>
              </w:rPr>
            </w:pPr>
            <w:r w:rsidRPr="002528DF">
              <w:rPr>
                <w:sz w:val="20"/>
              </w:rPr>
              <w:t>Supreme Court of Newfoundland and</w:t>
            </w:r>
          </w:p>
          <w:p w:rsidR="0095757D" w:rsidRPr="002528DF" w:rsidRDefault="0095757D" w:rsidP="002528DF">
            <w:pPr>
              <w:jc w:val="both"/>
              <w:rPr>
                <w:sz w:val="20"/>
              </w:rPr>
            </w:pPr>
            <w:r w:rsidRPr="002528DF">
              <w:rPr>
                <w:sz w:val="20"/>
              </w:rPr>
              <w:t>Labrador, General Division</w:t>
            </w:r>
          </w:p>
          <w:p w:rsidR="0095757D" w:rsidRPr="002528DF" w:rsidRDefault="0095757D" w:rsidP="002528DF">
            <w:pPr>
              <w:jc w:val="both"/>
              <w:rPr>
                <w:sz w:val="20"/>
              </w:rPr>
            </w:pPr>
            <w:r w:rsidRPr="002528DF">
              <w:rPr>
                <w:sz w:val="20"/>
              </w:rPr>
              <w:t>(Murphy J.)</w:t>
            </w:r>
          </w:p>
          <w:p w:rsidR="0095757D" w:rsidRPr="002528DF" w:rsidRDefault="00C377A8" w:rsidP="002528DF">
            <w:pPr>
              <w:jc w:val="both"/>
              <w:rPr>
                <w:sz w:val="20"/>
              </w:rPr>
            </w:pPr>
            <w:hyperlink r:id="rId28" w:history="1">
              <w:r w:rsidR="0095757D" w:rsidRPr="002528DF">
                <w:rPr>
                  <w:rStyle w:val="Hyperlink"/>
                  <w:sz w:val="20"/>
                </w:rPr>
                <w:t>2018 NLSC 177</w:t>
              </w:r>
            </w:hyperlink>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 xml:space="preserve">Applicant’s application for summary trial granted. Respondent’s third party claim against the applicant stayed. </w:t>
            </w:r>
          </w:p>
          <w:p w:rsidR="0095757D" w:rsidRPr="002528DF" w:rsidRDefault="0095757D" w:rsidP="002528DF">
            <w:pPr>
              <w:jc w:val="both"/>
              <w:rPr>
                <w:sz w:val="20"/>
              </w:rPr>
            </w:pP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February 4, 2020</w:t>
            </w:r>
          </w:p>
          <w:p w:rsidR="0095757D" w:rsidRPr="002528DF" w:rsidRDefault="0095757D" w:rsidP="002528DF">
            <w:pPr>
              <w:jc w:val="both"/>
              <w:rPr>
                <w:sz w:val="20"/>
              </w:rPr>
            </w:pPr>
            <w:r w:rsidRPr="002528DF">
              <w:rPr>
                <w:sz w:val="20"/>
              </w:rPr>
              <w:t>Court of Appeal of Newfoundland and</w:t>
            </w:r>
          </w:p>
          <w:p w:rsidR="0095757D" w:rsidRPr="002528DF" w:rsidRDefault="0095757D" w:rsidP="002528DF">
            <w:pPr>
              <w:jc w:val="both"/>
              <w:rPr>
                <w:sz w:val="20"/>
              </w:rPr>
            </w:pPr>
            <w:r w:rsidRPr="002528DF">
              <w:rPr>
                <w:sz w:val="20"/>
              </w:rPr>
              <w:t>Labrador</w:t>
            </w:r>
          </w:p>
          <w:p w:rsidR="0095757D" w:rsidRPr="002528DF" w:rsidRDefault="0095757D" w:rsidP="002528DF">
            <w:pPr>
              <w:jc w:val="both"/>
              <w:rPr>
                <w:sz w:val="20"/>
              </w:rPr>
            </w:pPr>
            <w:r w:rsidRPr="002528DF">
              <w:rPr>
                <w:sz w:val="20"/>
              </w:rPr>
              <w:t>(Green, O’Brien, Butler JJ.A.)</w:t>
            </w:r>
          </w:p>
          <w:p w:rsidR="0095757D" w:rsidRPr="002528DF" w:rsidRDefault="00C377A8" w:rsidP="002528DF">
            <w:pPr>
              <w:jc w:val="both"/>
              <w:rPr>
                <w:sz w:val="20"/>
              </w:rPr>
            </w:pPr>
            <w:hyperlink r:id="rId29" w:history="1">
              <w:r w:rsidR="0095757D" w:rsidRPr="002528DF">
                <w:rPr>
                  <w:rStyle w:val="Hyperlink"/>
                  <w:sz w:val="20"/>
                </w:rPr>
                <w:t>2020 NLCA 3</w:t>
              </w:r>
            </w:hyperlink>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 xml:space="preserve">Respondent’s appeal allowed. Respondent’s third party claim against the applicant reinstated. </w:t>
            </w:r>
          </w:p>
          <w:p w:rsidR="0095757D" w:rsidRPr="002528DF" w:rsidRDefault="0095757D" w:rsidP="002528DF">
            <w:pPr>
              <w:jc w:val="both"/>
              <w:rPr>
                <w:sz w:val="20"/>
              </w:rPr>
            </w:pP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April 6, 2020</w:t>
            </w:r>
          </w:p>
          <w:p w:rsidR="0095757D" w:rsidRPr="002528DF" w:rsidRDefault="0095757D" w:rsidP="002528DF">
            <w:pPr>
              <w:jc w:val="both"/>
              <w:rPr>
                <w:sz w:val="20"/>
              </w:rPr>
            </w:pPr>
            <w:r w:rsidRPr="002528DF">
              <w:rPr>
                <w:sz w:val="20"/>
              </w:rPr>
              <w:t>Supreme Court of Canada</w:t>
            </w: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Application for leave to appeal filed.</w:t>
            </w:r>
          </w:p>
        </w:tc>
      </w:tr>
    </w:tbl>
    <w:p w:rsidR="0095757D" w:rsidRPr="002528DF" w:rsidRDefault="0095757D" w:rsidP="002528DF">
      <w:pPr>
        <w:jc w:val="both"/>
        <w:rPr>
          <w:sz w:val="20"/>
        </w:rPr>
      </w:pPr>
    </w:p>
    <w:p w:rsidR="0095757D" w:rsidRPr="002528DF" w:rsidRDefault="00C377A8" w:rsidP="002528DF">
      <w:pPr>
        <w:jc w:val="both"/>
        <w:rPr>
          <w:sz w:val="20"/>
        </w:rPr>
      </w:pPr>
      <w:r>
        <w:rPr>
          <w:sz w:val="20"/>
        </w:rPr>
        <w:pict>
          <v:rect id="_x0000_i1033" style="width:2in;height:1pt" o:hrpct="0" o:hralign="center" o:hrstd="t" o:hrnoshade="t" o:hr="t" fillcolor="black [3213]" stroked="f"/>
        </w:pict>
      </w:r>
    </w:p>
    <w:p w:rsidR="0095757D" w:rsidRPr="002528DF" w:rsidRDefault="0095757D" w:rsidP="002528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C377A8" w:rsidTr="008467E7">
        <w:tc>
          <w:tcPr>
            <w:tcW w:w="543" w:type="pct"/>
          </w:tcPr>
          <w:p w:rsidR="0095757D" w:rsidRPr="002528DF" w:rsidRDefault="0095757D" w:rsidP="002528DF">
            <w:pPr>
              <w:jc w:val="both"/>
              <w:rPr>
                <w:sz w:val="20"/>
                <w:lang w:val="fr-CA"/>
              </w:rPr>
            </w:pPr>
            <w:r w:rsidRPr="002528DF">
              <w:rPr>
                <w:rStyle w:val="SCCFileNumberChar"/>
                <w:sz w:val="20"/>
                <w:szCs w:val="20"/>
                <w:lang w:val="fr-CA"/>
              </w:rPr>
              <w:t>39122</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City of Corner Brook c. Mary Bailey</w:t>
            </w:r>
          </w:p>
          <w:p w:rsidR="0095757D" w:rsidRPr="002528DF" w:rsidRDefault="0095757D" w:rsidP="002528DF">
            <w:pPr>
              <w:jc w:val="both"/>
              <w:rPr>
                <w:sz w:val="20"/>
                <w:lang w:val="fr-CA"/>
              </w:rPr>
            </w:pPr>
            <w:r w:rsidRPr="002528DF">
              <w:rPr>
                <w:sz w:val="20"/>
                <w:lang w:val="fr-CA"/>
              </w:rPr>
              <w:t>(T.</w:t>
            </w:r>
            <w:r w:rsidRPr="002528DF">
              <w:rPr>
                <w:sz w:val="20"/>
                <w:lang w:val="fr-CA"/>
              </w:rPr>
              <w:noBreakHyphen/>
              <w:t>N.</w:t>
            </w:r>
            <w:r w:rsidRPr="002528DF">
              <w:rPr>
                <w:sz w:val="20"/>
                <w:lang w:val="fr-CA"/>
              </w:rPr>
              <w:noBreakHyphen/>
              <w:t>L.) (Civile) (Autorisation)</w:t>
            </w:r>
          </w:p>
        </w:tc>
      </w:tr>
      <w:tr w:rsidR="0095757D" w:rsidRPr="00C377A8" w:rsidTr="008467E7">
        <w:tc>
          <w:tcPr>
            <w:tcW w:w="5000" w:type="pct"/>
            <w:gridSpan w:val="4"/>
          </w:tcPr>
          <w:p w:rsidR="0095757D" w:rsidRPr="002528DF" w:rsidRDefault="0095757D" w:rsidP="002528DF">
            <w:pPr>
              <w:jc w:val="both"/>
              <w:rPr>
                <w:sz w:val="20"/>
                <w:lang w:val="fr-CA"/>
              </w:rPr>
            </w:pPr>
            <w:r w:rsidRPr="002528DF">
              <w:rPr>
                <w:sz w:val="20"/>
                <w:lang w:val="fr-CA"/>
              </w:rPr>
              <w:t>Contrats — Interprétation — Décharges — Les parties ont conclu une convention de décharge par laquelle l’automobiliste a déchargé la municipalité de toute responsabilité en lien avec un accident et, plus particulièrement, en lien avec une action précise portant sur cet accident — L’assureur de l’automobiliste a subséquemment mis en cause la municipalité dans une action distincte portant sur le même accident — La municipalité soutient que la convention de décharge empêche la mise en cause — Le juge de première instance a conclu que la décharge empêchait la mise en cause — La Cour d’appel a statué que la décharge n’empêchait pas la mise en cause et a rétabli cette dernière — Les conventions de décharge et d’indemnisation sont</w:t>
            </w:r>
            <w:r w:rsidRPr="002528DF">
              <w:rPr>
                <w:sz w:val="20"/>
                <w:lang w:val="fr-CA"/>
              </w:rPr>
              <w:noBreakHyphen/>
              <w:t>elles soumises aux règles ordinaires d’interprétation contractuelle ou existe</w:t>
            </w:r>
            <w:r w:rsidRPr="002528DF">
              <w:rPr>
                <w:sz w:val="20"/>
                <w:lang w:val="fr-CA"/>
              </w:rPr>
              <w:noBreakHyphen/>
              <w:t>t</w:t>
            </w:r>
            <w:r w:rsidRPr="002528DF">
              <w:rPr>
                <w:sz w:val="20"/>
                <w:lang w:val="fr-CA"/>
              </w:rPr>
              <w:noBreakHyphen/>
              <w:t>il une règle d’interprétation particulière qui en limite la portée? — S’il existe une règle particulière, oblige</w:t>
            </w:r>
            <w:r w:rsidRPr="002528DF">
              <w:rPr>
                <w:sz w:val="20"/>
                <w:lang w:val="fr-CA"/>
              </w:rPr>
              <w:noBreakHyphen/>
              <w:t>t-elle les parties à décrire toutes les réclamations susceptibles d’être l’objet de la décharge ou se limite</w:t>
            </w:r>
            <w:r w:rsidRPr="002528DF">
              <w:rPr>
                <w:sz w:val="20"/>
                <w:lang w:val="fr-CA"/>
              </w:rPr>
              <w:noBreakHyphen/>
              <w:t>t</w:t>
            </w:r>
            <w:r w:rsidRPr="002528DF">
              <w:rPr>
                <w:sz w:val="20"/>
                <w:lang w:val="fr-CA"/>
              </w:rPr>
              <w:noBreakHyphen/>
              <w:t>elle à obliger les parties à connaître les faits susceptibles de donner naissance à une réclamation faisant l’objet de la décharge? — Les auteurs de décharges peuvent</w:t>
            </w:r>
            <w:r w:rsidRPr="002528DF">
              <w:rPr>
                <w:sz w:val="20"/>
                <w:lang w:val="fr-CA"/>
              </w:rPr>
              <w:noBreakHyphen/>
              <w:t>ils donner des décharges à l’égard de réclamations inconnues et, dans l’affirmation, peuvent</w:t>
            </w:r>
            <w:r w:rsidRPr="002528DF">
              <w:rPr>
                <w:sz w:val="20"/>
                <w:lang w:val="fr-CA"/>
              </w:rPr>
              <w:noBreakHyphen/>
              <w:t>ils le faire en employant un libellé large et général?</w:t>
            </w:r>
          </w:p>
        </w:tc>
      </w:tr>
      <w:tr w:rsidR="0095757D" w:rsidRPr="00C377A8" w:rsidTr="008467E7">
        <w:tc>
          <w:tcPr>
            <w:tcW w:w="5000" w:type="pct"/>
            <w:gridSpan w:val="4"/>
          </w:tcPr>
          <w:p w:rsidR="0095757D" w:rsidRPr="002528DF" w:rsidRDefault="0095757D" w:rsidP="002528DF">
            <w:pPr>
              <w:jc w:val="both"/>
              <w:rPr>
                <w:sz w:val="20"/>
                <w:lang w:val="fr-CA"/>
              </w:rPr>
            </w:pPr>
          </w:p>
        </w:tc>
      </w:tr>
      <w:tr w:rsidR="0095757D" w:rsidRPr="00C377A8" w:rsidTr="008467E7">
        <w:tc>
          <w:tcPr>
            <w:tcW w:w="5000" w:type="pct"/>
            <w:gridSpan w:val="4"/>
          </w:tcPr>
          <w:p w:rsidR="0095757D" w:rsidRPr="002528DF" w:rsidRDefault="0095757D" w:rsidP="002528DF">
            <w:pPr>
              <w:jc w:val="both"/>
              <w:rPr>
                <w:sz w:val="20"/>
                <w:lang w:val="fr-CA"/>
              </w:rPr>
            </w:pPr>
            <w:r w:rsidRPr="002528DF">
              <w:rPr>
                <w:sz w:val="20"/>
                <w:lang w:val="fr-CA"/>
              </w:rPr>
              <w:t>L’intimée, Mme Bailey, au volant l’automobile de son époux, a heurté un employé municipal qui effectuait des travaux de voirie. L’employé a intenté une action contre elle (« l’action de l’employé »). Elle a renvoyé l’affaire à son assureur. Madame Bailey et son époux ont ensuite intenté une action distincte contre la demanderesse, la Ville de Corner Brook (« la Ville ») au titre des dommages matériels et de blessures corporelles qui auraient découlé de l’accident. Les Bailey ont réglé à l’amiable leur réclamation avec la Ville; ils ont signé une décharge par l’entremise de leurs représentants juridiques respectifs et ont mis fin à leur action. Quatre ans plus tard, dans le cadre de l’action de l’employé, l’avocat des assureurs automobile de Mme Bailey a déposé une défense et a transmis un avis de mise en cause à la municipalité alléguant que la municipalité était responsable envers l’employé. La Ville a soutenu que la décharge empêchait une telle mise en cause. Le juge de première instance a accueilli la demande de procès sommaire de la Ville. La Cour d’appel a accueilli l’appel de Mme Bailey, interprétant la décharge comme se limitant aux réclamations dans l’action que les Bailey avaient intentée contre la Ville et ne s’appliquant pas à une réclamation en recouvrement de dommages</w:t>
            </w:r>
            <w:r w:rsidRPr="002528DF">
              <w:rPr>
                <w:sz w:val="20"/>
                <w:lang w:val="fr-CA"/>
              </w:rPr>
              <w:noBreakHyphen/>
              <w:t xml:space="preserve">intérêts d’un tiers. </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28 août 2018</w:t>
            </w:r>
          </w:p>
          <w:p w:rsidR="0095757D" w:rsidRPr="002528DF" w:rsidRDefault="0095757D" w:rsidP="002528DF">
            <w:pPr>
              <w:jc w:val="both"/>
              <w:rPr>
                <w:sz w:val="20"/>
                <w:lang w:val="fr-CA"/>
              </w:rPr>
            </w:pPr>
            <w:r w:rsidRPr="002528DF">
              <w:rPr>
                <w:sz w:val="20"/>
                <w:lang w:val="fr-CA"/>
              </w:rPr>
              <w:t>Cour suprême de Terre</w:t>
            </w:r>
            <w:r w:rsidRPr="002528DF">
              <w:rPr>
                <w:sz w:val="20"/>
                <w:lang w:val="fr-CA"/>
              </w:rPr>
              <w:noBreakHyphen/>
              <w:t>Neuve</w:t>
            </w:r>
            <w:r w:rsidRPr="002528DF">
              <w:rPr>
                <w:sz w:val="20"/>
                <w:lang w:val="fr-CA"/>
              </w:rPr>
              <w:noBreakHyphen/>
              <w:t>et</w:t>
            </w:r>
            <w:r w:rsidRPr="002528DF">
              <w:rPr>
                <w:sz w:val="20"/>
                <w:lang w:val="fr-CA"/>
              </w:rPr>
              <w:noBreakHyphen/>
              <w:t>Labrador, Section générale</w:t>
            </w:r>
          </w:p>
          <w:p w:rsidR="0095757D" w:rsidRPr="002528DF" w:rsidRDefault="0095757D" w:rsidP="002528DF">
            <w:pPr>
              <w:jc w:val="both"/>
              <w:rPr>
                <w:sz w:val="20"/>
                <w:lang w:val="fr-CA"/>
              </w:rPr>
            </w:pPr>
            <w:r w:rsidRPr="002528DF">
              <w:rPr>
                <w:sz w:val="20"/>
                <w:lang w:val="fr-CA"/>
              </w:rPr>
              <w:t>(Juge Murphy)</w:t>
            </w:r>
          </w:p>
          <w:p w:rsidR="0095757D" w:rsidRPr="002528DF" w:rsidRDefault="00C377A8" w:rsidP="002528DF">
            <w:pPr>
              <w:jc w:val="both"/>
              <w:rPr>
                <w:sz w:val="20"/>
                <w:lang w:val="fr-CA"/>
              </w:rPr>
            </w:pPr>
            <w:hyperlink r:id="rId30" w:history="1">
              <w:r w:rsidR="0095757D" w:rsidRPr="002528DF">
                <w:rPr>
                  <w:rStyle w:val="Hyperlink"/>
                  <w:sz w:val="20"/>
                  <w:lang w:val="fr-CA"/>
                </w:rPr>
                <w:t>2018 NLSC 177</w:t>
              </w:r>
            </w:hyperlink>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 xml:space="preserve">Jugement accueillant la requête de la demanderesse en procès sommaire et suspendant la mise en cause de la demanderesse par l’intimée. </w:t>
            </w:r>
          </w:p>
          <w:p w:rsidR="0095757D" w:rsidRPr="002528DF" w:rsidRDefault="0095757D" w:rsidP="002528DF">
            <w:pPr>
              <w:jc w:val="both"/>
              <w:rPr>
                <w:sz w:val="20"/>
                <w:lang w:val="fr-CA"/>
              </w:rPr>
            </w:pP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4 février 2020</w:t>
            </w:r>
          </w:p>
          <w:p w:rsidR="0095757D" w:rsidRPr="002528DF" w:rsidRDefault="0095757D" w:rsidP="002528DF">
            <w:pPr>
              <w:jc w:val="both"/>
              <w:rPr>
                <w:sz w:val="20"/>
                <w:lang w:val="fr-CA"/>
              </w:rPr>
            </w:pPr>
            <w:r w:rsidRPr="002528DF">
              <w:rPr>
                <w:sz w:val="20"/>
                <w:lang w:val="fr-CA"/>
              </w:rPr>
              <w:t>Cour d’appel de Terre</w:t>
            </w:r>
            <w:r w:rsidRPr="002528DF">
              <w:rPr>
                <w:sz w:val="20"/>
                <w:lang w:val="fr-CA"/>
              </w:rPr>
              <w:noBreakHyphen/>
              <w:t>Neuve</w:t>
            </w:r>
            <w:r w:rsidRPr="002528DF">
              <w:rPr>
                <w:sz w:val="20"/>
                <w:lang w:val="fr-CA"/>
              </w:rPr>
              <w:noBreakHyphen/>
              <w:t>et</w:t>
            </w:r>
            <w:r w:rsidRPr="002528DF">
              <w:rPr>
                <w:sz w:val="20"/>
                <w:lang w:val="fr-CA"/>
              </w:rPr>
              <w:noBreakHyphen/>
              <w:t>Labrador</w:t>
            </w:r>
          </w:p>
          <w:p w:rsidR="0095757D" w:rsidRPr="002528DF" w:rsidRDefault="0095757D" w:rsidP="002528DF">
            <w:pPr>
              <w:jc w:val="both"/>
              <w:rPr>
                <w:sz w:val="20"/>
                <w:lang w:val="fr-CA"/>
              </w:rPr>
            </w:pPr>
            <w:r w:rsidRPr="002528DF">
              <w:rPr>
                <w:sz w:val="20"/>
                <w:lang w:val="fr-CA"/>
              </w:rPr>
              <w:t>(Juges Green, O’Brien et Butler)</w:t>
            </w:r>
          </w:p>
          <w:p w:rsidR="0095757D" w:rsidRPr="002528DF" w:rsidRDefault="00C377A8" w:rsidP="002528DF">
            <w:pPr>
              <w:jc w:val="both"/>
              <w:rPr>
                <w:sz w:val="20"/>
                <w:lang w:val="fr-CA"/>
              </w:rPr>
            </w:pPr>
            <w:hyperlink r:id="rId31" w:history="1">
              <w:r w:rsidR="0095757D" w:rsidRPr="002528DF">
                <w:rPr>
                  <w:rStyle w:val="Hyperlink"/>
                  <w:sz w:val="20"/>
                  <w:lang w:val="fr-CA"/>
                </w:rPr>
                <w:t>2020 NLCA 3</w:t>
              </w:r>
            </w:hyperlink>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 xml:space="preserve">Arrêt accueillant l’appel de l’intimée, rétablissant la mise en cause de la demanderesse par l’intimée. </w:t>
            </w:r>
          </w:p>
          <w:p w:rsidR="0095757D" w:rsidRPr="002528DF" w:rsidRDefault="0095757D" w:rsidP="002528DF">
            <w:pPr>
              <w:jc w:val="both"/>
              <w:rPr>
                <w:sz w:val="20"/>
                <w:lang w:val="fr-CA"/>
              </w:rPr>
            </w:pP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6 avril 2020</w:t>
            </w:r>
          </w:p>
          <w:p w:rsidR="0095757D" w:rsidRPr="002528DF" w:rsidRDefault="0095757D" w:rsidP="002528DF">
            <w:pPr>
              <w:jc w:val="both"/>
              <w:rPr>
                <w:sz w:val="20"/>
                <w:lang w:val="fr-CA"/>
              </w:rPr>
            </w:pPr>
            <w:r w:rsidRPr="002528DF">
              <w:rPr>
                <w:sz w:val="20"/>
                <w:lang w:val="fr-CA"/>
              </w:rPr>
              <w:t>Cour suprême du Canada</w:t>
            </w: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Dépôt de la demande d’autorisation d’appel.</w:t>
            </w:r>
          </w:p>
        </w:tc>
      </w:tr>
    </w:tbl>
    <w:p w:rsidR="0095757D" w:rsidRPr="002528DF" w:rsidRDefault="0095757D" w:rsidP="002528DF">
      <w:pPr>
        <w:jc w:val="both"/>
        <w:rPr>
          <w:sz w:val="20"/>
          <w:lang w:val="fr-CA"/>
        </w:rPr>
      </w:pPr>
    </w:p>
    <w:p w:rsidR="0095757D" w:rsidRPr="002528DF" w:rsidRDefault="00C377A8" w:rsidP="002528DF">
      <w:pPr>
        <w:widowControl w:val="0"/>
        <w:jc w:val="both"/>
        <w:rPr>
          <w:sz w:val="20"/>
          <w:lang w:val="fr-CA"/>
        </w:rPr>
      </w:pPr>
      <w:r>
        <w:rPr>
          <w:sz w:val="20"/>
        </w:rPr>
        <w:pict>
          <v:rect id="_x0000_i1034" style="width:2in;height:1pt" o:hrpct="0" o:hralign="center" o:hrstd="t" o:hrnoshade="t" o:hr="t" fillcolor="black [3213]" stroked="f"/>
        </w:pict>
      </w:r>
    </w:p>
    <w:p w:rsidR="0095757D" w:rsidRPr="002528DF" w:rsidRDefault="0095757D" w:rsidP="002528D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39159</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David Gallant v. Her Majesty the Queen</w:t>
            </w:r>
          </w:p>
          <w:p w:rsidR="0095757D" w:rsidRPr="002528DF" w:rsidRDefault="0095757D" w:rsidP="002528DF">
            <w:pPr>
              <w:jc w:val="both"/>
              <w:rPr>
                <w:sz w:val="20"/>
              </w:rPr>
            </w:pPr>
            <w:r w:rsidRPr="002528DF">
              <w:rPr>
                <w:sz w:val="20"/>
              </w:rPr>
              <w:t>(B.C.) (Criminal) (By Leave)</w:t>
            </w:r>
          </w:p>
        </w:tc>
      </w:tr>
      <w:tr w:rsidR="0095757D" w:rsidRPr="002528DF" w:rsidTr="008467E7">
        <w:tc>
          <w:tcPr>
            <w:tcW w:w="5000" w:type="pct"/>
            <w:gridSpan w:val="4"/>
          </w:tcPr>
          <w:p w:rsidR="0095757D" w:rsidRPr="002528DF" w:rsidRDefault="0095757D" w:rsidP="002528DF">
            <w:pPr>
              <w:pStyle w:val="SCCBanSummary"/>
              <w:rPr>
                <w:sz w:val="20"/>
                <w:szCs w:val="20"/>
              </w:rPr>
            </w:pPr>
            <w:r w:rsidRPr="002528DF">
              <w:rPr>
                <w:sz w:val="20"/>
                <w:szCs w:val="20"/>
              </w:rPr>
              <w:t>(Publication ban in case)</w:t>
            </w:r>
          </w:p>
          <w:p w:rsidR="0095757D" w:rsidRPr="002528DF" w:rsidRDefault="0095757D" w:rsidP="002528DF">
            <w:pPr>
              <w:jc w:val="both"/>
              <w:rPr>
                <w:sz w:val="20"/>
              </w:rPr>
            </w:pPr>
          </w:p>
          <w:p w:rsidR="0095757D" w:rsidRPr="002528DF" w:rsidRDefault="0095757D" w:rsidP="002528DF">
            <w:pPr>
              <w:jc w:val="both"/>
              <w:rPr>
                <w:sz w:val="20"/>
              </w:rPr>
            </w:pPr>
            <w:r w:rsidRPr="002528DF">
              <w:rPr>
                <w:sz w:val="20"/>
              </w:rPr>
              <w:t>Criminal law — Reasonable verdict — Offence — Elements of offence — Degree of culpability for murder — First degree murder — Planning and deliberation — What is the test for the reasonableness of a conviction for first degree murder based on planning and deliberation —Whether planning and deliberation for minutes or seconds or moments is sufficient for a first degree murder conviction?</w:t>
            </w:r>
          </w:p>
        </w:tc>
      </w:tr>
      <w:tr w:rsidR="0095757D" w:rsidRPr="002528DF" w:rsidTr="008467E7">
        <w:tc>
          <w:tcPr>
            <w:tcW w:w="5000" w:type="pct"/>
            <w:gridSpan w:val="4"/>
          </w:tcPr>
          <w:p w:rsidR="0095757D" w:rsidRPr="002528DF" w:rsidRDefault="0095757D" w:rsidP="002528DF">
            <w:pPr>
              <w:jc w:val="both"/>
              <w:rPr>
                <w:sz w:val="20"/>
              </w:rPr>
            </w:pPr>
          </w:p>
          <w:p w:rsidR="0095757D" w:rsidRPr="002528DF" w:rsidRDefault="0095757D" w:rsidP="002528DF">
            <w:pPr>
              <w:jc w:val="both"/>
              <w:rPr>
                <w:sz w:val="20"/>
              </w:rPr>
            </w:pPr>
            <w:r w:rsidRPr="002528DF">
              <w:rPr>
                <w:color w:val="000000"/>
                <w:sz w:val="20"/>
              </w:rPr>
              <w:t>Mr. Erikson opened his apartment door after someone knocked on the door. He was immediately shot in the chest with a shotgun. The shot was fatal. Crown counsel alleged at trial that Mr. Gallant was the shooter. Mr. Gallant’s girlfriend testified that Mr. Gallant</w:t>
            </w:r>
            <w:r w:rsidRPr="002528DF">
              <w:rPr>
                <w:color w:val="000000"/>
                <w:spacing w:val="-1"/>
                <w:sz w:val="20"/>
              </w:rPr>
              <w:t xml:space="preserve"> had learned that Mr. Erikson had stolen drugs from his associate so they had decided to shoot him in the leg as payback. She testified that neither intended to kill Mr. Erikson</w:t>
            </w:r>
            <w:r w:rsidRPr="002528DF">
              <w:rPr>
                <w:color w:val="000000"/>
                <w:sz w:val="20"/>
              </w:rPr>
              <w:t xml:space="preserve">. </w:t>
            </w:r>
            <w:r w:rsidRPr="002528DF">
              <w:rPr>
                <w:sz w:val="20"/>
              </w:rPr>
              <w:t xml:space="preserve">The jury charge stated that a conviction for first degree murder required that Crown counsel had to prove that the murder was planned and deliberate. </w:t>
            </w:r>
            <w:r w:rsidRPr="002528DF">
              <w:rPr>
                <w:color w:val="000000"/>
                <w:sz w:val="20"/>
              </w:rPr>
              <w:t>The jury convicted Mr. Erikson of first degree murder. The British Columbia Court of Appeal dismissed an appeal.</w:t>
            </w:r>
          </w:p>
        </w:tc>
      </w:tr>
      <w:tr w:rsidR="0095757D" w:rsidRPr="002528DF" w:rsidTr="008467E7">
        <w:tc>
          <w:tcPr>
            <w:tcW w:w="5000" w:type="pct"/>
            <w:gridSpan w:val="4"/>
          </w:tcPr>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May 7, 2017</w:t>
            </w:r>
          </w:p>
          <w:p w:rsidR="0095757D" w:rsidRPr="002528DF" w:rsidRDefault="0095757D" w:rsidP="002528DF">
            <w:pPr>
              <w:jc w:val="both"/>
              <w:rPr>
                <w:sz w:val="20"/>
              </w:rPr>
            </w:pPr>
            <w:r w:rsidRPr="002528DF">
              <w:rPr>
                <w:sz w:val="20"/>
              </w:rPr>
              <w:t>Supreme Court of British Columbia</w:t>
            </w:r>
          </w:p>
          <w:p w:rsidR="0095757D" w:rsidRPr="002528DF" w:rsidRDefault="0095757D" w:rsidP="002528DF">
            <w:pPr>
              <w:jc w:val="both"/>
              <w:rPr>
                <w:sz w:val="20"/>
              </w:rPr>
            </w:pPr>
            <w:r w:rsidRPr="002528DF">
              <w:rPr>
                <w:sz w:val="20"/>
              </w:rPr>
              <w:t>(Ross J.)(Unreported))</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Conviction by jury of first degree murder</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June 5, 2019</w:t>
            </w:r>
          </w:p>
          <w:p w:rsidR="0095757D" w:rsidRPr="002528DF" w:rsidRDefault="0095757D" w:rsidP="002528DF">
            <w:pPr>
              <w:jc w:val="both"/>
              <w:rPr>
                <w:sz w:val="20"/>
              </w:rPr>
            </w:pPr>
            <w:r w:rsidRPr="002528DF">
              <w:rPr>
                <w:sz w:val="20"/>
              </w:rPr>
              <w:t xml:space="preserve">Court of Appeal for British Columbia </w:t>
            </w:r>
          </w:p>
          <w:p w:rsidR="0095757D" w:rsidRPr="002528DF" w:rsidRDefault="0095757D" w:rsidP="002528DF">
            <w:pPr>
              <w:jc w:val="both"/>
              <w:rPr>
                <w:sz w:val="20"/>
              </w:rPr>
            </w:pPr>
            <w:r w:rsidRPr="002528DF">
              <w:rPr>
                <w:sz w:val="20"/>
              </w:rPr>
              <w:t>(Vancouver)</w:t>
            </w:r>
          </w:p>
          <w:p w:rsidR="0095757D" w:rsidRPr="002528DF" w:rsidRDefault="0095757D" w:rsidP="002528DF">
            <w:pPr>
              <w:jc w:val="both"/>
              <w:rPr>
                <w:sz w:val="20"/>
              </w:rPr>
            </w:pPr>
            <w:r w:rsidRPr="002528DF">
              <w:rPr>
                <w:sz w:val="20"/>
              </w:rPr>
              <w:t>(Bennett, Savage, Butler JJ.A.)</w:t>
            </w:r>
          </w:p>
          <w:p w:rsidR="0095757D" w:rsidRPr="002528DF" w:rsidRDefault="00C377A8" w:rsidP="002528DF">
            <w:pPr>
              <w:jc w:val="both"/>
              <w:rPr>
                <w:sz w:val="20"/>
              </w:rPr>
            </w:pPr>
            <w:hyperlink r:id="rId32" w:history="1">
              <w:r w:rsidR="0095757D" w:rsidRPr="002528DF">
                <w:rPr>
                  <w:rStyle w:val="Hyperlink"/>
                  <w:sz w:val="20"/>
                </w:rPr>
                <w:t>2019 BCCA 193</w:t>
              </w:r>
            </w:hyperlink>
            <w:r w:rsidR="0095757D" w:rsidRPr="002528DF">
              <w:rPr>
                <w:sz w:val="20"/>
              </w:rPr>
              <w:t>; CA44468</w:t>
            </w:r>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Appeal dismissed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April 28, 2020</w:t>
            </w:r>
          </w:p>
          <w:p w:rsidR="0095757D" w:rsidRPr="002528DF" w:rsidRDefault="0095757D" w:rsidP="002528DF">
            <w:pPr>
              <w:jc w:val="both"/>
              <w:rPr>
                <w:sz w:val="20"/>
              </w:rPr>
            </w:pPr>
            <w:r w:rsidRPr="002528DF">
              <w:rPr>
                <w:sz w:val="20"/>
              </w:rPr>
              <w:t>Supreme Court of Canada</w:t>
            </w: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Motion to extend time to file and serve application for leave to appeal and Application for leave to appeal filed</w:t>
            </w:r>
          </w:p>
        </w:tc>
      </w:tr>
    </w:tbl>
    <w:p w:rsidR="0095757D" w:rsidRPr="002528DF" w:rsidRDefault="0095757D" w:rsidP="002528DF">
      <w:pPr>
        <w:jc w:val="both"/>
        <w:rPr>
          <w:sz w:val="20"/>
        </w:rPr>
      </w:pPr>
    </w:p>
    <w:p w:rsidR="0095757D" w:rsidRPr="002528DF" w:rsidRDefault="00C377A8" w:rsidP="002528DF">
      <w:pPr>
        <w:jc w:val="both"/>
        <w:rPr>
          <w:sz w:val="20"/>
        </w:rPr>
      </w:pPr>
      <w:r>
        <w:rPr>
          <w:sz w:val="20"/>
        </w:rPr>
        <w:pict>
          <v:rect id="_x0000_i1035" style="width:2in;height:1pt" o:hrpct="0" o:hralign="center" o:hrstd="t" o:hrnoshade="t" o:hr="t" fillcolor="black [3213]" stroked="f"/>
        </w:pict>
      </w:r>
    </w:p>
    <w:p w:rsidR="0095757D" w:rsidRPr="002528DF" w:rsidRDefault="0095757D" w:rsidP="002528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C377A8" w:rsidTr="008467E7">
        <w:tc>
          <w:tcPr>
            <w:tcW w:w="543" w:type="pct"/>
          </w:tcPr>
          <w:p w:rsidR="0095757D" w:rsidRPr="002528DF" w:rsidRDefault="0095757D" w:rsidP="002528DF">
            <w:pPr>
              <w:jc w:val="both"/>
              <w:rPr>
                <w:sz w:val="20"/>
                <w:lang w:val="fr-CA"/>
              </w:rPr>
            </w:pPr>
            <w:r w:rsidRPr="002528DF">
              <w:rPr>
                <w:rStyle w:val="SCCFileNumberChar"/>
                <w:sz w:val="20"/>
                <w:szCs w:val="20"/>
                <w:lang w:val="fr-CA"/>
              </w:rPr>
              <w:t>39159</w:t>
            </w:r>
          </w:p>
        </w:tc>
        <w:tc>
          <w:tcPr>
            <w:tcW w:w="4457" w:type="pct"/>
            <w:gridSpan w:val="3"/>
          </w:tcPr>
          <w:p w:rsidR="0095757D" w:rsidRPr="002528DF" w:rsidRDefault="0095757D" w:rsidP="002528DF">
            <w:pPr>
              <w:pStyle w:val="SCCLsocParty"/>
              <w:jc w:val="both"/>
              <w:rPr>
                <w:b/>
                <w:sz w:val="20"/>
                <w:szCs w:val="20"/>
              </w:rPr>
            </w:pPr>
            <w:r w:rsidRPr="002528DF">
              <w:rPr>
                <w:b/>
                <w:sz w:val="20"/>
                <w:szCs w:val="20"/>
              </w:rPr>
              <w:t>David Gallant c. Sa Majesté la Reine</w:t>
            </w:r>
          </w:p>
          <w:p w:rsidR="0095757D" w:rsidRPr="002528DF" w:rsidRDefault="0095757D" w:rsidP="002528DF">
            <w:pPr>
              <w:jc w:val="both"/>
              <w:rPr>
                <w:sz w:val="20"/>
                <w:lang w:val="fr-CA"/>
              </w:rPr>
            </w:pPr>
            <w:r w:rsidRPr="002528DF">
              <w:rPr>
                <w:sz w:val="20"/>
                <w:lang w:val="fr-CA"/>
              </w:rPr>
              <w:t>(C.</w:t>
            </w:r>
            <w:r w:rsidRPr="002528DF">
              <w:rPr>
                <w:sz w:val="20"/>
                <w:lang w:val="fr-CA"/>
              </w:rPr>
              <w:noBreakHyphen/>
              <w:t>B.) (Criminelle) (Sur autorisation)</w:t>
            </w:r>
          </w:p>
        </w:tc>
      </w:tr>
      <w:tr w:rsidR="0095757D" w:rsidRPr="00C377A8" w:rsidTr="008467E7">
        <w:tc>
          <w:tcPr>
            <w:tcW w:w="5000" w:type="pct"/>
            <w:gridSpan w:val="4"/>
          </w:tcPr>
          <w:p w:rsidR="0095757D" w:rsidRPr="002528DF" w:rsidRDefault="0095757D" w:rsidP="002528DF">
            <w:pPr>
              <w:pStyle w:val="SCCBanSummary"/>
              <w:rPr>
                <w:sz w:val="20"/>
                <w:szCs w:val="20"/>
                <w:lang w:val="fr-CA"/>
              </w:rPr>
            </w:pPr>
            <w:r w:rsidRPr="002528DF">
              <w:rPr>
                <w:sz w:val="20"/>
                <w:szCs w:val="20"/>
                <w:lang w:val="fr-CA"/>
              </w:rPr>
              <w:t>(Ordonnance de non</w:t>
            </w:r>
            <w:r w:rsidRPr="002528DF">
              <w:rPr>
                <w:sz w:val="20"/>
                <w:szCs w:val="20"/>
                <w:lang w:val="fr-CA"/>
              </w:rPr>
              <w:noBreakHyphen/>
              <w:t>publication dans le dossier)</w:t>
            </w:r>
          </w:p>
          <w:p w:rsidR="0095757D" w:rsidRPr="002528DF" w:rsidRDefault="0095757D" w:rsidP="002528DF">
            <w:pPr>
              <w:jc w:val="both"/>
              <w:rPr>
                <w:sz w:val="20"/>
                <w:lang w:val="fr-CA"/>
              </w:rPr>
            </w:pPr>
          </w:p>
          <w:p w:rsidR="0095757D" w:rsidRPr="002528DF" w:rsidRDefault="0095757D" w:rsidP="002528DF">
            <w:pPr>
              <w:jc w:val="both"/>
              <w:rPr>
                <w:sz w:val="20"/>
                <w:lang w:val="fr-CA"/>
              </w:rPr>
            </w:pPr>
            <w:r w:rsidRPr="002528DF">
              <w:rPr>
                <w:sz w:val="20"/>
                <w:lang w:val="fr-CA"/>
              </w:rPr>
              <w:t>Droit criminel — Verdict raisonnable — Infraction — Éléments de l’infraction — Degré de culpabilité dans le cas de meurtre — Meurtre au premier degré — Préméditation — Quel critère faut</w:t>
            </w:r>
            <w:r w:rsidRPr="002528DF">
              <w:rPr>
                <w:sz w:val="20"/>
                <w:lang w:val="fr-CA"/>
              </w:rPr>
              <w:noBreakHyphen/>
              <w:t>il appliquer pour déterminer</w:t>
            </w:r>
            <w:r w:rsidRPr="002528DF">
              <w:rPr>
                <w:sz w:val="20"/>
                <w:lang w:val="fr-FR"/>
              </w:rPr>
              <w:t xml:space="preserve"> le caractère raisonnable d’une déclaration de culpabilité</w:t>
            </w:r>
            <w:r w:rsidRPr="002528DF">
              <w:rPr>
                <w:sz w:val="20"/>
                <w:lang w:val="fr-CA"/>
              </w:rPr>
              <w:t xml:space="preserve"> pour meurtre au premier degré sur la base de préméditation ? — Une préméditation qui dure quelques minutes, secondes ou instants est</w:t>
            </w:r>
            <w:r w:rsidRPr="002528DF">
              <w:rPr>
                <w:sz w:val="20"/>
                <w:lang w:val="fr-CA"/>
              </w:rPr>
              <w:noBreakHyphen/>
              <w:t>elle suffisante pour entraîner une</w:t>
            </w:r>
            <w:r w:rsidRPr="002528DF">
              <w:rPr>
                <w:sz w:val="20"/>
                <w:lang w:val="fr-FR"/>
              </w:rPr>
              <w:t xml:space="preserve"> déclaration de culpabilité</w:t>
            </w:r>
            <w:r w:rsidRPr="002528DF">
              <w:rPr>
                <w:sz w:val="20"/>
                <w:lang w:val="fr-CA"/>
              </w:rPr>
              <w:t xml:space="preserve"> pour meurtre au premier degré ?</w:t>
            </w:r>
          </w:p>
        </w:tc>
      </w:tr>
      <w:tr w:rsidR="0095757D" w:rsidRPr="00C377A8" w:rsidTr="008467E7">
        <w:tc>
          <w:tcPr>
            <w:tcW w:w="5000" w:type="pct"/>
            <w:gridSpan w:val="4"/>
          </w:tcPr>
          <w:p w:rsidR="0095757D" w:rsidRPr="002528DF" w:rsidRDefault="0095757D" w:rsidP="002528DF">
            <w:pPr>
              <w:jc w:val="both"/>
              <w:rPr>
                <w:sz w:val="20"/>
                <w:lang w:val="fr-CA"/>
              </w:rPr>
            </w:pPr>
          </w:p>
          <w:p w:rsidR="0095757D" w:rsidRPr="002528DF" w:rsidRDefault="0095757D" w:rsidP="002528DF">
            <w:pPr>
              <w:jc w:val="both"/>
              <w:rPr>
                <w:sz w:val="20"/>
                <w:lang w:val="fr-CA"/>
              </w:rPr>
            </w:pPr>
            <w:r w:rsidRPr="002528DF">
              <w:rPr>
                <w:color w:val="000000"/>
                <w:sz w:val="20"/>
                <w:lang w:val="fr-CA"/>
              </w:rPr>
              <w:t>Après avoir entendu quelqu’un cogner, M. Erikson a ouvert la porte de son appartement. Il a immédiatement été atteint à la poitrine par une balle de fusil de chasse. Le coup de feu a été fatal. Lors du procès, l’avocat du ministère public a fait valoir que c’était M. Gallant qui l’avait tiré. La petite amie de M. Gallant a témoigné que M. Gallant</w:t>
            </w:r>
            <w:r w:rsidRPr="002528DF">
              <w:rPr>
                <w:color w:val="000000"/>
                <w:spacing w:val="-1"/>
                <w:sz w:val="20"/>
                <w:lang w:val="fr-CA"/>
              </w:rPr>
              <w:t xml:space="preserve"> avait appris que M. Erikson avait volé de la drogue à son associé et qu’ils avaient décidé de lui tirer une balle dans la jambe pour se venger. Elle a témoigné que ni l’un ni l’autre n’avaient l’intention de tuer M. Erikson</w:t>
            </w:r>
            <w:r w:rsidRPr="002528DF">
              <w:rPr>
                <w:color w:val="000000"/>
                <w:sz w:val="20"/>
                <w:lang w:val="fr-CA"/>
              </w:rPr>
              <w:t>. Selon l’exposé au jury, pour déclarer l’accusé coupable de meurtre au premier degré, l’avocat du ministère public</w:t>
            </w:r>
            <w:r w:rsidRPr="002528DF">
              <w:rPr>
                <w:sz w:val="20"/>
                <w:lang w:val="fr-CA"/>
              </w:rPr>
              <w:t xml:space="preserve"> devait prouver que le meurtre avait été prémédité. Le </w:t>
            </w:r>
            <w:r w:rsidRPr="002528DF">
              <w:rPr>
                <w:color w:val="000000"/>
                <w:sz w:val="20"/>
                <w:lang w:val="fr-CA"/>
              </w:rPr>
              <w:t>jury a reconnu M. Gallant coupable de meurtre au premier degré. La Cour d’appel de la Colombie-Britannique a rejeté l’appel.</w:t>
            </w:r>
          </w:p>
        </w:tc>
      </w:tr>
      <w:tr w:rsidR="0095757D" w:rsidRPr="00C377A8" w:rsidTr="008467E7">
        <w:tc>
          <w:tcPr>
            <w:tcW w:w="5000" w:type="pct"/>
            <w:gridSpan w:val="4"/>
          </w:tcPr>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7 mai 2017</w:t>
            </w:r>
          </w:p>
          <w:p w:rsidR="0095757D" w:rsidRPr="002528DF" w:rsidRDefault="0095757D" w:rsidP="002528DF">
            <w:pPr>
              <w:jc w:val="both"/>
              <w:rPr>
                <w:sz w:val="20"/>
                <w:lang w:val="fr-CA"/>
              </w:rPr>
            </w:pPr>
            <w:r w:rsidRPr="002528DF">
              <w:rPr>
                <w:sz w:val="20"/>
                <w:lang w:val="fr-CA"/>
              </w:rPr>
              <w:t xml:space="preserve">Cour suprême de la </w:t>
            </w:r>
            <w:r w:rsidRPr="002528DF">
              <w:rPr>
                <w:color w:val="000000"/>
                <w:sz w:val="20"/>
                <w:lang w:val="fr-CA"/>
              </w:rPr>
              <w:t>Colombie</w:t>
            </w:r>
            <w:r w:rsidRPr="002528DF">
              <w:rPr>
                <w:color w:val="000000"/>
                <w:sz w:val="20"/>
                <w:lang w:val="fr-CA"/>
              </w:rPr>
              <w:noBreakHyphen/>
              <w:t>Britannique</w:t>
            </w:r>
            <w:r w:rsidRPr="002528DF">
              <w:rPr>
                <w:sz w:val="20"/>
                <w:lang w:val="fr-CA"/>
              </w:rPr>
              <w:t xml:space="preserve"> </w:t>
            </w:r>
          </w:p>
          <w:p w:rsidR="0095757D" w:rsidRPr="002528DF" w:rsidRDefault="0095757D" w:rsidP="002528DF">
            <w:pPr>
              <w:jc w:val="both"/>
              <w:rPr>
                <w:sz w:val="20"/>
                <w:lang w:val="fr-CA"/>
              </w:rPr>
            </w:pPr>
            <w:r w:rsidRPr="002528DF">
              <w:rPr>
                <w:sz w:val="20"/>
                <w:lang w:val="fr-CA"/>
              </w:rPr>
              <w:t>(Juge Ross) (Non publié)</w:t>
            </w:r>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Déclaration par jury de culpabilité de meurtre au premier degré.</w:t>
            </w:r>
          </w:p>
          <w:p w:rsidR="0095757D" w:rsidRPr="002528DF" w:rsidRDefault="0095757D" w:rsidP="002528DF">
            <w:pPr>
              <w:jc w:val="both"/>
              <w:rPr>
                <w:sz w:val="20"/>
                <w:lang w:val="fr-CA"/>
              </w:rPr>
            </w:pPr>
          </w:p>
        </w:tc>
      </w:tr>
      <w:tr w:rsidR="0095757D" w:rsidRPr="002528DF" w:rsidTr="008467E7">
        <w:tc>
          <w:tcPr>
            <w:tcW w:w="2427" w:type="pct"/>
            <w:gridSpan w:val="2"/>
          </w:tcPr>
          <w:p w:rsidR="0095757D" w:rsidRPr="002528DF" w:rsidRDefault="0095757D" w:rsidP="002528DF">
            <w:pPr>
              <w:jc w:val="both"/>
              <w:rPr>
                <w:sz w:val="20"/>
                <w:lang w:val="fr-CA"/>
              </w:rPr>
            </w:pPr>
            <w:r w:rsidRPr="002528DF">
              <w:rPr>
                <w:sz w:val="20"/>
                <w:lang w:val="fr-CA"/>
              </w:rPr>
              <w:t>5 juin 2019</w:t>
            </w:r>
          </w:p>
          <w:p w:rsidR="0095757D" w:rsidRPr="002528DF" w:rsidRDefault="0095757D" w:rsidP="002528DF">
            <w:pPr>
              <w:jc w:val="both"/>
              <w:rPr>
                <w:sz w:val="20"/>
                <w:lang w:val="fr-CA"/>
              </w:rPr>
            </w:pPr>
            <w:r w:rsidRPr="002528DF">
              <w:rPr>
                <w:color w:val="000000"/>
                <w:sz w:val="20"/>
                <w:lang w:val="fr-CA"/>
              </w:rPr>
              <w:t>Cour d’appel de la Colombi</w:t>
            </w:r>
            <w:r w:rsidR="00C377A8">
              <w:rPr>
                <w:color w:val="000000"/>
                <w:sz w:val="20"/>
                <w:lang w:val="fr-CA"/>
              </w:rPr>
              <w:t>e</w:t>
            </w:r>
            <w:r w:rsidRPr="002528DF">
              <w:rPr>
                <w:color w:val="000000"/>
                <w:sz w:val="20"/>
                <w:lang w:val="fr-CA"/>
              </w:rPr>
              <w:noBreakHyphen/>
              <w:t>Britannique</w:t>
            </w:r>
          </w:p>
          <w:p w:rsidR="0095757D" w:rsidRPr="002528DF" w:rsidRDefault="0095757D" w:rsidP="002528DF">
            <w:pPr>
              <w:jc w:val="both"/>
              <w:rPr>
                <w:sz w:val="20"/>
                <w:lang w:val="fr-CA"/>
              </w:rPr>
            </w:pPr>
            <w:r w:rsidRPr="002528DF">
              <w:rPr>
                <w:sz w:val="20"/>
                <w:lang w:val="fr-CA"/>
              </w:rPr>
              <w:t>(Vancouver)</w:t>
            </w:r>
          </w:p>
          <w:p w:rsidR="0095757D" w:rsidRPr="002528DF" w:rsidRDefault="0095757D" w:rsidP="002528DF">
            <w:pPr>
              <w:jc w:val="both"/>
              <w:rPr>
                <w:sz w:val="20"/>
                <w:lang w:val="fr-CA"/>
              </w:rPr>
            </w:pPr>
            <w:r w:rsidRPr="002528DF">
              <w:rPr>
                <w:sz w:val="20"/>
                <w:lang w:val="fr-CA"/>
              </w:rPr>
              <w:t>(Juges Bennett, Savage, Butler)</w:t>
            </w:r>
          </w:p>
          <w:p w:rsidR="0095757D" w:rsidRPr="002528DF" w:rsidRDefault="00C377A8" w:rsidP="002528DF">
            <w:pPr>
              <w:jc w:val="both"/>
              <w:rPr>
                <w:sz w:val="20"/>
                <w:lang w:val="fr-CA"/>
              </w:rPr>
            </w:pPr>
            <w:hyperlink r:id="rId33" w:history="1">
              <w:r w:rsidR="0095757D" w:rsidRPr="002528DF">
                <w:rPr>
                  <w:rStyle w:val="Hyperlink"/>
                  <w:sz w:val="20"/>
                  <w:lang w:val="fr-CA"/>
                </w:rPr>
                <w:t>2019 BCCA 193</w:t>
              </w:r>
            </w:hyperlink>
            <w:r w:rsidR="0095757D" w:rsidRPr="002528DF">
              <w:rPr>
                <w:sz w:val="20"/>
                <w:lang w:val="fr-CA"/>
              </w:rPr>
              <w:t>; CA44468</w:t>
            </w:r>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Appel rejeté.</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28 avril 2020</w:t>
            </w:r>
          </w:p>
          <w:p w:rsidR="0095757D" w:rsidRPr="002528DF" w:rsidRDefault="0095757D" w:rsidP="002528DF">
            <w:pPr>
              <w:jc w:val="both"/>
              <w:rPr>
                <w:sz w:val="20"/>
                <w:lang w:val="fr-CA"/>
              </w:rPr>
            </w:pPr>
            <w:r w:rsidRPr="002528DF">
              <w:rPr>
                <w:sz w:val="20"/>
                <w:lang w:val="fr-CA"/>
              </w:rPr>
              <w:t>Cour suprême du Canada</w:t>
            </w: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 xml:space="preserve">Requête en prorogation de délai pour déposer et signifier une demande d’autorisation d’appel et demande d’autorisation </w:t>
            </w:r>
            <w:proofErr w:type="gramStart"/>
            <w:r w:rsidRPr="002528DF">
              <w:rPr>
                <w:sz w:val="20"/>
                <w:lang w:val="fr-CA"/>
              </w:rPr>
              <w:t>d’appel déposées</w:t>
            </w:r>
            <w:proofErr w:type="gramEnd"/>
            <w:r w:rsidRPr="002528DF">
              <w:rPr>
                <w:sz w:val="20"/>
                <w:lang w:val="fr-CA"/>
              </w:rPr>
              <w:t>.</w:t>
            </w:r>
          </w:p>
        </w:tc>
      </w:tr>
    </w:tbl>
    <w:p w:rsidR="0095757D" w:rsidRPr="002528DF" w:rsidRDefault="0095757D" w:rsidP="002528DF">
      <w:pPr>
        <w:jc w:val="both"/>
        <w:rPr>
          <w:sz w:val="20"/>
          <w:lang w:val="fr-CA"/>
        </w:rPr>
      </w:pPr>
    </w:p>
    <w:p w:rsidR="0095757D" w:rsidRPr="002528DF" w:rsidRDefault="00C377A8" w:rsidP="002528DF">
      <w:pPr>
        <w:widowControl w:val="0"/>
        <w:jc w:val="both"/>
        <w:rPr>
          <w:sz w:val="20"/>
          <w:lang w:val="fr-CA"/>
        </w:rPr>
      </w:pPr>
      <w:r>
        <w:rPr>
          <w:sz w:val="20"/>
        </w:rPr>
        <w:pict>
          <v:rect id="_x0000_i1036" style="width:2in;height:1pt" o:hrpct="0" o:hralign="center" o:hrstd="t" o:hrnoshade="t" o:hr="t" fillcolor="black [3213]" stroked="f"/>
        </w:pict>
      </w:r>
    </w:p>
    <w:p w:rsidR="0095757D" w:rsidRPr="002528DF" w:rsidRDefault="0095757D" w:rsidP="002528DF">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2528DF" w:rsidTr="008467E7">
        <w:tc>
          <w:tcPr>
            <w:tcW w:w="543" w:type="pct"/>
          </w:tcPr>
          <w:p w:rsidR="0095757D" w:rsidRPr="002528DF" w:rsidRDefault="0095757D" w:rsidP="002528DF">
            <w:pPr>
              <w:jc w:val="both"/>
              <w:rPr>
                <w:sz w:val="20"/>
              </w:rPr>
            </w:pPr>
            <w:r w:rsidRPr="002528DF">
              <w:rPr>
                <w:rStyle w:val="SCCFileNumberChar"/>
                <w:sz w:val="20"/>
                <w:szCs w:val="20"/>
              </w:rPr>
              <w:t>39136</w:t>
            </w:r>
          </w:p>
        </w:tc>
        <w:tc>
          <w:tcPr>
            <w:tcW w:w="4457" w:type="pct"/>
            <w:gridSpan w:val="3"/>
          </w:tcPr>
          <w:p w:rsidR="0095757D" w:rsidRPr="002528DF" w:rsidRDefault="0095757D" w:rsidP="002528DF">
            <w:pPr>
              <w:pStyle w:val="SCCLsocParty"/>
              <w:jc w:val="both"/>
              <w:rPr>
                <w:b/>
                <w:sz w:val="20"/>
                <w:szCs w:val="20"/>
                <w:lang w:val="en-US"/>
              </w:rPr>
            </w:pPr>
            <w:r w:rsidRPr="002528DF">
              <w:rPr>
                <w:b/>
                <w:sz w:val="20"/>
                <w:szCs w:val="20"/>
                <w:lang w:val="en-US"/>
              </w:rPr>
              <w:t>P.T. v. S.M.</w:t>
            </w:r>
          </w:p>
          <w:p w:rsidR="0095757D" w:rsidRPr="002528DF" w:rsidRDefault="0095757D" w:rsidP="002528DF">
            <w:pPr>
              <w:jc w:val="both"/>
              <w:rPr>
                <w:sz w:val="20"/>
              </w:rPr>
            </w:pPr>
            <w:r w:rsidRPr="002528DF">
              <w:rPr>
                <w:sz w:val="20"/>
              </w:rPr>
              <w:t>(Que.) (Civil) (By Leave)</w:t>
            </w:r>
          </w:p>
        </w:tc>
      </w:tr>
      <w:tr w:rsidR="0095757D" w:rsidRPr="002528DF" w:rsidTr="008467E7">
        <w:tc>
          <w:tcPr>
            <w:tcW w:w="5000" w:type="pct"/>
            <w:gridSpan w:val="4"/>
          </w:tcPr>
          <w:p w:rsidR="0095757D" w:rsidRPr="002528DF" w:rsidRDefault="0095757D" w:rsidP="002528DF">
            <w:pPr>
              <w:pStyle w:val="SCCBanSummary"/>
              <w:rPr>
                <w:sz w:val="20"/>
                <w:szCs w:val="20"/>
              </w:rPr>
            </w:pPr>
            <w:r w:rsidRPr="002528DF">
              <w:rPr>
                <w:sz w:val="20"/>
                <w:szCs w:val="20"/>
              </w:rPr>
              <w:t>(Publication ban in case) (Publication ban on party) (Court file contains information that is not available for inspection by the public)</w:t>
            </w:r>
          </w:p>
          <w:p w:rsidR="0095757D" w:rsidRPr="002528DF" w:rsidRDefault="0095757D" w:rsidP="002528DF">
            <w:pPr>
              <w:jc w:val="both"/>
              <w:rPr>
                <w:sz w:val="20"/>
              </w:rPr>
            </w:pPr>
          </w:p>
          <w:p w:rsidR="0095757D" w:rsidRPr="002528DF" w:rsidRDefault="0095757D" w:rsidP="002528DF">
            <w:pPr>
              <w:jc w:val="both"/>
              <w:rPr>
                <w:sz w:val="20"/>
              </w:rPr>
            </w:pPr>
            <w:r w:rsidRPr="002528DF">
              <w:rPr>
                <w:sz w:val="20"/>
              </w:rPr>
              <w:t xml:space="preserve">Family Law — Best interest of child — Change of name of child — Parental project — Did the trial judge err in fact and in law by not recognizing the parental project between the parents? — Did the trial judge err in fact and in law by granting the respondent’s request to modify the child’s name? — </w:t>
            </w:r>
            <w:r w:rsidRPr="002528DF">
              <w:rPr>
                <w:i/>
                <w:sz w:val="20"/>
              </w:rPr>
              <w:t>Civil Code of Québec</w:t>
            </w:r>
            <w:r w:rsidRPr="002528DF">
              <w:rPr>
                <w:sz w:val="20"/>
              </w:rPr>
              <w:t>, art. 33 and 538.</w:t>
            </w:r>
          </w:p>
        </w:tc>
      </w:tr>
      <w:tr w:rsidR="0095757D" w:rsidRPr="002528DF" w:rsidTr="008467E7">
        <w:tc>
          <w:tcPr>
            <w:tcW w:w="5000" w:type="pct"/>
            <w:gridSpan w:val="4"/>
          </w:tcPr>
          <w:p w:rsidR="0095757D" w:rsidRPr="002528DF" w:rsidRDefault="0095757D" w:rsidP="002528DF">
            <w:pPr>
              <w:jc w:val="both"/>
              <w:rPr>
                <w:sz w:val="20"/>
              </w:rPr>
            </w:pPr>
          </w:p>
          <w:p w:rsidR="0095757D" w:rsidRPr="002528DF" w:rsidRDefault="0095757D" w:rsidP="002528DF">
            <w:pPr>
              <w:jc w:val="both"/>
              <w:rPr>
                <w:sz w:val="20"/>
              </w:rPr>
            </w:pPr>
            <w:r w:rsidRPr="002528DF">
              <w:rPr>
                <w:sz w:val="20"/>
              </w:rPr>
              <w:t>The applicant P.T. and the respondent S.M. lived together for 10 years. Their child was born in November 2014. The parties separated in February 2015 and signed a joint custody agreement in October 2016. In September 2018, P.T. filed an application to register the child at private school “A”, to resolve a conflict of parental authority and to modify the joint custody arrangements. In October 2018, S. M. requested a modification to the child’s surname in order to add her own surname to it and permission to register the child at a public school. The Superior Court authorized and ordered the registration of the child at school “A”, the modification of joint custody arrangements, and the change of the child’s name. The Court of Appeal granted the appeal filed by P.T. in part, regarding the order of presentation of the child’s family names. The Cross</w:t>
            </w:r>
            <w:r w:rsidRPr="002528DF">
              <w:rPr>
                <w:sz w:val="20"/>
              </w:rPr>
              <w:noBreakHyphen/>
              <w:t>appeal filed by S.M. was dismissed.</w:t>
            </w:r>
          </w:p>
        </w:tc>
      </w:tr>
      <w:tr w:rsidR="0095757D" w:rsidRPr="002528DF" w:rsidTr="008467E7">
        <w:tc>
          <w:tcPr>
            <w:tcW w:w="5000" w:type="pct"/>
            <w:gridSpan w:val="4"/>
          </w:tcPr>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May 3, 2019</w:t>
            </w:r>
          </w:p>
          <w:p w:rsidR="0095757D" w:rsidRPr="002528DF" w:rsidRDefault="0095757D" w:rsidP="002528DF">
            <w:pPr>
              <w:jc w:val="both"/>
              <w:rPr>
                <w:sz w:val="20"/>
              </w:rPr>
            </w:pPr>
            <w:r w:rsidRPr="002528DF">
              <w:rPr>
                <w:sz w:val="20"/>
              </w:rPr>
              <w:t>Superior Court of Quebec</w:t>
            </w:r>
          </w:p>
          <w:p w:rsidR="0095757D" w:rsidRPr="002528DF" w:rsidRDefault="0095757D" w:rsidP="002528DF">
            <w:pPr>
              <w:jc w:val="both"/>
              <w:rPr>
                <w:sz w:val="20"/>
              </w:rPr>
            </w:pPr>
            <w:r w:rsidRPr="002528DF">
              <w:rPr>
                <w:sz w:val="20"/>
              </w:rPr>
              <w:t>(Mayer J.)</w:t>
            </w:r>
          </w:p>
          <w:p w:rsidR="0095757D" w:rsidRPr="002528DF" w:rsidRDefault="00C377A8" w:rsidP="002528DF">
            <w:pPr>
              <w:jc w:val="both"/>
              <w:rPr>
                <w:sz w:val="20"/>
              </w:rPr>
            </w:pPr>
            <w:hyperlink r:id="rId34" w:history="1">
              <w:r w:rsidR="0095757D" w:rsidRPr="002528DF">
                <w:rPr>
                  <w:rStyle w:val="Hyperlink"/>
                  <w:sz w:val="20"/>
                </w:rPr>
                <w:t>2019 QCCS 5766</w:t>
              </w:r>
            </w:hyperlink>
          </w:p>
          <w:p w:rsidR="0095757D" w:rsidRPr="002528DF" w:rsidRDefault="0095757D" w:rsidP="002528DF">
            <w:pPr>
              <w:jc w:val="both"/>
              <w:rPr>
                <w:sz w:val="20"/>
              </w:rPr>
            </w:pP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 xml:space="preserve">Authorization to register child at school A </w:t>
            </w:r>
          </w:p>
          <w:p w:rsidR="0095757D" w:rsidRPr="002528DF" w:rsidRDefault="0095757D" w:rsidP="002528DF">
            <w:pPr>
              <w:jc w:val="both"/>
              <w:rPr>
                <w:sz w:val="20"/>
              </w:rPr>
            </w:pPr>
            <w:r w:rsidRPr="002528DF">
              <w:rPr>
                <w:sz w:val="20"/>
              </w:rPr>
              <w:t>ordered;</w:t>
            </w:r>
          </w:p>
          <w:p w:rsidR="0095757D" w:rsidRPr="002528DF" w:rsidRDefault="0095757D" w:rsidP="002528DF">
            <w:pPr>
              <w:jc w:val="both"/>
              <w:rPr>
                <w:sz w:val="20"/>
              </w:rPr>
            </w:pPr>
            <w:r w:rsidRPr="002528DF">
              <w:rPr>
                <w:sz w:val="20"/>
              </w:rPr>
              <w:t xml:space="preserve">Modification of joint custody arrangements </w:t>
            </w:r>
          </w:p>
          <w:p w:rsidR="0095757D" w:rsidRPr="002528DF" w:rsidRDefault="0095757D" w:rsidP="002528DF">
            <w:pPr>
              <w:jc w:val="both"/>
              <w:rPr>
                <w:sz w:val="20"/>
              </w:rPr>
            </w:pPr>
            <w:r w:rsidRPr="002528DF">
              <w:rPr>
                <w:sz w:val="20"/>
              </w:rPr>
              <w:t>ordered;</w:t>
            </w:r>
          </w:p>
          <w:p w:rsidR="0095757D" w:rsidRPr="002528DF" w:rsidRDefault="0095757D" w:rsidP="002528DF">
            <w:pPr>
              <w:jc w:val="both"/>
              <w:rPr>
                <w:sz w:val="20"/>
              </w:rPr>
            </w:pPr>
            <w:r w:rsidRPr="002528DF">
              <w:rPr>
                <w:sz w:val="20"/>
              </w:rPr>
              <w:t>Change of child’s name ordered.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December 12, 2019</w:t>
            </w:r>
          </w:p>
          <w:p w:rsidR="0095757D" w:rsidRPr="002528DF" w:rsidRDefault="0095757D" w:rsidP="002528DF">
            <w:pPr>
              <w:jc w:val="both"/>
              <w:rPr>
                <w:sz w:val="20"/>
              </w:rPr>
            </w:pPr>
            <w:r w:rsidRPr="002528DF">
              <w:rPr>
                <w:sz w:val="20"/>
              </w:rPr>
              <w:t>Court of Appeal of Quebec (Montréal)</w:t>
            </w:r>
          </w:p>
          <w:p w:rsidR="0095757D" w:rsidRPr="002528DF" w:rsidRDefault="0095757D" w:rsidP="002528DF">
            <w:pPr>
              <w:jc w:val="both"/>
              <w:rPr>
                <w:sz w:val="20"/>
              </w:rPr>
            </w:pPr>
            <w:r w:rsidRPr="002528DF">
              <w:rPr>
                <w:sz w:val="20"/>
              </w:rPr>
              <w:t>(Bich, Roy and Fournier JJ.A.)</w:t>
            </w:r>
          </w:p>
          <w:p w:rsidR="0095757D" w:rsidRPr="002528DF" w:rsidRDefault="00C377A8" w:rsidP="002528DF">
            <w:pPr>
              <w:jc w:val="both"/>
              <w:rPr>
                <w:sz w:val="20"/>
              </w:rPr>
            </w:pPr>
            <w:hyperlink r:id="rId35" w:history="1">
              <w:r w:rsidR="0095757D" w:rsidRPr="002528DF">
                <w:rPr>
                  <w:rStyle w:val="Hyperlink"/>
                  <w:sz w:val="20"/>
                </w:rPr>
                <w:t>2019 QCCA 2193</w:t>
              </w:r>
            </w:hyperlink>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rPr>
            </w:pPr>
            <w:r w:rsidRPr="002528DF">
              <w:rPr>
                <w:sz w:val="20"/>
              </w:rPr>
              <w:t xml:space="preserve">Appeal granted in part. </w:t>
            </w:r>
          </w:p>
          <w:p w:rsidR="0095757D" w:rsidRPr="002528DF" w:rsidRDefault="0095757D" w:rsidP="002528DF">
            <w:pPr>
              <w:jc w:val="both"/>
              <w:rPr>
                <w:sz w:val="20"/>
              </w:rPr>
            </w:pPr>
            <w:r w:rsidRPr="002528DF">
              <w:rPr>
                <w:sz w:val="20"/>
              </w:rPr>
              <w:t>Cross</w:t>
            </w:r>
            <w:r w:rsidRPr="002528DF">
              <w:rPr>
                <w:sz w:val="20"/>
              </w:rPr>
              <w:noBreakHyphen/>
              <w:t>appeal dismissed.</w:t>
            </w:r>
          </w:p>
          <w:p w:rsidR="0095757D" w:rsidRPr="002528DF" w:rsidRDefault="0095757D" w:rsidP="002528DF">
            <w:pPr>
              <w:jc w:val="both"/>
              <w:rPr>
                <w:sz w:val="20"/>
              </w:rPr>
            </w:pPr>
          </w:p>
        </w:tc>
      </w:tr>
      <w:tr w:rsidR="0095757D" w:rsidRPr="002528DF" w:rsidTr="008467E7">
        <w:tc>
          <w:tcPr>
            <w:tcW w:w="2427" w:type="pct"/>
            <w:gridSpan w:val="2"/>
          </w:tcPr>
          <w:p w:rsidR="0095757D" w:rsidRPr="002528DF" w:rsidRDefault="0095757D" w:rsidP="002528DF">
            <w:pPr>
              <w:jc w:val="both"/>
              <w:rPr>
                <w:sz w:val="20"/>
              </w:rPr>
            </w:pPr>
            <w:r w:rsidRPr="002528DF">
              <w:rPr>
                <w:sz w:val="20"/>
              </w:rPr>
              <w:t>February 10, 2020</w:t>
            </w:r>
          </w:p>
          <w:p w:rsidR="0095757D" w:rsidRPr="002528DF" w:rsidRDefault="0095757D" w:rsidP="002528DF">
            <w:pPr>
              <w:jc w:val="both"/>
              <w:rPr>
                <w:sz w:val="20"/>
              </w:rPr>
            </w:pPr>
            <w:r w:rsidRPr="002528DF">
              <w:rPr>
                <w:sz w:val="20"/>
              </w:rPr>
              <w:t>Supreme Court of Canada</w:t>
            </w:r>
          </w:p>
        </w:tc>
        <w:tc>
          <w:tcPr>
            <w:tcW w:w="243" w:type="pct"/>
          </w:tcPr>
          <w:p w:rsidR="0095757D" w:rsidRPr="002528DF" w:rsidRDefault="0095757D" w:rsidP="002528DF">
            <w:pPr>
              <w:jc w:val="both"/>
              <w:rPr>
                <w:sz w:val="20"/>
              </w:rPr>
            </w:pPr>
          </w:p>
        </w:tc>
        <w:tc>
          <w:tcPr>
            <w:tcW w:w="2330" w:type="pct"/>
          </w:tcPr>
          <w:p w:rsidR="0095757D" w:rsidRPr="002528DF" w:rsidRDefault="0095757D" w:rsidP="002528DF">
            <w:pPr>
              <w:jc w:val="both"/>
              <w:rPr>
                <w:sz w:val="20"/>
              </w:rPr>
            </w:pPr>
            <w:r w:rsidRPr="002528DF">
              <w:rPr>
                <w:sz w:val="20"/>
              </w:rPr>
              <w:t>Application for leave to appeal filed</w:t>
            </w:r>
          </w:p>
          <w:p w:rsidR="0095757D" w:rsidRPr="002528DF" w:rsidRDefault="0095757D" w:rsidP="002528DF">
            <w:pPr>
              <w:jc w:val="both"/>
              <w:rPr>
                <w:sz w:val="20"/>
              </w:rPr>
            </w:pPr>
          </w:p>
        </w:tc>
      </w:tr>
    </w:tbl>
    <w:p w:rsidR="0095757D" w:rsidRPr="002528DF" w:rsidRDefault="0095757D" w:rsidP="002528DF">
      <w:pPr>
        <w:jc w:val="both"/>
        <w:rPr>
          <w:sz w:val="20"/>
        </w:rPr>
      </w:pPr>
    </w:p>
    <w:p w:rsidR="0095757D" w:rsidRPr="002528DF" w:rsidRDefault="00C377A8" w:rsidP="002528DF">
      <w:pPr>
        <w:jc w:val="both"/>
        <w:rPr>
          <w:sz w:val="20"/>
        </w:rPr>
      </w:pPr>
      <w:r>
        <w:rPr>
          <w:sz w:val="20"/>
        </w:rPr>
        <w:pict>
          <v:rect id="_x0000_i1037" style="width:2in;height:1pt" o:hrpct="0" o:hralign="center" o:hrstd="t" o:hrnoshade="t" o:hr="t" fillcolor="black [3213]" stroked="f"/>
        </w:pict>
      </w:r>
    </w:p>
    <w:p w:rsidR="0095757D" w:rsidRPr="002528DF" w:rsidRDefault="0095757D" w:rsidP="002528DF">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95757D" w:rsidRPr="00C377A8" w:rsidTr="008467E7">
        <w:tc>
          <w:tcPr>
            <w:tcW w:w="543" w:type="pct"/>
          </w:tcPr>
          <w:p w:rsidR="0095757D" w:rsidRPr="002528DF" w:rsidRDefault="0095757D" w:rsidP="002528DF">
            <w:pPr>
              <w:jc w:val="both"/>
              <w:rPr>
                <w:sz w:val="20"/>
                <w:lang w:val="fr-CA"/>
              </w:rPr>
            </w:pPr>
            <w:r w:rsidRPr="002528DF">
              <w:rPr>
                <w:rStyle w:val="SCCFileNumberChar"/>
                <w:sz w:val="20"/>
                <w:szCs w:val="20"/>
                <w:lang w:val="fr-CA"/>
              </w:rPr>
              <w:t>39136</w:t>
            </w:r>
          </w:p>
        </w:tc>
        <w:tc>
          <w:tcPr>
            <w:tcW w:w="4457" w:type="pct"/>
            <w:gridSpan w:val="3"/>
          </w:tcPr>
          <w:p w:rsidR="0095757D" w:rsidRPr="002528DF" w:rsidRDefault="0095757D" w:rsidP="002528DF">
            <w:pPr>
              <w:pStyle w:val="SCCLsocParty"/>
              <w:jc w:val="both"/>
              <w:rPr>
                <w:b/>
                <w:sz w:val="20"/>
                <w:szCs w:val="20"/>
              </w:rPr>
            </w:pPr>
            <w:r w:rsidRPr="002528DF">
              <w:rPr>
                <w:b/>
                <w:sz w:val="20"/>
                <w:szCs w:val="20"/>
              </w:rPr>
              <w:t>P.T. c. S.M.</w:t>
            </w:r>
          </w:p>
          <w:p w:rsidR="0095757D" w:rsidRPr="002528DF" w:rsidRDefault="0095757D" w:rsidP="00C377A8">
            <w:pPr>
              <w:jc w:val="both"/>
              <w:rPr>
                <w:sz w:val="20"/>
                <w:lang w:val="fr-CA"/>
              </w:rPr>
            </w:pPr>
            <w:r w:rsidRPr="002528DF">
              <w:rPr>
                <w:sz w:val="20"/>
                <w:lang w:val="fr-CA"/>
              </w:rPr>
              <w:t>(Q</w:t>
            </w:r>
            <w:r w:rsidR="00C377A8">
              <w:rPr>
                <w:sz w:val="20"/>
                <w:lang w:val="fr-CA"/>
              </w:rPr>
              <w:t>c</w:t>
            </w:r>
            <w:r w:rsidRPr="002528DF">
              <w:rPr>
                <w:sz w:val="20"/>
                <w:lang w:val="fr-CA"/>
              </w:rPr>
              <w:t>) (Civile) (Autorisation)</w:t>
            </w:r>
          </w:p>
        </w:tc>
      </w:tr>
      <w:tr w:rsidR="0095757D" w:rsidRPr="00C377A8" w:rsidTr="008467E7">
        <w:tc>
          <w:tcPr>
            <w:tcW w:w="5000" w:type="pct"/>
            <w:gridSpan w:val="4"/>
          </w:tcPr>
          <w:p w:rsidR="0095757D" w:rsidRPr="002528DF" w:rsidRDefault="0095757D" w:rsidP="002528DF">
            <w:pPr>
              <w:pStyle w:val="SCCBanSummary"/>
              <w:rPr>
                <w:sz w:val="20"/>
                <w:szCs w:val="20"/>
                <w:lang w:val="fr-CA"/>
              </w:rPr>
            </w:pPr>
            <w:r w:rsidRPr="002528DF">
              <w:rPr>
                <w:sz w:val="20"/>
                <w:szCs w:val="20"/>
                <w:lang w:val="fr-CA"/>
              </w:rPr>
              <w:t>(Ordonnance de non</w:t>
            </w:r>
            <w:r w:rsidRPr="002528DF">
              <w:rPr>
                <w:sz w:val="20"/>
                <w:szCs w:val="20"/>
                <w:lang w:val="fr-CA"/>
              </w:rPr>
              <w:noBreakHyphen/>
              <w:t>publication dans le dossier) (Ordonnance de non</w:t>
            </w:r>
            <w:r w:rsidRPr="002528DF">
              <w:rPr>
                <w:sz w:val="20"/>
                <w:szCs w:val="20"/>
                <w:lang w:val="fr-CA"/>
              </w:rPr>
              <w:noBreakHyphen/>
              <w:t>publication visant une partie) (Le dossier de la Cour renferme des données que le public n’est pas autorisé à consulter)</w:t>
            </w:r>
          </w:p>
          <w:p w:rsidR="0095757D" w:rsidRPr="002528DF" w:rsidRDefault="0095757D" w:rsidP="002528DF">
            <w:pPr>
              <w:jc w:val="both"/>
              <w:rPr>
                <w:sz w:val="20"/>
                <w:lang w:val="fr-CA"/>
              </w:rPr>
            </w:pPr>
          </w:p>
          <w:p w:rsidR="0095757D" w:rsidRPr="002528DF" w:rsidRDefault="0095757D" w:rsidP="002528DF">
            <w:pPr>
              <w:jc w:val="both"/>
              <w:rPr>
                <w:sz w:val="20"/>
                <w:lang w:val="fr-CA"/>
              </w:rPr>
            </w:pPr>
            <w:r w:rsidRPr="002528DF">
              <w:rPr>
                <w:sz w:val="20"/>
                <w:lang w:val="fr-CA"/>
              </w:rPr>
              <w:t>Droit de la famille — Intérêt supérieur de l’enfant — Changement du nom de l’enfant — Projet parental — Le juge de première instance a</w:t>
            </w:r>
            <w:r w:rsidRPr="002528DF">
              <w:rPr>
                <w:sz w:val="20"/>
                <w:lang w:val="fr-CA"/>
              </w:rPr>
              <w:noBreakHyphen/>
              <w:t>t</w:t>
            </w:r>
            <w:r w:rsidRPr="002528DF">
              <w:rPr>
                <w:sz w:val="20"/>
                <w:lang w:val="fr-CA"/>
              </w:rPr>
              <w:noBreakHyphen/>
              <w:t>il commis une erreur de fait et de droit en ne reconnaissant pas le projet parental? — Le juge de première instance a</w:t>
            </w:r>
            <w:r w:rsidRPr="002528DF">
              <w:rPr>
                <w:sz w:val="20"/>
                <w:lang w:val="fr-CA"/>
              </w:rPr>
              <w:noBreakHyphen/>
              <w:t>t</w:t>
            </w:r>
            <w:r w:rsidRPr="002528DF">
              <w:rPr>
                <w:sz w:val="20"/>
                <w:lang w:val="fr-CA"/>
              </w:rPr>
              <w:noBreakHyphen/>
              <w:t xml:space="preserve">il commis une erreur de fait et de droit en accueillant la demande de l’intimée en modification du nom de l’enfant? — </w:t>
            </w:r>
            <w:r w:rsidRPr="002528DF">
              <w:rPr>
                <w:i/>
                <w:sz w:val="20"/>
                <w:lang w:val="fr-CA"/>
              </w:rPr>
              <w:t>Code civil du Québec</w:t>
            </w:r>
            <w:r w:rsidRPr="002528DF">
              <w:rPr>
                <w:sz w:val="20"/>
                <w:lang w:val="fr-CA"/>
              </w:rPr>
              <w:t>, art. 33 et 538.</w:t>
            </w:r>
          </w:p>
        </w:tc>
      </w:tr>
      <w:tr w:rsidR="0095757D" w:rsidRPr="002528DF" w:rsidTr="008467E7">
        <w:tc>
          <w:tcPr>
            <w:tcW w:w="5000" w:type="pct"/>
            <w:gridSpan w:val="4"/>
          </w:tcPr>
          <w:p w:rsidR="0095757D" w:rsidRPr="002528DF" w:rsidRDefault="0095757D" w:rsidP="002528DF">
            <w:pPr>
              <w:jc w:val="both"/>
              <w:rPr>
                <w:sz w:val="20"/>
                <w:lang w:val="fr-CA"/>
              </w:rPr>
            </w:pPr>
          </w:p>
          <w:p w:rsidR="0095757D" w:rsidRPr="002528DF" w:rsidRDefault="0095757D" w:rsidP="002528DF">
            <w:pPr>
              <w:jc w:val="both"/>
              <w:rPr>
                <w:sz w:val="20"/>
                <w:lang w:val="fr-CA"/>
              </w:rPr>
            </w:pPr>
            <w:r w:rsidRPr="002528DF">
              <w:rPr>
                <w:sz w:val="20"/>
                <w:lang w:val="fr-CA"/>
              </w:rPr>
              <w:t>La demanderesse P.T. et l’intimée S.M. ont fait vie commune pendant dix ans. Leur enfant est né en novembre 2014. Les parties se sont séparées en février 2015 et ont signé une convention de garde partagée en octobre 2016. En septembre 2018, P.T. a présenté une requête pour faire inscrire l’enfant à l’école privée « A », pour régler un différend relatif à l’autorité parentale et pour modifier les modalités de garde partagée. En octobre 2018, S.M. a demandé une modification du nom de famille de l’enfant pour y ajouter son propre nom et pour obtenir la permission d’inscrire l’enfant dans une école publique. La Cour supérieure a autorisé et ordonné l’inscription de l’enfant à l’école « A », la modification des modalités de garde partagée et le changement du nom de famille de l’enfant. La Cour d’appel a accueilli en partie l’appel interjeté par P.T. en ce qui concerne l’ordre de présentation des noms de famille de l’enfant. L’appel incident interjeté par S.M. a été rejeté.</w:t>
            </w:r>
          </w:p>
        </w:tc>
      </w:tr>
      <w:tr w:rsidR="0095757D" w:rsidRPr="002528DF" w:rsidTr="008467E7">
        <w:tc>
          <w:tcPr>
            <w:tcW w:w="5000" w:type="pct"/>
            <w:gridSpan w:val="4"/>
          </w:tcPr>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3 mai 2019</w:t>
            </w:r>
          </w:p>
          <w:p w:rsidR="0095757D" w:rsidRPr="002528DF" w:rsidRDefault="0095757D" w:rsidP="002528DF">
            <w:pPr>
              <w:jc w:val="both"/>
              <w:rPr>
                <w:sz w:val="20"/>
                <w:lang w:val="fr-CA"/>
              </w:rPr>
            </w:pPr>
            <w:r w:rsidRPr="002528DF">
              <w:rPr>
                <w:sz w:val="20"/>
                <w:lang w:val="fr-CA"/>
              </w:rPr>
              <w:t>Cour supérieure du Québec</w:t>
            </w:r>
          </w:p>
          <w:p w:rsidR="0095757D" w:rsidRPr="002528DF" w:rsidRDefault="0095757D" w:rsidP="002528DF">
            <w:pPr>
              <w:jc w:val="both"/>
              <w:rPr>
                <w:sz w:val="20"/>
                <w:lang w:val="fr-CA"/>
              </w:rPr>
            </w:pPr>
            <w:r w:rsidRPr="002528DF">
              <w:rPr>
                <w:sz w:val="20"/>
                <w:lang w:val="fr-CA"/>
              </w:rPr>
              <w:t>(Juge Mayer)</w:t>
            </w:r>
          </w:p>
          <w:p w:rsidR="0095757D" w:rsidRPr="002528DF" w:rsidRDefault="00C377A8" w:rsidP="002528DF">
            <w:pPr>
              <w:jc w:val="both"/>
              <w:rPr>
                <w:sz w:val="20"/>
                <w:lang w:val="fr-CA"/>
              </w:rPr>
            </w:pPr>
            <w:hyperlink r:id="rId36" w:history="1">
              <w:r w:rsidR="0095757D" w:rsidRPr="002528DF">
                <w:rPr>
                  <w:rStyle w:val="Hyperlink"/>
                  <w:sz w:val="20"/>
                  <w:lang w:val="fr-CA"/>
                </w:rPr>
                <w:t>2019 QCCS 5766</w:t>
              </w:r>
            </w:hyperlink>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Jugement autorisant que l’enfant soit inscrit à l’école A, modifiant les modalités de garde partagée et ordonnant le changement du nom de l’enfant.</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12 décembre 2019</w:t>
            </w:r>
          </w:p>
          <w:p w:rsidR="0095757D" w:rsidRPr="002528DF" w:rsidRDefault="0095757D" w:rsidP="002528DF">
            <w:pPr>
              <w:jc w:val="both"/>
              <w:rPr>
                <w:sz w:val="20"/>
                <w:lang w:val="fr-CA"/>
              </w:rPr>
            </w:pPr>
            <w:r w:rsidRPr="002528DF">
              <w:rPr>
                <w:sz w:val="20"/>
                <w:lang w:val="fr-CA"/>
              </w:rPr>
              <w:t>Cour d’appel du Québec (Montréal)</w:t>
            </w:r>
          </w:p>
          <w:p w:rsidR="0095757D" w:rsidRPr="002528DF" w:rsidRDefault="0095757D" w:rsidP="002528DF">
            <w:pPr>
              <w:jc w:val="both"/>
              <w:rPr>
                <w:sz w:val="20"/>
                <w:lang w:val="fr-CA"/>
              </w:rPr>
            </w:pPr>
            <w:r w:rsidRPr="002528DF">
              <w:rPr>
                <w:sz w:val="20"/>
                <w:lang w:val="fr-CA"/>
              </w:rPr>
              <w:t>(Juges Bich, Roy et Fournier)</w:t>
            </w:r>
          </w:p>
          <w:p w:rsidR="0095757D" w:rsidRPr="002528DF" w:rsidRDefault="00C377A8" w:rsidP="002528DF">
            <w:pPr>
              <w:jc w:val="both"/>
              <w:rPr>
                <w:sz w:val="20"/>
                <w:lang w:val="fr-CA"/>
              </w:rPr>
            </w:pPr>
            <w:hyperlink r:id="rId37" w:history="1">
              <w:r w:rsidR="0095757D" w:rsidRPr="002528DF">
                <w:rPr>
                  <w:rStyle w:val="Hyperlink"/>
                  <w:sz w:val="20"/>
                  <w:lang w:val="fr-CA"/>
                </w:rPr>
                <w:t>2019 QCCA 2193</w:t>
              </w:r>
            </w:hyperlink>
          </w:p>
          <w:p w:rsidR="0095757D" w:rsidRPr="002528DF" w:rsidRDefault="0095757D" w:rsidP="002528DF">
            <w:pPr>
              <w:jc w:val="both"/>
              <w:rPr>
                <w:sz w:val="20"/>
                <w:lang w:val="fr-CA"/>
              </w:rPr>
            </w:pP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Arrêt accueillant l’appel en partie et rejetant l’appel incident.</w:t>
            </w:r>
          </w:p>
          <w:p w:rsidR="0095757D" w:rsidRPr="002528DF" w:rsidRDefault="0095757D" w:rsidP="002528DF">
            <w:pPr>
              <w:jc w:val="both"/>
              <w:rPr>
                <w:sz w:val="20"/>
                <w:lang w:val="fr-CA"/>
              </w:rPr>
            </w:pPr>
          </w:p>
        </w:tc>
      </w:tr>
      <w:tr w:rsidR="0095757D" w:rsidRPr="00C377A8" w:rsidTr="008467E7">
        <w:tc>
          <w:tcPr>
            <w:tcW w:w="2427" w:type="pct"/>
            <w:gridSpan w:val="2"/>
          </w:tcPr>
          <w:p w:rsidR="0095757D" w:rsidRPr="002528DF" w:rsidRDefault="0095757D" w:rsidP="002528DF">
            <w:pPr>
              <w:jc w:val="both"/>
              <w:rPr>
                <w:sz w:val="20"/>
                <w:lang w:val="fr-CA"/>
              </w:rPr>
            </w:pPr>
            <w:r w:rsidRPr="002528DF">
              <w:rPr>
                <w:sz w:val="20"/>
                <w:lang w:val="fr-CA"/>
              </w:rPr>
              <w:t>10 février 2020</w:t>
            </w:r>
          </w:p>
          <w:p w:rsidR="0095757D" w:rsidRPr="002528DF" w:rsidRDefault="0095757D" w:rsidP="002528DF">
            <w:pPr>
              <w:jc w:val="both"/>
              <w:rPr>
                <w:sz w:val="20"/>
                <w:lang w:val="fr-CA"/>
              </w:rPr>
            </w:pPr>
            <w:r w:rsidRPr="002528DF">
              <w:rPr>
                <w:sz w:val="20"/>
                <w:lang w:val="fr-CA"/>
              </w:rPr>
              <w:t>Cour suprême du Canada</w:t>
            </w:r>
          </w:p>
        </w:tc>
        <w:tc>
          <w:tcPr>
            <w:tcW w:w="243" w:type="pct"/>
          </w:tcPr>
          <w:p w:rsidR="0095757D" w:rsidRPr="002528DF" w:rsidRDefault="0095757D" w:rsidP="002528DF">
            <w:pPr>
              <w:jc w:val="both"/>
              <w:rPr>
                <w:sz w:val="20"/>
                <w:lang w:val="fr-CA"/>
              </w:rPr>
            </w:pPr>
          </w:p>
        </w:tc>
        <w:tc>
          <w:tcPr>
            <w:tcW w:w="2330" w:type="pct"/>
          </w:tcPr>
          <w:p w:rsidR="0095757D" w:rsidRPr="002528DF" w:rsidRDefault="0095757D" w:rsidP="002528DF">
            <w:pPr>
              <w:jc w:val="both"/>
              <w:rPr>
                <w:sz w:val="20"/>
                <w:lang w:val="fr-CA"/>
              </w:rPr>
            </w:pPr>
            <w:r w:rsidRPr="002528DF">
              <w:rPr>
                <w:sz w:val="20"/>
                <w:lang w:val="fr-CA"/>
              </w:rPr>
              <w:t>Dépôt de la demande d’autorisation d’appel</w:t>
            </w:r>
          </w:p>
          <w:p w:rsidR="0095757D" w:rsidRPr="002528DF" w:rsidRDefault="0095757D" w:rsidP="002528DF">
            <w:pPr>
              <w:jc w:val="both"/>
              <w:rPr>
                <w:sz w:val="20"/>
                <w:lang w:val="fr-CA"/>
              </w:rPr>
            </w:pPr>
          </w:p>
        </w:tc>
      </w:tr>
    </w:tbl>
    <w:p w:rsidR="00F61FFA" w:rsidRPr="0095757D" w:rsidRDefault="00F61FFA" w:rsidP="002E6084">
      <w:pPr>
        <w:widowControl w:val="0"/>
        <w:jc w:val="both"/>
        <w:rPr>
          <w:sz w:val="20"/>
          <w:lang w:val="fr-CA"/>
        </w:rPr>
      </w:pPr>
    </w:p>
    <w:p w:rsidR="00E85588" w:rsidRDefault="00C377A8" w:rsidP="00E85588">
      <w:pPr>
        <w:jc w:val="both"/>
        <w:rPr>
          <w:sz w:val="20"/>
        </w:rPr>
      </w:pPr>
      <w:r>
        <w:rPr>
          <w:sz w:val="20"/>
        </w:rPr>
        <w:pict>
          <v:rect id="_x0000_i1038" style="width:2in;height:1pt" o:hrpct="0" o:hralign="center" o:hrstd="t" o:hrnoshade="t" o:hr="t" fillcolor="black [3213]" stroked="f"/>
        </w:pict>
      </w:r>
    </w:p>
    <w:p w:rsidR="00D2722D" w:rsidRPr="0095757D" w:rsidRDefault="00D2722D" w:rsidP="00E8558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722D" w:rsidRPr="002528DF" w:rsidTr="00EB44A7">
        <w:tc>
          <w:tcPr>
            <w:tcW w:w="543" w:type="pct"/>
          </w:tcPr>
          <w:p w:rsidR="00D2722D" w:rsidRPr="002528DF" w:rsidRDefault="00D2722D" w:rsidP="00EB44A7">
            <w:pPr>
              <w:jc w:val="both"/>
              <w:rPr>
                <w:sz w:val="20"/>
              </w:rPr>
            </w:pPr>
            <w:r w:rsidRPr="002528DF">
              <w:rPr>
                <w:rStyle w:val="SCCFileNumberChar"/>
                <w:sz w:val="20"/>
                <w:szCs w:val="20"/>
              </w:rPr>
              <w:t>39161</w:t>
            </w:r>
          </w:p>
        </w:tc>
        <w:tc>
          <w:tcPr>
            <w:tcW w:w="4457" w:type="pct"/>
            <w:gridSpan w:val="3"/>
          </w:tcPr>
          <w:p w:rsidR="00D2722D" w:rsidRPr="002528DF" w:rsidRDefault="00D2722D" w:rsidP="00EB44A7">
            <w:pPr>
              <w:pStyle w:val="SCCLsocParty"/>
              <w:jc w:val="both"/>
              <w:rPr>
                <w:b/>
                <w:sz w:val="20"/>
                <w:szCs w:val="20"/>
                <w:lang w:val="en-US"/>
              </w:rPr>
            </w:pPr>
            <w:r w:rsidRPr="002528DF">
              <w:rPr>
                <w:b/>
                <w:sz w:val="20"/>
                <w:szCs w:val="20"/>
                <w:lang w:val="en-US"/>
              </w:rPr>
              <w:t>David Leslie Capewell v. Her Majesty the Queen</w:t>
            </w:r>
          </w:p>
          <w:p w:rsidR="00D2722D" w:rsidRPr="002528DF" w:rsidRDefault="00D2722D" w:rsidP="00EB44A7">
            <w:pPr>
              <w:jc w:val="both"/>
              <w:rPr>
                <w:sz w:val="20"/>
              </w:rPr>
            </w:pPr>
            <w:r w:rsidRPr="002528DF">
              <w:rPr>
                <w:sz w:val="20"/>
              </w:rPr>
              <w:t>(B.C.) (Criminal) (By Leave)</w:t>
            </w:r>
          </w:p>
        </w:tc>
      </w:tr>
      <w:tr w:rsidR="00D2722D" w:rsidRPr="002528DF" w:rsidTr="00EB44A7">
        <w:tc>
          <w:tcPr>
            <w:tcW w:w="5000" w:type="pct"/>
            <w:gridSpan w:val="4"/>
          </w:tcPr>
          <w:p w:rsidR="00D2722D" w:rsidRPr="002528DF" w:rsidRDefault="00D2722D" w:rsidP="00EB44A7">
            <w:pPr>
              <w:jc w:val="both"/>
              <w:rPr>
                <w:sz w:val="20"/>
              </w:rPr>
            </w:pPr>
            <w:r w:rsidRPr="002528DF">
              <w:rPr>
                <w:sz w:val="20"/>
              </w:rPr>
              <w:t>Criminal law — Offences — Elements of Offence — What is the test for capacity to consent for the offence of sexual assault — Is the complainant’s evidence that they would or would not have consented relevant to determining the question of capacity.</w:t>
            </w:r>
          </w:p>
          <w:p w:rsidR="00D2722D" w:rsidRPr="002528DF" w:rsidRDefault="00D2722D" w:rsidP="00EB44A7">
            <w:pPr>
              <w:jc w:val="both"/>
              <w:rPr>
                <w:sz w:val="20"/>
              </w:rPr>
            </w:pPr>
          </w:p>
        </w:tc>
      </w:tr>
      <w:tr w:rsidR="00D2722D" w:rsidRPr="002528DF" w:rsidTr="00EB44A7">
        <w:tc>
          <w:tcPr>
            <w:tcW w:w="5000" w:type="pct"/>
            <w:gridSpan w:val="4"/>
          </w:tcPr>
          <w:p w:rsidR="00D2722D" w:rsidRPr="002528DF" w:rsidRDefault="00D2722D" w:rsidP="00EB44A7">
            <w:pPr>
              <w:jc w:val="both"/>
              <w:rPr>
                <w:sz w:val="20"/>
                <w:lang w:val="en"/>
              </w:rPr>
            </w:pPr>
            <w:r w:rsidRPr="002528DF">
              <w:rPr>
                <w:sz w:val="20"/>
                <w:lang w:val="en"/>
              </w:rPr>
              <w:t>The applicant and the complainant had not seen each other in over 20 years. Then, the applicant started communicating with the complainant by telephone, email and text messaging. They arranged to meet. They went on a couple of dates. On the last date, the trial judge found that the applicant deliberately administered Ativan to the complainant in her tea without her knowledge. The complainant testified that at the time she felt drugged, there had been no discussion with the applicant of having sexual contact, and she did not want to have sexual contact with him. As well, she testified that the applicant had not asked if she wanted to have sexual contact with him, and she could recall no sexual contact with him. The trial judge made the following findings: there were sexual relations between the complainant and the applicant; and, the applicant deliberately administered Ativan to the complainant without her knowledge. The trial judge held that as a result of being intoxicated and drugged with Ativan, the complainant did not have the capacity to consent to sexual activity, was not able to understand the risks and consequences associated with that particular activity, and was not able to decline to participate in that activity.</w:t>
            </w:r>
            <w:r w:rsidRPr="002528DF">
              <w:rPr>
                <w:sz w:val="20"/>
              </w:rPr>
              <w:t xml:space="preserve"> </w:t>
            </w:r>
            <w:r w:rsidRPr="002528DF">
              <w:rPr>
                <w:color w:val="000000"/>
                <w:spacing w:val="-2"/>
                <w:sz w:val="20"/>
              </w:rPr>
              <w:t>The applicant was convicted of sexual assault, and of administering a stupefying or overpowering drug to enable him to sexually assault the complainant. The Court of Appeal dismissed the conviction appeal.</w:t>
            </w:r>
          </w:p>
          <w:p w:rsidR="00D2722D" w:rsidRPr="002528DF" w:rsidRDefault="00D2722D" w:rsidP="00EB44A7">
            <w:pPr>
              <w:jc w:val="both"/>
              <w:rPr>
                <w:sz w:val="20"/>
              </w:rPr>
            </w:pPr>
          </w:p>
        </w:tc>
      </w:tr>
      <w:tr w:rsidR="00D2722D" w:rsidRPr="002528DF" w:rsidTr="00EB44A7">
        <w:tc>
          <w:tcPr>
            <w:tcW w:w="2427" w:type="pct"/>
            <w:gridSpan w:val="2"/>
          </w:tcPr>
          <w:p w:rsidR="00D2722D" w:rsidRPr="002528DF" w:rsidRDefault="00D2722D" w:rsidP="00EB44A7">
            <w:pPr>
              <w:jc w:val="both"/>
              <w:rPr>
                <w:sz w:val="20"/>
              </w:rPr>
            </w:pPr>
            <w:r w:rsidRPr="002528DF">
              <w:rPr>
                <w:sz w:val="20"/>
              </w:rPr>
              <w:t>March 13, 2018</w:t>
            </w:r>
          </w:p>
          <w:p w:rsidR="00D2722D" w:rsidRPr="002528DF" w:rsidRDefault="00D2722D" w:rsidP="00EB44A7">
            <w:pPr>
              <w:jc w:val="both"/>
              <w:rPr>
                <w:sz w:val="20"/>
              </w:rPr>
            </w:pPr>
            <w:r w:rsidRPr="002528DF">
              <w:rPr>
                <w:sz w:val="20"/>
              </w:rPr>
              <w:t>Supreme Court of British Columbia</w:t>
            </w:r>
          </w:p>
          <w:p w:rsidR="00D2722D" w:rsidRPr="002528DF" w:rsidRDefault="00D2722D" w:rsidP="00EB44A7">
            <w:pPr>
              <w:jc w:val="both"/>
              <w:rPr>
                <w:sz w:val="20"/>
                <w:lang w:val="fr-CA"/>
              </w:rPr>
            </w:pPr>
            <w:r w:rsidRPr="002528DF">
              <w:rPr>
                <w:sz w:val="20"/>
                <w:lang w:val="fr-CA"/>
              </w:rPr>
              <w:t>(</w:t>
            </w:r>
            <w:proofErr w:type="spellStart"/>
            <w:r w:rsidRPr="002528DF">
              <w:rPr>
                <w:sz w:val="20"/>
                <w:lang w:val="fr-CA"/>
              </w:rPr>
              <w:t>Maisonville</w:t>
            </w:r>
            <w:proofErr w:type="spellEnd"/>
            <w:r w:rsidRPr="002528DF">
              <w:rPr>
                <w:sz w:val="20"/>
                <w:lang w:val="fr-CA"/>
              </w:rPr>
              <w:t xml:space="preserve"> J.)</w:t>
            </w:r>
          </w:p>
          <w:p w:rsidR="00D2722D" w:rsidRPr="002528DF" w:rsidRDefault="00D2722D" w:rsidP="00EB44A7">
            <w:pPr>
              <w:jc w:val="both"/>
              <w:rPr>
                <w:sz w:val="20"/>
                <w:lang w:val="fr-CA"/>
              </w:rPr>
            </w:pPr>
            <w:r w:rsidRPr="002528DF">
              <w:rPr>
                <w:sz w:val="20"/>
                <w:lang w:val="fr-CA"/>
              </w:rPr>
              <w:t>2018 BCSC 694</w:t>
            </w:r>
          </w:p>
          <w:p w:rsidR="00D2722D" w:rsidRPr="002528DF" w:rsidRDefault="00D2722D" w:rsidP="00EB44A7">
            <w:pPr>
              <w:jc w:val="both"/>
              <w:rPr>
                <w:sz w:val="20"/>
                <w:lang w:val="fr-CA"/>
              </w:rPr>
            </w:pPr>
            <w:r w:rsidRPr="002528DF">
              <w:rPr>
                <w:sz w:val="20"/>
                <w:lang w:val="fr-CA"/>
              </w:rPr>
              <w:t>(</w:t>
            </w:r>
            <w:proofErr w:type="spellStart"/>
            <w:r w:rsidRPr="002528DF">
              <w:rPr>
                <w:sz w:val="20"/>
                <w:lang w:val="fr-CA"/>
              </w:rPr>
              <w:t>unreported</w:t>
            </w:r>
            <w:proofErr w:type="spellEnd"/>
            <w:r w:rsidRPr="002528DF">
              <w:rPr>
                <w:sz w:val="20"/>
                <w:lang w:val="fr-CA"/>
              </w:rPr>
              <w:t>)</w:t>
            </w:r>
          </w:p>
          <w:p w:rsidR="00D2722D" w:rsidRPr="002528DF" w:rsidRDefault="00D2722D" w:rsidP="00EB44A7">
            <w:pPr>
              <w:jc w:val="both"/>
              <w:rPr>
                <w:sz w:val="20"/>
              </w:rPr>
            </w:pP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 xml:space="preserve">Convictions entered: sexual assault, </w:t>
            </w:r>
            <w:r w:rsidRPr="002528DF">
              <w:rPr>
                <w:color w:val="000000"/>
                <w:spacing w:val="-2"/>
                <w:sz w:val="20"/>
              </w:rPr>
              <w:t>administering a stupefying or overpowering drug to enable him to sexually assault the complainant</w:t>
            </w:r>
          </w:p>
          <w:p w:rsidR="00D2722D" w:rsidRPr="002528DF" w:rsidRDefault="00D2722D" w:rsidP="00EB44A7">
            <w:pPr>
              <w:jc w:val="both"/>
              <w:rPr>
                <w:sz w:val="20"/>
              </w:rPr>
            </w:pPr>
          </w:p>
        </w:tc>
      </w:tr>
      <w:tr w:rsidR="00D2722D" w:rsidRPr="002528DF" w:rsidTr="00EB44A7">
        <w:tc>
          <w:tcPr>
            <w:tcW w:w="2427" w:type="pct"/>
            <w:gridSpan w:val="2"/>
          </w:tcPr>
          <w:p w:rsidR="00D2722D" w:rsidRPr="002528DF" w:rsidRDefault="00D2722D" w:rsidP="00EB44A7">
            <w:pPr>
              <w:jc w:val="both"/>
              <w:rPr>
                <w:sz w:val="20"/>
              </w:rPr>
            </w:pPr>
            <w:r w:rsidRPr="002528DF">
              <w:rPr>
                <w:sz w:val="20"/>
              </w:rPr>
              <w:t>March 13, 2020</w:t>
            </w:r>
          </w:p>
          <w:p w:rsidR="00D2722D" w:rsidRPr="002528DF" w:rsidRDefault="00D2722D" w:rsidP="00EB44A7">
            <w:pPr>
              <w:jc w:val="both"/>
              <w:rPr>
                <w:sz w:val="20"/>
              </w:rPr>
            </w:pPr>
            <w:r w:rsidRPr="002528DF">
              <w:rPr>
                <w:sz w:val="20"/>
              </w:rPr>
              <w:t xml:space="preserve">Court of Appeal for British Columbia </w:t>
            </w:r>
          </w:p>
          <w:p w:rsidR="00D2722D" w:rsidRPr="002528DF" w:rsidRDefault="00D2722D" w:rsidP="00EB44A7">
            <w:pPr>
              <w:jc w:val="both"/>
              <w:rPr>
                <w:sz w:val="20"/>
              </w:rPr>
            </w:pPr>
            <w:r w:rsidRPr="002528DF">
              <w:rPr>
                <w:sz w:val="20"/>
              </w:rPr>
              <w:t>(Vancouver)</w:t>
            </w:r>
          </w:p>
          <w:p w:rsidR="00D2722D" w:rsidRPr="002528DF" w:rsidRDefault="00D2722D" w:rsidP="00EB44A7">
            <w:pPr>
              <w:jc w:val="both"/>
              <w:rPr>
                <w:sz w:val="20"/>
              </w:rPr>
            </w:pPr>
            <w:r w:rsidRPr="002528DF">
              <w:rPr>
                <w:sz w:val="20"/>
              </w:rPr>
              <w:t xml:space="preserve">(Bauman C.J., </w:t>
            </w:r>
            <w:proofErr w:type="spellStart"/>
            <w:r w:rsidRPr="002528DF">
              <w:rPr>
                <w:sz w:val="20"/>
              </w:rPr>
              <w:t>Tysoe</w:t>
            </w:r>
            <w:proofErr w:type="spellEnd"/>
            <w:r w:rsidRPr="002528DF">
              <w:rPr>
                <w:sz w:val="20"/>
              </w:rPr>
              <w:t xml:space="preserve"> and </w:t>
            </w:r>
            <w:proofErr w:type="spellStart"/>
            <w:r w:rsidRPr="002528DF">
              <w:rPr>
                <w:sz w:val="20"/>
              </w:rPr>
              <w:t>Abrioux</w:t>
            </w:r>
            <w:proofErr w:type="spellEnd"/>
            <w:r w:rsidRPr="002528DF">
              <w:rPr>
                <w:sz w:val="20"/>
              </w:rPr>
              <w:t xml:space="preserve"> JJ.A.)</w:t>
            </w:r>
          </w:p>
          <w:p w:rsidR="00D2722D" w:rsidRPr="002528DF" w:rsidRDefault="00C377A8" w:rsidP="00EB44A7">
            <w:pPr>
              <w:jc w:val="both"/>
              <w:rPr>
                <w:sz w:val="20"/>
              </w:rPr>
            </w:pPr>
            <w:hyperlink r:id="rId38" w:history="1">
              <w:r w:rsidR="00D2722D" w:rsidRPr="002528DF">
                <w:rPr>
                  <w:rStyle w:val="Hyperlink"/>
                  <w:sz w:val="20"/>
                </w:rPr>
                <w:t>2020 BCCA 82</w:t>
              </w:r>
            </w:hyperlink>
            <w:r w:rsidR="00D2722D" w:rsidRPr="002528DF">
              <w:rPr>
                <w:sz w:val="20"/>
              </w:rPr>
              <w:t>; CA5767</w:t>
            </w:r>
          </w:p>
          <w:p w:rsidR="00D2722D" w:rsidRPr="002528DF" w:rsidRDefault="00D2722D" w:rsidP="00EB44A7">
            <w:pPr>
              <w:jc w:val="both"/>
              <w:rPr>
                <w:sz w:val="20"/>
              </w:rPr>
            </w:pP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Conviction appeal dismissed</w:t>
            </w:r>
          </w:p>
          <w:p w:rsidR="00D2722D" w:rsidRPr="002528DF" w:rsidRDefault="00D2722D" w:rsidP="00EB44A7">
            <w:pPr>
              <w:jc w:val="both"/>
              <w:rPr>
                <w:sz w:val="20"/>
              </w:rPr>
            </w:pPr>
          </w:p>
        </w:tc>
      </w:tr>
      <w:tr w:rsidR="00D2722D" w:rsidRPr="002528DF" w:rsidTr="00EB44A7">
        <w:tc>
          <w:tcPr>
            <w:tcW w:w="2427" w:type="pct"/>
            <w:gridSpan w:val="2"/>
          </w:tcPr>
          <w:p w:rsidR="00D2722D" w:rsidRPr="002528DF" w:rsidRDefault="00D2722D" w:rsidP="00EB44A7">
            <w:pPr>
              <w:jc w:val="both"/>
              <w:rPr>
                <w:sz w:val="20"/>
              </w:rPr>
            </w:pPr>
            <w:r w:rsidRPr="002528DF">
              <w:rPr>
                <w:sz w:val="20"/>
              </w:rPr>
              <w:t>May 11, 2020</w:t>
            </w:r>
          </w:p>
          <w:p w:rsidR="00D2722D" w:rsidRPr="002528DF" w:rsidRDefault="00D2722D" w:rsidP="00EB44A7">
            <w:pPr>
              <w:jc w:val="both"/>
              <w:rPr>
                <w:sz w:val="20"/>
              </w:rPr>
            </w:pPr>
            <w:r w:rsidRPr="002528DF">
              <w:rPr>
                <w:sz w:val="20"/>
              </w:rPr>
              <w:t>Supreme Court of Canada</w:t>
            </w: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Application for leave to appeal filed</w:t>
            </w:r>
          </w:p>
          <w:p w:rsidR="00D2722D" w:rsidRPr="002528DF" w:rsidRDefault="00D2722D" w:rsidP="00EB44A7">
            <w:pPr>
              <w:jc w:val="both"/>
              <w:rPr>
                <w:sz w:val="20"/>
              </w:rPr>
            </w:pPr>
          </w:p>
        </w:tc>
      </w:tr>
    </w:tbl>
    <w:p w:rsidR="00D2722D" w:rsidRPr="002528DF" w:rsidRDefault="00D2722D" w:rsidP="00D2722D">
      <w:pPr>
        <w:jc w:val="both"/>
        <w:rPr>
          <w:sz w:val="20"/>
        </w:rPr>
      </w:pPr>
    </w:p>
    <w:p w:rsidR="00D2722D" w:rsidRPr="002528DF" w:rsidRDefault="00C377A8" w:rsidP="00D2722D">
      <w:pPr>
        <w:jc w:val="both"/>
        <w:rPr>
          <w:sz w:val="20"/>
        </w:rPr>
      </w:pPr>
      <w:r>
        <w:rPr>
          <w:sz w:val="20"/>
        </w:rPr>
        <w:pict>
          <v:rect id="_x0000_i1039" style="width:2in;height:1pt" o:hrpct="0" o:hralign="center" o:hrstd="t" o:hrnoshade="t" o:hr="t" fillcolor="black [3213]" stroked="f"/>
        </w:pict>
      </w:r>
    </w:p>
    <w:p w:rsidR="00D2722D" w:rsidRPr="002528DF" w:rsidRDefault="00D2722D" w:rsidP="00D272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722D" w:rsidRPr="00C377A8" w:rsidTr="00EB44A7">
        <w:tc>
          <w:tcPr>
            <w:tcW w:w="543" w:type="pct"/>
          </w:tcPr>
          <w:p w:rsidR="00D2722D" w:rsidRPr="002528DF" w:rsidRDefault="00D2722D" w:rsidP="00EB44A7">
            <w:pPr>
              <w:jc w:val="both"/>
              <w:rPr>
                <w:sz w:val="20"/>
                <w:lang w:val="fr-CA"/>
              </w:rPr>
            </w:pPr>
            <w:r w:rsidRPr="002528DF">
              <w:rPr>
                <w:rStyle w:val="SCCFileNumberChar"/>
                <w:sz w:val="20"/>
                <w:szCs w:val="20"/>
                <w:lang w:val="fr-CA"/>
              </w:rPr>
              <w:t>39161</w:t>
            </w:r>
          </w:p>
        </w:tc>
        <w:tc>
          <w:tcPr>
            <w:tcW w:w="4457" w:type="pct"/>
            <w:gridSpan w:val="3"/>
          </w:tcPr>
          <w:p w:rsidR="00D2722D" w:rsidRPr="002528DF" w:rsidRDefault="00D2722D" w:rsidP="00EB44A7">
            <w:pPr>
              <w:pStyle w:val="SCCLsocParty"/>
              <w:jc w:val="both"/>
              <w:rPr>
                <w:b/>
                <w:sz w:val="20"/>
                <w:szCs w:val="20"/>
              </w:rPr>
            </w:pPr>
            <w:r w:rsidRPr="002528DF">
              <w:rPr>
                <w:b/>
                <w:sz w:val="20"/>
                <w:szCs w:val="20"/>
              </w:rPr>
              <w:t>David Leslie Capewell c. Sa Majesté la Reine</w:t>
            </w:r>
          </w:p>
          <w:p w:rsidR="00D2722D" w:rsidRPr="002528DF" w:rsidRDefault="00D2722D" w:rsidP="00EB44A7">
            <w:pPr>
              <w:jc w:val="both"/>
              <w:rPr>
                <w:sz w:val="20"/>
                <w:lang w:val="fr-CA"/>
              </w:rPr>
            </w:pPr>
            <w:r w:rsidRPr="002528DF">
              <w:rPr>
                <w:sz w:val="20"/>
                <w:lang w:val="fr-CA"/>
              </w:rPr>
              <w:t>(C.-B.) (Criminelle) (Sur autorisation)</w:t>
            </w:r>
          </w:p>
        </w:tc>
      </w:tr>
      <w:tr w:rsidR="00D2722D" w:rsidRPr="00C377A8" w:rsidTr="00EB44A7">
        <w:tc>
          <w:tcPr>
            <w:tcW w:w="5000" w:type="pct"/>
            <w:gridSpan w:val="4"/>
          </w:tcPr>
          <w:p w:rsidR="00D2722D" w:rsidRPr="002528DF" w:rsidRDefault="00D2722D" w:rsidP="00EB44A7">
            <w:pPr>
              <w:jc w:val="both"/>
              <w:rPr>
                <w:sz w:val="20"/>
                <w:lang w:val="fr-CA"/>
              </w:rPr>
            </w:pPr>
            <w:r w:rsidRPr="002528DF">
              <w:rPr>
                <w:sz w:val="20"/>
                <w:lang w:val="fr-CA"/>
              </w:rPr>
              <w:t>Droit criminel — Infractions — Éléments de l’infraction — Quel est le critère pour établir la capacité de consentir dans le cadre de l’infraction d’agression sexuelle ? — Le témoignage de la plaignante sur le fait qu’elle aurait consenti ou n’aurait pas consenti à l’activité sexuelle est</w:t>
            </w:r>
            <w:r w:rsidRPr="002528DF">
              <w:rPr>
                <w:sz w:val="20"/>
                <w:lang w:val="fr-CA"/>
              </w:rPr>
              <w:noBreakHyphen/>
              <w:t>il pertinent pour déterminer la question de la capacité ?</w:t>
            </w:r>
          </w:p>
          <w:p w:rsidR="00D2722D" w:rsidRPr="002528DF" w:rsidRDefault="00D2722D" w:rsidP="00EB44A7">
            <w:pPr>
              <w:jc w:val="both"/>
              <w:rPr>
                <w:sz w:val="20"/>
                <w:lang w:val="fr-CA"/>
              </w:rPr>
            </w:pPr>
          </w:p>
        </w:tc>
      </w:tr>
      <w:tr w:rsidR="00D2722D" w:rsidRPr="00C377A8" w:rsidTr="00EB44A7">
        <w:tc>
          <w:tcPr>
            <w:tcW w:w="5000" w:type="pct"/>
            <w:gridSpan w:val="4"/>
          </w:tcPr>
          <w:p w:rsidR="00D2722D" w:rsidRPr="002528DF" w:rsidRDefault="00D2722D" w:rsidP="00EB44A7">
            <w:pPr>
              <w:jc w:val="both"/>
              <w:rPr>
                <w:sz w:val="20"/>
                <w:lang w:val="fr-CA"/>
              </w:rPr>
            </w:pPr>
            <w:r w:rsidRPr="002528DF">
              <w:rPr>
                <w:sz w:val="20"/>
                <w:lang w:val="fr-CA"/>
              </w:rPr>
              <w:t>Le demandeur et la plaignante ne se sont pas vus pendant plus de 20 ans. Par la suite, le demandeur a commencé à communiquer avec la plaignante par téléphone, courriel et messages textes. Ils se sont donné rendez</w:t>
            </w:r>
            <w:r w:rsidRPr="002528DF">
              <w:rPr>
                <w:sz w:val="20"/>
                <w:lang w:val="fr-CA"/>
              </w:rPr>
              <w:noBreakHyphen/>
              <w:t>vous. Ils se sont fréquentés à quelques reprises. Lors de leur dernier rendez</w:t>
            </w:r>
            <w:r w:rsidRPr="002528DF">
              <w:rPr>
                <w:sz w:val="20"/>
                <w:lang w:val="fr-CA"/>
              </w:rPr>
              <w:noBreakHyphen/>
              <w:t>vous, selon la conclusion de la juge de première instance, le demandeur a sciemment administré de l’Ativan à la plaignante dans son thé à son insu. La plaignante a témoigné qu’elle s’est alors sentie droguée, qu’il n’y avait eu aucune discussion avec le demandeur quant à des rapports sexuels, et qu’elle ne voulait pas avoir de rapports sexuels avec lui. Par ailleurs, elle a témoigné que le demandeur n’avait pas demandé si elle voulait avoir des rapports sexuels avec ce dernier, et ne pouvait se souvenir d’aucun rapport sexuel avec lui. La juge de première instance a tiré les conclusions suivantes : il y avait eu des relations sexuelles entre le demandeur et la plaignante; et, le demandeur a sciemment administré de l’Ativan à la plaignante à son insu. La juge de première instance a conclu que la plaignante, du fait d’avoir été intoxiquée et droguée par l’Ativan, n’avait pas la capacité de consentir à l’activité sexuelle, ne pouvait pas comprendre les risques et les conséquences associés avec cette activité particulière, et n’était pas en mesure de refuser de participer à cette activité. Le demandeur a été reconnu coupable d’agression sexuelle, et d’avoir administré à la plaignante une drogue stupéfiante ou soporifique</w:t>
            </w:r>
            <w:r w:rsidRPr="002528DF">
              <w:rPr>
                <w:color w:val="000000"/>
                <w:spacing w:val="-2"/>
                <w:sz w:val="20"/>
                <w:lang w:val="fr-CA"/>
              </w:rPr>
              <w:t>, afin d’être en mesure de l’agresser sexuellement. La Cour d’appel a rejeté l’appel de la déclaration de culpabilité.</w:t>
            </w:r>
          </w:p>
          <w:p w:rsidR="00D2722D" w:rsidRPr="002528DF" w:rsidRDefault="00D2722D" w:rsidP="00EB44A7">
            <w:pPr>
              <w:jc w:val="both"/>
              <w:rPr>
                <w:sz w:val="20"/>
                <w:lang w:val="fr-CA"/>
              </w:rPr>
            </w:pPr>
          </w:p>
        </w:tc>
      </w:tr>
      <w:tr w:rsidR="00D2722D" w:rsidRPr="00C377A8" w:rsidTr="00EB44A7">
        <w:tc>
          <w:tcPr>
            <w:tcW w:w="2427" w:type="pct"/>
            <w:gridSpan w:val="2"/>
          </w:tcPr>
          <w:p w:rsidR="00D2722D" w:rsidRPr="002528DF" w:rsidRDefault="00D2722D" w:rsidP="00EB44A7">
            <w:pPr>
              <w:jc w:val="both"/>
              <w:rPr>
                <w:sz w:val="20"/>
                <w:lang w:val="fr-CA"/>
              </w:rPr>
            </w:pPr>
            <w:r w:rsidRPr="002528DF">
              <w:rPr>
                <w:sz w:val="20"/>
                <w:lang w:val="fr-CA"/>
              </w:rPr>
              <w:t>13 mars 2018</w:t>
            </w:r>
          </w:p>
          <w:p w:rsidR="00D2722D" w:rsidRPr="002528DF" w:rsidRDefault="00D2722D" w:rsidP="00EB44A7">
            <w:pPr>
              <w:jc w:val="both"/>
              <w:rPr>
                <w:sz w:val="20"/>
                <w:lang w:val="fr-CA"/>
              </w:rPr>
            </w:pPr>
            <w:r w:rsidRPr="002528DF">
              <w:rPr>
                <w:sz w:val="20"/>
                <w:lang w:val="fr-CA"/>
              </w:rPr>
              <w:t>Cour suprême de la Colombie</w:t>
            </w:r>
            <w:r w:rsidRPr="002528DF">
              <w:rPr>
                <w:sz w:val="20"/>
                <w:lang w:val="fr-CA"/>
              </w:rPr>
              <w:noBreakHyphen/>
              <w:t>Britannique</w:t>
            </w:r>
          </w:p>
          <w:p w:rsidR="00D2722D" w:rsidRPr="002528DF" w:rsidRDefault="00D2722D" w:rsidP="00EB44A7">
            <w:pPr>
              <w:jc w:val="both"/>
              <w:rPr>
                <w:sz w:val="20"/>
                <w:lang w:val="fr-CA"/>
              </w:rPr>
            </w:pPr>
            <w:r w:rsidRPr="002528DF">
              <w:rPr>
                <w:sz w:val="20"/>
                <w:lang w:val="fr-CA"/>
              </w:rPr>
              <w:t xml:space="preserve">(Juge </w:t>
            </w:r>
            <w:proofErr w:type="spellStart"/>
            <w:r w:rsidRPr="002528DF">
              <w:rPr>
                <w:sz w:val="20"/>
                <w:lang w:val="fr-CA"/>
              </w:rPr>
              <w:t>Maisonville</w:t>
            </w:r>
            <w:proofErr w:type="spellEnd"/>
            <w:r w:rsidRPr="002528DF">
              <w:rPr>
                <w:sz w:val="20"/>
                <w:lang w:val="fr-CA"/>
              </w:rPr>
              <w:t>)</w:t>
            </w:r>
          </w:p>
          <w:p w:rsidR="00D2722D" w:rsidRPr="002528DF" w:rsidRDefault="00D2722D" w:rsidP="00EB44A7">
            <w:pPr>
              <w:jc w:val="both"/>
              <w:rPr>
                <w:sz w:val="20"/>
                <w:lang w:val="fr-CA"/>
              </w:rPr>
            </w:pPr>
            <w:r w:rsidRPr="002528DF">
              <w:rPr>
                <w:sz w:val="20"/>
                <w:lang w:val="fr-CA"/>
              </w:rPr>
              <w:t>2018 BCSC 694</w:t>
            </w:r>
          </w:p>
          <w:p w:rsidR="00D2722D" w:rsidRPr="002528DF" w:rsidRDefault="00D2722D" w:rsidP="00EB44A7">
            <w:pPr>
              <w:jc w:val="both"/>
              <w:rPr>
                <w:sz w:val="20"/>
                <w:lang w:val="fr-CA"/>
              </w:rPr>
            </w:pPr>
            <w:r w:rsidRPr="002528DF">
              <w:rPr>
                <w:sz w:val="20"/>
                <w:lang w:val="fr-CA"/>
              </w:rPr>
              <w:t>(non publié)</w:t>
            </w:r>
          </w:p>
          <w:p w:rsidR="00D2722D" w:rsidRPr="002528DF" w:rsidRDefault="00D2722D" w:rsidP="00EB44A7">
            <w:pPr>
              <w:jc w:val="both"/>
              <w:rPr>
                <w:sz w:val="20"/>
                <w:lang w:val="fr-CA"/>
              </w:rPr>
            </w:pPr>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Déclarations de culpabilité inscrites : agression sexuelle, administration d’une drogue stupéfiante ou soporifique afin de lui permettre d’agresser sexuellement la plaignante.</w:t>
            </w:r>
          </w:p>
          <w:p w:rsidR="00D2722D" w:rsidRPr="002528DF" w:rsidRDefault="00D2722D" w:rsidP="00EB44A7">
            <w:pPr>
              <w:jc w:val="both"/>
              <w:rPr>
                <w:sz w:val="20"/>
                <w:lang w:val="fr-CA"/>
              </w:rPr>
            </w:pPr>
          </w:p>
        </w:tc>
      </w:tr>
      <w:tr w:rsidR="00D2722D" w:rsidRPr="00C377A8" w:rsidTr="00EB44A7">
        <w:tc>
          <w:tcPr>
            <w:tcW w:w="2427" w:type="pct"/>
            <w:gridSpan w:val="2"/>
          </w:tcPr>
          <w:p w:rsidR="00D2722D" w:rsidRPr="002528DF" w:rsidRDefault="00D2722D" w:rsidP="00EB44A7">
            <w:pPr>
              <w:jc w:val="both"/>
              <w:rPr>
                <w:sz w:val="20"/>
                <w:lang w:val="fr-CA"/>
              </w:rPr>
            </w:pPr>
            <w:r w:rsidRPr="002528DF">
              <w:rPr>
                <w:sz w:val="20"/>
                <w:lang w:val="fr-CA"/>
              </w:rPr>
              <w:t>13 mars 2020</w:t>
            </w:r>
          </w:p>
          <w:p w:rsidR="00D2722D" w:rsidRPr="002528DF" w:rsidRDefault="00D2722D" w:rsidP="00EB44A7">
            <w:pPr>
              <w:jc w:val="both"/>
              <w:rPr>
                <w:sz w:val="20"/>
                <w:lang w:val="fr-CA"/>
              </w:rPr>
            </w:pPr>
            <w:r w:rsidRPr="002528DF">
              <w:rPr>
                <w:sz w:val="20"/>
                <w:lang w:val="fr-CA"/>
              </w:rPr>
              <w:t>Cour d’appel de la Colombie</w:t>
            </w:r>
            <w:r w:rsidRPr="002528DF">
              <w:rPr>
                <w:sz w:val="20"/>
                <w:lang w:val="fr-CA"/>
              </w:rPr>
              <w:noBreakHyphen/>
              <w:t>Britannique</w:t>
            </w:r>
          </w:p>
          <w:p w:rsidR="00D2722D" w:rsidRPr="002528DF" w:rsidRDefault="00D2722D" w:rsidP="00EB44A7">
            <w:pPr>
              <w:jc w:val="both"/>
              <w:rPr>
                <w:sz w:val="20"/>
                <w:lang w:val="fr-CA"/>
              </w:rPr>
            </w:pPr>
            <w:r w:rsidRPr="002528DF">
              <w:rPr>
                <w:sz w:val="20"/>
                <w:lang w:val="fr-CA"/>
              </w:rPr>
              <w:t>(Vancouver)</w:t>
            </w:r>
          </w:p>
          <w:p w:rsidR="00D2722D" w:rsidRPr="002528DF" w:rsidRDefault="00D2722D" w:rsidP="00EB44A7">
            <w:pPr>
              <w:jc w:val="both"/>
              <w:rPr>
                <w:sz w:val="20"/>
                <w:lang w:val="fr-CA"/>
              </w:rPr>
            </w:pPr>
            <w:r w:rsidRPr="002528DF">
              <w:rPr>
                <w:sz w:val="20"/>
                <w:lang w:val="fr-CA"/>
              </w:rPr>
              <w:t xml:space="preserve">(Juge en chef </w:t>
            </w:r>
            <w:proofErr w:type="spellStart"/>
            <w:r w:rsidRPr="002528DF">
              <w:rPr>
                <w:sz w:val="20"/>
                <w:lang w:val="fr-CA"/>
              </w:rPr>
              <w:t>Bauman</w:t>
            </w:r>
            <w:proofErr w:type="spellEnd"/>
            <w:r w:rsidRPr="002528DF">
              <w:rPr>
                <w:sz w:val="20"/>
                <w:lang w:val="fr-CA"/>
              </w:rPr>
              <w:t xml:space="preserve">, juges </w:t>
            </w:r>
            <w:proofErr w:type="spellStart"/>
            <w:r w:rsidRPr="002528DF">
              <w:rPr>
                <w:sz w:val="20"/>
                <w:lang w:val="fr-CA"/>
              </w:rPr>
              <w:t>Tysoe</w:t>
            </w:r>
            <w:proofErr w:type="spellEnd"/>
            <w:r w:rsidRPr="002528DF">
              <w:rPr>
                <w:sz w:val="20"/>
                <w:lang w:val="fr-CA"/>
              </w:rPr>
              <w:t xml:space="preserve"> et </w:t>
            </w:r>
            <w:proofErr w:type="spellStart"/>
            <w:r w:rsidRPr="002528DF">
              <w:rPr>
                <w:sz w:val="20"/>
                <w:lang w:val="fr-CA"/>
              </w:rPr>
              <w:t>Abrioux</w:t>
            </w:r>
            <w:proofErr w:type="spellEnd"/>
            <w:r w:rsidRPr="002528DF">
              <w:rPr>
                <w:sz w:val="20"/>
                <w:lang w:val="fr-CA"/>
              </w:rPr>
              <w:t>)</w:t>
            </w:r>
          </w:p>
          <w:p w:rsidR="00D2722D" w:rsidRPr="002528DF" w:rsidRDefault="00C377A8" w:rsidP="00EB44A7">
            <w:pPr>
              <w:jc w:val="both"/>
              <w:rPr>
                <w:sz w:val="20"/>
                <w:lang w:val="fr-CA"/>
              </w:rPr>
            </w:pPr>
            <w:hyperlink r:id="rId39" w:history="1">
              <w:r w:rsidR="00D2722D" w:rsidRPr="002528DF">
                <w:rPr>
                  <w:rStyle w:val="Hyperlink"/>
                  <w:sz w:val="20"/>
                  <w:lang w:val="fr-CA"/>
                </w:rPr>
                <w:t>2020 BCCA 82</w:t>
              </w:r>
            </w:hyperlink>
            <w:r w:rsidR="00D2722D" w:rsidRPr="002528DF">
              <w:rPr>
                <w:sz w:val="20"/>
                <w:lang w:val="fr-CA"/>
              </w:rPr>
              <w:t>; CA5767</w:t>
            </w:r>
          </w:p>
          <w:p w:rsidR="00D2722D" w:rsidRPr="002528DF" w:rsidRDefault="00D2722D" w:rsidP="00EB44A7">
            <w:pPr>
              <w:jc w:val="both"/>
              <w:rPr>
                <w:sz w:val="20"/>
                <w:lang w:val="fr-CA"/>
              </w:rPr>
            </w:pPr>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A</w:t>
            </w:r>
            <w:r w:rsidRPr="002528DF">
              <w:rPr>
                <w:color w:val="000000"/>
                <w:spacing w:val="-2"/>
                <w:sz w:val="20"/>
                <w:lang w:val="fr-CA"/>
              </w:rPr>
              <w:t>ppel de la déclaration de culpabilité rejeté.</w:t>
            </w:r>
          </w:p>
          <w:p w:rsidR="00D2722D" w:rsidRPr="002528DF" w:rsidRDefault="00D2722D" w:rsidP="00EB44A7">
            <w:pPr>
              <w:jc w:val="both"/>
              <w:rPr>
                <w:sz w:val="20"/>
                <w:lang w:val="fr-CA"/>
              </w:rPr>
            </w:pPr>
          </w:p>
        </w:tc>
      </w:tr>
      <w:tr w:rsidR="00D2722D" w:rsidRPr="002528DF" w:rsidTr="00EB44A7">
        <w:tc>
          <w:tcPr>
            <w:tcW w:w="2427" w:type="pct"/>
            <w:gridSpan w:val="2"/>
          </w:tcPr>
          <w:p w:rsidR="00D2722D" w:rsidRPr="002528DF" w:rsidRDefault="00D2722D" w:rsidP="00EB44A7">
            <w:pPr>
              <w:jc w:val="both"/>
              <w:rPr>
                <w:sz w:val="20"/>
                <w:lang w:val="fr-CA"/>
              </w:rPr>
            </w:pPr>
            <w:r w:rsidRPr="002528DF">
              <w:rPr>
                <w:sz w:val="20"/>
                <w:lang w:val="fr-CA"/>
              </w:rPr>
              <w:t>11 mai 2020</w:t>
            </w:r>
          </w:p>
          <w:p w:rsidR="00D2722D" w:rsidRPr="002528DF" w:rsidRDefault="00D2722D" w:rsidP="00EB44A7">
            <w:pPr>
              <w:jc w:val="both"/>
              <w:rPr>
                <w:sz w:val="20"/>
                <w:lang w:val="fr-CA"/>
              </w:rPr>
            </w:pPr>
            <w:r w:rsidRPr="002528DF">
              <w:rPr>
                <w:sz w:val="20"/>
                <w:lang w:val="fr-CA"/>
              </w:rPr>
              <w:t>Cour suprême du Canada</w:t>
            </w:r>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Demande d’autorisation d’appel déposée.</w:t>
            </w:r>
          </w:p>
          <w:p w:rsidR="00D2722D" w:rsidRPr="002528DF" w:rsidRDefault="00D2722D" w:rsidP="00EB44A7">
            <w:pPr>
              <w:jc w:val="both"/>
              <w:rPr>
                <w:sz w:val="20"/>
                <w:lang w:val="fr-CA"/>
              </w:rPr>
            </w:pPr>
          </w:p>
        </w:tc>
      </w:tr>
    </w:tbl>
    <w:p w:rsidR="00D2722D" w:rsidRDefault="00D2722D" w:rsidP="00D2722D">
      <w:pPr>
        <w:jc w:val="both"/>
        <w:rPr>
          <w:sz w:val="20"/>
        </w:rPr>
      </w:pPr>
    </w:p>
    <w:p w:rsidR="00C377A8" w:rsidRPr="002528DF" w:rsidRDefault="00C377A8" w:rsidP="00D2722D">
      <w:pPr>
        <w:jc w:val="both"/>
        <w:rPr>
          <w:sz w:val="20"/>
          <w:lang w:val="fr-CA"/>
        </w:rPr>
      </w:pPr>
      <w:r>
        <w:rPr>
          <w:sz w:val="20"/>
        </w:rPr>
        <w:pict>
          <v:rect id="_x0000_i1044" style="width:2in;height:1pt" o:hrpct="0" o:hralign="center" o:hrstd="t" o:hrnoshade="t" o:hr="t" fillcolor="black [3213]" stroked="f"/>
        </w:pict>
      </w:r>
    </w:p>
    <w:p w:rsidR="00D2722D" w:rsidRPr="002528DF" w:rsidRDefault="00D2722D" w:rsidP="00D2722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722D" w:rsidRPr="002528DF" w:rsidTr="00EB44A7">
        <w:tc>
          <w:tcPr>
            <w:tcW w:w="543" w:type="pct"/>
          </w:tcPr>
          <w:p w:rsidR="00D2722D" w:rsidRPr="002528DF" w:rsidRDefault="00D2722D" w:rsidP="00EB44A7">
            <w:pPr>
              <w:jc w:val="both"/>
              <w:rPr>
                <w:sz w:val="20"/>
              </w:rPr>
            </w:pPr>
            <w:r w:rsidRPr="002528DF">
              <w:rPr>
                <w:rStyle w:val="SCCFileNumberChar"/>
                <w:sz w:val="20"/>
                <w:szCs w:val="20"/>
              </w:rPr>
              <w:t>39182</w:t>
            </w:r>
          </w:p>
        </w:tc>
        <w:tc>
          <w:tcPr>
            <w:tcW w:w="4457" w:type="pct"/>
            <w:gridSpan w:val="3"/>
          </w:tcPr>
          <w:p w:rsidR="00D2722D" w:rsidRPr="002528DF" w:rsidRDefault="00D2722D" w:rsidP="00EB44A7">
            <w:pPr>
              <w:pStyle w:val="SCCLsocParty"/>
              <w:jc w:val="both"/>
              <w:rPr>
                <w:b/>
                <w:sz w:val="20"/>
                <w:szCs w:val="20"/>
                <w:lang w:val="en-US"/>
              </w:rPr>
            </w:pPr>
            <w:r w:rsidRPr="002528DF">
              <w:rPr>
                <w:b/>
                <w:sz w:val="20"/>
                <w:szCs w:val="20"/>
                <w:lang w:val="en-US"/>
              </w:rPr>
              <w:t>Grant Thornton LLP, Kent M. Ostridge v. Province of New Brunswick</w:t>
            </w:r>
          </w:p>
          <w:p w:rsidR="00D2722D" w:rsidRPr="002528DF" w:rsidRDefault="00D2722D" w:rsidP="00EB44A7">
            <w:pPr>
              <w:pStyle w:val="SCCLsocSubfileSeparator"/>
              <w:rPr>
                <w:sz w:val="20"/>
                <w:szCs w:val="20"/>
              </w:rPr>
            </w:pPr>
            <w:r w:rsidRPr="002528DF">
              <w:rPr>
                <w:sz w:val="20"/>
                <w:szCs w:val="20"/>
              </w:rPr>
              <w:t>- and between -</w:t>
            </w:r>
          </w:p>
          <w:p w:rsidR="00D2722D" w:rsidRPr="002528DF" w:rsidRDefault="00D2722D" w:rsidP="00EB44A7">
            <w:pPr>
              <w:pStyle w:val="SCCLsocParty"/>
              <w:jc w:val="both"/>
              <w:rPr>
                <w:b/>
                <w:sz w:val="20"/>
                <w:szCs w:val="20"/>
                <w:lang w:val="en-US"/>
              </w:rPr>
            </w:pPr>
            <w:r w:rsidRPr="002528DF">
              <w:rPr>
                <w:b/>
                <w:sz w:val="20"/>
                <w:szCs w:val="20"/>
                <w:lang w:val="en-US"/>
              </w:rPr>
              <w:t>Grant Thornton International Ltd. v. Province of New Brunswick</w:t>
            </w:r>
          </w:p>
          <w:p w:rsidR="00D2722D" w:rsidRPr="002528DF" w:rsidRDefault="00D2722D" w:rsidP="00EB44A7">
            <w:pPr>
              <w:jc w:val="both"/>
              <w:rPr>
                <w:sz w:val="20"/>
              </w:rPr>
            </w:pPr>
            <w:r w:rsidRPr="002528DF">
              <w:rPr>
                <w:sz w:val="20"/>
              </w:rPr>
              <w:t>(N.B.) (Civil) (By Leave)</w:t>
            </w:r>
          </w:p>
        </w:tc>
      </w:tr>
      <w:tr w:rsidR="00D2722D" w:rsidRPr="002528DF" w:rsidTr="00EB44A7">
        <w:tc>
          <w:tcPr>
            <w:tcW w:w="5000" w:type="pct"/>
            <w:gridSpan w:val="4"/>
          </w:tcPr>
          <w:p w:rsidR="00D2722D" w:rsidRPr="002528DF" w:rsidRDefault="00D2722D" w:rsidP="00EB44A7">
            <w:pPr>
              <w:jc w:val="both"/>
              <w:rPr>
                <w:sz w:val="20"/>
              </w:rPr>
            </w:pPr>
            <w:r w:rsidRPr="002528DF">
              <w:rPr>
                <w:sz w:val="20"/>
              </w:rPr>
              <w:t>Limitation of actions</w:t>
            </w:r>
            <w:r w:rsidRPr="002528DF">
              <w:rPr>
                <w:i/>
                <w:sz w:val="20"/>
              </w:rPr>
              <w:t xml:space="preserve"> </w:t>
            </w:r>
            <w:r w:rsidRPr="002528DF">
              <w:rPr>
                <w:sz w:val="20"/>
              </w:rPr>
              <w:t>— Discoverability — Summary judgments — Actions in negligence for professional malpractice of auditors — When does a plaintiff discover a claim for the purpose of a limitation period? — Whether the proper test for discoverability of a claim for professional negligence is such that knowledge of a potential claim is sufficient — Whether a discovery</w:t>
            </w:r>
            <w:r w:rsidRPr="002528DF">
              <w:rPr>
                <w:sz w:val="20"/>
              </w:rPr>
              <w:noBreakHyphen/>
              <w:t xml:space="preserve">based limitation period prescribed by a limitations statute begins to run when claimants know or ought reasonably to have known they had a potential claim or when claimants know or ought reasonably to have known that the defendant breached the standard of care — </w:t>
            </w:r>
            <w:r w:rsidRPr="002528DF">
              <w:rPr>
                <w:i/>
                <w:sz w:val="20"/>
              </w:rPr>
              <w:t>Limitation of Actions Act</w:t>
            </w:r>
            <w:r w:rsidRPr="002528DF">
              <w:rPr>
                <w:sz w:val="20"/>
              </w:rPr>
              <w:t>, S.N.B. 2009, c. L</w:t>
            </w:r>
            <w:r w:rsidRPr="002528DF">
              <w:rPr>
                <w:sz w:val="20"/>
              </w:rPr>
              <w:noBreakHyphen/>
              <w:t>8.5, s. 5.</w:t>
            </w:r>
          </w:p>
        </w:tc>
      </w:tr>
      <w:tr w:rsidR="00D2722D" w:rsidRPr="002528DF" w:rsidTr="00EB44A7">
        <w:tc>
          <w:tcPr>
            <w:tcW w:w="5000" w:type="pct"/>
            <w:gridSpan w:val="4"/>
          </w:tcPr>
          <w:p w:rsidR="00D2722D" w:rsidRPr="002528DF" w:rsidRDefault="00D2722D" w:rsidP="00EB44A7">
            <w:pPr>
              <w:jc w:val="both"/>
              <w:rPr>
                <w:sz w:val="20"/>
              </w:rPr>
            </w:pPr>
          </w:p>
        </w:tc>
      </w:tr>
      <w:tr w:rsidR="00D2722D" w:rsidRPr="002528DF" w:rsidTr="00EB44A7">
        <w:tc>
          <w:tcPr>
            <w:tcW w:w="5000" w:type="pct"/>
            <w:gridSpan w:val="4"/>
          </w:tcPr>
          <w:p w:rsidR="00D2722D" w:rsidRPr="002528DF" w:rsidRDefault="00D2722D" w:rsidP="00EB44A7">
            <w:pPr>
              <w:jc w:val="both"/>
              <w:rPr>
                <w:sz w:val="20"/>
              </w:rPr>
            </w:pPr>
            <w:r w:rsidRPr="002528DF">
              <w:rPr>
                <w:sz w:val="20"/>
              </w:rPr>
              <w:t>The Province of New Brunswick (NB) commenced an action in negligence against Grant Thornton LLP, one of its partners, and Grant Thornton International Ltd. (“Grant Thornton”) for their allegedly sub</w:t>
            </w:r>
            <w:r w:rsidRPr="002528DF">
              <w:rPr>
                <w:sz w:val="20"/>
              </w:rPr>
              <w:noBreakHyphen/>
              <w:t>standard audit of the financial statements of some corporations (“Atcon”) for the fiscal year ending January 31, 2009 (“F2009”). By the action, NB sought to recover damages corresponding to the $50 million it was required to pay, in March 2010, by virtue of loan guarantees provided to Atcon’s bank after Atcon’s bank successfully applied for a receivership order under the</w:t>
            </w:r>
            <w:r w:rsidRPr="002528DF">
              <w:rPr>
                <w:i/>
                <w:sz w:val="20"/>
              </w:rPr>
              <w:t xml:space="preserve"> Bankruptcy and Insolvency Act</w:t>
            </w:r>
            <w:r w:rsidRPr="002528DF">
              <w:rPr>
                <w:sz w:val="20"/>
              </w:rPr>
              <w:t>, R.S.C. 1985, c. B</w:t>
            </w:r>
            <w:r w:rsidRPr="002528DF">
              <w:rPr>
                <w:sz w:val="20"/>
              </w:rPr>
              <w:noBreakHyphen/>
              <w:t xml:space="preserve">3 and for relief under the </w:t>
            </w:r>
            <w:r w:rsidRPr="002528DF">
              <w:rPr>
                <w:i/>
                <w:sz w:val="20"/>
              </w:rPr>
              <w:t>Companies’ Creditors Arrangement Act</w:t>
            </w:r>
            <w:r w:rsidRPr="002528DF">
              <w:rPr>
                <w:sz w:val="20"/>
              </w:rPr>
              <w:t>, R.S.C. 1985, c. C</w:t>
            </w:r>
            <w:r w:rsidRPr="002528DF">
              <w:rPr>
                <w:sz w:val="20"/>
              </w:rPr>
              <w:noBreakHyphen/>
              <w:t>36. NB claims it relied on Grant Thornton’s unqualified auditor’s report in agreeing to execute the loan guarantees. After paying the $50 million, NB retained a different auditing firm to review and comment on Atcon’s F2009 financial position. In February 2011, that auditing firm provided NB with a draft report expressing the opinion that Atcon’s financial statements for F2009 had not been prepared in accordance with generally accepted accounting principles and that they overstated Atcon’s assets and net earnings. NB commenced its action on June 23, 2014. Grant Thornton sought summary judgment on the basis that NB’s claim was time</w:t>
            </w:r>
            <w:r w:rsidRPr="002528DF">
              <w:rPr>
                <w:sz w:val="20"/>
              </w:rPr>
              <w:noBreakHyphen/>
              <w:t>barred. The motions judge allowed Grant Thornton’s motion, finding NB discovered its claim more than two years before commencing the proceedings. The Court of Appeal allowed NB’s appeal, holding that the applicable test was more exacting than the one applied by the motions judge, so that the two</w:t>
            </w:r>
            <w:r w:rsidRPr="002528DF">
              <w:rPr>
                <w:sz w:val="20"/>
              </w:rPr>
              <w:noBreakHyphen/>
              <w:t>year limitation period did not begin to run until a claimant discovered they have a claim, rather than discovering they have a potential claim.</w:t>
            </w:r>
          </w:p>
          <w:p w:rsidR="00D2722D" w:rsidRPr="002528DF" w:rsidRDefault="00D2722D" w:rsidP="00EB44A7">
            <w:pPr>
              <w:jc w:val="both"/>
              <w:rPr>
                <w:sz w:val="20"/>
              </w:rPr>
            </w:pPr>
            <w:r w:rsidRPr="002528DF">
              <w:rPr>
                <w:sz w:val="20"/>
              </w:rPr>
              <w:t xml:space="preserve"> </w:t>
            </w:r>
          </w:p>
        </w:tc>
      </w:tr>
      <w:tr w:rsidR="00D2722D" w:rsidRPr="002528DF" w:rsidTr="00EB44A7">
        <w:tc>
          <w:tcPr>
            <w:tcW w:w="2427" w:type="pct"/>
            <w:gridSpan w:val="2"/>
          </w:tcPr>
          <w:p w:rsidR="00D2722D" w:rsidRPr="002528DF" w:rsidRDefault="00D2722D" w:rsidP="00EB44A7">
            <w:pPr>
              <w:jc w:val="both"/>
              <w:rPr>
                <w:sz w:val="20"/>
              </w:rPr>
            </w:pPr>
            <w:r w:rsidRPr="002528DF">
              <w:rPr>
                <w:sz w:val="20"/>
              </w:rPr>
              <w:t>February 22, 2019</w:t>
            </w:r>
          </w:p>
          <w:p w:rsidR="00D2722D" w:rsidRPr="002528DF" w:rsidRDefault="00D2722D" w:rsidP="00EB44A7">
            <w:pPr>
              <w:jc w:val="both"/>
              <w:rPr>
                <w:sz w:val="20"/>
              </w:rPr>
            </w:pPr>
            <w:r w:rsidRPr="002528DF">
              <w:rPr>
                <w:sz w:val="20"/>
              </w:rPr>
              <w:t>Court of Queen’s Bench of New Brunswick</w:t>
            </w:r>
          </w:p>
          <w:p w:rsidR="00D2722D" w:rsidRPr="002528DF" w:rsidRDefault="00D2722D" w:rsidP="00EB44A7">
            <w:pPr>
              <w:jc w:val="both"/>
              <w:rPr>
                <w:sz w:val="20"/>
              </w:rPr>
            </w:pPr>
            <w:r w:rsidRPr="002528DF">
              <w:rPr>
                <w:sz w:val="20"/>
              </w:rPr>
              <w:t>(Grant J.)</w:t>
            </w:r>
          </w:p>
          <w:p w:rsidR="00D2722D" w:rsidRPr="002528DF" w:rsidRDefault="00C377A8" w:rsidP="00EB44A7">
            <w:pPr>
              <w:jc w:val="both"/>
              <w:rPr>
                <w:sz w:val="20"/>
              </w:rPr>
            </w:pPr>
            <w:hyperlink r:id="rId40" w:history="1">
              <w:r w:rsidR="00D2722D" w:rsidRPr="002528DF">
                <w:rPr>
                  <w:rStyle w:val="Hyperlink"/>
                  <w:sz w:val="20"/>
                </w:rPr>
                <w:t>2019 NBQB 36</w:t>
              </w:r>
            </w:hyperlink>
            <w:r w:rsidR="00D2722D" w:rsidRPr="002528DF">
              <w:rPr>
                <w:sz w:val="20"/>
              </w:rPr>
              <w:t xml:space="preserve"> </w:t>
            </w:r>
          </w:p>
          <w:p w:rsidR="00D2722D" w:rsidRPr="002528DF" w:rsidRDefault="00D2722D" w:rsidP="00EB44A7">
            <w:pPr>
              <w:jc w:val="both"/>
              <w:rPr>
                <w:sz w:val="20"/>
              </w:rPr>
            </w:pP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Applicants’ motions for summary judgment allowed.</w:t>
            </w:r>
          </w:p>
        </w:tc>
      </w:tr>
      <w:tr w:rsidR="00D2722D" w:rsidRPr="002528DF" w:rsidTr="00EB44A7">
        <w:tc>
          <w:tcPr>
            <w:tcW w:w="2427" w:type="pct"/>
            <w:gridSpan w:val="2"/>
          </w:tcPr>
          <w:p w:rsidR="00D2722D" w:rsidRPr="002528DF" w:rsidRDefault="00D2722D" w:rsidP="00EB44A7">
            <w:pPr>
              <w:jc w:val="both"/>
              <w:rPr>
                <w:sz w:val="20"/>
              </w:rPr>
            </w:pPr>
            <w:r w:rsidRPr="002528DF">
              <w:rPr>
                <w:sz w:val="20"/>
              </w:rPr>
              <w:t>March 26, 2020</w:t>
            </w:r>
          </w:p>
          <w:p w:rsidR="00D2722D" w:rsidRPr="002528DF" w:rsidRDefault="00D2722D" w:rsidP="00EB44A7">
            <w:pPr>
              <w:jc w:val="both"/>
              <w:rPr>
                <w:sz w:val="20"/>
              </w:rPr>
            </w:pPr>
            <w:r w:rsidRPr="002528DF">
              <w:rPr>
                <w:sz w:val="20"/>
              </w:rPr>
              <w:t>Court of Appeal of New Brunswick</w:t>
            </w:r>
          </w:p>
          <w:p w:rsidR="00D2722D" w:rsidRPr="002528DF" w:rsidRDefault="00D2722D" w:rsidP="00EB44A7">
            <w:pPr>
              <w:jc w:val="both"/>
              <w:rPr>
                <w:sz w:val="20"/>
              </w:rPr>
            </w:pPr>
            <w:r w:rsidRPr="002528DF">
              <w:rPr>
                <w:sz w:val="20"/>
              </w:rPr>
              <w:t>(</w:t>
            </w:r>
            <w:proofErr w:type="spellStart"/>
            <w:r w:rsidRPr="002528DF">
              <w:rPr>
                <w:sz w:val="20"/>
              </w:rPr>
              <w:t>Drapeau</w:t>
            </w:r>
            <w:proofErr w:type="spellEnd"/>
            <w:r w:rsidRPr="002528DF">
              <w:rPr>
                <w:sz w:val="20"/>
              </w:rPr>
              <w:t xml:space="preserve">, </w:t>
            </w:r>
            <w:proofErr w:type="spellStart"/>
            <w:r w:rsidRPr="002528DF">
              <w:rPr>
                <w:sz w:val="20"/>
              </w:rPr>
              <w:t>Quigg</w:t>
            </w:r>
            <w:proofErr w:type="spellEnd"/>
            <w:r w:rsidRPr="002528DF">
              <w:rPr>
                <w:sz w:val="20"/>
              </w:rPr>
              <w:t>, and Green JJ.A.)</w:t>
            </w:r>
          </w:p>
          <w:p w:rsidR="00D2722D" w:rsidRPr="002528DF" w:rsidRDefault="00C377A8" w:rsidP="00EB44A7">
            <w:pPr>
              <w:jc w:val="both"/>
              <w:rPr>
                <w:sz w:val="20"/>
              </w:rPr>
            </w:pPr>
            <w:hyperlink r:id="rId41" w:history="1">
              <w:r w:rsidR="00D2722D" w:rsidRPr="002528DF">
                <w:rPr>
                  <w:rStyle w:val="Hyperlink"/>
                  <w:sz w:val="20"/>
                </w:rPr>
                <w:t>2020 NBCA 18</w:t>
              </w:r>
            </w:hyperlink>
            <w:r w:rsidR="00D2722D" w:rsidRPr="002528DF">
              <w:rPr>
                <w:sz w:val="20"/>
              </w:rPr>
              <w:t xml:space="preserve"> (file 29</w:t>
            </w:r>
            <w:r w:rsidR="00D2722D" w:rsidRPr="002528DF">
              <w:rPr>
                <w:sz w:val="20"/>
              </w:rPr>
              <w:noBreakHyphen/>
              <w:t>19</w:t>
            </w:r>
            <w:r w:rsidR="00D2722D" w:rsidRPr="002528DF">
              <w:rPr>
                <w:sz w:val="20"/>
              </w:rPr>
              <w:noBreakHyphen/>
              <w:t>CA)</w:t>
            </w:r>
          </w:p>
          <w:p w:rsidR="00D2722D" w:rsidRPr="002528DF" w:rsidRDefault="00D2722D" w:rsidP="00EB44A7">
            <w:pPr>
              <w:jc w:val="both"/>
              <w:rPr>
                <w:sz w:val="20"/>
              </w:rPr>
            </w:pP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Respondent’s appeal allowed and summary judgement set aside; applicants ordered to comply with documentary discovery obligations.</w:t>
            </w:r>
          </w:p>
          <w:p w:rsidR="00D2722D" w:rsidRPr="002528DF" w:rsidRDefault="00D2722D" w:rsidP="00EB44A7">
            <w:pPr>
              <w:jc w:val="both"/>
              <w:rPr>
                <w:sz w:val="20"/>
              </w:rPr>
            </w:pPr>
          </w:p>
        </w:tc>
      </w:tr>
      <w:tr w:rsidR="00D2722D" w:rsidRPr="002528DF" w:rsidTr="00EB44A7">
        <w:tc>
          <w:tcPr>
            <w:tcW w:w="2427" w:type="pct"/>
            <w:gridSpan w:val="2"/>
          </w:tcPr>
          <w:p w:rsidR="00D2722D" w:rsidRPr="002528DF" w:rsidRDefault="00D2722D" w:rsidP="00EB44A7">
            <w:pPr>
              <w:jc w:val="both"/>
              <w:rPr>
                <w:sz w:val="20"/>
              </w:rPr>
            </w:pPr>
            <w:r w:rsidRPr="002528DF">
              <w:rPr>
                <w:sz w:val="20"/>
              </w:rPr>
              <w:t>May 21, 2020</w:t>
            </w:r>
          </w:p>
          <w:p w:rsidR="00D2722D" w:rsidRPr="002528DF" w:rsidRDefault="00D2722D" w:rsidP="00EB44A7">
            <w:pPr>
              <w:jc w:val="both"/>
              <w:rPr>
                <w:sz w:val="20"/>
              </w:rPr>
            </w:pPr>
            <w:r w:rsidRPr="002528DF">
              <w:rPr>
                <w:sz w:val="20"/>
              </w:rPr>
              <w:t>Supreme Court of Canada</w:t>
            </w:r>
          </w:p>
          <w:p w:rsidR="00D2722D" w:rsidRPr="002528DF" w:rsidRDefault="00D2722D" w:rsidP="00EB44A7">
            <w:pPr>
              <w:jc w:val="both"/>
              <w:rPr>
                <w:sz w:val="20"/>
              </w:rPr>
            </w:pP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Application for leave to appeal filed by Grant Thornton LLP and Kent M. Ostridge.</w:t>
            </w:r>
          </w:p>
          <w:p w:rsidR="00D2722D" w:rsidRPr="002528DF" w:rsidRDefault="00D2722D" w:rsidP="00EB44A7">
            <w:pPr>
              <w:jc w:val="both"/>
              <w:rPr>
                <w:sz w:val="20"/>
              </w:rPr>
            </w:pPr>
          </w:p>
        </w:tc>
      </w:tr>
      <w:tr w:rsidR="00D2722D" w:rsidRPr="002528DF" w:rsidTr="00EB44A7">
        <w:tc>
          <w:tcPr>
            <w:tcW w:w="2427" w:type="pct"/>
            <w:gridSpan w:val="2"/>
          </w:tcPr>
          <w:p w:rsidR="00D2722D" w:rsidRPr="002528DF" w:rsidRDefault="00D2722D" w:rsidP="00EB44A7">
            <w:pPr>
              <w:jc w:val="both"/>
              <w:rPr>
                <w:sz w:val="20"/>
              </w:rPr>
            </w:pPr>
            <w:r w:rsidRPr="002528DF">
              <w:rPr>
                <w:sz w:val="20"/>
              </w:rPr>
              <w:t>May 22, 2020</w:t>
            </w:r>
          </w:p>
          <w:p w:rsidR="00D2722D" w:rsidRPr="002528DF" w:rsidRDefault="00C377A8" w:rsidP="00EB44A7">
            <w:pPr>
              <w:tabs>
                <w:tab w:val="left" w:pos="3180"/>
              </w:tabs>
              <w:jc w:val="both"/>
              <w:rPr>
                <w:sz w:val="20"/>
              </w:rPr>
            </w:pPr>
            <w:r>
              <w:rPr>
                <w:sz w:val="20"/>
              </w:rPr>
              <w:t>Supreme Court of Canada</w:t>
            </w:r>
          </w:p>
          <w:p w:rsidR="00D2722D" w:rsidRPr="002528DF" w:rsidRDefault="00D2722D" w:rsidP="00EB44A7">
            <w:pPr>
              <w:jc w:val="both"/>
              <w:rPr>
                <w:sz w:val="20"/>
              </w:rPr>
            </w:pPr>
          </w:p>
        </w:tc>
        <w:tc>
          <w:tcPr>
            <w:tcW w:w="243" w:type="pct"/>
          </w:tcPr>
          <w:p w:rsidR="00D2722D" w:rsidRPr="002528DF" w:rsidRDefault="00D2722D" w:rsidP="00EB44A7">
            <w:pPr>
              <w:jc w:val="both"/>
              <w:rPr>
                <w:sz w:val="20"/>
              </w:rPr>
            </w:pPr>
          </w:p>
        </w:tc>
        <w:tc>
          <w:tcPr>
            <w:tcW w:w="2330" w:type="pct"/>
          </w:tcPr>
          <w:p w:rsidR="00D2722D" w:rsidRPr="002528DF" w:rsidRDefault="00D2722D" w:rsidP="00EB44A7">
            <w:pPr>
              <w:jc w:val="both"/>
              <w:rPr>
                <w:sz w:val="20"/>
              </w:rPr>
            </w:pPr>
            <w:r w:rsidRPr="002528DF">
              <w:rPr>
                <w:sz w:val="20"/>
              </w:rPr>
              <w:t>Application for leave to appeal filed by Grant Thornton International Ltd.</w:t>
            </w:r>
          </w:p>
        </w:tc>
      </w:tr>
    </w:tbl>
    <w:p w:rsidR="00D2722D" w:rsidRDefault="00D2722D" w:rsidP="00D2722D">
      <w:pPr>
        <w:jc w:val="both"/>
        <w:rPr>
          <w:sz w:val="20"/>
        </w:rPr>
      </w:pPr>
    </w:p>
    <w:p w:rsidR="00C377A8" w:rsidRPr="002528DF" w:rsidRDefault="00C377A8" w:rsidP="00D2722D">
      <w:pPr>
        <w:jc w:val="both"/>
        <w:rPr>
          <w:sz w:val="20"/>
        </w:rPr>
      </w:pPr>
      <w:r>
        <w:rPr>
          <w:sz w:val="20"/>
        </w:rPr>
        <w:pict>
          <v:rect id="_x0000_i1046" style="width:2in;height:1pt" o:hrpct="0" o:hralign="center" o:hrstd="t" o:hrnoshade="t" o:hr="t" fillcolor="black [3213]" stroked="f"/>
        </w:pict>
      </w:r>
    </w:p>
    <w:p w:rsidR="00D2722D" w:rsidRPr="002528DF" w:rsidRDefault="00D2722D" w:rsidP="00D2722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2722D" w:rsidRPr="002528DF" w:rsidTr="00EB44A7">
        <w:tc>
          <w:tcPr>
            <w:tcW w:w="543" w:type="pct"/>
          </w:tcPr>
          <w:p w:rsidR="00D2722D" w:rsidRPr="002528DF" w:rsidRDefault="00D2722D" w:rsidP="00EB44A7">
            <w:pPr>
              <w:jc w:val="both"/>
              <w:rPr>
                <w:sz w:val="20"/>
                <w:lang w:val="fr-CA"/>
              </w:rPr>
            </w:pPr>
            <w:r w:rsidRPr="002528DF">
              <w:rPr>
                <w:rStyle w:val="SCCFileNumberChar"/>
                <w:sz w:val="20"/>
                <w:szCs w:val="20"/>
                <w:lang w:val="fr-CA"/>
              </w:rPr>
              <w:t>39182</w:t>
            </w:r>
          </w:p>
        </w:tc>
        <w:tc>
          <w:tcPr>
            <w:tcW w:w="4457" w:type="pct"/>
            <w:gridSpan w:val="3"/>
          </w:tcPr>
          <w:p w:rsidR="00D2722D" w:rsidRPr="002528DF" w:rsidRDefault="00D2722D" w:rsidP="00EB44A7">
            <w:pPr>
              <w:pStyle w:val="SCCLsocParty"/>
              <w:jc w:val="both"/>
              <w:rPr>
                <w:b/>
                <w:sz w:val="20"/>
                <w:szCs w:val="20"/>
              </w:rPr>
            </w:pPr>
            <w:r w:rsidRPr="002528DF">
              <w:rPr>
                <w:b/>
                <w:sz w:val="20"/>
                <w:szCs w:val="20"/>
              </w:rPr>
              <w:t>Grant Thornton LLP, Kent M. Ostridge c. Province du Nouveau-Brunswick</w:t>
            </w:r>
          </w:p>
          <w:p w:rsidR="00D2722D" w:rsidRPr="002528DF" w:rsidRDefault="00D2722D" w:rsidP="00EB44A7">
            <w:pPr>
              <w:pStyle w:val="SCCLsocSubfileSeparator"/>
              <w:rPr>
                <w:sz w:val="20"/>
                <w:szCs w:val="20"/>
                <w:lang w:val="fr-CA"/>
              </w:rPr>
            </w:pPr>
            <w:r w:rsidRPr="002528DF">
              <w:rPr>
                <w:sz w:val="20"/>
                <w:szCs w:val="20"/>
                <w:lang w:val="fr-CA"/>
              </w:rPr>
              <w:t>- et entre -</w:t>
            </w:r>
          </w:p>
          <w:p w:rsidR="00D2722D" w:rsidRPr="002528DF" w:rsidRDefault="00D2722D" w:rsidP="00EB44A7">
            <w:pPr>
              <w:pStyle w:val="SCCLsocParty"/>
              <w:jc w:val="both"/>
              <w:rPr>
                <w:b/>
                <w:sz w:val="20"/>
                <w:szCs w:val="20"/>
              </w:rPr>
            </w:pPr>
            <w:r w:rsidRPr="002528DF">
              <w:rPr>
                <w:b/>
                <w:sz w:val="20"/>
                <w:szCs w:val="20"/>
              </w:rPr>
              <w:t>Grant Thornton International Ltd. c. Province du Nouveau-Brunswick</w:t>
            </w:r>
          </w:p>
          <w:p w:rsidR="00D2722D" w:rsidRPr="002528DF" w:rsidRDefault="00D2722D" w:rsidP="00EB44A7">
            <w:pPr>
              <w:jc w:val="both"/>
              <w:rPr>
                <w:sz w:val="20"/>
                <w:lang w:val="fr-CA"/>
              </w:rPr>
            </w:pPr>
            <w:r w:rsidRPr="002528DF">
              <w:rPr>
                <w:sz w:val="20"/>
                <w:lang w:val="fr-CA"/>
              </w:rPr>
              <w:t>(N.</w:t>
            </w:r>
            <w:r w:rsidRPr="002528DF">
              <w:rPr>
                <w:sz w:val="20"/>
                <w:lang w:val="fr-CA"/>
              </w:rPr>
              <w:noBreakHyphen/>
              <w:t>B.) (Civile) (Autorisation)</w:t>
            </w:r>
          </w:p>
        </w:tc>
      </w:tr>
      <w:tr w:rsidR="00D2722D" w:rsidRPr="00C377A8" w:rsidTr="00EB44A7">
        <w:tc>
          <w:tcPr>
            <w:tcW w:w="5000" w:type="pct"/>
            <w:gridSpan w:val="4"/>
          </w:tcPr>
          <w:p w:rsidR="00D2722D" w:rsidRPr="002528DF" w:rsidRDefault="00D2722D" w:rsidP="00EB44A7">
            <w:pPr>
              <w:jc w:val="both"/>
              <w:rPr>
                <w:sz w:val="20"/>
                <w:lang w:val="fr-CA"/>
              </w:rPr>
            </w:pPr>
            <w:r w:rsidRPr="002528DF">
              <w:rPr>
                <w:sz w:val="20"/>
                <w:lang w:val="fr-CA"/>
              </w:rPr>
              <w:t>Prescription</w:t>
            </w:r>
            <w:r w:rsidRPr="002528DF">
              <w:rPr>
                <w:i/>
                <w:sz w:val="20"/>
                <w:lang w:val="fr-CA"/>
              </w:rPr>
              <w:t xml:space="preserve"> </w:t>
            </w:r>
            <w:r w:rsidRPr="002528DF">
              <w:rPr>
                <w:sz w:val="20"/>
                <w:lang w:val="fr-CA"/>
              </w:rPr>
              <w:t>— Possibilité de découvrir — Jugements sommaires — Actions en négligence pour faute professionnelle de vérificateurs — À quel moment un demandeur découvre</w:t>
            </w:r>
            <w:r w:rsidRPr="002528DF">
              <w:rPr>
                <w:sz w:val="20"/>
                <w:lang w:val="fr-CA"/>
              </w:rPr>
              <w:noBreakHyphen/>
              <w:t>t</w:t>
            </w:r>
            <w:r w:rsidRPr="002528DF">
              <w:rPr>
                <w:sz w:val="20"/>
                <w:lang w:val="fr-CA"/>
              </w:rPr>
              <w:noBreakHyphen/>
              <w:t>il les faits ayant donné naissance à une réclamation dans le calcul d’un délai de prescription? — Le bon critère pour établir l’existence de la possibilité de découvrir les faits ayant donné naissance à une réclamation pour négligence professionnelle est</w:t>
            </w:r>
            <w:r w:rsidRPr="002528DF">
              <w:rPr>
                <w:sz w:val="20"/>
                <w:lang w:val="fr-CA"/>
              </w:rPr>
              <w:noBreakHyphen/>
              <w:t>il tel que la connaissance d’une réclamation éventuelle suffit? — Un délai légal de prescription fondé sur la découverte commence</w:t>
            </w:r>
            <w:r w:rsidRPr="002528DF">
              <w:rPr>
                <w:sz w:val="20"/>
                <w:lang w:val="fr-CA"/>
              </w:rPr>
              <w:noBreakHyphen/>
              <w:t>t</w:t>
            </w:r>
            <w:r w:rsidRPr="002528DF">
              <w:rPr>
                <w:sz w:val="20"/>
                <w:lang w:val="fr-CA"/>
              </w:rPr>
              <w:noBreakHyphen/>
              <w:t xml:space="preserve">il à courir lorsque le réclamant a appris ou aurait normalement dû apprendre qu’il avait « une réclamation éventuelle », ou lorsque le réclamant a appris ou aurait normalement dû apprendre que le défendeur a manqué à la norme de diligence? — </w:t>
            </w:r>
            <w:r w:rsidRPr="002528DF">
              <w:rPr>
                <w:i/>
                <w:sz w:val="20"/>
                <w:lang w:val="fr-CA"/>
              </w:rPr>
              <w:t>Loi sur la prescription</w:t>
            </w:r>
            <w:r w:rsidRPr="002528DF">
              <w:rPr>
                <w:sz w:val="20"/>
                <w:lang w:val="fr-CA"/>
              </w:rPr>
              <w:t>, L.N.</w:t>
            </w:r>
            <w:r w:rsidRPr="002528DF">
              <w:rPr>
                <w:sz w:val="20"/>
                <w:lang w:val="fr-CA"/>
              </w:rPr>
              <w:noBreakHyphen/>
              <w:t>B. 2009, ch. L</w:t>
            </w:r>
            <w:r w:rsidRPr="002528DF">
              <w:rPr>
                <w:sz w:val="20"/>
                <w:lang w:val="fr-CA"/>
              </w:rPr>
              <w:noBreakHyphen/>
              <w:t>8.5, art. 5.</w:t>
            </w:r>
          </w:p>
        </w:tc>
      </w:tr>
      <w:tr w:rsidR="00D2722D" w:rsidRPr="00C377A8" w:rsidTr="00EB44A7">
        <w:tc>
          <w:tcPr>
            <w:tcW w:w="5000" w:type="pct"/>
            <w:gridSpan w:val="4"/>
          </w:tcPr>
          <w:p w:rsidR="00D2722D" w:rsidRPr="002528DF" w:rsidRDefault="00D2722D" w:rsidP="00EB44A7">
            <w:pPr>
              <w:jc w:val="both"/>
              <w:rPr>
                <w:sz w:val="20"/>
                <w:lang w:val="fr-CA"/>
              </w:rPr>
            </w:pPr>
          </w:p>
        </w:tc>
      </w:tr>
      <w:tr w:rsidR="00D2722D" w:rsidRPr="00C377A8" w:rsidTr="00EB44A7">
        <w:tc>
          <w:tcPr>
            <w:tcW w:w="5000" w:type="pct"/>
            <w:gridSpan w:val="4"/>
          </w:tcPr>
          <w:p w:rsidR="00D2722D" w:rsidRPr="002528DF" w:rsidRDefault="00D2722D" w:rsidP="00EB44A7">
            <w:pPr>
              <w:jc w:val="both"/>
              <w:rPr>
                <w:sz w:val="20"/>
                <w:lang w:val="fr-CA"/>
              </w:rPr>
            </w:pPr>
            <w:r w:rsidRPr="002528DF">
              <w:rPr>
                <w:sz w:val="20"/>
                <w:lang w:val="fr-CA"/>
              </w:rPr>
              <w:t>La Province du New</w:t>
            </w:r>
            <w:r w:rsidRPr="002528DF">
              <w:rPr>
                <w:sz w:val="20"/>
                <w:lang w:val="fr-CA"/>
              </w:rPr>
              <w:noBreakHyphen/>
              <w:t>Brunswick (le N</w:t>
            </w:r>
            <w:r w:rsidRPr="002528DF">
              <w:rPr>
                <w:sz w:val="20"/>
                <w:lang w:val="fr-CA"/>
              </w:rPr>
              <w:noBreakHyphen/>
              <w:t>B) a intenté une action pour négligence contre Grant Thornton LLP, un de ses associés, et Grant Thornton International Ltd. (« Grant Thornton ») pour leur vérification prétendument inférieure à la norme des états financiers de certaines sociétés (« Atcon ») pour l’exercice terminé le 31 janvier 2009 (« E2009 »). Par cette action, le N</w:t>
            </w:r>
            <w:r w:rsidRPr="002528DF">
              <w:rPr>
                <w:sz w:val="20"/>
                <w:lang w:val="fr-CA"/>
              </w:rPr>
              <w:noBreakHyphen/>
              <w:t>B sollicite des dommages</w:t>
            </w:r>
            <w:r w:rsidRPr="002528DF">
              <w:rPr>
                <w:sz w:val="20"/>
                <w:lang w:val="fr-CA"/>
              </w:rPr>
              <w:noBreakHyphen/>
              <w:t xml:space="preserve">intérêts correspondant aux 50 millions de dollars qu’il a dû verser, en mars 2010, en application de garanties de prêt qu’il avait accordées à la banque d’Acton après que la banque d’Acton a </w:t>
            </w:r>
            <w:r w:rsidRPr="002528DF">
              <w:rPr>
                <w:color w:val="000000"/>
                <w:sz w:val="20"/>
                <w:shd w:val="clear" w:color="auto" w:fill="FFFFFF"/>
                <w:lang w:val="fr-CA"/>
              </w:rPr>
              <w:t xml:space="preserve">demandé avec succès une ordonnance de mise sous séquestre en vertu de la </w:t>
            </w:r>
            <w:r w:rsidRPr="002528DF">
              <w:rPr>
                <w:i/>
                <w:sz w:val="20"/>
                <w:lang w:val="fr-CA"/>
              </w:rPr>
              <w:t>Loi sur la faillite et l’insolvabilité</w:t>
            </w:r>
            <w:r w:rsidRPr="002528DF">
              <w:rPr>
                <w:sz w:val="20"/>
                <w:lang w:val="fr-CA"/>
              </w:rPr>
              <w:t>, L.R.C. 1985, ch. B</w:t>
            </w:r>
            <w:r w:rsidRPr="002528DF">
              <w:rPr>
                <w:sz w:val="20"/>
                <w:lang w:val="fr-CA"/>
              </w:rPr>
              <w:noBreakHyphen/>
              <w:t xml:space="preserve">3 et une réparation sous le régime de la </w:t>
            </w:r>
            <w:r w:rsidRPr="002528DF">
              <w:rPr>
                <w:i/>
                <w:sz w:val="20"/>
                <w:lang w:val="fr-CA"/>
              </w:rPr>
              <w:t>Loi sur les arrangements avec les créanciers des compagnies</w:t>
            </w:r>
            <w:r w:rsidRPr="002528DF">
              <w:rPr>
                <w:sz w:val="20"/>
                <w:lang w:val="fr-CA"/>
              </w:rPr>
              <w:t>, L.R.C. 1985, ch. C</w:t>
            </w:r>
            <w:r w:rsidRPr="002528DF">
              <w:rPr>
                <w:sz w:val="20"/>
                <w:lang w:val="fr-CA"/>
              </w:rPr>
              <w:noBreakHyphen/>
              <w:t>36. Le N</w:t>
            </w:r>
            <w:r w:rsidRPr="002528DF">
              <w:rPr>
                <w:sz w:val="20"/>
                <w:lang w:val="fr-CA"/>
              </w:rPr>
              <w:noBreakHyphen/>
              <w:t>B prétend s’être appuyé sur le rapport sans réserve du vérificateur de Grant Thornton en acceptant de signer les garanties de prêt. Après avoir versé la somme de 50 millions de dollars, le N</w:t>
            </w:r>
            <w:r w:rsidRPr="002528DF">
              <w:rPr>
                <w:sz w:val="20"/>
                <w:lang w:val="fr-CA"/>
              </w:rPr>
              <w:noBreakHyphen/>
              <w:t>B a retenu les services d’un autre cabinet de comptabilité afin d’examiner et de commenter la situation financière d’Acton pour l’E2009. En février 2011, ce cabinet de vérification a fourni au N</w:t>
            </w:r>
            <w:r w:rsidRPr="002528DF">
              <w:rPr>
                <w:sz w:val="20"/>
                <w:lang w:val="fr-CA"/>
              </w:rPr>
              <w:noBreakHyphen/>
              <w:t>B un projet de rapport qui exprimait l’opinion que les états financiers d’Atcon pour l’E2009 n’avaient pas été établis conformément aux principes comptables généralement reconnus et que l’actif et le bénéfice net d’Acton faisaient l’objet de surévaluations. Le N</w:t>
            </w:r>
            <w:r w:rsidRPr="002528DF">
              <w:rPr>
                <w:sz w:val="20"/>
                <w:lang w:val="fr-CA"/>
              </w:rPr>
              <w:noBreakHyphen/>
              <w:t>B a intenté son action le 23 juin 2014. Grant Thornton a sollicité un jugement sommaire pour cause de prescription de la réclamation du N</w:t>
            </w:r>
            <w:r w:rsidRPr="002528DF">
              <w:rPr>
                <w:sz w:val="20"/>
                <w:lang w:val="fr-CA"/>
              </w:rPr>
              <w:noBreakHyphen/>
              <w:t>B. Le juge de première instance a accueilli la motion de Grant Thornton, concluant que le N</w:t>
            </w:r>
            <w:r w:rsidRPr="002528DF">
              <w:rPr>
                <w:sz w:val="20"/>
                <w:lang w:val="fr-CA"/>
              </w:rPr>
              <w:noBreakHyphen/>
              <w:t>B avait découvert les faits ayant donné naissance à la réclamation plus de deux ans avant l’introduction de l’instance. La Cour d’appel a accueilli l’appel du N</w:t>
            </w:r>
            <w:r w:rsidRPr="002528DF">
              <w:rPr>
                <w:sz w:val="20"/>
                <w:lang w:val="fr-CA"/>
              </w:rPr>
              <w:noBreakHyphen/>
              <w:t>B, statuant que le critère applicable était plus exigeant que celui qu’avait appliqué le juge de première instance, si bien que le délai de prescription ne commençait à courir que lorsque le réclamant a connaissance de l’existence d’une réclamation, plutôt qu’une réclamation éventuelle.</w:t>
            </w:r>
          </w:p>
          <w:p w:rsidR="00D2722D" w:rsidRPr="002528DF" w:rsidRDefault="00D2722D" w:rsidP="00EB44A7">
            <w:pPr>
              <w:jc w:val="both"/>
              <w:rPr>
                <w:sz w:val="20"/>
                <w:lang w:val="fr-CA"/>
              </w:rPr>
            </w:pPr>
          </w:p>
        </w:tc>
      </w:tr>
      <w:tr w:rsidR="00D2722D" w:rsidRPr="00C377A8" w:rsidTr="00EB44A7">
        <w:tc>
          <w:tcPr>
            <w:tcW w:w="2427" w:type="pct"/>
            <w:gridSpan w:val="2"/>
          </w:tcPr>
          <w:p w:rsidR="00D2722D" w:rsidRPr="002528DF" w:rsidRDefault="00D2722D" w:rsidP="00EB44A7">
            <w:pPr>
              <w:jc w:val="both"/>
              <w:rPr>
                <w:sz w:val="20"/>
                <w:lang w:val="fr-CA"/>
              </w:rPr>
            </w:pPr>
            <w:r w:rsidRPr="002528DF">
              <w:rPr>
                <w:sz w:val="20"/>
                <w:lang w:val="fr-CA"/>
              </w:rPr>
              <w:t>22 février 2019</w:t>
            </w:r>
          </w:p>
          <w:p w:rsidR="00D2722D" w:rsidRPr="002528DF" w:rsidRDefault="00D2722D" w:rsidP="00EB44A7">
            <w:pPr>
              <w:jc w:val="both"/>
              <w:rPr>
                <w:sz w:val="20"/>
                <w:lang w:val="fr-CA"/>
              </w:rPr>
            </w:pPr>
            <w:r w:rsidRPr="002528DF">
              <w:rPr>
                <w:sz w:val="20"/>
                <w:lang w:val="fr-CA"/>
              </w:rPr>
              <w:t>Cour du Banc de la Reine du Nouveau</w:t>
            </w:r>
            <w:r w:rsidRPr="002528DF">
              <w:rPr>
                <w:sz w:val="20"/>
                <w:lang w:val="fr-CA"/>
              </w:rPr>
              <w:noBreakHyphen/>
              <w:t>Brunswick</w:t>
            </w:r>
          </w:p>
          <w:p w:rsidR="00D2722D" w:rsidRPr="002528DF" w:rsidRDefault="00D2722D" w:rsidP="00EB44A7">
            <w:pPr>
              <w:jc w:val="both"/>
              <w:rPr>
                <w:sz w:val="20"/>
                <w:lang w:val="fr-CA"/>
              </w:rPr>
            </w:pPr>
            <w:r w:rsidRPr="002528DF">
              <w:rPr>
                <w:sz w:val="20"/>
                <w:lang w:val="fr-CA"/>
              </w:rPr>
              <w:t>(Juge Grant)</w:t>
            </w:r>
          </w:p>
          <w:p w:rsidR="00D2722D" w:rsidRPr="002528DF" w:rsidRDefault="00C377A8" w:rsidP="00EB44A7">
            <w:pPr>
              <w:jc w:val="both"/>
              <w:rPr>
                <w:sz w:val="20"/>
                <w:lang w:val="fr-CA"/>
              </w:rPr>
            </w:pPr>
            <w:hyperlink r:id="rId42" w:history="1">
              <w:r w:rsidR="00D2722D" w:rsidRPr="002528DF">
                <w:rPr>
                  <w:rStyle w:val="Hyperlink"/>
                  <w:sz w:val="20"/>
                  <w:lang w:val="fr-CA"/>
                </w:rPr>
                <w:t>2019 NBQB 36</w:t>
              </w:r>
            </w:hyperlink>
            <w:r w:rsidR="00D2722D" w:rsidRPr="002528DF">
              <w:rPr>
                <w:sz w:val="20"/>
                <w:lang w:val="fr-CA"/>
              </w:rPr>
              <w:t xml:space="preserve"> </w:t>
            </w:r>
          </w:p>
          <w:p w:rsidR="00D2722D" w:rsidRPr="002528DF" w:rsidRDefault="00D2722D" w:rsidP="00EB44A7">
            <w:pPr>
              <w:jc w:val="both"/>
              <w:rPr>
                <w:sz w:val="20"/>
                <w:lang w:val="fr-CA"/>
              </w:rPr>
            </w:pPr>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Jugement accueillant les motions des demandeurs en jugement sommaire.</w:t>
            </w:r>
          </w:p>
        </w:tc>
      </w:tr>
      <w:tr w:rsidR="00D2722D" w:rsidRPr="00C377A8" w:rsidTr="00EB44A7">
        <w:tc>
          <w:tcPr>
            <w:tcW w:w="2427" w:type="pct"/>
            <w:gridSpan w:val="2"/>
          </w:tcPr>
          <w:p w:rsidR="00D2722D" w:rsidRPr="002528DF" w:rsidRDefault="00D2722D" w:rsidP="00EB44A7">
            <w:pPr>
              <w:jc w:val="both"/>
              <w:rPr>
                <w:sz w:val="20"/>
                <w:lang w:val="fr-CA"/>
              </w:rPr>
            </w:pPr>
            <w:r w:rsidRPr="002528DF">
              <w:rPr>
                <w:sz w:val="20"/>
                <w:lang w:val="fr-CA"/>
              </w:rPr>
              <w:t>6 mars 2020</w:t>
            </w:r>
          </w:p>
          <w:p w:rsidR="00D2722D" w:rsidRPr="002528DF" w:rsidRDefault="00D2722D" w:rsidP="00EB44A7">
            <w:pPr>
              <w:jc w:val="both"/>
              <w:rPr>
                <w:sz w:val="20"/>
                <w:lang w:val="fr-CA"/>
              </w:rPr>
            </w:pPr>
            <w:r w:rsidRPr="002528DF">
              <w:rPr>
                <w:sz w:val="20"/>
                <w:lang w:val="fr-CA"/>
              </w:rPr>
              <w:t>Cour d’appel du Nouveau</w:t>
            </w:r>
            <w:r w:rsidRPr="002528DF">
              <w:rPr>
                <w:sz w:val="20"/>
                <w:lang w:val="fr-CA"/>
              </w:rPr>
              <w:noBreakHyphen/>
              <w:t>Brunswick</w:t>
            </w:r>
          </w:p>
          <w:p w:rsidR="00D2722D" w:rsidRPr="002528DF" w:rsidRDefault="00D2722D" w:rsidP="00EB44A7">
            <w:pPr>
              <w:jc w:val="both"/>
              <w:rPr>
                <w:sz w:val="20"/>
                <w:lang w:val="fr-CA"/>
              </w:rPr>
            </w:pPr>
            <w:r w:rsidRPr="002528DF">
              <w:rPr>
                <w:sz w:val="20"/>
                <w:lang w:val="fr-CA"/>
              </w:rPr>
              <w:t xml:space="preserve">(Juges Drapeau, </w:t>
            </w:r>
            <w:proofErr w:type="spellStart"/>
            <w:r w:rsidRPr="002528DF">
              <w:rPr>
                <w:sz w:val="20"/>
                <w:lang w:val="fr-CA"/>
              </w:rPr>
              <w:t>Quigg</w:t>
            </w:r>
            <w:proofErr w:type="spellEnd"/>
            <w:r w:rsidRPr="002528DF">
              <w:rPr>
                <w:sz w:val="20"/>
                <w:lang w:val="fr-CA"/>
              </w:rPr>
              <w:t xml:space="preserve"> et Green)</w:t>
            </w:r>
          </w:p>
          <w:p w:rsidR="00D2722D" w:rsidRPr="002528DF" w:rsidRDefault="00C377A8" w:rsidP="00EB44A7">
            <w:pPr>
              <w:jc w:val="both"/>
              <w:rPr>
                <w:sz w:val="20"/>
                <w:lang w:val="fr-CA"/>
              </w:rPr>
            </w:pPr>
            <w:hyperlink r:id="rId43" w:history="1">
              <w:r w:rsidR="00D2722D" w:rsidRPr="002528DF">
                <w:rPr>
                  <w:rStyle w:val="Hyperlink"/>
                  <w:sz w:val="20"/>
                  <w:lang w:val="fr-CA"/>
                </w:rPr>
                <w:t>2020 NBCA 18</w:t>
              </w:r>
            </w:hyperlink>
            <w:r w:rsidR="00D2722D" w:rsidRPr="002528DF">
              <w:rPr>
                <w:sz w:val="20"/>
                <w:lang w:val="fr-CA"/>
              </w:rPr>
              <w:t xml:space="preserve"> (dossier 29</w:t>
            </w:r>
            <w:r w:rsidR="00D2722D" w:rsidRPr="002528DF">
              <w:rPr>
                <w:sz w:val="20"/>
                <w:lang w:val="fr-CA"/>
              </w:rPr>
              <w:noBreakHyphen/>
              <w:t>19</w:t>
            </w:r>
            <w:r w:rsidR="00D2722D" w:rsidRPr="002528DF">
              <w:rPr>
                <w:sz w:val="20"/>
                <w:lang w:val="fr-CA"/>
              </w:rPr>
              <w:noBreakHyphen/>
              <w:t>CA)</w:t>
            </w:r>
          </w:p>
          <w:p w:rsidR="00D2722D" w:rsidRPr="002528DF" w:rsidRDefault="00D2722D" w:rsidP="00EB44A7">
            <w:pPr>
              <w:jc w:val="both"/>
              <w:rPr>
                <w:sz w:val="20"/>
                <w:lang w:val="fr-CA"/>
              </w:rPr>
            </w:pPr>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Arrêt rejetant l’appel de l’intimée, annulant le jugement sommaire, et ordonnant aux demandeurs de se s’acquitter de leurs obligations en matière de production des documents.</w:t>
            </w:r>
          </w:p>
          <w:p w:rsidR="00D2722D" w:rsidRPr="002528DF" w:rsidRDefault="00D2722D" w:rsidP="00EB44A7">
            <w:pPr>
              <w:jc w:val="both"/>
              <w:rPr>
                <w:sz w:val="20"/>
                <w:lang w:val="fr-CA"/>
              </w:rPr>
            </w:pPr>
          </w:p>
        </w:tc>
      </w:tr>
      <w:tr w:rsidR="00D2722D" w:rsidRPr="00C377A8" w:rsidTr="00EB44A7">
        <w:tc>
          <w:tcPr>
            <w:tcW w:w="2427" w:type="pct"/>
            <w:gridSpan w:val="2"/>
          </w:tcPr>
          <w:p w:rsidR="00D2722D" w:rsidRPr="002528DF" w:rsidRDefault="00D2722D" w:rsidP="00EB44A7">
            <w:pPr>
              <w:jc w:val="both"/>
              <w:rPr>
                <w:sz w:val="20"/>
                <w:lang w:val="fr-CA"/>
              </w:rPr>
            </w:pPr>
            <w:r w:rsidRPr="002528DF">
              <w:rPr>
                <w:sz w:val="20"/>
                <w:lang w:val="fr-CA"/>
              </w:rPr>
              <w:t>21 mai 2020</w:t>
            </w:r>
          </w:p>
          <w:p w:rsidR="00D2722D" w:rsidRPr="002528DF" w:rsidRDefault="00D2722D" w:rsidP="00EB44A7">
            <w:pPr>
              <w:jc w:val="both"/>
              <w:rPr>
                <w:sz w:val="20"/>
                <w:lang w:val="fr-CA"/>
              </w:rPr>
            </w:pPr>
            <w:r w:rsidRPr="002528DF">
              <w:rPr>
                <w:sz w:val="20"/>
                <w:lang w:val="fr-CA"/>
              </w:rPr>
              <w:t>Cour suprême du Canada</w:t>
            </w:r>
          </w:p>
          <w:p w:rsidR="00D2722D" w:rsidRPr="002528DF" w:rsidRDefault="00D2722D" w:rsidP="00EB44A7">
            <w:pPr>
              <w:jc w:val="both"/>
              <w:rPr>
                <w:sz w:val="20"/>
                <w:lang w:val="fr-CA"/>
              </w:rPr>
            </w:pPr>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Dépôt de la demande d’autorisation d’appel de Grant Thornton LLP et de Kent M. Ostridge.</w:t>
            </w:r>
          </w:p>
          <w:p w:rsidR="00D2722D" w:rsidRPr="002528DF" w:rsidRDefault="00D2722D" w:rsidP="00EB44A7">
            <w:pPr>
              <w:jc w:val="both"/>
              <w:rPr>
                <w:sz w:val="20"/>
                <w:lang w:val="fr-CA"/>
              </w:rPr>
            </w:pPr>
          </w:p>
        </w:tc>
      </w:tr>
      <w:tr w:rsidR="00D2722D" w:rsidRPr="00C377A8" w:rsidTr="00EB44A7">
        <w:tc>
          <w:tcPr>
            <w:tcW w:w="2427" w:type="pct"/>
            <w:gridSpan w:val="2"/>
          </w:tcPr>
          <w:p w:rsidR="00D2722D" w:rsidRPr="002528DF" w:rsidRDefault="00D2722D" w:rsidP="00EB44A7">
            <w:pPr>
              <w:jc w:val="both"/>
              <w:rPr>
                <w:sz w:val="20"/>
                <w:lang w:val="fr-CA"/>
              </w:rPr>
            </w:pPr>
            <w:r w:rsidRPr="002528DF">
              <w:rPr>
                <w:sz w:val="20"/>
                <w:lang w:val="fr-CA"/>
              </w:rPr>
              <w:t>22 mai 2020</w:t>
            </w:r>
          </w:p>
          <w:p w:rsidR="00D2722D" w:rsidRPr="002528DF" w:rsidRDefault="00C377A8" w:rsidP="00C377A8">
            <w:pPr>
              <w:tabs>
                <w:tab w:val="left" w:pos="3180"/>
              </w:tabs>
              <w:jc w:val="both"/>
              <w:rPr>
                <w:sz w:val="20"/>
                <w:lang w:val="fr-CA"/>
              </w:rPr>
            </w:pPr>
            <w:r>
              <w:rPr>
                <w:sz w:val="20"/>
                <w:lang w:val="fr-CA"/>
              </w:rPr>
              <w:t>Cour suprême du Canada</w:t>
            </w:r>
            <w:bookmarkStart w:id="0" w:name="_GoBack"/>
            <w:bookmarkEnd w:id="0"/>
          </w:p>
        </w:tc>
        <w:tc>
          <w:tcPr>
            <w:tcW w:w="243" w:type="pct"/>
          </w:tcPr>
          <w:p w:rsidR="00D2722D" w:rsidRPr="002528DF" w:rsidRDefault="00D2722D" w:rsidP="00EB44A7">
            <w:pPr>
              <w:jc w:val="both"/>
              <w:rPr>
                <w:sz w:val="20"/>
                <w:lang w:val="fr-CA"/>
              </w:rPr>
            </w:pPr>
          </w:p>
        </w:tc>
        <w:tc>
          <w:tcPr>
            <w:tcW w:w="2330" w:type="pct"/>
          </w:tcPr>
          <w:p w:rsidR="00D2722D" w:rsidRPr="002528DF" w:rsidRDefault="00D2722D" w:rsidP="00EB44A7">
            <w:pPr>
              <w:jc w:val="both"/>
              <w:rPr>
                <w:sz w:val="20"/>
                <w:lang w:val="fr-CA"/>
              </w:rPr>
            </w:pPr>
            <w:r w:rsidRPr="002528DF">
              <w:rPr>
                <w:sz w:val="20"/>
                <w:lang w:val="fr-CA"/>
              </w:rPr>
              <w:t>Dépôt de la demande d’autorisation d’appel de Grant Thornton International Ltd.</w:t>
            </w:r>
          </w:p>
        </w:tc>
      </w:tr>
    </w:tbl>
    <w:p w:rsidR="00E85588" w:rsidRDefault="00E85588" w:rsidP="00E85588">
      <w:pPr>
        <w:jc w:val="both"/>
        <w:rPr>
          <w:sz w:val="20"/>
        </w:rPr>
      </w:pPr>
    </w:p>
    <w:p w:rsidR="00C377A8" w:rsidRDefault="00C377A8" w:rsidP="00E85588">
      <w:pPr>
        <w:jc w:val="both"/>
        <w:rPr>
          <w:sz w:val="20"/>
        </w:rPr>
      </w:pPr>
      <w:r>
        <w:rPr>
          <w:sz w:val="20"/>
        </w:rPr>
        <w:pict>
          <v:rect id="_x0000_i1048" style="width:2in;height:1pt" o:hrpct="0" o:hralign="center" o:hrstd="t" o:hrnoshade="t" o:hr="t" fillcolor="black [3213]" stroked="f"/>
        </w:pict>
      </w:r>
    </w:p>
    <w:p w:rsidR="00C377A8" w:rsidRPr="00D2722D" w:rsidRDefault="00C377A8" w:rsidP="00E85588">
      <w:pPr>
        <w:jc w:val="both"/>
        <w:rPr>
          <w:sz w:val="20"/>
          <w:lang w:val="fr-CA"/>
        </w:rPr>
      </w:pPr>
    </w:p>
    <w:p w:rsidR="005C7161" w:rsidRPr="00D2722D" w:rsidRDefault="005C7161" w:rsidP="006A22CA">
      <w:pPr>
        <w:ind w:left="142" w:hanging="142"/>
        <w:jc w:val="both"/>
        <w:rPr>
          <w:sz w:val="20"/>
          <w:lang w:val="fr-CA"/>
        </w:rPr>
      </w:pPr>
    </w:p>
    <w:p w:rsidR="00FD3FA0" w:rsidRPr="00D2722D" w:rsidRDefault="00FD3FA0" w:rsidP="006A22CA">
      <w:pPr>
        <w:ind w:left="142" w:hanging="142"/>
        <w:jc w:val="both"/>
        <w:rPr>
          <w:sz w:val="20"/>
          <w:lang w:val="fr-CA"/>
        </w:rPr>
      </w:pPr>
    </w:p>
    <w:p w:rsidR="00D3344A" w:rsidRPr="008467E7" w:rsidRDefault="00D3344A" w:rsidP="00D3344A">
      <w:pPr>
        <w:widowControl w:val="0"/>
        <w:outlineLvl w:val="0"/>
      </w:pPr>
      <w:r w:rsidRPr="008467E7">
        <w:t xml:space="preserve">Supreme Court of Canada / Cour suprême du </w:t>
      </w:r>
      <w:proofErr w:type="gramStart"/>
      <w:r w:rsidRPr="008467E7">
        <w:t>Canad</w:t>
      </w:r>
      <w:r w:rsidR="00EE289F" w:rsidRPr="008467E7">
        <w:t>a</w:t>
      </w:r>
      <w:r w:rsidRPr="008467E7">
        <w:t xml:space="preserve"> :</w:t>
      </w:r>
      <w:proofErr w:type="gramEnd"/>
    </w:p>
    <w:p w:rsidR="00D3344A" w:rsidRPr="008467E7" w:rsidRDefault="00C377A8" w:rsidP="00D3344A">
      <w:pPr>
        <w:widowControl w:val="0"/>
        <w:outlineLvl w:val="0"/>
        <w:rPr>
          <w:u w:val="single"/>
        </w:rPr>
      </w:pPr>
      <w:hyperlink r:id="rId44" w:history="1">
        <w:r w:rsidR="009B7391" w:rsidRPr="008467E7">
          <w:rPr>
            <w:rStyle w:val="Hyperlink"/>
          </w:rPr>
          <w:t>comments-commentaires@scc-csc.ca</w:t>
        </w:r>
      </w:hyperlink>
    </w:p>
    <w:p w:rsidR="00D3344A" w:rsidRPr="008467E7" w:rsidRDefault="0065588C" w:rsidP="00D3344A">
      <w:pPr>
        <w:widowControl w:val="0"/>
        <w:outlineLvl w:val="0"/>
      </w:pPr>
      <w:r w:rsidRPr="008467E7">
        <w:t>613-</w:t>
      </w:r>
      <w:r w:rsidR="00D3344A" w:rsidRPr="008467E7">
        <w:t>995-4330</w:t>
      </w:r>
    </w:p>
    <w:p w:rsidR="00497B5E" w:rsidRPr="008467E7" w:rsidRDefault="00497B5E" w:rsidP="00497B5E">
      <w:pPr>
        <w:widowControl w:val="0"/>
      </w:pPr>
    </w:p>
    <w:p w:rsidR="00F6251B" w:rsidRPr="008467E7" w:rsidRDefault="003F43E6" w:rsidP="00F6251B">
      <w:pPr>
        <w:pStyle w:val="Footer"/>
        <w:jc w:val="center"/>
      </w:pPr>
      <w:r w:rsidRPr="008467E7">
        <w:t>- 30 -</w:t>
      </w:r>
    </w:p>
    <w:sectPr w:rsidR="00F6251B" w:rsidRPr="008467E7" w:rsidSect="00E62F93">
      <w:headerReference w:type="even" r:id="rId45"/>
      <w:headerReference w:type="default" r:id="rId46"/>
      <w:footerReference w:type="even" r:id="rId47"/>
      <w:footerReference w:type="default" r:id="rId48"/>
      <w:headerReference w:type="first" r:id="rId49"/>
      <w:footerReference w:type="first" r:id="rId5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7E7" w:rsidRDefault="008467E7" w:rsidP="0034178A">
      <w:r>
        <w:separator/>
      </w:r>
    </w:p>
  </w:endnote>
  <w:endnote w:type="continuationSeparator" w:id="0">
    <w:p w:rsidR="008467E7" w:rsidRDefault="008467E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7" w:rsidRDefault="008467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7" w:rsidRPr="009F77F0" w:rsidRDefault="008467E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7" w:rsidRDefault="00846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7E7" w:rsidRDefault="008467E7" w:rsidP="0034178A">
      <w:r>
        <w:separator/>
      </w:r>
    </w:p>
  </w:footnote>
  <w:footnote w:type="continuationSeparator" w:id="0">
    <w:p w:rsidR="008467E7" w:rsidRDefault="008467E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7" w:rsidRDefault="008467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7" w:rsidRDefault="008467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7" w:rsidRDefault="0084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540"/>
    <w:multiLevelType w:val="hybridMultilevel"/>
    <w:tmpl w:val="66C06438"/>
    <w:lvl w:ilvl="0" w:tplc="421473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F448E"/>
    <w:multiLevelType w:val="hybridMultilevel"/>
    <w:tmpl w:val="D3D405A0"/>
    <w:lvl w:ilvl="0" w:tplc="15E2E6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1988"/>
    <w:multiLevelType w:val="hybridMultilevel"/>
    <w:tmpl w:val="FE5C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5098F"/>
    <w:multiLevelType w:val="hybridMultilevel"/>
    <w:tmpl w:val="667AE996"/>
    <w:lvl w:ilvl="0" w:tplc="D2189A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021E8"/>
    <w:multiLevelType w:val="hybridMultilevel"/>
    <w:tmpl w:val="29A61F44"/>
    <w:lvl w:ilvl="0" w:tplc="CF64B7C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A30BB3"/>
    <w:multiLevelType w:val="hybridMultilevel"/>
    <w:tmpl w:val="6F8497BE"/>
    <w:lvl w:ilvl="0" w:tplc="F36E7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93DA2"/>
    <w:multiLevelType w:val="hybridMultilevel"/>
    <w:tmpl w:val="27B4AACC"/>
    <w:lvl w:ilvl="0" w:tplc="E65CDCD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5B2E2B"/>
    <w:multiLevelType w:val="hybridMultilevel"/>
    <w:tmpl w:val="FD369DD2"/>
    <w:lvl w:ilvl="0" w:tplc="FFC243D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6DE53C4"/>
    <w:multiLevelType w:val="hybridMultilevel"/>
    <w:tmpl w:val="F96EA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62D07"/>
    <w:multiLevelType w:val="hybridMultilevel"/>
    <w:tmpl w:val="88E2B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45E8F"/>
    <w:multiLevelType w:val="hybridMultilevel"/>
    <w:tmpl w:val="976A4C48"/>
    <w:lvl w:ilvl="0" w:tplc="D188ED6A">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CCD37C3"/>
    <w:multiLevelType w:val="hybridMultilevel"/>
    <w:tmpl w:val="006C7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5A5CD1"/>
    <w:multiLevelType w:val="hybridMultilevel"/>
    <w:tmpl w:val="00DA1D12"/>
    <w:lvl w:ilvl="0" w:tplc="6128A3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84082"/>
    <w:multiLevelType w:val="hybridMultilevel"/>
    <w:tmpl w:val="C4BE5B64"/>
    <w:lvl w:ilvl="0" w:tplc="89E4604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1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11"/>
  </w:num>
  <w:num w:numId="15">
    <w:abstractNumId w:val="18"/>
  </w:num>
  <w:num w:numId="16">
    <w:abstractNumId w:val="9"/>
  </w:num>
  <w:num w:numId="17">
    <w:abstractNumId w:val="17"/>
  </w:num>
  <w:num w:numId="18">
    <w:abstractNumId w:val="14"/>
  </w:num>
  <w:num w:numId="19">
    <w:abstractNumId w:val="1"/>
  </w:num>
  <w:num w:numId="20">
    <w:abstractNumId w:val="2"/>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251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309"/>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2FFC"/>
    <w:rsid w:val="000136CC"/>
    <w:rsid w:val="0001374A"/>
    <w:rsid w:val="00014C19"/>
    <w:rsid w:val="00015958"/>
    <w:rsid w:val="000164DB"/>
    <w:rsid w:val="00016932"/>
    <w:rsid w:val="00016D65"/>
    <w:rsid w:val="00016D95"/>
    <w:rsid w:val="0001736B"/>
    <w:rsid w:val="000176FB"/>
    <w:rsid w:val="00017D08"/>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1302"/>
    <w:rsid w:val="000414EB"/>
    <w:rsid w:val="0004159F"/>
    <w:rsid w:val="00041650"/>
    <w:rsid w:val="00041B58"/>
    <w:rsid w:val="00042069"/>
    <w:rsid w:val="00042390"/>
    <w:rsid w:val="00042618"/>
    <w:rsid w:val="0004298B"/>
    <w:rsid w:val="000437B4"/>
    <w:rsid w:val="00043D20"/>
    <w:rsid w:val="00043FDE"/>
    <w:rsid w:val="000464AC"/>
    <w:rsid w:val="000467DE"/>
    <w:rsid w:val="00046CB2"/>
    <w:rsid w:val="00046DF1"/>
    <w:rsid w:val="00047188"/>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81"/>
    <w:rsid w:val="00060B62"/>
    <w:rsid w:val="00061283"/>
    <w:rsid w:val="00062012"/>
    <w:rsid w:val="0006231F"/>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F50"/>
    <w:rsid w:val="00070830"/>
    <w:rsid w:val="00070B2E"/>
    <w:rsid w:val="00073B1F"/>
    <w:rsid w:val="0007424A"/>
    <w:rsid w:val="00074E6D"/>
    <w:rsid w:val="00074EB7"/>
    <w:rsid w:val="000757E6"/>
    <w:rsid w:val="000770D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41F9"/>
    <w:rsid w:val="000843DB"/>
    <w:rsid w:val="000845AF"/>
    <w:rsid w:val="00084C8D"/>
    <w:rsid w:val="00085BE8"/>
    <w:rsid w:val="00085D13"/>
    <w:rsid w:val="00086629"/>
    <w:rsid w:val="00087808"/>
    <w:rsid w:val="000879BA"/>
    <w:rsid w:val="00090151"/>
    <w:rsid w:val="0009046F"/>
    <w:rsid w:val="00090A95"/>
    <w:rsid w:val="00090D30"/>
    <w:rsid w:val="00091FFC"/>
    <w:rsid w:val="00093693"/>
    <w:rsid w:val="00093B7C"/>
    <w:rsid w:val="00093DFA"/>
    <w:rsid w:val="00093FF5"/>
    <w:rsid w:val="00094C56"/>
    <w:rsid w:val="00095627"/>
    <w:rsid w:val="0009681E"/>
    <w:rsid w:val="00096BDC"/>
    <w:rsid w:val="00096F2F"/>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D7E"/>
    <w:rsid w:val="000A50F9"/>
    <w:rsid w:val="000A53E5"/>
    <w:rsid w:val="000A6C60"/>
    <w:rsid w:val="000A6F64"/>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41A6"/>
    <w:rsid w:val="000C41C9"/>
    <w:rsid w:val="000C467B"/>
    <w:rsid w:val="000C4781"/>
    <w:rsid w:val="000C4D58"/>
    <w:rsid w:val="000C53A3"/>
    <w:rsid w:val="000C572E"/>
    <w:rsid w:val="000C61C7"/>
    <w:rsid w:val="000C6AA2"/>
    <w:rsid w:val="000C6C97"/>
    <w:rsid w:val="000C7179"/>
    <w:rsid w:val="000C7BD5"/>
    <w:rsid w:val="000D002C"/>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3195"/>
    <w:rsid w:val="000E35CD"/>
    <w:rsid w:val="000E391F"/>
    <w:rsid w:val="000E3CC1"/>
    <w:rsid w:val="000E4801"/>
    <w:rsid w:val="000E4F1E"/>
    <w:rsid w:val="000E50F2"/>
    <w:rsid w:val="000E514D"/>
    <w:rsid w:val="000E51E9"/>
    <w:rsid w:val="000E5407"/>
    <w:rsid w:val="000E5979"/>
    <w:rsid w:val="000E5CCD"/>
    <w:rsid w:val="000E6310"/>
    <w:rsid w:val="000E68D3"/>
    <w:rsid w:val="000E6E56"/>
    <w:rsid w:val="000F03FB"/>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9D6"/>
    <w:rsid w:val="00102F8F"/>
    <w:rsid w:val="001033B2"/>
    <w:rsid w:val="001043C6"/>
    <w:rsid w:val="00105612"/>
    <w:rsid w:val="00105EA6"/>
    <w:rsid w:val="0010618E"/>
    <w:rsid w:val="001068F5"/>
    <w:rsid w:val="00106D48"/>
    <w:rsid w:val="0010721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11F8"/>
    <w:rsid w:val="00131433"/>
    <w:rsid w:val="0013159F"/>
    <w:rsid w:val="00131EB1"/>
    <w:rsid w:val="00132635"/>
    <w:rsid w:val="0013283A"/>
    <w:rsid w:val="00134190"/>
    <w:rsid w:val="00134A11"/>
    <w:rsid w:val="00134F05"/>
    <w:rsid w:val="001354E7"/>
    <w:rsid w:val="00135A54"/>
    <w:rsid w:val="00136710"/>
    <w:rsid w:val="0013672B"/>
    <w:rsid w:val="00137CFA"/>
    <w:rsid w:val="00137F05"/>
    <w:rsid w:val="001400A0"/>
    <w:rsid w:val="00140982"/>
    <w:rsid w:val="00140CFB"/>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4111"/>
    <w:rsid w:val="00144A29"/>
    <w:rsid w:val="00147BE4"/>
    <w:rsid w:val="00147CDB"/>
    <w:rsid w:val="00147DDC"/>
    <w:rsid w:val="00147DE3"/>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57A"/>
    <w:rsid w:val="00160866"/>
    <w:rsid w:val="0016091C"/>
    <w:rsid w:val="00160E97"/>
    <w:rsid w:val="00161774"/>
    <w:rsid w:val="00161E40"/>
    <w:rsid w:val="00161F83"/>
    <w:rsid w:val="0016346F"/>
    <w:rsid w:val="00163837"/>
    <w:rsid w:val="00163A54"/>
    <w:rsid w:val="00164559"/>
    <w:rsid w:val="00164791"/>
    <w:rsid w:val="00165EAA"/>
    <w:rsid w:val="001665EA"/>
    <w:rsid w:val="00166949"/>
    <w:rsid w:val="00167721"/>
    <w:rsid w:val="00170788"/>
    <w:rsid w:val="001708BE"/>
    <w:rsid w:val="0017098A"/>
    <w:rsid w:val="00170C21"/>
    <w:rsid w:val="001716F7"/>
    <w:rsid w:val="00172993"/>
    <w:rsid w:val="00173064"/>
    <w:rsid w:val="001732B2"/>
    <w:rsid w:val="001739C2"/>
    <w:rsid w:val="00173B3A"/>
    <w:rsid w:val="00173FCF"/>
    <w:rsid w:val="00174655"/>
    <w:rsid w:val="00174D90"/>
    <w:rsid w:val="00175977"/>
    <w:rsid w:val="0017605B"/>
    <w:rsid w:val="001761EF"/>
    <w:rsid w:val="0017656E"/>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9DF"/>
    <w:rsid w:val="001B100D"/>
    <w:rsid w:val="001B1019"/>
    <w:rsid w:val="001B1B0D"/>
    <w:rsid w:val="001B2704"/>
    <w:rsid w:val="001B2C82"/>
    <w:rsid w:val="001B2F6B"/>
    <w:rsid w:val="001B354E"/>
    <w:rsid w:val="001B3657"/>
    <w:rsid w:val="001B3EDD"/>
    <w:rsid w:val="001B3EE2"/>
    <w:rsid w:val="001B43FF"/>
    <w:rsid w:val="001B4478"/>
    <w:rsid w:val="001B4569"/>
    <w:rsid w:val="001B4B99"/>
    <w:rsid w:val="001B5B2D"/>
    <w:rsid w:val="001B5EB4"/>
    <w:rsid w:val="001B6030"/>
    <w:rsid w:val="001B68D3"/>
    <w:rsid w:val="001B6F65"/>
    <w:rsid w:val="001B72AE"/>
    <w:rsid w:val="001B76EB"/>
    <w:rsid w:val="001B776A"/>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815"/>
    <w:rsid w:val="001C6B3A"/>
    <w:rsid w:val="001C7030"/>
    <w:rsid w:val="001C7591"/>
    <w:rsid w:val="001D006E"/>
    <w:rsid w:val="001D0423"/>
    <w:rsid w:val="001D073F"/>
    <w:rsid w:val="001D0DE3"/>
    <w:rsid w:val="001D1020"/>
    <w:rsid w:val="001D15CF"/>
    <w:rsid w:val="001D1E16"/>
    <w:rsid w:val="001D235D"/>
    <w:rsid w:val="001D2555"/>
    <w:rsid w:val="001D337C"/>
    <w:rsid w:val="001D380D"/>
    <w:rsid w:val="001D41F0"/>
    <w:rsid w:val="001D65C6"/>
    <w:rsid w:val="001D6CED"/>
    <w:rsid w:val="001E04E8"/>
    <w:rsid w:val="001E184B"/>
    <w:rsid w:val="001E1EE3"/>
    <w:rsid w:val="001E1F20"/>
    <w:rsid w:val="001E26B5"/>
    <w:rsid w:val="001E2AA6"/>
    <w:rsid w:val="001E386F"/>
    <w:rsid w:val="001E394B"/>
    <w:rsid w:val="001E3BCD"/>
    <w:rsid w:val="001E4E84"/>
    <w:rsid w:val="001E4EBC"/>
    <w:rsid w:val="001E5107"/>
    <w:rsid w:val="001E55D4"/>
    <w:rsid w:val="001E6376"/>
    <w:rsid w:val="001E71B5"/>
    <w:rsid w:val="001E7B18"/>
    <w:rsid w:val="001F0D95"/>
    <w:rsid w:val="001F15CD"/>
    <w:rsid w:val="001F1A6D"/>
    <w:rsid w:val="001F1F3F"/>
    <w:rsid w:val="001F27B1"/>
    <w:rsid w:val="001F2F00"/>
    <w:rsid w:val="001F348D"/>
    <w:rsid w:val="001F3AE7"/>
    <w:rsid w:val="001F47D0"/>
    <w:rsid w:val="001F5B11"/>
    <w:rsid w:val="001F6550"/>
    <w:rsid w:val="001F69E8"/>
    <w:rsid w:val="001F7038"/>
    <w:rsid w:val="001F7320"/>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20BD"/>
    <w:rsid w:val="00212962"/>
    <w:rsid w:val="00213196"/>
    <w:rsid w:val="00214731"/>
    <w:rsid w:val="00214F01"/>
    <w:rsid w:val="0021540E"/>
    <w:rsid w:val="002157D1"/>
    <w:rsid w:val="00215C9A"/>
    <w:rsid w:val="0021615A"/>
    <w:rsid w:val="002169FE"/>
    <w:rsid w:val="00216F58"/>
    <w:rsid w:val="00217135"/>
    <w:rsid w:val="0022132D"/>
    <w:rsid w:val="00221D16"/>
    <w:rsid w:val="00221D27"/>
    <w:rsid w:val="00222064"/>
    <w:rsid w:val="00222CAE"/>
    <w:rsid w:val="00223622"/>
    <w:rsid w:val="002237D8"/>
    <w:rsid w:val="0022382C"/>
    <w:rsid w:val="00223B83"/>
    <w:rsid w:val="00223DAB"/>
    <w:rsid w:val="0022536E"/>
    <w:rsid w:val="002258F4"/>
    <w:rsid w:val="00225A53"/>
    <w:rsid w:val="00225C88"/>
    <w:rsid w:val="002262C4"/>
    <w:rsid w:val="002264F4"/>
    <w:rsid w:val="00227A81"/>
    <w:rsid w:val="00230A52"/>
    <w:rsid w:val="00231427"/>
    <w:rsid w:val="00231B27"/>
    <w:rsid w:val="00231FE3"/>
    <w:rsid w:val="002326CA"/>
    <w:rsid w:val="00232934"/>
    <w:rsid w:val="00232BAB"/>
    <w:rsid w:val="00233057"/>
    <w:rsid w:val="002331EC"/>
    <w:rsid w:val="00233ABC"/>
    <w:rsid w:val="00234906"/>
    <w:rsid w:val="00234A3D"/>
    <w:rsid w:val="00235ACB"/>
    <w:rsid w:val="00235DEC"/>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8DF"/>
    <w:rsid w:val="00252FDB"/>
    <w:rsid w:val="0025369C"/>
    <w:rsid w:val="00254AA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CA4"/>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FEC"/>
    <w:rsid w:val="00282FF3"/>
    <w:rsid w:val="0028364E"/>
    <w:rsid w:val="00284655"/>
    <w:rsid w:val="002848CB"/>
    <w:rsid w:val="00284D72"/>
    <w:rsid w:val="00285776"/>
    <w:rsid w:val="002858BA"/>
    <w:rsid w:val="0028661B"/>
    <w:rsid w:val="002866D9"/>
    <w:rsid w:val="0028686B"/>
    <w:rsid w:val="002912A0"/>
    <w:rsid w:val="0029184C"/>
    <w:rsid w:val="0029235D"/>
    <w:rsid w:val="00292574"/>
    <w:rsid w:val="002926A4"/>
    <w:rsid w:val="00292EA2"/>
    <w:rsid w:val="00292F35"/>
    <w:rsid w:val="00292F9A"/>
    <w:rsid w:val="0029396A"/>
    <w:rsid w:val="00293DE2"/>
    <w:rsid w:val="00294D80"/>
    <w:rsid w:val="00295E8C"/>
    <w:rsid w:val="00296148"/>
    <w:rsid w:val="0029649C"/>
    <w:rsid w:val="00296FB8"/>
    <w:rsid w:val="0029771E"/>
    <w:rsid w:val="002A04CF"/>
    <w:rsid w:val="002A0621"/>
    <w:rsid w:val="002A07B1"/>
    <w:rsid w:val="002A17E0"/>
    <w:rsid w:val="002A21C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6C3"/>
    <w:rsid w:val="002B3812"/>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56F"/>
    <w:rsid w:val="002C3A5F"/>
    <w:rsid w:val="002C3CEB"/>
    <w:rsid w:val="002C433A"/>
    <w:rsid w:val="002C43CD"/>
    <w:rsid w:val="002C4406"/>
    <w:rsid w:val="002C4DD7"/>
    <w:rsid w:val="002C4E55"/>
    <w:rsid w:val="002C5754"/>
    <w:rsid w:val="002C6BF5"/>
    <w:rsid w:val="002C6D79"/>
    <w:rsid w:val="002C765A"/>
    <w:rsid w:val="002C7B4C"/>
    <w:rsid w:val="002D0C49"/>
    <w:rsid w:val="002D0F70"/>
    <w:rsid w:val="002D1469"/>
    <w:rsid w:val="002D2333"/>
    <w:rsid w:val="002D2553"/>
    <w:rsid w:val="002D43A1"/>
    <w:rsid w:val="002D48D1"/>
    <w:rsid w:val="002D6310"/>
    <w:rsid w:val="002D63D6"/>
    <w:rsid w:val="002D667F"/>
    <w:rsid w:val="002D6680"/>
    <w:rsid w:val="002D6EFA"/>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CF2"/>
    <w:rsid w:val="002F369F"/>
    <w:rsid w:val="002F3830"/>
    <w:rsid w:val="002F38D7"/>
    <w:rsid w:val="002F3EFA"/>
    <w:rsid w:val="002F42D9"/>
    <w:rsid w:val="002F4929"/>
    <w:rsid w:val="002F576A"/>
    <w:rsid w:val="002F5989"/>
    <w:rsid w:val="002F694D"/>
    <w:rsid w:val="002F73F4"/>
    <w:rsid w:val="002F7DD0"/>
    <w:rsid w:val="002F7DDE"/>
    <w:rsid w:val="002F7E97"/>
    <w:rsid w:val="003000FF"/>
    <w:rsid w:val="003006A1"/>
    <w:rsid w:val="003012A2"/>
    <w:rsid w:val="00301499"/>
    <w:rsid w:val="003018B7"/>
    <w:rsid w:val="0030204B"/>
    <w:rsid w:val="003020C6"/>
    <w:rsid w:val="0030280A"/>
    <w:rsid w:val="00302C8C"/>
    <w:rsid w:val="00303EF4"/>
    <w:rsid w:val="00304ACA"/>
    <w:rsid w:val="00304F2A"/>
    <w:rsid w:val="00305A1B"/>
    <w:rsid w:val="003062D8"/>
    <w:rsid w:val="0030704A"/>
    <w:rsid w:val="003070B7"/>
    <w:rsid w:val="00307309"/>
    <w:rsid w:val="003075BC"/>
    <w:rsid w:val="00307E7E"/>
    <w:rsid w:val="003101EC"/>
    <w:rsid w:val="003106DE"/>
    <w:rsid w:val="00311663"/>
    <w:rsid w:val="00311B59"/>
    <w:rsid w:val="0031227B"/>
    <w:rsid w:val="003127F4"/>
    <w:rsid w:val="00312A20"/>
    <w:rsid w:val="003133C7"/>
    <w:rsid w:val="00313652"/>
    <w:rsid w:val="0031376D"/>
    <w:rsid w:val="00313D36"/>
    <w:rsid w:val="003151B5"/>
    <w:rsid w:val="00315AF8"/>
    <w:rsid w:val="00315C91"/>
    <w:rsid w:val="003168A7"/>
    <w:rsid w:val="003175F3"/>
    <w:rsid w:val="00317835"/>
    <w:rsid w:val="00317A71"/>
    <w:rsid w:val="00317C72"/>
    <w:rsid w:val="00320ED9"/>
    <w:rsid w:val="00321DAA"/>
    <w:rsid w:val="003225D9"/>
    <w:rsid w:val="00322AF3"/>
    <w:rsid w:val="0032306C"/>
    <w:rsid w:val="00323146"/>
    <w:rsid w:val="003235CC"/>
    <w:rsid w:val="003240B6"/>
    <w:rsid w:val="00324EC4"/>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93A"/>
    <w:rsid w:val="003509E6"/>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B9"/>
    <w:rsid w:val="00357828"/>
    <w:rsid w:val="00357895"/>
    <w:rsid w:val="00357916"/>
    <w:rsid w:val="00357B15"/>
    <w:rsid w:val="0036025D"/>
    <w:rsid w:val="00360937"/>
    <w:rsid w:val="00360957"/>
    <w:rsid w:val="00360B19"/>
    <w:rsid w:val="00360FCE"/>
    <w:rsid w:val="0036193E"/>
    <w:rsid w:val="003626D8"/>
    <w:rsid w:val="00362D25"/>
    <w:rsid w:val="00362DF3"/>
    <w:rsid w:val="00362E82"/>
    <w:rsid w:val="00363384"/>
    <w:rsid w:val="00364001"/>
    <w:rsid w:val="003658BD"/>
    <w:rsid w:val="00365B5F"/>
    <w:rsid w:val="00365DC3"/>
    <w:rsid w:val="0036633C"/>
    <w:rsid w:val="00366CA4"/>
    <w:rsid w:val="00366CC9"/>
    <w:rsid w:val="0036763E"/>
    <w:rsid w:val="00367773"/>
    <w:rsid w:val="00367C14"/>
    <w:rsid w:val="00367E02"/>
    <w:rsid w:val="0037013D"/>
    <w:rsid w:val="0037078A"/>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E56"/>
    <w:rsid w:val="004000BE"/>
    <w:rsid w:val="00400122"/>
    <w:rsid w:val="004015C7"/>
    <w:rsid w:val="00401D3D"/>
    <w:rsid w:val="004020AB"/>
    <w:rsid w:val="004024ED"/>
    <w:rsid w:val="004026BA"/>
    <w:rsid w:val="00403038"/>
    <w:rsid w:val="004030D5"/>
    <w:rsid w:val="0040388F"/>
    <w:rsid w:val="00404249"/>
    <w:rsid w:val="004042BA"/>
    <w:rsid w:val="004050B4"/>
    <w:rsid w:val="00405746"/>
    <w:rsid w:val="004062EC"/>
    <w:rsid w:val="00406755"/>
    <w:rsid w:val="004067DB"/>
    <w:rsid w:val="004069C5"/>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2035D"/>
    <w:rsid w:val="00420604"/>
    <w:rsid w:val="00420841"/>
    <w:rsid w:val="00421E00"/>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588"/>
    <w:rsid w:val="00441CF2"/>
    <w:rsid w:val="00441EE6"/>
    <w:rsid w:val="00442540"/>
    <w:rsid w:val="0044307B"/>
    <w:rsid w:val="00443B1B"/>
    <w:rsid w:val="00444072"/>
    <w:rsid w:val="004440D4"/>
    <w:rsid w:val="004441C7"/>
    <w:rsid w:val="00444204"/>
    <w:rsid w:val="004446E5"/>
    <w:rsid w:val="00446A46"/>
    <w:rsid w:val="00446BAE"/>
    <w:rsid w:val="004473E9"/>
    <w:rsid w:val="0045044A"/>
    <w:rsid w:val="004504BB"/>
    <w:rsid w:val="004511AB"/>
    <w:rsid w:val="004511FA"/>
    <w:rsid w:val="004514DB"/>
    <w:rsid w:val="0045234D"/>
    <w:rsid w:val="0045235F"/>
    <w:rsid w:val="004533F1"/>
    <w:rsid w:val="00453797"/>
    <w:rsid w:val="00453ABE"/>
    <w:rsid w:val="004542A8"/>
    <w:rsid w:val="004546CE"/>
    <w:rsid w:val="00455912"/>
    <w:rsid w:val="004560D2"/>
    <w:rsid w:val="004576E8"/>
    <w:rsid w:val="00457CEE"/>
    <w:rsid w:val="00460794"/>
    <w:rsid w:val="00461DF1"/>
    <w:rsid w:val="00462B10"/>
    <w:rsid w:val="00462BA8"/>
    <w:rsid w:val="00462E57"/>
    <w:rsid w:val="00463731"/>
    <w:rsid w:val="00463A9F"/>
    <w:rsid w:val="00463CEF"/>
    <w:rsid w:val="00463DEF"/>
    <w:rsid w:val="004648AA"/>
    <w:rsid w:val="00464FEE"/>
    <w:rsid w:val="004672B7"/>
    <w:rsid w:val="00467391"/>
    <w:rsid w:val="004706A0"/>
    <w:rsid w:val="00471318"/>
    <w:rsid w:val="004715A8"/>
    <w:rsid w:val="00471789"/>
    <w:rsid w:val="00471907"/>
    <w:rsid w:val="00472190"/>
    <w:rsid w:val="004724BF"/>
    <w:rsid w:val="00472695"/>
    <w:rsid w:val="004729E0"/>
    <w:rsid w:val="00473164"/>
    <w:rsid w:val="00473E9C"/>
    <w:rsid w:val="004744D7"/>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CD1"/>
    <w:rsid w:val="00494CDA"/>
    <w:rsid w:val="00495713"/>
    <w:rsid w:val="004957BA"/>
    <w:rsid w:val="0049590A"/>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2A5"/>
    <w:rsid w:val="004B6816"/>
    <w:rsid w:val="004B6BC5"/>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513"/>
    <w:rsid w:val="004C4BEC"/>
    <w:rsid w:val="004C5A9B"/>
    <w:rsid w:val="004C60DC"/>
    <w:rsid w:val="004C7022"/>
    <w:rsid w:val="004C7663"/>
    <w:rsid w:val="004C7FC6"/>
    <w:rsid w:val="004D055D"/>
    <w:rsid w:val="004D08E0"/>
    <w:rsid w:val="004D129E"/>
    <w:rsid w:val="004D25B5"/>
    <w:rsid w:val="004D31BD"/>
    <w:rsid w:val="004D31CA"/>
    <w:rsid w:val="004D47B9"/>
    <w:rsid w:val="004D489C"/>
    <w:rsid w:val="004D49C8"/>
    <w:rsid w:val="004D4B5F"/>
    <w:rsid w:val="004D5428"/>
    <w:rsid w:val="004D5D5C"/>
    <w:rsid w:val="004D5FBA"/>
    <w:rsid w:val="004D6E67"/>
    <w:rsid w:val="004D752E"/>
    <w:rsid w:val="004E00B4"/>
    <w:rsid w:val="004E0745"/>
    <w:rsid w:val="004E0963"/>
    <w:rsid w:val="004E0B2F"/>
    <w:rsid w:val="004E0CCF"/>
    <w:rsid w:val="004E1B3F"/>
    <w:rsid w:val="004E21ED"/>
    <w:rsid w:val="004E2A8E"/>
    <w:rsid w:val="004E4559"/>
    <w:rsid w:val="004E458C"/>
    <w:rsid w:val="004E70F1"/>
    <w:rsid w:val="004E714B"/>
    <w:rsid w:val="004E7930"/>
    <w:rsid w:val="004F000D"/>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4302"/>
    <w:rsid w:val="005044E0"/>
    <w:rsid w:val="0050467F"/>
    <w:rsid w:val="00504706"/>
    <w:rsid w:val="00504E60"/>
    <w:rsid w:val="0050553B"/>
    <w:rsid w:val="00505D13"/>
    <w:rsid w:val="005066F9"/>
    <w:rsid w:val="0050674F"/>
    <w:rsid w:val="00506767"/>
    <w:rsid w:val="00506A2E"/>
    <w:rsid w:val="00510478"/>
    <w:rsid w:val="00510BE0"/>
    <w:rsid w:val="00510C5C"/>
    <w:rsid w:val="00511288"/>
    <w:rsid w:val="00511A73"/>
    <w:rsid w:val="00511E62"/>
    <w:rsid w:val="00513492"/>
    <w:rsid w:val="00513696"/>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ED"/>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30860"/>
    <w:rsid w:val="00531932"/>
    <w:rsid w:val="00531C3D"/>
    <w:rsid w:val="0053277C"/>
    <w:rsid w:val="00532EB0"/>
    <w:rsid w:val="005335BC"/>
    <w:rsid w:val="005336CE"/>
    <w:rsid w:val="00533CD5"/>
    <w:rsid w:val="00534621"/>
    <w:rsid w:val="00534871"/>
    <w:rsid w:val="00534F33"/>
    <w:rsid w:val="00535069"/>
    <w:rsid w:val="00535A60"/>
    <w:rsid w:val="005368AB"/>
    <w:rsid w:val="005372AF"/>
    <w:rsid w:val="00537F74"/>
    <w:rsid w:val="00540D5C"/>
    <w:rsid w:val="00540EBB"/>
    <w:rsid w:val="005414C4"/>
    <w:rsid w:val="00541971"/>
    <w:rsid w:val="00541FF9"/>
    <w:rsid w:val="00544481"/>
    <w:rsid w:val="005444FD"/>
    <w:rsid w:val="00544A27"/>
    <w:rsid w:val="00544C2E"/>
    <w:rsid w:val="0054689F"/>
    <w:rsid w:val="00546DAD"/>
    <w:rsid w:val="0054701C"/>
    <w:rsid w:val="0055024A"/>
    <w:rsid w:val="0055040D"/>
    <w:rsid w:val="00550D90"/>
    <w:rsid w:val="0055248D"/>
    <w:rsid w:val="00552EC6"/>
    <w:rsid w:val="00553590"/>
    <w:rsid w:val="005538CF"/>
    <w:rsid w:val="005542A1"/>
    <w:rsid w:val="005549AB"/>
    <w:rsid w:val="005557FE"/>
    <w:rsid w:val="00555A0C"/>
    <w:rsid w:val="00555A17"/>
    <w:rsid w:val="00555EC7"/>
    <w:rsid w:val="005570AD"/>
    <w:rsid w:val="00557DCC"/>
    <w:rsid w:val="0056092A"/>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80185"/>
    <w:rsid w:val="005809B5"/>
    <w:rsid w:val="005812EF"/>
    <w:rsid w:val="00582010"/>
    <w:rsid w:val="0058254B"/>
    <w:rsid w:val="0058351E"/>
    <w:rsid w:val="00584064"/>
    <w:rsid w:val="00584584"/>
    <w:rsid w:val="00584922"/>
    <w:rsid w:val="005854E3"/>
    <w:rsid w:val="005858C5"/>
    <w:rsid w:val="00585EF3"/>
    <w:rsid w:val="00587914"/>
    <w:rsid w:val="005900F4"/>
    <w:rsid w:val="0059181C"/>
    <w:rsid w:val="005921B3"/>
    <w:rsid w:val="005925EC"/>
    <w:rsid w:val="00593ADA"/>
    <w:rsid w:val="00593E4F"/>
    <w:rsid w:val="00594F57"/>
    <w:rsid w:val="00595265"/>
    <w:rsid w:val="005958A0"/>
    <w:rsid w:val="0059611F"/>
    <w:rsid w:val="005964F5"/>
    <w:rsid w:val="00597224"/>
    <w:rsid w:val="005A0727"/>
    <w:rsid w:val="005A0F0D"/>
    <w:rsid w:val="005A1B7D"/>
    <w:rsid w:val="005A1FB5"/>
    <w:rsid w:val="005A21F0"/>
    <w:rsid w:val="005A3592"/>
    <w:rsid w:val="005A3696"/>
    <w:rsid w:val="005A4082"/>
    <w:rsid w:val="005A46DD"/>
    <w:rsid w:val="005A64FE"/>
    <w:rsid w:val="005A6C46"/>
    <w:rsid w:val="005A71E5"/>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96C"/>
    <w:rsid w:val="005C1C71"/>
    <w:rsid w:val="005C205B"/>
    <w:rsid w:val="005C2CA2"/>
    <w:rsid w:val="005C3064"/>
    <w:rsid w:val="005C3121"/>
    <w:rsid w:val="005C3191"/>
    <w:rsid w:val="005C3464"/>
    <w:rsid w:val="005C3C86"/>
    <w:rsid w:val="005C42DE"/>
    <w:rsid w:val="005C4651"/>
    <w:rsid w:val="005C5C1C"/>
    <w:rsid w:val="005C7161"/>
    <w:rsid w:val="005C725E"/>
    <w:rsid w:val="005C7653"/>
    <w:rsid w:val="005C7BBF"/>
    <w:rsid w:val="005D0057"/>
    <w:rsid w:val="005D019B"/>
    <w:rsid w:val="005D22E9"/>
    <w:rsid w:val="005D3069"/>
    <w:rsid w:val="005D31CB"/>
    <w:rsid w:val="005D370F"/>
    <w:rsid w:val="005D3730"/>
    <w:rsid w:val="005D3BD1"/>
    <w:rsid w:val="005D40A5"/>
    <w:rsid w:val="005D4675"/>
    <w:rsid w:val="005D57F3"/>
    <w:rsid w:val="005D5940"/>
    <w:rsid w:val="005D5A15"/>
    <w:rsid w:val="005D5D26"/>
    <w:rsid w:val="005D5EBA"/>
    <w:rsid w:val="005D60AE"/>
    <w:rsid w:val="005D7907"/>
    <w:rsid w:val="005E00F5"/>
    <w:rsid w:val="005E0B86"/>
    <w:rsid w:val="005E0FA3"/>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3F86"/>
    <w:rsid w:val="005F4197"/>
    <w:rsid w:val="005F45D3"/>
    <w:rsid w:val="005F4B38"/>
    <w:rsid w:val="005F4C67"/>
    <w:rsid w:val="005F4F12"/>
    <w:rsid w:val="005F5163"/>
    <w:rsid w:val="005F52C6"/>
    <w:rsid w:val="005F541C"/>
    <w:rsid w:val="005F5A77"/>
    <w:rsid w:val="005F6596"/>
    <w:rsid w:val="005F6751"/>
    <w:rsid w:val="005F73CC"/>
    <w:rsid w:val="005F7D76"/>
    <w:rsid w:val="00600709"/>
    <w:rsid w:val="00601639"/>
    <w:rsid w:val="006024F3"/>
    <w:rsid w:val="006028B7"/>
    <w:rsid w:val="00603543"/>
    <w:rsid w:val="00603572"/>
    <w:rsid w:val="00603665"/>
    <w:rsid w:val="00604ACB"/>
    <w:rsid w:val="006055FE"/>
    <w:rsid w:val="00605FE7"/>
    <w:rsid w:val="006067DB"/>
    <w:rsid w:val="006073F9"/>
    <w:rsid w:val="00607F86"/>
    <w:rsid w:val="0061009A"/>
    <w:rsid w:val="006104F9"/>
    <w:rsid w:val="00610669"/>
    <w:rsid w:val="00610BC0"/>
    <w:rsid w:val="00611335"/>
    <w:rsid w:val="006114ED"/>
    <w:rsid w:val="0061157C"/>
    <w:rsid w:val="0061278F"/>
    <w:rsid w:val="0061282A"/>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65E"/>
    <w:rsid w:val="00622F11"/>
    <w:rsid w:val="00623213"/>
    <w:rsid w:val="006246E4"/>
    <w:rsid w:val="00624BC2"/>
    <w:rsid w:val="006251DE"/>
    <w:rsid w:val="006254EE"/>
    <w:rsid w:val="00625B63"/>
    <w:rsid w:val="00626190"/>
    <w:rsid w:val="00627517"/>
    <w:rsid w:val="00630B1A"/>
    <w:rsid w:val="006313B9"/>
    <w:rsid w:val="00632281"/>
    <w:rsid w:val="00632364"/>
    <w:rsid w:val="006324C1"/>
    <w:rsid w:val="006327BE"/>
    <w:rsid w:val="00632A4A"/>
    <w:rsid w:val="00634573"/>
    <w:rsid w:val="006348CC"/>
    <w:rsid w:val="00635A24"/>
    <w:rsid w:val="00635DDF"/>
    <w:rsid w:val="006366BE"/>
    <w:rsid w:val="00636818"/>
    <w:rsid w:val="00636ADD"/>
    <w:rsid w:val="00636C79"/>
    <w:rsid w:val="006373D4"/>
    <w:rsid w:val="00640221"/>
    <w:rsid w:val="006406E5"/>
    <w:rsid w:val="00640B24"/>
    <w:rsid w:val="0064110A"/>
    <w:rsid w:val="006417BC"/>
    <w:rsid w:val="0064185B"/>
    <w:rsid w:val="00641C9C"/>
    <w:rsid w:val="00641EE6"/>
    <w:rsid w:val="00641F0C"/>
    <w:rsid w:val="006422EA"/>
    <w:rsid w:val="00642EB3"/>
    <w:rsid w:val="006441AD"/>
    <w:rsid w:val="006442C8"/>
    <w:rsid w:val="0064464F"/>
    <w:rsid w:val="006446B7"/>
    <w:rsid w:val="0064476C"/>
    <w:rsid w:val="00644B90"/>
    <w:rsid w:val="00646E32"/>
    <w:rsid w:val="00646E56"/>
    <w:rsid w:val="00647687"/>
    <w:rsid w:val="00647768"/>
    <w:rsid w:val="006505E5"/>
    <w:rsid w:val="00651AD8"/>
    <w:rsid w:val="0065230F"/>
    <w:rsid w:val="0065353F"/>
    <w:rsid w:val="00653CF8"/>
    <w:rsid w:val="00653F72"/>
    <w:rsid w:val="006546B9"/>
    <w:rsid w:val="00654B60"/>
    <w:rsid w:val="00655090"/>
    <w:rsid w:val="0065588C"/>
    <w:rsid w:val="00655E6B"/>
    <w:rsid w:val="00656911"/>
    <w:rsid w:val="00656F58"/>
    <w:rsid w:val="00657727"/>
    <w:rsid w:val="00660969"/>
    <w:rsid w:val="00660B48"/>
    <w:rsid w:val="00662650"/>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4329"/>
    <w:rsid w:val="00674808"/>
    <w:rsid w:val="00674CE6"/>
    <w:rsid w:val="00674F39"/>
    <w:rsid w:val="00674FC2"/>
    <w:rsid w:val="006758EF"/>
    <w:rsid w:val="00675D53"/>
    <w:rsid w:val="006767DB"/>
    <w:rsid w:val="00676BB6"/>
    <w:rsid w:val="00676FCA"/>
    <w:rsid w:val="00677279"/>
    <w:rsid w:val="00677979"/>
    <w:rsid w:val="0067798B"/>
    <w:rsid w:val="00680232"/>
    <w:rsid w:val="00680316"/>
    <w:rsid w:val="006803A0"/>
    <w:rsid w:val="00680AC2"/>
    <w:rsid w:val="0068141A"/>
    <w:rsid w:val="0068146E"/>
    <w:rsid w:val="00681809"/>
    <w:rsid w:val="00681B55"/>
    <w:rsid w:val="00682088"/>
    <w:rsid w:val="0068303F"/>
    <w:rsid w:val="006830FC"/>
    <w:rsid w:val="00683770"/>
    <w:rsid w:val="00683926"/>
    <w:rsid w:val="00683B58"/>
    <w:rsid w:val="006849D2"/>
    <w:rsid w:val="00685035"/>
    <w:rsid w:val="00685F7C"/>
    <w:rsid w:val="00686775"/>
    <w:rsid w:val="00686A7E"/>
    <w:rsid w:val="00686C41"/>
    <w:rsid w:val="00686CAE"/>
    <w:rsid w:val="00690509"/>
    <w:rsid w:val="00690963"/>
    <w:rsid w:val="00690B95"/>
    <w:rsid w:val="00690EA6"/>
    <w:rsid w:val="00691156"/>
    <w:rsid w:val="00691601"/>
    <w:rsid w:val="00691998"/>
    <w:rsid w:val="00691CD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438F"/>
    <w:rsid w:val="006A503A"/>
    <w:rsid w:val="006A65A6"/>
    <w:rsid w:val="006A66BF"/>
    <w:rsid w:val="006A6750"/>
    <w:rsid w:val="006A7601"/>
    <w:rsid w:val="006A7D6E"/>
    <w:rsid w:val="006A7FA7"/>
    <w:rsid w:val="006B0417"/>
    <w:rsid w:val="006B0634"/>
    <w:rsid w:val="006B0F9B"/>
    <w:rsid w:val="006B1837"/>
    <w:rsid w:val="006B1C34"/>
    <w:rsid w:val="006B1FDC"/>
    <w:rsid w:val="006B1FF1"/>
    <w:rsid w:val="006B293F"/>
    <w:rsid w:val="006B34DE"/>
    <w:rsid w:val="006B35F3"/>
    <w:rsid w:val="006B40C1"/>
    <w:rsid w:val="006B5F49"/>
    <w:rsid w:val="006B60A2"/>
    <w:rsid w:val="006B6A20"/>
    <w:rsid w:val="006C078D"/>
    <w:rsid w:val="006C0D6F"/>
    <w:rsid w:val="006C164E"/>
    <w:rsid w:val="006C1EDD"/>
    <w:rsid w:val="006C2188"/>
    <w:rsid w:val="006C22E4"/>
    <w:rsid w:val="006C25AD"/>
    <w:rsid w:val="006C2F5C"/>
    <w:rsid w:val="006C319D"/>
    <w:rsid w:val="006C3573"/>
    <w:rsid w:val="006C3593"/>
    <w:rsid w:val="006C4010"/>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C7"/>
    <w:rsid w:val="006D4C04"/>
    <w:rsid w:val="006D4E80"/>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579"/>
    <w:rsid w:val="006F2855"/>
    <w:rsid w:val="006F2887"/>
    <w:rsid w:val="006F2958"/>
    <w:rsid w:val="006F2DD6"/>
    <w:rsid w:val="006F5439"/>
    <w:rsid w:val="006F69AA"/>
    <w:rsid w:val="006F713E"/>
    <w:rsid w:val="006F750C"/>
    <w:rsid w:val="006F7EB1"/>
    <w:rsid w:val="00700A36"/>
    <w:rsid w:val="00700AD5"/>
    <w:rsid w:val="00701834"/>
    <w:rsid w:val="0070199E"/>
    <w:rsid w:val="007019C6"/>
    <w:rsid w:val="00701BDD"/>
    <w:rsid w:val="00701E8E"/>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328D"/>
    <w:rsid w:val="0072344E"/>
    <w:rsid w:val="007237EE"/>
    <w:rsid w:val="007240C3"/>
    <w:rsid w:val="007243CC"/>
    <w:rsid w:val="0072530B"/>
    <w:rsid w:val="007263B7"/>
    <w:rsid w:val="0072677C"/>
    <w:rsid w:val="00727471"/>
    <w:rsid w:val="00727632"/>
    <w:rsid w:val="007301CB"/>
    <w:rsid w:val="0073087D"/>
    <w:rsid w:val="00731957"/>
    <w:rsid w:val="007323E0"/>
    <w:rsid w:val="00732744"/>
    <w:rsid w:val="0073288D"/>
    <w:rsid w:val="00732974"/>
    <w:rsid w:val="00732BB6"/>
    <w:rsid w:val="00733697"/>
    <w:rsid w:val="00733C12"/>
    <w:rsid w:val="00733C2F"/>
    <w:rsid w:val="00733EF3"/>
    <w:rsid w:val="007344A7"/>
    <w:rsid w:val="007356BB"/>
    <w:rsid w:val="00735B0B"/>
    <w:rsid w:val="00735BED"/>
    <w:rsid w:val="0073666D"/>
    <w:rsid w:val="0073669E"/>
    <w:rsid w:val="00736799"/>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6472"/>
    <w:rsid w:val="00746CD0"/>
    <w:rsid w:val="00746F76"/>
    <w:rsid w:val="007471B6"/>
    <w:rsid w:val="00747C5A"/>
    <w:rsid w:val="00747CD0"/>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20C8"/>
    <w:rsid w:val="00763C94"/>
    <w:rsid w:val="0076468E"/>
    <w:rsid w:val="00764725"/>
    <w:rsid w:val="0076472C"/>
    <w:rsid w:val="007649D6"/>
    <w:rsid w:val="00764B6B"/>
    <w:rsid w:val="00764F0C"/>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F16"/>
    <w:rsid w:val="007A72CA"/>
    <w:rsid w:val="007A7512"/>
    <w:rsid w:val="007A752A"/>
    <w:rsid w:val="007A7B6E"/>
    <w:rsid w:val="007A7E3D"/>
    <w:rsid w:val="007A7F7F"/>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B2B"/>
    <w:rsid w:val="007B7B34"/>
    <w:rsid w:val="007B7F68"/>
    <w:rsid w:val="007C0BE9"/>
    <w:rsid w:val="007C10C6"/>
    <w:rsid w:val="007C1B02"/>
    <w:rsid w:val="007C1D91"/>
    <w:rsid w:val="007C200D"/>
    <w:rsid w:val="007C204B"/>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CC5"/>
    <w:rsid w:val="007E441D"/>
    <w:rsid w:val="007E450C"/>
    <w:rsid w:val="007E4A09"/>
    <w:rsid w:val="007E4C9C"/>
    <w:rsid w:val="007E5486"/>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93A"/>
    <w:rsid w:val="00804BA2"/>
    <w:rsid w:val="00804FE6"/>
    <w:rsid w:val="008050F8"/>
    <w:rsid w:val="00805224"/>
    <w:rsid w:val="0080556B"/>
    <w:rsid w:val="00805FD6"/>
    <w:rsid w:val="00806809"/>
    <w:rsid w:val="00806ABD"/>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822"/>
    <w:rsid w:val="00815D1B"/>
    <w:rsid w:val="008164A8"/>
    <w:rsid w:val="00816C1F"/>
    <w:rsid w:val="008174AD"/>
    <w:rsid w:val="00820876"/>
    <w:rsid w:val="0082143F"/>
    <w:rsid w:val="0082159A"/>
    <w:rsid w:val="00821718"/>
    <w:rsid w:val="00822064"/>
    <w:rsid w:val="008220AD"/>
    <w:rsid w:val="00822969"/>
    <w:rsid w:val="00823196"/>
    <w:rsid w:val="00823610"/>
    <w:rsid w:val="008237DE"/>
    <w:rsid w:val="00824ABF"/>
    <w:rsid w:val="00824E32"/>
    <w:rsid w:val="00825B9C"/>
    <w:rsid w:val="00827EFF"/>
    <w:rsid w:val="008301C6"/>
    <w:rsid w:val="0083049A"/>
    <w:rsid w:val="00830846"/>
    <w:rsid w:val="008319DA"/>
    <w:rsid w:val="00831D1D"/>
    <w:rsid w:val="008321A6"/>
    <w:rsid w:val="00833393"/>
    <w:rsid w:val="0083380F"/>
    <w:rsid w:val="00833A60"/>
    <w:rsid w:val="00833C3B"/>
    <w:rsid w:val="00833D2C"/>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7E7"/>
    <w:rsid w:val="00846A62"/>
    <w:rsid w:val="0085127E"/>
    <w:rsid w:val="008515CC"/>
    <w:rsid w:val="008517C6"/>
    <w:rsid w:val="00852898"/>
    <w:rsid w:val="00852F4F"/>
    <w:rsid w:val="00853308"/>
    <w:rsid w:val="008534CC"/>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9B4"/>
    <w:rsid w:val="00861CA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C61"/>
    <w:rsid w:val="008701DC"/>
    <w:rsid w:val="00870234"/>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AB5"/>
    <w:rsid w:val="00880AD5"/>
    <w:rsid w:val="00880C01"/>
    <w:rsid w:val="00881095"/>
    <w:rsid w:val="00881457"/>
    <w:rsid w:val="00881918"/>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55E"/>
    <w:rsid w:val="00891448"/>
    <w:rsid w:val="008914A2"/>
    <w:rsid w:val="00891D38"/>
    <w:rsid w:val="00891D7B"/>
    <w:rsid w:val="008923EA"/>
    <w:rsid w:val="00893B95"/>
    <w:rsid w:val="008941B2"/>
    <w:rsid w:val="0089486E"/>
    <w:rsid w:val="00894DEA"/>
    <w:rsid w:val="00895941"/>
    <w:rsid w:val="00896875"/>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1123"/>
    <w:rsid w:val="008B18E3"/>
    <w:rsid w:val="008B3670"/>
    <w:rsid w:val="008B392A"/>
    <w:rsid w:val="008B3E82"/>
    <w:rsid w:val="008B4157"/>
    <w:rsid w:val="008B4A24"/>
    <w:rsid w:val="008B51DE"/>
    <w:rsid w:val="008B5AFF"/>
    <w:rsid w:val="008B5E0B"/>
    <w:rsid w:val="008B758A"/>
    <w:rsid w:val="008B7C72"/>
    <w:rsid w:val="008B7CD2"/>
    <w:rsid w:val="008C053C"/>
    <w:rsid w:val="008C0C4F"/>
    <w:rsid w:val="008C0F75"/>
    <w:rsid w:val="008C12F3"/>
    <w:rsid w:val="008C1433"/>
    <w:rsid w:val="008C1D8B"/>
    <w:rsid w:val="008C21EC"/>
    <w:rsid w:val="008C277A"/>
    <w:rsid w:val="008C2F47"/>
    <w:rsid w:val="008C49A9"/>
    <w:rsid w:val="008C561D"/>
    <w:rsid w:val="008C62EC"/>
    <w:rsid w:val="008C6316"/>
    <w:rsid w:val="008C7911"/>
    <w:rsid w:val="008C7FAF"/>
    <w:rsid w:val="008D0BE4"/>
    <w:rsid w:val="008D0F42"/>
    <w:rsid w:val="008D1475"/>
    <w:rsid w:val="008D151E"/>
    <w:rsid w:val="008D19DB"/>
    <w:rsid w:val="008D35E2"/>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457"/>
    <w:rsid w:val="00901C77"/>
    <w:rsid w:val="0090233F"/>
    <w:rsid w:val="00902698"/>
    <w:rsid w:val="009026E8"/>
    <w:rsid w:val="009030B0"/>
    <w:rsid w:val="009031E3"/>
    <w:rsid w:val="009035A2"/>
    <w:rsid w:val="0090368C"/>
    <w:rsid w:val="00903C20"/>
    <w:rsid w:val="00903E1E"/>
    <w:rsid w:val="00903EBB"/>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6AF"/>
    <w:rsid w:val="00913DCC"/>
    <w:rsid w:val="0091409A"/>
    <w:rsid w:val="00914378"/>
    <w:rsid w:val="00914F27"/>
    <w:rsid w:val="00916333"/>
    <w:rsid w:val="00917B21"/>
    <w:rsid w:val="00921E03"/>
    <w:rsid w:val="00922101"/>
    <w:rsid w:val="00922A4B"/>
    <w:rsid w:val="00923492"/>
    <w:rsid w:val="009236F3"/>
    <w:rsid w:val="009241BB"/>
    <w:rsid w:val="009244F7"/>
    <w:rsid w:val="00924C0D"/>
    <w:rsid w:val="00924D94"/>
    <w:rsid w:val="0092501B"/>
    <w:rsid w:val="0092587F"/>
    <w:rsid w:val="00925AA4"/>
    <w:rsid w:val="00926BE1"/>
    <w:rsid w:val="009272C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718"/>
    <w:rsid w:val="00951817"/>
    <w:rsid w:val="00952CCB"/>
    <w:rsid w:val="00953322"/>
    <w:rsid w:val="00953BFE"/>
    <w:rsid w:val="009550BB"/>
    <w:rsid w:val="0095545C"/>
    <w:rsid w:val="00955935"/>
    <w:rsid w:val="00955992"/>
    <w:rsid w:val="00955B26"/>
    <w:rsid w:val="00955B99"/>
    <w:rsid w:val="00956067"/>
    <w:rsid w:val="00956115"/>
    <w:rsid w:val="00956244"/>
    <w:rsid w:val="00956304"/>
    <w:rsid w:val="009566DC"/>
    <w:rsid w:val="00957342"/>
    <w:rsid w:val="009574F2"/>
    <w:rsid w:val="0095757D"/>
    <w:rsid w:val="00957921"/>
    <w:rsid w:val="00957A1E"/>
    <w:rsid w:val="00957A76"/>
    <w:rsid w:val="00957C00"/>
    <w:rsid w:val="00960719"/>
    <w:rsid w:val="00960F89"/>
    <w:rsid w:val="009616B6"/>
    <w:rsid w:val="009619CF"/>
    <w:rsid w:val="00962255"/>
    <w:rsid w:val="00962B2A"/>
    <w:rsid w:val="00963502"/>
    <w:rsid w:val="00963C96"/>
    <w:rsid w:val="009648EF"/>
    <w:rsid w:val="009649FF"/>
    <w:rsid w:val="00965DC9"/>
    <w:rsid w:val="00966B53"/>
    <w:rsid w:val="009700F8"/>
    <w:rsid w:val="00970584"/>
    <w:rsid w:val="00970F04"/>
    <w:rsid w:val="009710FB"/>
    <w:rsid w:val="0097114B"/>
    <w:rsid w:val="00971224"/>
    <w:rsid w:val="00971F36"/>
    <w:rsid w:val="009720C3"/>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122A"/>
    <w:rsid w:val="0098137E"/>
    <w:rsid w:val="009816C8"/>
    <w:rsid w:val="0098173F"/>
    <w:rsid w:val="00981DC5"/>
    <w:rsid w:val="00981FC9"/>
    <w:rsid w:val="00982327"/>
    <w:rsid w:val="009833CB"/>
    <w:rsid w:val="009836FB"/>
    <w:rsid w:val="009837A3"/>
    <w:rsid w:val="00983F27"/>
    <w:rsid w:val="009843E2"/>
    <w:rsid w:val="0098582B"/>
    <w:rsid w:val="009858DA"/>
    <w:rsid w:val="009861EE"/>
    <w:rsid w:val="00987566"/>
    <w:rsid w:val="0098760C"/>
    <w:rsid w:val="0098795A"/>
    <w:rsid w:val="00987F32"/>
    <w:rsid w:val="0099011B"/>
    <w:rsid w:val="009912E2"/>
    <w:rsid w:val="00991536"/>
    <w:rsid w:val="009915AA"/>
    <w:rsid w:val="00991648"/>
    <w:rsid w:val="009918AC"/>
    <w:rsid w:val="0099255B"/>
    <w:rsid w:val="00992A8B"/>
    <w:rsid w:val="00993DAC"/>
    <w:rsid w:val="00995D5C"/>
    <w:rsid w:val="00996373"/>
    <w:rsid w:val="00996A23"/>
    <w:rsid w:val="00997046"/>
    <w:rsid w:val="009973B6"/>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F3F"/>
    <w:rsid w:val="009A6007"/>
    <w:rsid w:val="009A6A00"/>
    <w:rsid w:val="009A6E33"/>
    <w:rsid w:val="009A6F9E"/>
    <w:rsid w:val="009A714A"/>
    <w:rsid w:val="009A7318"/>
    <w:rsid w:val="009A7E2A"/>
    <w:rsid w:val="009B0602"/>
    <w:rsid w:val="009B0987"/>
    <w:rsid w:val="009B0CAB"/>
    <w:rsid w:val="009B121B"/>
    <w:rsid w:val="009B144A"/>
    <w:rsid w:val="009B14F4"/>
    <w:rsid w:val="009B177F"/>
    <w:rsid w:val="009B17DB"/>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F88"/>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545"/>
    <w:rsid w:val="00A309B7"/>
    <w:rsid w:val="00A30B94"/>
    <w:rsid w:val="00A31850"/>
    <w:rsid w:val="00A318DD"/>
    <w:rsid w:val="00A31D0C"/>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328A"/>
    <w:rsid w:val="00AE42F5"/>
    <w:rsid w:val="00AE4721"/>
    <w:rsid w:val="00AE4736"/>
    <w:rsid w:val="00AE4C09"/>
    <w:rsid w:val="00AE541B"/>
    <w:rsid w:val="00AE56D5"/>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1D2"/>
    <w:rsid w:val="00B00325"/>
    <w:rsid w:val="00B00478"/>
    <w:rsid w:val="00B01410"/>
    <w:rsid w:val="00B01BCB"/>
    <w:rsid w:val="00B026D2"/>
    <w:rsid w:val="00B02B12"/>
    <w:rsid w:val="00B02B2E"/>
    <w:rsid w:val="00B02C5B"/>
    <w:rsid w:val="00B02DE3"/>
    <w:rsid w:val="00B037AA"/>
    <w:rsid w:val="00B03A9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6F3"/>
    <w:rsid w:val="00B226FA"/>
    <w:rsid w:val="00B22B7D"/>
    <w:rsid w:val="00B22D7B"/>
    <w:rsid w:val="00B2329D"/>
    <w:rsid w:val="00B2343E"/>
    <w:rsid w:val="00B23822"/>
    <w:rsid w:val="00B23A32"/>
    <w:rsid w:val="00B23A60"/>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70E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4A4"/>
    <w:rsid w:val="00B9752D"/>
    <w:rsid w:val="00B976DB"/>
    <w:rsid w:val="00B979F7"/>
    <w:rsid w:val="00BA00D5"/>
    <w:rsid w:val="00BA01C1"/>
    <w:rsid w:val="00BA0438"/>
    <w:rsid w:val="00BA06FA"/>
    <w:rsid w:val="00BA0A23"/>
    <w:rsid w:val="00BA33A9"/>
    <w:rsid w:val="00BA3460"/>
    <w:rsid w:val="00BA39C2"/>
    <w:rsid w:val="00BA441A"/>
    <w:rsid w:val="00BA49AF"/>
    <w:rsid w:val="00BA4B61"/>
    <w:rsid w:val="00BA5BDA"/>
    <w:rsid w:val="00BA5EB3"/>
    <w:rsid w:val="00BA5F1E"/>
    <w:rsid w:val="00BA6D44"/>
    <w:rsid w:val="00BA6F31"/>
    <w:rsid w:val="00BA7240"/>
    <w:rsid w:val="00BA7782"/>
    <w:rsid w:val="00BB0472"/>
    <w:rsid w:val="00BB134D"/>
    <w:rsid w:val="00BB2A4D"/>
    <w:rsid w:val="00BB2F5F"/>
    <w:rsid w:val="00BB3A0C"/>
    <w:rsid w:val="00BB3D35"/>
    <w:rsid w:val="00BB3D7A"/>
    <w:rsid w:val="00BB3DB6"/>
    <w:rsid w:val="00BB4B53"/>
    <w:rsid w:val="00BB4D5A"/>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8F"/>
    <w:rsid w:val="00BD4DE9"/>
    <w:rsid w:val="00BD513D"/>
    <w:rsid w:val="00BD525F"/>
    <w:rsid w:val="00BD5EDD"/>
    <w:rsid w:val="00BD62A2"/>
    <w:rsid w:val="00BD6A96"/>
    <w:rsid w:val="00BD6BF0"/>
    <w:rsid w:val="00BD74B1"/>
    <w:rsid w:val="00BD76C9"/>
    <w:rsid w:val="00BE0172"/>
    <w:rsid w:val="00BE037A"/>
    <w:rsid w:val="00BE09EF"/>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702A"/>
    <w:rsid w:val="00C076B5"/>
    <w:rsid w:val="00C110FB"/>
    <w:rsid w:val="00C1171A"/>
    <w:rsid w:val="00C1312A"/>
    <w:rsid w:val="00C1340F"/>
    <w:rsid w:val="00C138FD"/>
    <w:rsid w:val="00C13EFE"/>
    <w:rsid w:val="00C143CD"/>
    <w:rsid w:val="00C14B68"/>
    <w:rsid w:val="00C14FA2"/>
    <w:rsid w:val="00C15480"/>
    <w:rsid w:val="00C166E5"/>
    <w:rsid w:val="00C16980"/>
    <w:rsid w:val="00C16A27"/>
    <w:rsid w:val="00C17F02"/>
    <w:rsid w:val="00C204EF"/>
    <w:rsid w:val="00C21013"/>
    <w:rsid w:val="00C21459"/>
    <w:rsid w:val="00C214B9"/>
    <w:rsid w:val="00C234F7"/>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377A8"/>
    <w:rsid w:val="00C40B69"/>
    <w:rsid w:val="00C40C2A"/>
    <w:rsid w:val="00C40E5E"/>
    <w:rsid w:val="00C412AD"/>
    <w:rsid w:val="00C413B0"/>
    <w:rsid w:val="00C418F0"/>
    <w:rsid w:val="00C419F7"/>
    <w:rsid w:val="00C42040"/>
    <w:rsid w:val="00C42448"/>
    <w:rsid w:val="00C4313B"/>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8A9"/>
    <w:rsid w:val="00C54C93"/>
    <w:rsid w:val="00C5509F"/>
    <w:rsid w:val="00C5543B"/>
    <w:rsid w:val="00C55F27"/>
    <w:rsid w:val="00C56B88"/>
    <w:rsid w:val="00C573B1"/>
    <w:rsid w:val="00C57B64"/>
    <w:rsid w:val="00C600EE"/>
    <w:rsid w:val="00C60567"/>
    <w:rsid w:val="00C611F9"/>
    <w:rsid w:val="00C6294C"/>
    <w:rsid w:val="00C62B06"/>
    <w:rsid w:val="00C62DF8"/>
    <w:rsid w:val="00C62E03"/>
    <w:rsid w:val="00C6321D"/>
    <w:rsid w:val="00C64192"/>
    <w:rsid w:val="00C647CB"/>
    <w:rsid w:val="00C64B47"/>
    <w:rsid w:val="00C651FF"/>
    <w:rsid w:val="00C65B99"/>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52A5"/>
    <w:rsid w:val="00C752EB"/>
    <w:rsid w:val="00C75878"/>
    <w:rsid w:val="00C75BD1"/>
    <w:rsid w:val="00C76BBB"/>
    <w:rsid w:val="00C7713E"/>
    <w:rsid w:val="00C77212"/>
    <w:rsid w:val="00C776FE"/>
    <w:rsid w:val="00C779D4"/>
    <w:rsid w:val="00C77B57"/>
    <w:rsid w:val="00C77C0E"/>
    <w:rsid w:val="00C80094"/>
    <w:rsid w:val="00C80125"/>
    <w:rsid w:val="00C809C6"/>
    <w:rsid w:val="00C81430"/>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11A9"/>
    <w:rsid w:val="00C9135D"/>
    <w:rsid w:val="00C914F8"/>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32B5"/>
    <w:rsid w:val="00CA37CC"/>
    <w:rsid w:val="00CA418B"/>
    <w:rsid w:val="00CA42DE"/>
    <w:rsid w:val="00CA52C0"/>
    <w:rsid w:val="00CA5922"/>
    <w:rsid w:val="00CA5C69"/>
    <w:rsid w:val="00CA6C2E"/>
    <w:rsid w:val="00CA7A1E"/>
    <w:rsid w:val="00CB12E9"/>
    <w:rsid w:val="00CB16E0"/>
    <w:rsid w:val="00CB1766"/>
    <w:rsid w:val="00CB1E90"/>
    <w:rsid w:val="00CB1EB4"/>
    <w:rsid w:val="00CB328F"/>
    <w:rsid w:val="00CB3573"/>
    <w:rsid w:val="00CB364D"/>
    <w:rsid w:val="00CB3A38"/>
    <w:rsid w:val="00CB3B1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935"/>
    <w:rsid w:val="00CD6C36"/>
    <w:rsid w:val="00CD7204"/>
    <w:rsid w:val="00CD7CC3"/>
    <w:rsid w:val="00CE0A6E"/>
    <w:rsid w:val="00CE113C"/>
    <w:rsid w:val="00CE1E9C"/>
    <w:rsid w:val="00CE1F89"/>
    <w:rsid w:val="00CE1F94"/>
    <w:rsid w:val="00CE2C20"/>
    <w:rsid w:val="00CE2CC9"/>
    <w:rsid w:val="00CE42F4"/>
    <w:rsid w:val="00CE47E8"/>
    <w:rsid w:val="00CE4C9B"/>
    <w:rsid w:val="00CE6109"/>
    <w:rsid w:val="00CE6260"/>
    <w:rsid w:val="00CE62A5"/>
    <w:rsid w:val="00CE633C"/>
    <w:rsid w:val="00CE6C1C"/>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AA3"/>
    <w:rsid w:val="00CF732A"/>
    <w:rsid w:val="00D00533"/>
    <w:rsid w:val="00D00540"/>
    <w:rsid w:val="00D0083A"/>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EF2"/>
    <w:rsid w:val="00D07131"/>
    <w:rsid w:val="00D07526"/>
    <w:rsid w:val="00D07E3B"/>
    <w:rsid w:val="00D10705"/>
    <w:rsid w:val="00D11276"/>
    <w:rsid w:val="00D1233D"/>
    <w:rsid w:val="00D123CF"/>
    <w:rsid w:val="00D127DF"/>
    <w:rsid w:val="00D1308F"/>
    <w:rsid w:val="00D13678"/>
    <w:rsid w:val="00D1460D"/>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14B"/>
    <w:rsid w:val="00D25A76"/>
    <w:rsid w:val="00D2692A"/>
    <w:rsid w:val="00D2722D"/>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7282"/>
    <w:rsid w:val="00D4779F"/>
    <w:rsid w:val="00D47829"/>
    <w:rsid w:val="00D47B29"/>
    <w:rsid w:val="00D47E7C"/>
    <w:rsid w:val="00D47EF5"/>
    <w:rsid w:val="00D50AD1"/>
    <w:rsid w:val="00D517BD"/>
    <w:rsid w:val="00D542A9"/>
    <w:rsid w:val="00D54305"/>
    <w:rsid w:val="00D5443B"/>
    <w:rsid w:val="00D54789"/>
    <w:rsid w:val="00D54F6A"/>
    <w:rsid w:val="00D5501F"/>
    <w:rsid w:val="00D55807"/>
    <w:rsid w:val="00D56540"/>
    <w:rsid w:val="00D56BA3"/>
    <w:rsid w:val="00D56D40"/>
    <w:rsid w:val="00D56D87"/>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E1C"/>
    <w:rsid w:val="00D6421D"/>
    <w:rsid w:val="00D645E0"/>
    <w:rsid w:val="00D65124"/>
    <w:rsid w:val="00D65231"/>
    <w:rsid w:val="00D65507"/>
    <w:rsid w:val="00D656B6"/>
    <w:rsid w:val="00D6599A"/>
    <w:rsid w:val="00D65B73"/>
    <w:rsid w:val="00D660C7"/>
    <w:rsid w:val="00D66534"/>
    <w:rsid w:val="00D66977"/>
    <w:rsid w:val="00D669A4"/>
    <w:rsid w:val="00D66E91"/>
    <w:rsid w:val="00D66EFA"/>
    <w:rsid w:val="00D675FE"/>
    <w:rsid w:val="00D679B1"/>
    <w:rsid w:val="00D67C8A"/>
    <w:rsid w:val="00D704A2"/>
    <w:rsid w:val="00D70835"/>
    <w:rsid w:val="00D709B7"/>
    <w:rsid w:val="00D71211"/>
    <w:rsid w:val="00D7143F"/>
    <w:rsid w:val="00D72409"/>
    <w:rsid w:val="00D72A0C"/>
    <w:rsid w:val="00D72AD0"/>
    <w:rsid w:val="00D72F4D"/>
    <w:rsid w:val="00D73033"/>
    <w:rsid w:val="00D73621"/>
    <w:rsid w:val="00D73785"/>
    <w:rsid w:val="00D74162"/>
    <w:rsid w:val="00D74745"/>
    <w:rsid w:val="00D74857"/>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C1A"/>
    <w:rsid w:val="00D928A3"/>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5BA5"/>
    <w:rsid w:val="00DA5E1F"/>
    <w:rsid w:val="00DA6D82"/>
    <w:rsid w:val="00DA70A5"/>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124A"/>
    <w:rsid w:val="00DC1BD9"/>
    <w:rsid w:val="00DC1FC3"/>
    <w:rsid w:val="00DC2393"/>
    <w:rsid w:val="00DC23B0"/>
    <w:rsid w:val="00DC246B"/>
    <w:rsid w:val="00DC2998"/>
    <w:rsid w:val="00DC2AD7"/>
    <w:rsid w:val="00DC2CDA"/>
    <w:rsid w:val="00DC54DF"/>
    <w:rsid w:val="00DC5A4C"/>
    <w:rsid w:val="00DC68D3"/>
    <w:rsid w:val="00DC6EBF"/>
    <w:rsid w:val="00DD0581"/>
    <w:rsid w:val="00DD085F"/>
    <w:rsid w:val="00DD1761"/>
    <w:rsid w:val="00DD19C3"/>
    <w:rsid w:val="00DD273A"/>
    <w:rsid w:val="00DD3483"/>
    <w:rsid w:val="00DD40A3"/>
    <w:rsid w:val="00DD4C6C"/>
    <w:rsid w:val="00DD4D17"/>
    <w:rsid w:val="00DD5846"/>
    <w:rsid w:val="00DD620A"/>
    <w:rsid w:val="00DD6AAC"/>
    <w:rsid w:val="00DD6F71"/>
    <w:rsid w:val="00DD7392"/>
    <w:rsid w:val="00DD7C97"/>
    <w:rsid w:val="00DE0462"/>
    <w:rsid w:val="00DE10A6"/>
    <w:rsid w:val="00DE11D6"/>
    <w:rsid w:val="00DE1AEE"/>
    <w:rsid w:val="00DE2212"/>
    <w:rsid w:val="00DE2457"/>
    <w:rsid w:val="00DE2796"/>
    <w:rsid w:val="00DE2C8D"/>
    <w:rsid w:val="00DE36B6"/>
    <w:rsid w:val="00DE4021"/>
    <w:rsid w:val="00DE4278"/>
    <w:rsid w:val="00DE5E69"/>
    <w:rsid w:val="00DE610C"/>
    <w:rsid w:val="00DE6776"/>
    <w:rsid w:val="00DE6C81"/>
    <w:rsid w:val="00DE7B73"/>
    <w:rsid w:val="00DE7CEB"/>
    <w:rsid w:val="00DE7F13"/>
    <w:rsid w:val="00DF06C4"/>
    <w:rsid w:val="00DF090E"/>
    <w:rsid w:val="00DF0C8E"/>
    <w:rsid w:val="00DF0E4D"/>
    <w:rsid w:val="00DF1212"/>
    <w:rsid w:val="00DF12DD"/>
    <w:rsid w:val="00DF16E3"/>
    <w:rsid w:val="00DF1A38"/>
    <w:rsid w:val="00DF1CAA"/>
    <w:rsid w:val="00DF234C"/>
    <w:rsid w:val="00DF2530"/>
    <w:rsid w:val="00DF2C09"/>
    <w:rsid w:val="00DF3A31"/>
    <w:rsid w:val="00DF3DDB"/>
    <w:rsid w:val="00DF563C"/>
    <w:rsid w:val="00DF5D6C"/>
    <w:rsid w:val="00DF631D"/>
    <w:rsid w:val="00DF6C1A"/>
    <w:rsid w:val="00DF6C2D"/>
    <w:rsid w:val="00DF6D88"/>
    <w:rsid w:val="00DF74F4"/>
    <w:rsid w:val="00DF752A"/>
    <w:rsid w:val="00E00415"/>
    <w:rsid w:val="00E010DC"/>
    <w:rsid w:val="00E01D4D"/>
    <w:rsid w:val="00E028C1"/>
    <w:rsid w:val="00E02941"/>
    <w:rsid w:val="00E03081"/>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A9"/>
    <w:rsid w:val="00E135F9"/>
    <w:rsid w:val="00E13649"/>
    <w:rsid w:val="00E136F7"/>
    <w:rsid w:val="00E13771"/>
    <w:rsid w:val="00E140FF"/>
    <w:rsid w:val="00E14AED"/>
    <w:rsid w:val="00E14D31"/>
    <w:rsid w:val="00E150E0"/>
    <w:rsid w:val="00E155F6"/>
    <w:rsid w:val="00E167A2"/>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73"/>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37C4"/>
    <w:rsid w:val="00E337E8"/>
    <w:rsid w:val="00E33990"/>
    <w:rsid w:val="00E339C0"/>
    <w:rsid w:val="00E33A8F"/>
    <w:rsid w:val="00E33EC0"/>
    <w:rsid w:val="00E3427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FB"/>
    <w:rsid w:val="00E419BD"/>
    <w:rsid w:val="00E41F06"/>
    <w:rsid w:val="00E422DC"/>
    <w:rsid w:val="00E42314"/>
    <w:rsid w:val="00E42827"/>
    <w:rsid w:val="00E42B30"/>
    <w:rsid w:val="00E42DA2"/>
    <w:rsid w:val="00E447FE"/>
    <w:rsid w:val="00E44CAD"/>
    <w:rsid w:val="00E4596A"/>
    <w:rsid w:val="00E45E6B"/>
    <w:rsid w:val="00E465FE"/>
    <w:rsid w:val="00E46B19"/>
    <w:rsid w:val="00E476B7"/>
    <w:rsid w:val="00E47A35"/>
    <w:rsid w:val="00E47A7A"/>
    <w:rsid w:val="00E50167"/>
    <w:rsid w:val="00E5097C"/>
    <w:rsid w:val="00E513DE"/>
    <w:rsid w:val="00E51879"/>
    <w:rsid w:val="00E51DDA"/>
    <w:rsid w:val="00E52A08"/>
    <w:rsid w:val="00E5361B"/>
    <w:rsid w:val="00E5366E"/>
    <w:rsid w:val="00E54925"/>
    <w:rsid w:val="00E5566F"/>
    <w:rsid w:val="00E57188"/>
    <w:rsid w:val="00E604A4"/>
    <w:rsid w:val="00E609FD"/>
    <w:rsid w:val="00E61C4E"/>
    <w:rsid w:val="00E62147"/>
    <w:rsid w:val="00E629E6"/>
    <w:rsid w:val="00E62F93"/>
    <w:rsid w:val="00E631DE"/>
    <w:rsid w:val="00E633BE"/>
    <w:rsid w:val="00E635C2"/>
    <w:rsid w:val="00E6371C"/>
    <w:rsid w:val="00E63872"/>
    <w:rsid w:val="00E63C6C"/>
    <w:rsid w:val="00E63F87"/>
    <w:rsid w:val="00E6527E"/>
    <w:rsid w:val="00E65A41"/>
    <w:rsid w:val="00E665CB"/>
    <w:rsid w:val="00E70C65"/>
    <w:rsid w:val="00E710C9"/>
    <w:rsid w:val="00E71666"/>
    <w:rsid w:val="00E71676"/>
    <w:rsid w:val="00E71C69"/>
    <w:rsid w:val="00E724E4"/>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41D8"/>
    <w:rsid w:val="00E84E02"/>
    <w:rsid w:val="00E850A8"/>
    <w:rsid w:val="00E85588"/>
    <w:rsid w:val="00E858D9"/>
    <w:rsid w:val="00E85DC1"/>
    <w:rsid w:val="00E862F4"/>
    <w:rsid w:val="00E8666E"/>
    <w:rsid w:val="00E86D33"/>
    <w:rsid w:val="00E9032B"/>
    <w:rsid w:val="00E90393"/>
    <w:rsid w:val="00E90B5E"/>
    <w:rsid w:val="00E91579"/>
    <w:rsid w:val="00E91640"/>
    <w:rsid w:val="00E92BD9"/>
    <w:rsid w:val="00E92DE1"/>
    <w:rsid w:val="00E936A7"/>
    <w:rsid w:val="00E93717"/>
    <w:rsid w:val="00E94339"/>
    <w:rsid w:val="00E944FD"/>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224E"/>
    <w:rsid w:val="00EA3FF6"/>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C091F"/>
    <w:rsid w:val="00EC0E72"/>
    <w:rsid w:val="00EC2028"/>
    <w:rsid w:val="00EC2317"/>
    <w:rsid w:val="00EC25BA"/>
    <w:rsid w:val="00EC2990"/>
    <w:rsid w:val="00EC2A4D"/>
    <w:rsid w:val="00EC3301"/>
    <w:rsid w:val="00EC340D"/>
    <w:rsid w:val="00EC348F"/>
    <w:rsid w:val="00EC376C"/>
    <w:rsid w:val="00EC3CE7"/>
    <w:rsid w:val="00EC43F0"/>
    <w:rsid w:val="00EC4BBD"/>
    <w:rsid w:val="00EC4EC1"/>
    <w:rsid w:val="00EC4FBB"/>
    <w:rsid w:val="00EC51BE"/>
    <w:rsid w:val="00EC6001"/>
    <w:rsid w:val="00EC61E5"/>
    <w:rsid w:val="00EC63BD"/>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CE3"/>
    <w:rsid w:val="00F04655"/>
    <w:rsid w:val="00F04707"/>
    <w:rsid w:val="00F04ACD"/>
    <w:rsid w:val="00F04D5B"/>
    <w:rsid w:val="00F0536F"/>
    <w:rsid w:val="00F0539D"/>
    <w:rsid w:val="00F0571B"/>
    <w:rsid w:val="00F062AE"/>
    <w:rsid w:val="00F0635E"/>
    <w:rsid w:val="00F071CC"/>
    <w:rsid w:val="00F076E3"/>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F6D"/>
    <w:rsid w:val="00F24087"/>
    <w:rsid w:val="00F24334"/>
    <w:rsid w:val="00F243AE"/>
    <w:rsid w:val="00F24A5E"/>
    <w:rsid w:val="00F250A9"/>
    <w:rsid w:val="00F265F6"/>
    <w:rsid w:val="00F26653"/>
    <w:rsid w:val="00F27291"/>
    <w:rsid w:val="00F2770C"/>
    <w:rsid w:val="00F3016B"/>
    <w:rsid w:val="00F30CB6"/>
    <w:rsid w:val="00F31113"/>
    <w:rsid w:val="00F311A3"/>
    <w:rsid w:val="00F314C0"/>
    <w:rsid w:val="00F314D3"/>
    <w:rsid w:val="00F31D20"/>
    <w:rsid w:val="00F31E5C"/>
    <w:rsid w:val="00F31EE7"/>
    <w:rsid w:val="00F32084"/>
    <w:rsid w:val="00F32457"/>
    <w:rsid w:val="00F32541"/>
    <w:rsid w:val="00F3254D"/>
    <w:rsid w:val="00F32569"/>
    <w:rsid w:val="00F32D1C"/>
    <w:rsid w:val="00F33889"/>
    <w:rsid w:val="00F33B34"/>
    <w:rsid w:val="00F347C0"/>
    <w:rsid w:val="00F351D3"/>
    <w:rsid w:val="00F357FA"/>
    <w:rsid w:val="00F35C22"/>
    <w:rsid w:val="00F364B2"/>
    <w:rsid w:val="00F377FB"/>
    <w:rsid w:val="00F37FE3"/>
    <w:rsid w:val="00F40306"/>
    <w:rsid w:val="00F40663"/>
    <w:rsid w:val="00F41337"/>
    <w:rsid w:val="00F4140B"/>
    <w:rsid w:val="00F41940"/>
    <w:rsid w:val="00F43AF6"/>
    <w:rsid w:val="00F43E13"/>
    <w:rsid w:val="00F44405"/>
    <w:rsid w:val="00F44796"/>
    <w:rsid w:val="00F44C14"/>
    <w:rsid w:val="00F44D8E"/>
    <w:rsid w:val="00F461AD"/>
    <w:rsid w:val="00F46255"/>
    <w:rsid w:val="00F478ED"/>
    <w:rsid w:val="00F47DC5"/>
    <w:rsid w:val="00F505DA"/>
    <w:rsid w:val="00F50665"/>
    <w:rsid w:val="00F50A23"/>
    <w:rsid w:val="00F50E9F"/>
    <w:rsid w:val="00F51174"/>
    <w:rsid w:val="00F518F3"/>
    <w:rsid w:val="00F5367B"/>
    <w:rsid w:val="00F539D9"/>
    <w:rsid w:val="00F53B3B"/>
    <w:rsid w:val="00F542AC"/>
    <w:rsid w:val="00F54B12"/>
    <w:rsid w:val="00F55403"/>
    <w:rsid w:val="00F55934"/>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A04"/>
    <w:rsid w:val="00F73ECA"/>
    <w:rsid w:val="00F743A3"/>
    <w:rsid w:val="00F74A72"/>
    <w:rsid w:val="00F74DE7"/>
    <w:rsid w:val="00F74E5A"/>
    <w:rsid w:val="00F751B6"/>
    <w:rsid w:val="00F76A83"/>
    <w:rsid w:val="00F774C8"/>
    <w:rsid w:val="00F802C8"/>
    <w:rsid w:val="00F813B4"/>
    <w:rsid w:val="00F81D96"/>
    <w:rsid w:val="00F826E7"/>
    <w:rsid w:val="00F827AA"/>
    <w:rsid w:val="00F82C6C"/>
    <w:rsid w:val="00F83978"/>
    <w:rsid w:val="00F83ED3"/>
    <w:rsid w:val="00F83FE2"/>
    <w:rsid w:val="00F840B9"/>
    <w:rsid w:val="00F857B4"/>
    <w:rsid w:val="00F85C14"/>
    <w:rsid w:val="00F85C44"/>
    <w:rsid w:val="00F85F4D"/>
    <w:rsid w:val="00F86002"/>
    <w:rsid w:val="00F86371"/>
    <w:rsid w:val="00F86648"/>
    <w:rsid w:val="00F86C88"/>
    <w:rsid w:val="00F86D13"/>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CF3"/>
    <w:rsid w:val="00F972B0"/>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695"/>
    <w:rsid w:val="00FB66D9"/>
    <w:rsid w:val="00FB74E5"/>
    <w:rsid w:val="00FC05C1"/>
    <w:rsid w:val="00FC0D59"/>
    <w:rsid w:val="00FC1673"/>
    <w:rsid w:val="00FC1A3D"/>
    <w:rsid w:val="00FC1A5C"/>
    <w:rsid w:val="00FC1C53"/>
    <w:rsid w:val="00FC1D2A"/>
    <w:rsid w:val="00FC2B88"/>
    <w:rsid w:val="00FC2D03"/>
    <w:rsid w:val="00FC2D4C"/>
    <w:rsid w:val="00FC39EA"/>
    <w:rsid w:val="00FC469C"/>
    <w:rsid w:val="00FC4943"/>
    <w:rsid w:val="00FC49E0"/>
    <w:rsid w:val="00FC4AA6"/>
    <w:rsid w:val="00FC559A"/>
    <w:rsid w:val="00FC56B8"/>
    <w:rsid w:val="00FC5CFE"/>
    <w:rsid w:val="00FC60B8"/>
    <w:rsid w:val="00FC6DE6"/>
    <w:rsid w:val="00FC6E48"/>
    <w:rsid w:val="00FD0A9D"/>
    <w:rsid w:val="00FD0A9E"/>
    <w:rsid w:val="00FD0F14"/>
    <w:rsid w:val="00FD15AF"/>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A47"/>
    <w:rsid w:val="00FE1D5C"/>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DA9"/>
    <w:rsid w:val="00FF10F1"/>
    <w:rsid w:val="00FF2986"/>
    <w:rsid w:val="00FF2F3F"/>
    <w:rsid w:val="00FF3A63"/>
    <w:rsid w:val="00FF4902"/>
    <w:rsid w:val="00FF524A"/>
    <w:rsid w:val="00FF524F"/>
    <w:rsid w:val="00FF58A5"/>
    <w:rsid w:val="00FF58F3"/>
    <w:rsid w:val="00FF5AA4"/>
    <w:rsid w:val="00FF6251"/>
    <w:rsid w:val="00FF6A5E"/>
    <w:rsid w:val="00FF7151"/>
    <w:rsid w:val="00FF7523"/>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1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136" TargetMode="External"/><Relationship Id="rId18" Type="http://schemas.openxmlformats.org/officeDocument/2006/relationships/hyperlink" Target="https://www.canlii.org/en/on/onsc/doc/2017/2017onsc6020/2017onsc6020.html?resultIndex=1" TargetMode="External"/><Relationship Id="rId26" Type="http://schemas.openxmlformats.org/officeDocument/2006/relationships/hyperlink" Target="https://www.canlii.org/en/bc/bcsc/doc/2019/2019bcsc1417/2019bcsc1417.html?autocompleteStr=2019%20BCSC%201417&amp;autocompletePos=1" TargetMode="External"/><Relationship Id="rId39" Type="http://schemas.openxmlformats.org/officeDocument/2006/relationships/hyperlink" Target="https://www.canlii.org/en/bc/bcca/doc/2020/2020bcca82/2020bcca82.html?searchUrlHash=AAAAAQAIQ2FwZXdlbGwAAAAAAQ&amp;resultIndex=1" TargetMode="External"/><Relationship Id="rId3" Type="http://schemas.openxmlformats.org/officeDocument/2006/relationships/styles" Target="styles.xml"/><Relationship Id="rId21" Type="http://schemas.openxmlformats.org/officeDocument/2006/relationships/hyperlink" Target="https://www.canlii.org/en/yk/ykca/doc/2020/2020ykca4/2020ykca4.html?autocompleteStr=2020%20ykca%204&amp;autocompletePos=1" TargetMode="External"/><Relationship Id="rId34" Type="http://schemas.openxmlformats.org/officeDocument/2006/relationships/hyperlink" Target="https://www.canlii.org/fr/qc/qccs/doc/2019/2019qccs5766/2019qccs5766.pdf" TargetMode="External"/><Relationship Id="rId42" Type="http://schemas.openxmlformats.org/officeDocument/2006/relationships/hyperlink" Target="https://www.canlii.org/en/nb/nbqb/doc/2019/2019nbqb36/2019nbqb36.html"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159" TargetMode="External"/><Relationship Id="rId17" Type="http://schemas.openxmlformats.org/officeDocument/2006/relationships/hyperlink" Target="https://www.canlii.org/en/on/onca/doc/2020/2020onca18/2020onca18.html?resultIndex=1" TargetMode="External"/><Relationship Id="rId25" Type="http://schemas.openxmlformats.org/officeDocument/2006/relationships/hyperlink" Target="https://www.canlii.org/en/bc/bcca/doc/2020/2020bcca106/2020bcca106.html" TargetMode="External"/><Relationship Id="rId33" Type="http://schemas.openxmlformats.org/officeDocument/2006/relationships/hyperlink" Target="https://www.canlii.org/en/bc/bcca/doc/2019/2019bcca193/2019bcca193.html?resultIndex=1" TargetMode="External"/><Relationship Id="rId38" Type="http://schemas.openxmlformats.org/officeDocument/2006/relationships/hyperlink" Target="https://www.canlii.org/en/bc/bcca/doc/2020/2020bcca82/2020bcca82.html?searchUrlHash=AAAAAQAIQ2FwZXdlbGwAAAAAAQ&amp;resultIndex=1"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anlii.org/en/on/onsc/doc/2017/2017onsc6020/2017onsc6020.html?resultIndex=1" TargetMode="External"/><Relationship Id="rId20" Type="http://schemas.openxmlformats.org/officeDocument/2006/relationships/hyperlink" Target="https://www.canlii.org/en/yk/yksc/doc/2019/2019yksc10/2019yksc10.html" TargetMode="External"/><Relationship Id="rId29" Type="http://schemas.openxmlformats.org/officeDocument/2006/relationships/hyperlink" Target="https://www.canlii.org/en/nl/nlca/doc/2020/2020nlca3/2020nlca3.html?autocompleteStr=2020%20NLCA%203&amp;autocompletePos=1" TargetMode="External"/><Relationship Id="rId41" Type="http://schemas.openxmlformats.org/officeDocument/2006/relationships/hyperlink" Target="https://www.canlii.org/en/nb/nbca/doc/2020/2020nbca18/2020nbca18.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22" TargetMode="External"/><Relationship Id="rId24" Type="http://schemas.openxmlformats.org/officeDocument/2006/relationships/hyperlink" Target="https://www.canlii.org/en/bc/bcsc/doc/2019/2019bcsc1417/2019bcsc1417.html?autocompleteStr=2019%20BCSC%201417&amp;autocompletePos=1" TargetMode="External"/><Relationship Id="rId32" Type="http://schemas.openxmlformats.org/officeDocument/2006/relationships/hyperlink" Target="https://www.canlii.org/en/bc/bcca/doc/2019/2019bcca193/2019bcca193.html?resultIndex=1" TargetMode="External"/><Relationship Id="rId37" Type="http://schemas.openxmlformats.org/officeDocument/2006/relationships/hyperlink" Target="https://www.canlii.org/fr/qc/qcca/doc/2019/2019qcca2193/2019qcca2193.pdf" TargetMode="External"/><Relationship Id="rId40" Type="http://schemas.openxmlformats.org/officeDocument/2006/relationships/hyperlink" Target="https://www.canlii.org/en/nb/nbqb/doc/2019/2019nbqb36/2019nbqb36.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cc-csc.ca/case-dossier/info/sum-som-eng.aspx?cas=39182" TargetMode="External"/><Relationship Id="rId23" Type="http://schemas.openxmlformats.org/officeDocument/2006/relationships/hyperlink" Target="https://www.canlii.org/en/yk/ykca/doc/2020/2020ykca4/2020ykca4.html?autocompleteStr=2020%20ykca%204&amp;autocompletePos=1" TargetMode="External"/><Relationship Id="rId28" Type="http://schemas.openxmlformats.org/officeDocument/2006/relationships/hyperlink" Target="https://www.canlii.org/en/nl/nlsc/doc/2018/2018nlsc177/2018nlsc177.html" TargetMode="External"/><Relationship Id="rId36" Type="http://schemas.openxmlformats.org/officeDocument/2006/relationships/hyperlink" Target="https://www.canlii.org/fr/qc/qccs/doc/2019/2019qccs5766/2019qccs5766.pdf" TargetMode="External"/><Relationship Id="rId49" Type="http://schemas.openxmlformats.org/officeDocument/2006/relationships/header" Target="header3.xml"/><Relationship Id="rId10" Type="http://schemas.openxmlformats.org/officeDocument/2006/relationships/hyperlink" Target="https://www.scc-csc.ca/case-dossier/info/sum-som-eng.aspx?cas=39203" TargetMode="External"/><Relationship Id="rId19" Type="http://schemas.openxmlformats.org/officeDocument/2006/relationships/hyperlink" Target="https://www.canlii.org/en/on/onca/doc/2020/2020onca18/2020onca18.html?resultIndex=1" TargetMode="External"/><Relationship Id="rId31" Type="http://schemas.openxmlformats.org/officeDocument/2006/relationships/hyperlink" Target="https://www.canlii.org/en/nl/nlca/doc/2020/2020nlca3/2020nlca3.html?autocompleteStr=2020%20NLCA%203&amp;autocompletePos=1" TargetMode="External"/><Relationship Id="rId44" Type="http://schemas.openxmlformats.org/officeDocument/2006/relationships/hyperlink" Target="mailto:comments-commentaires@scc-csc.ca"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c-csc.ca/case-dossier/info/sum-som-eng.aspx?cas=39125" TargetMode="External"/><Relationship Id="rId14" Type="http://schemas.openxmlformats.org/officeDocument/2006/relationships/hyperlink" Target="https://www.scc-csc.ca/case-dossier/info/sum-som-eng.aspx?cas=39161" TargetMode="External"/><Relationship Id="rId22" Type="http://schemas.openxmlformats.org/officeDocument/2006/relationships/hyperlink" Target="https://www.canlii.org/en/yk/yksc/doc/2019/2019yksc10/2019yksc10.html" TargetMode="External"/><Relationship Id="rId27" Type="http://schemas.openxmlformats.org/officeDocument/2006/relationships/hyperlink" Target="https://www.canlii.org/en/bc/bcca/doc/2020/2020bcca106/2020bcca106.html" TargetMode="External"/><Relationship Id="rId30" Type="http://schemas.openxmlformats.org/officeDocument/2006/relationships/hyperlink" Target="https://www.canlii.org/en/nl/nlsc/doc/2018/2018nlsc177/2018nlsc177.html" TargetMode="External"/><Relationship Id="rId35" Type="http://schemas.openxmlformats.org/officeDocument/2006/relationships/hyperlink" Target="https://www.canlii.org/fr/qc/qcca/doc/2019/2019qcca2193/2019qcca2193.pdf" TargetMode="External"/><Relationship Id="rId43" Type="http://schemas.openxmlformats.org/officeDocument/2006/relationships/hyperlink" Target="https://www.canlii.org/en/nb/nbca/doc/2020/2020nbca18/2020nbca18.html" TargetMode="External"/><Relationship Id="rId48" Type="http://schemas.openxmlformats.org/officeDocument/2006/relationships/footer" Target="footer2.xml"/><Relationship Id="rId8" Type="http://schemas.openxmlformats.org/officeDocument/2006/relationships/hyperlink" Target="https://www.scc-csc.ca/case-dossier/info/sum-som-eng.aspx?cas=39127"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CC63E-0CF4-4061-BEDE-30D3B251B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6767</Words>
  <Characters>38577</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45254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2020-08-17T16:37:00Z</dcterms:modified>
</cp:coreProperties>
</file>