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62C0D" w:rsidRDefault="000E391F" w:rsidP="000E391F">
      <w:pPr>
        <w:pStyle w:val="Header"/>
        <w:jc w:val="center"/>
        <w:rPr>
          <w:b/>
          <w:sz w:val="32"/>
        </w:rPr>
      </w:pPr>
      <w:r w:rsidRPr="00462C0D">
        <w:rPr>
          <w:b/>
          <w:sz w:val="32"/>
        </w:rPr>
        <w:t>Supreme Court of Canada / Cour suprême du Canada</w:t>
      </w:r>
    </w:p>
    <w:p w:rsidR="000E391F" w:rsidRPr="00462C0D" w:rsidRDefault="000E391F" w:rsidP="000E391F">
      <w:pPr>
        <w:widowControl w:val="0"/>
      </w:pPr>
    </w:p>
    <w:p w:rsidR="000E391F" w:rsidRPr="00462C0D" w:rsidRDefault="000E391F" w:rsidP="000E391F">
      <w:pPr>
        <w:widowControl w:val="0"/>
        <w:rPr>
          <w:i/>
        </w:rPr>
      </w:pPr>
    </w:p>
    <w:p w:rsidR="006F2579" w:rsidRPr="00462C0D" w:rsidRDefault="006F2579" w:rsidP="006F2579">
      <w:pPr>
        <w:widowControl w:val="0"/>
        <w:rPr>
          <w:i/>
          <w:sz w:val="20"/>
        </w:rPr>
      </w:pPr>
      <w:r w:rsidRPr="00462C0D">
        <w:rPr>
          <w:i/>
          <w:sz w:val="20"/>
        </w:rPr>
        <w:t>(</w:t>
      </w:r>
      <w:r w:rsidR="003240B6" w:rsidRPr="00462C0D">
        <w:rPr>
          <w:i/>
          <w:sz w:val="20"/>
        </w:rPr>
        <w:t>L</w:t>
      </w:r>
      <w:r w:rsidRPr="00462C0D">
        <w:rPr>
          <w:i/>
          <w:sz w:val="20"/>
        </w:rPr>
        <w:t>e français suit)</w:t>
      </w:r>
    </w:p>
    <w:p w:rsidR="006F2579" w:rsidRPr="00462C0D" w:rsidRDefault="006F2579" w:rsidP="006F2579">
      <w:pPr>
        <w:widowControl w:val="0"/>
      </w:pPr>
    </w:p>
    <w:p w:rsidR="006F2579" w:rsidRPr="00462C0D" w:rsidRDefault="00B07908" w:rsidP="006F2579">
      <w:pPr>
        <w:widowControl w:val="0"/>
        <w:jc w:val="center"/>
        <w:rPr>
          <w:b/>
        </w:rPr>
      </w:pPr>
      <w:r w:rsidRPr="00462C0D">
        <w:fldChar w:fldCharType="begin"/>
      </w:r>
      <w:r w:rsidR="006F2579" w:rsidRPr="00462C0D">
        <w:instrText xml:space="preserve"> SEQ CHAPTER \h \r 1</w:instrText>
      </w:r>
      <w:r w:rsidRPr="00462C0D">
        <w:fldChar w:fldCharType="end"/>
      </w:r>
      <w:r w:rsidR="006F2579" w:rsidRPr="00462C0D">
        <w:rPr>
          <w:b/>
        </w:rPr>
        <w:t>JUDGMENT</w:t>
      </w:r>
      <w:r w:rsidR="00B17AAC" w:rsidRPr="00462C0D">
        <w:rPr>
          <w:b/>
        </w:rPr>
        <w:t>S</w:t>
      </w:r>
      <w:r w:rsidR="006F2579" w:rsidRPr="00462C0D">
        <w:rPr>
          <w:b/>
        </w:rPr>
        <w:t xml:space="preserve"> TO B</w:t>
      </w:r>
      <w:r w:rsidR="00001846" w:rsidRPr="00462C0D">
        <w:rPr>
          <w:b/>
        </w:rPr>
        <w:t>E RENDERED IN LE</w:t>
      </w:r>
      <w:r w:rsidR="00A0288A" w:rsidRPr="00462C0D">
        <w:rPr>
          <w:b/>
        </w:rPr>
        <w:t>A</w:t>
      </w:r>
      <w:r w:rsidR="00001846" w:rsidRPr="00462C0D">
        <w:rPr>
          <w:b/>
        </w:rPr>
        <w:t>VE APPLICATION</w:t>
      </w:r>
      <w:r w:rsidR="00511288" w:rsidRPr="00462C0D">
        <w:rPr>
          <w:b/>
        </w:rPr>
        <w:t>S</w:t>
      </w:r>
    </w:p>
    <w:p w:rsidR="006F2579" w:rsidRPr="00462C0D" w:rsidRDefault="006F2579" w:rsidP="006F2579">
      <w:pPr>
        <w:widowControl w:val="0"/>
      </w:pPr>
    </w:p>
    <w:p w:rsidR="006F2579" w:rsidRPr="00462C0D" w:rsidRDefault="00427C25" w:rsidP="006F2579">
      <w:pPr>
        <w:widowControl w:val="0"/>
      </w:pPr>
      <w:r w:rsidRPr="00462C0D">
        <w:rPr>
          <w:b/>
        </w:rPr>
        <w:t>August</w:t>
      </w:r>
      <w:r w:rsidR="00A15B66" w:rsidRPr="00462C0D">
        <w:rPr>
          <w:b/>
        </w:rPr>
        <w:t xml:space="preserve"> </w:t>
      </w:r>
      <w:r w:rsidR="00804501" w:rsidRPr="00462C0D">
        <w:rPr>
          <w:b/>
        </w:rPr>
        <w:t>31</w:t>
      </w:r>
      <w:r w:rsidR="004441C7" w:rsidRPr="00462C0D">
        <w:rPr>
          <w:b/>
        </w:rPr>
        <w:t>,</w:t>
      </w:r>
      <w:r w:rsidR="006F2579" w:rsidRPr="00462C0D">
        <w:rPr>
          <w:b/>
        </w:rPr>
        <w:t xml:space="preserve"> </w:t>
      </w:r>
      <w:r w:rsidR="0054689F" w:rsidRPr="00462C0D">
        <w:rPr>
          <w:b/>
        </w:rPr>
        <w:t>20</w:t>
      </w:r>
      <w:r w:rsidR="00526754" w:rsidRPr="00462C0D">
        <w:rPr>
          <w:b/>
        </w:rPr>
        <w:t>20</w:t>
      </w:r>
    </w:p>
    <w:p w:rsidR="006F2579" w:rsidRPr="00462C0D" w:rsidRDefault="00674F39" w:rsidP="006F2579">
      <w:pPr>
        <w:widowControl w:val="0"/>
        <w:rPr>
          <w:b/>
        </w:rPr>
      </w:pPr>
      <w:r w:rsidRPr="00462C0D">
        <w:rPr>
          <w:b/>
        </w:rPr>
        <w:t>For immediate release</w:t>
      </w:r>
    </w:p>
    <w:p w:rsidR="006F2579" w:rsidRPr="00462C0D" w:rsidRDefault="006F2579" w:rsidP="006F2579">
      <w:pPr>
        <w:widowControl w:val="0"/>
      </w:pPr>
    </w:p>
    <w:p w:rsidR="006F2579" w:rsidRPr="00462C0D" w:rsidRDefault="006F2579" w:rsidP="006F2579">
      <w:pPr>
        <w:widowControl w:val="0"/>
        <w:rPr>
          <w:lang w:val="fr-CA"/>
        </w:rPr>
      </w:pPr>
      <w:r w:rsidRPr="00462C0D">
        <w:rPr>
          <w:b/>
        </w:rPr>
        <w:t>OTTAWA</w:t>
      </w:r>
      <w:r w:rsidRPr="00462C0D">
        <w:t xml:space="preserve"> – The Supreme Court of Canad</w:t>
      </w:r>
      <w:r w:rsidR="006246E4" w:rsidRPr="00462C0D">
        <w:t>a</w:t>
      </w:r>
      <w:r w:rsidRPr="00462C0D">
        <w:t xml:space="preserve"> announced today that judgment in the following </w:t>
      </w:r>
      <w:r w:rsidR="00DB6199" w:rsidRPr="00462C0D">
        <w:t xml:space="preserve">leave applications </w:t>
      </w:r>
      <w:r w:rsidRPr="00462C0D">
        <w:t xml:space="preserve">will be delivered at 9:45 a.m. </w:t>
      </w:r>
      <w:r w:rsidR="00E05816" w:rsidRPr="00462C0D">
        <w:t>E</w:t>
      </w:r>
      <w:r w:rsidR="00273FF3" w:rsidRPr="00462C0D">
        <w:t>D</w:t>
      </w:r>
      <w:r w:rsidR="00E05816" w:rsidRPr="00462C0D">
        <w:t>T</w:t>
      </w:r>
      <w:r w:rsidRPr="00462C0D">
        <w:t xml:space="preserve"> on Thursday, </w:t>
      </w:r>
      <w:r w:rsidR="00804501" w:rsidRPr="00462C0D">
        <w:t>September</w:t>
      </w:r>
      <w:r w:rsidR="00455912" w:rsidRPr="00462C0D">
        <w:t xml:space="preserve"> </w:t>
      </w:r>
      <w:r w:rsidR="00804501" w:rsidRPr="00462C0D">
        <w:t>3</w:t>
      </w:r>
      <w:r w:rsidR="007E112F" w:rsidRPr="00462C0D">
        <w:t>,</w:t>
      </w:r>
      <w:r w:rsidR="002F38D7" w:rsidRPr="00462C0D">
        <w:t xml:space="preserve"> </w:t>
      </w:r>
      <w:r w:rsidR="006648D1" w:rsidRPr="00462C0D">
        <w:t>20</w:t>
      </w:r>
      <w:r w:rsidR="00526754" w:rsidRPr="00462C0D">
        <w:t>20</w:t>
      </w:r>
      <w:r w:rsidRPr="00462C0D">
        <w:t xml:space="preserve">. </w:t>
      </w:r>
      <w:r w:rsidRPr="00462C0D">
        <w:rPr>
          <w:lang w:val="fr-CA"/>
        </w:rPr>
        <w:t>This list is subject to chang</w:t>
      </w:r>
      <w:r w:rsidR="00192F7F" w:rsidRPr="00462C0D">
        <w:rPr>
          <w:lang w:val="fr-CA"/>
        </w:rPr>
        <w:t>e</w:t>
      </w:r>
      <w:r w:rsidRPr="00462C0D">
        <w:rPr>
          <w:lang w:val="fr-CA"/>
        </w:rPr>
        <w:t>.</w:t>
      </w:r>
    </w:p>
    <w:p w:rsidR="00FF5AA4" w:rsidRPr="00462C0D" w:rsidRDefault="00FF5AA4" w:rsidP="006F2579">
      <w:pPr>
        <w:widowControl w:val="0"/>
        <w:rPr>
          <w:lang w:val="fr-CA"/>
        </w:rPr>
      </w:pPr>
    </w:p>
    <w:p w:rsidR="00B43418" w:rsidRPr="00462C0D" w:rsidRDefault="00B43418" w:rsidP="006F2579">
      <w:pPr>
        <w:widowControl w:val="0"/>
        <w:rPr>
          <w:lang w:val="fr-CA"/>
        </w:rPr>
      </w:pPr>
    </w:p>
    <w:p w:rsidR="006F2579" w:rsidRPr="00462C0D" w:rsidRDefault="006F2579" w:rsidP="006F2579">
      <w:pPr>
        <w:widowControl w:val="0"/>
        <w:jc w:val="center"/>
        <w:rPr>
          <w:lang w:val="fr-CA"/>
        </w:rPr>
      </w:pPr>
      <w:r w:rsidRPr="00462C0D">
        <w:rPr>
          <w:b/>
          <w:lang w:val="fr-CA"/>
        </w:rPr>
        <w:t>PROCHAIN</w:t>
      </w:r>
      <w:r w:rsidR="00B17AAC" w:rsidRPr="00462C0D">
        <w:rPr>
          <w:b/>
          <w:lang w:val="fr-CA"/>
        </w:rPr>
        <w:t>S</w:t>
      </w:r>
      <w:r w:rsidRPr="00462C0D">
        <w:rPr>
          <w:b/>
          <w:lang w:val="fr-CA"/>
        </w:rPr>
        <w:t xml:space="preserve"> JUGEMENT</w:t>
      </w:r>
      <w:r w:rsidR="00B17AAC" w:rsidRPr="00462C0D">
        <w:rPr>
          <w:b/>
          <w:lang w:val="fr-CA"/>
        </w:rPr>
        <w:t>S</w:t>
      </w:r>
      <w:r w:rsidR="00001846" w:rsidRPr="00462C0D">
        <w:rPr>
          <w:b/>
          <w:lang w:val="fr-CA"/>
        </w:rPr>
        <w:t xml:space="preserve"> SUR DEMANDE</w:t>
      </w:r>
      <w:r w:rsidR="00B17AAC" w:rsidRPr="00462C0D">
        <w:rPr>
          <w:b/>
          <w:lang w:val="fr-CA"/>
        </w:rPr>
        <w:t>S</w:t>
      </w:r>
      <w:r w:rsidRPr="00462C0D">
        <w:rPr>
          <w:b/>
          <w:lang w:val="fr-CA"/>
        </w:rPr>
        <w:t xml:space="preserve"> D’AUTORISATION</w:t>
      </w:r>
    </w:p>
    <w:p w:rsidR="006F2579" w:rsidRPr="00462C0D" w:rsidRDefault="006F2579" w:rsidP="006F2579">
      <w:pPr>
        <w:widowControl w:val="0"/>
        <w:rPr>
          <w:lang w:val="fr-CA"/>
        </w:rPr>
      </w:pPr>
    </w:p>
    <w:p w:rsidR="006F2579" w:rsidRPr="00462C0D" w:rsidRDefault="006F2579" w:rsidP="006F2579">
      <w:pPr>
        <w:widowControl w:val="0"/>
        <w:rPr>
          <w:lang w:val="fr-CA"/>
        </w:rPr>
      </w:pPr>
      <w:r w:rsidRPr="00462C0D">
        <w:rPr>
          <w:b/>
          <w:lang w:val="fr-CA"/>
        </w:rPr>
        <w:t>Le</w:t>
      </w:r>
      <w:r w:rsidR="00957A76" w:rsidRPr="00462C0D">
        <w:rPr>
          <w:b/>
          <w:lang w:val="fr-CA"/>
        </w:rPr>
        <w:t xml:space="preserve"> </w:t>
      </w:r>
      <w:r w:rsidR="00804501" w:rsidRPr="00462C0D">
        <w:rPr>
          <w:b/>
          <w:lang w:val="fr-CA"/>
        </w:rPr>
        <w:t>31</w:t>
      </w:r>
      <w:r w:rsidR="007A72CA" w:rsidRPr="00462C0D">
        <w:rPr>
          <w:b/>
          <w:lang w:val="fr-CA"/>
        </w:rPr>
        <w:t xml:space="preserve"> </w:t>
      </w:r>
      <w:r w:rsidR="00427C25" w:rsidRPr="00462C0D">
        <w:rPr>
          <w:b/>
          <w:lang w:val="fr-CA"/>
        </w:rPr>
        <w:t>août</w:t>
      </w:r>
      <w:r w:rsidR="00A151D1" w:rsidRPr="00462C0D">
        <w:rPr>
          <w:b/>
          <w:lang w:val="fr-CA"/>
        </w:rPr>
        <w:t xml:space="preserve"> 20</w:t>
      </w:r>
      <w:r w:rsidR="00526754" w:rsidRPr="00462C0D">
        <w:rPr>
          <w:b/>
          <w:lang w:val="fr-CA"/>
        </w:rPr>
        <w:t>20</w:t>
      </w:r>
    </w:p>
    <w:p w:rsidR="006F2579" w:rsidRPr="00462C0D" w:rsidRDefault="006F2579" w:rsidP="006F2579">
      <w:pPr>
        <w:widowControl w:val="0"/>
        <w:rPr>
          <w:b/>
          <w:lang w:val="fr-CA"/>
        </w:rPr>
      </w:pPr>
      <w:r w:rsidRPr="00462C0D">
        <w:rPr>
          <w:b/>
          <w:lang w:val="fr-CA"/>
        </w:rPr>
        <w:t>Pour diffusion immédiate</w:t>
      </w:r>
    </w:p>
    <w:p w:rsidR="006F2579" w:rsidRPr="00462C0D" w:rsidRDefault="006F2579" w:rsidP="006F2579">
      <w:pPr>
        <w:widowControl w:val="0"/>
        <w:rPr>
          <w:lang w:val="fr-CA"/>
        </w:rPr>
      </w:pPr>
    </w:p>
    <w:p w:rsidR="006F2579" w:rsidRPr="00462C0D" w:rsidRDefault="006F2579" w:rsidP="006F2579">
      <w:pPr>
        <w:widowControl w:val="0"/>
        <w:rPr>
          <w:lang w:val="fr-CA"/>
        </w:rPr>
      </w:pPr>
      <w:r w:rsidRPr="00462C0D">
        <w:rPr>
          <w:b/>
          <w:lang w:val="fr-CA"/>
        </w:rPr>
        <w:t>OTTAWA</w:t>
      </w:r>
      <w:r w:rsidRPr="00462C0D">
        <w:rPr>
          <w:lang w:val="fr-CA"/>
        </w:rPr>
        <w:t xml:space="preserve"> – La Cour suprême du Canada annonce que jugement ser</w:t>
      </w:r>
      <w:r w:rsidR="004259F9" w:rsidRPr="00462C0D">
        <w:rPr>
          <w:lang w:val="fr-CA"/>
        </w:rPr>
        <w:t>a</w:t>
      </w:r>
      <w:r w:rsidRPr="00462C0D">
        <w:rPr>
          <w:lang w:val="fr-CA"/>
        </w:rPr>
        <w:t xml:space="preserve"> rendu dans l</w:t>
      </w:r>
      <w:r w:rsidR="008600ED" w:rsidRPr="00462C0D">
        <w:rPr>
          <w:lang w:val="fr-CA"/>
        </w:rPr>
        <w:t>es</w:t>
      </w:r>
      <w:r w:rsidRPr="00462C0D">
        <w:rPr>
          <w:lang w:val="fr-CA"/>
        </w:rPr>
        <w:t xml:space="preserve"> demande</w:t>
      </w:r>
      <w:r w:rsidR="008600ED" w:rsidRPr="00462C0D">
        <w:rPr>
          <w:lang w:val="fr-CA"/>
        </w:rPr>
        <w:t>s</w:t>
      </w:r>
      <w:r w:rsidRPr="00462C0D">
        <w:rPr>
          <w:lang w:val="fr-CA"/>
        </w:rPr>
        <w:t xml:space="preserve"> d</w:t>
      </w:r>
      <w:r w:rsidR="00001846" w:rsidRPr="00462C0D">
        <w:rPr>
          <w:lang w:val="fr-CA"/>
        </w:rPr>
        <w:t>’autorisation suivante</w:t>
      </w:r>
      <w:r w:rsidR="008600ED" w:rsidRPr="00462C0D">
        <w:rPr>
          <w:lang w:val="fr-CA"/>
        </w:rPr>
        <w:t>s</w:t>
      </w:r>
      <w:r w:rsidRPr="00462C0D">
        <w:rPr>
          <w:lang w:val="fr-CA"/>
        </w:rPr>
        <w:t xml:space="preserve"> le jeudi </w:t>
      </w:r>
      <w:r w:rsidR="00804501" w:rsidRPr="00462C0D">
        <w:rPr>
          <w:lang w:val="fr-CA"/>
        </w:rPr>
        <w:t>3</w:t>
      </w:r>
      <w:r w:rsidR="00780317" w:rsidRPr="00462C0D">
        <w:rPr>
          <w:lang w:val="fr-CA"/>
        </w:rPr>
        <w:t xml:space="preserve"> </w:t>
      </w:r>
      <w:r w:rsidR="00804501" w:rsidRPr="00462C0D">
        <w:rPr>
          <w:lang w:val="fr-CA"/>
        </w:rPr>
        <w:t>septembre</w:t>
      </w:r>
      <w:r w:rsidR="00694391" w:rsidRPr="00462C0D">
        <w:rPr>
          <w:lang w:val="fr-CA"/>
        </w:rPr>
        <w:t xml:space="preserve"> 2</w:t>
      </w:r>
      <w:r w:rsidR="006648D1" w:rsidRPr="00462C0D">
        <w:rPr>
          <w:lang w:val="fr-CA"/>
        </w:rPr>
        <w:t>0</w:t>
      </w:r>
      <w:r w:rsidR="00526754" w:rsidRPr="00462C0D">
        <w:rPr>
          <w:lang w:val="fr-CA"/>
        </w:rPr>
        <w:t>20</w:t>
      </w:r>
      <w:r w:rsidRPr="00462C0D">
        <w:rPr>
          <w:lang w:val="fr-CA"/>
        </w:rPr>
        <w:t xml:space="preserve">, à 9 h 45 </w:t>
      </w:r>
      <w:r w:rsidR="000627A2" w:rsidRPr="00462C0D">
        <w:rPr>
          <w:lang w:val="fr-CA"/>
        </w:rPr>
        <w:t>H</w:t>
      </w:r>
      <w:r w:rsidR="00273FF3" w:rsidRPr="00462C0D">
        <w:rPr>
          <w:lang w:val="fr-CA"/>
        </w:rPr>
        <w:t>A</w:t>
      </w:r>
      <w:r w:rsidRPr="00462C0D">
        <w:rPr>
          <w:lang w:val="fr-CA"/>
        </w:rPr>
        <w:t>E. Cette liste est sujette à modifications.</w:t>
      </w:r>
    </w:p>
    <w:p w:rsidR="0080556B" w:rsidRPr="00462C0D" w:rsidRDefault="0080556B" w:rsidP="009B14F4">
      <w:pPr>
        <w:widowControl w:val="0"/>
        <w:jc w:val="both"/>
        <w:rPr>
          <w:sz w:val="20"/>
          <w:lang w:val="fr-CA"/>
        </w:rPr>
      </w:pPr>
    </w:p>
    <w:p w:rsidR="00867C61" w:rsidRPr="00462C0D" w:rsidRDefault="00462C0D" w:rsidP="009B14F4">
      <w:pPr>
        <w:widowControl w:val="0"/>
        <w:jc w:val="both"/>
        <w:rPr>
          <w:sz w:val="20"/>
        </w:rPr>
      </w:pPr>
      <w:r w:rsidRPr="00462C0D">
        <w:rPr>
          <w:sz w:val="20"/>
        </w:rPr>
        <w:pict>
          <v:rect id="_x0000_i1038" style="width:2in;height:1pt" o:hrpct="0" o:hralign="center" o:hrstd="t" o:hrnoshade="t" o:hr="t" fillcolor="black [3213]" stroked="f"/>
        </w:pict>
      </w:r>
    </w:p>
    <w:p w:rsidR="006738C1" w:rsidRPr="00462C0D" w:rsidRDefault="006738C1" w:rsidP="009B14F4">
      <w:pPr>
        <w:widowControl w:val="0"/>
        <w:jc w:val="both"/>
        <w:rPr>
          <w:sz w:val="20"/>
          <w:lang w:val="fr-CA"/>
        </w:rPr>
      </w:pPr>
    </w:p>
    <w:p w:rsidR="008157B3" w:rsidRPr="00462C0D" w:rsidRDefault="008157B3" w:rsidP="008157B3">
      <w:pPr>
        <w:pStyle w:val="ListParagraph"/>
        <w:numPr>
          <w:ilvl w:val="0"/>
          <w:numId w:val="20"/>
        </w:numPr>
        <w:ind w:left="357" w:hanging="357"/>
        <w:rPr>
          <w:rFonts w:eastAsiaTheme="minorHAnsi" w:cstheme="minorBidi"/>
          <w:sz w:val="20"/>
          <w:lang w:val="fr-CA"/>
        </w:rPr>
      </w:pPr>
      <w:r w:rsidRPr="00462C0D">
        <w:rPr>
          <w:rFonts w:eastAsiaTheme="minorHAnsi" w:cstheme="minorBidi"/>
          <w:i/>
          <w:sz w:val="20"/>
          <w:lang w:val="fr-CA"/>
        </w:rPr>
        <w:t>Agence du revenu du Québec c. B.T. Céramiques inc., et al.</w:t>
      </w:r>
      <w:r w:rsidRPr="00462C0D">
        <w:rPr>
          <w:rFonts w:eastAsiaTheme="minorHAnsi" w:cstheme="minorBidi"/>
          <w:sz w:val="20"/>
          <w:lang w:val="fr-CA"/>
        </w:rPr>
        <w:t xml:space="preserve"> (Qc) (Civile) (Autorisation) </w:t>
      </w:r>
      <w:r w:rsidRPr="00462C0D">
        <w:rPr>
          <w:sz w:val="20"/>
          <w:szCs w:val="20"/>
        </w:rPr>
        <w:t>(</w:t>
      </w:r>
      <w:hyperlink r:id="rId8" w:history="1">
        <w:r w:rsidRPr="00462C0D">
          <w:rPr>
            <w:rStyle w:val="Hyperlink"/>
            <w:sz w:val="20"/>
            <w:szCs w:val="20"/>
          </w:rPr>
          <w:t>39177</w:t>
        </w:r>
      </w:hyperlink>
      <w:r w:rsidRPr="00462C0D">
        <w:rPr>
          <w:sz w:val="20"/>
          <w:szCs w:val="20"/>
        </w:rPr>
        <w:t>)</w:t>
      </w:r>
    </w:p>
    <w:p w:rsidR="00804501" w:rsidRPr="00462C0D" w:rsidRDefault="00804501" w:rsidP="008157B3">
      <w:pPr>
        <w:widowControl w:val="0"/>
        <w:ind w:left="357" w:hanging="357"/>
        <w:rPr>
          <w:sz w:val="20"/>
          <w:lang w:val="fr-CA"/>
        </w:rPr>
      </w:pPr>
    </w:p>
    <w:p w:rsidR="008157B3" w:rsidRPr="00462C0D" w:rsidRDefault="008157B3" w:rsidP="008157B3">
      <w:pPr>
        <w:pStyle w:val="ListParagraph"/>
        <w:numPr>
          <w:ilvl w:val="0"/>
          <w:numId w:val="20"/>
        </w:numPr>
        <w:ind w:left="357" w:hanging="357"/>
        <w:rPr>
          <w:sz w:val="20"/>
          <w:lang w:val="fr-CA"/>
        </w:rPr>
      </w:pPr>
      <w:r w:rsidRPr="00462C0D">
        <w:rPr>
          <w:i/>
          <w:sz w:val="20"/>
          <w:lang w:val="fr-CA"/>
        </w:rPr>
        <w:t>Denis Lefebvre c. Sa Majesté la Reine</w:t>
      </w:r>
      <w:r w:rsidRPr="00462C0D">
        <w:rPr>
          <w:sz w:val="20"/>
          <w:lang w:val="fr-CA"/>
        </w:rPr>
        <w:t xml:space="preserve"> (Qc) (Criminelle) (Autorisation) </w:t>
      </w:r>
      <w:r w:rsidRPr="00462C0D">
        <w:rPr>
          <w:sz w:val="20"/>
          <w:szCs w:val="20"/>
          <w:lang w:val="fr-CA"/>
        </w:rPr>
        <w:t>(</w:t>
      </w:r>
      <w:hyperlink r:id="rId9" w:history="1">
        <w:r w:rsidRPr="00462C0D">
          <w:rPr>
            <w:rStyle w:val="Hyperlink"/>
            <w:sz w:val="20"/>
            <w:szCs w:val="20"/>
            <w:lang w:val="fr-CA"/>
          </w:rPr>
          <w:t>39</w:t>
        </w:r>
        <w:r w:rsidR="00095A2E" w:rsidRPr="00462C0D">
          <w:rPr>
            <w:rStyle w:val="Hyperlink"/>
            <w:sz w:val="20"/>
            <w:szCs w:val="20"/>
            <w:lang w:val="fr-CA"/>
          </w:rPr>
          <w:t>181</w:t>
        </w:r>
      </w:hyperlink>
      <w:r w:rsidRPr="00462C0D">
        <w:rPr>
          <w:sz w:val="20"/>
          <w:szCs w:val="20"/>
          <w:lang w:val="fr-CA"/>
        </w:rPr>
        <w:t>)</w:t>
      </w:r>
    </w:p>
    <w:p w:rsidR="00804501" w:rsidRPr="00462C0D" w:rsidRDefault="00804501" w:rsidP="008157B3">
      <w:pPr>
        <w:widowControl w:val="0"/>
        <w:ind w:left="357" w:hanging="357"/>
        <w:rPr>
          <w:sz w:val="20"/>
          <w:lang w:val="fr-CA"/>
        </w:rPr>
      </w:pPr>
    </w:p>
    <w:p w:rsidR="008157B3" w:rsidRPr="00462C0D" w:rsidRDefault="008157B3" w:rsidP="008157B3">
      <w:pPr>
        <w:pStyle w:val="ListParagraph"/>
        <w:numPr>
          <w:ilvl w:val="0"/>
          <w:numId w:val="20"/>
        </w:numPr>
        <w:ind w:left="357" w:hanging="357"/>
        <w:rPr>
          <w:rFonts w:eastAsia="Calibri"/>
          <w:sz w:val="20"/>
          <w:lang w:val="en-CA"/>
        </w:rPr>
      </w:pPr>
      <w:r w:rsidRPr="00462C0D">
        <w:rPr>
          <w:rFonts w:eastAsia="Calibri"/>
          <w:i/>
          <w:sz w:val="20"/>
          <w:lang w:val="en-CA"/>
        </w:rPr>
        <w:t>Her Majesty the Queen v. Adam Joseph Drake</w:t>
      </w:r>
      <w:r w:rsidRPr="00462C0D">
        <w:rPr>
          <w:rFonts w:eastAsia="Calibri"/>
          <w:sz w:val="20"/>
          <w:lang w:val="en-CA"/>
        </w:rPr>
        <w:t xml:space="preserve"> (N.S.) (Criminal) (By Leave) </w:t>
      </w:r>
      <w:r w:rsidRPr="00462C0D">
        <w:rPr>
          <w:sz w:val="20"/>
          <w:szCs w:val="20"/>
        </w:rPr>
        <w:t>(</w:t>
      </w:r>
      <w:hyperlink r:id="rId10" w:history="1">
        <w:r w:rsidRPr="00462C0D">
          <w:rPr>
            <w:rStyle w:val="Hyperlink"/>
            <w:sz w:val="20"/>
            <w:szCs w:val="20"/>
          </w:rPr>
          <w:t>39</w:t>
        </w:r>
        <w:r w:rsidR="0047103A" w:rsidRPr="00462C0D">
          <w:rPr>
            <w:rStyle w:val="Hyperlink"/>
            <w:sz w:val="20"/>
            <w:szCs w:val="20"/>
          </w:rPr>
          <w:t>15</w:t>
        </w:r>
        <w:r w:rsidRPr="00462C0D">
          <w:rPr>
            <w:rStyle w:val="Hyperlink"/>
            <w:sz w:val="20"/>
            <w:szCs w:val="20"/>
          </w:rPr>
          <w:t>4</w:t>
        </w:r>
      </w:hyperlink>
      <w:r w:rsidRPr="00462C0D">
        <w:rPr>
          <w:sz w:val="20"/>
          <w:szCs w:val="20"/>
        </w:rPr>
        <w:t>)</w:t>
      </w:r>
    </w:p>
    <w:p w:rsidR="00804501" w:rsidRPr="00462C0D" w:rsidRDefault="00804501" w:rsidP="009B14F4">
      <w:pPr>
        <w:widowControl w:val="0"/>
        <w:jc w:val="both"/>
        <w:rPr>
          <w:sz w:val="20"/>
        </w:rPr>
      </w:pPr>
    </w:p>
    <w:p w:rsidR="0057402C" w:rsidRPr="00462C0D" w:rsidRDefault="00462C0D" w:rsidP="009B14F4">
      <w:pPr>
        <w:widowControl w:val="0"/>
        <w:jc w:val="both"/>
        <w:rPr>
          <w:sz w:val="20"/>
        </w:rPr>
      </w:pPr>
      <w:r w:rsidRPr="00462C0D">
        <w:rPr>
          <w:sz w:val="20"/>
        </w:rPr>
        <w:pict>
          <v:rect id="_x0000_i1026" style="width:2in;height:1pt" o:hrpct="0" o:hralign="center" o:hrstd="t" o:hrnoshade="t" o:hr="t" fillcolor="black [3213]" stroked="f"/>
        </w:pict>
      </w:r>
    </w:p>
    <w:p w:rsidR="0057402C" w:rsidRPr="00462C0D" w:rsidRDefault="0057402C" w:rsidP="00B352DD">
      <w:pPr>
        <w:widowControl w:val="0"/>
        <w:jc w:val="both"/>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139F7" w:rsidRPr="00462C0D" w:rsidTr="00BA7DAA">
        <w:tc>
          <w:tcPr>
            <w:tcW w:w="543" w:type="pct"/>
            <w:hideMark/>
          </w:tcPr>
          <w:p w:rsidR="005139F7" w:rsidRPr="00462C0D" w:rsidRDefault="005139F7" w:rsidP="005139F7">
            <w:pPr>
              <w:spacing w:line="276" w:lineRule="auto"/>
              <w:jc w:val="both"/>
              <w:rPr>
                <w:sz w:val="20"/>
                <w:lang w:val="en-CA"/>
              </w:rPr>
            </w:pPr>
            <w:r w:rsidRPr="00462C0D">
              <w:rPr>
                <w:rStyle w:val="SCCFileNumberChar"/>
                <w:sz w:val="20"/>
                <w:szCs w:val="20"/>
              </w:rPr>
              <w:t>39177</w:t>
            </w:r>
          </w:p>
        </w:tc>
        <w:tc>
          <w:tcPr>
            <w:tcW w:w="4457" w:type="pct"/>
            <w:gridSpan w:val="3"/>
            <w:hideMark/>
          </w:tcPr>
          <w:p w:rsidR="005139F7" w:rsidRPr="00462C0D" w:rsidRDefault="005139F7" w:rsidP="005139F7">
            <w:pPr>
              <w:pStyle w:val="SCCLsocParty"/>
              <w:jc w:val="both"/>
              <w:rPr>
                <w:b/>
                <w:sz w:val="20"/>
                <w:szCs w:val="20"/>
              </w:rPr>
            </w:pPr>
            <w:r w:rsidRPr="00462C0D">
              <w:rPr>
                <w:b/>
                <w:sz w:val="20"/>
                <w:szCs w:val="20"/>
              </w:rPr>
              <w:t>Agence du revenu du Québec v. B.T. Céramiques inc., Entretien Torelli inc., Francesco Bruno, Rodolfo Palmerino, Alfredo Magalhaes, Gisella Palmerino</w:t>
            </w:r>
          </w:p>
          <w:p w:rsidR="005139F7" w:rsidRPr="00462C0D" w:rsidRDefault="005139F7" w:rsidP="005139F7">
            <w:pPr>
              <w:jc w:val="both"/>
              <w:rPr>
                <w:sz w:val="20"/>
                <w:lang w:val="en-CA"/>
              </w:rPr>
            </w:pPr>
            <w:r w:rsidRPr="00462C0D">
              <w:rPr>
                <w:sz w:val="20"/>
                <w:lang w:val="en-CA"/>
              </w:rPr>
              <w:t>(Que.) (Civil) (By Leave)</w:t>
            </w:r>
          </w:p>
        </w:tc>
      </w:tr>
      <w:tr w:rsidR="005139F7" w:rsidRPr="00462C0D" w:rsidTr="00BA7DAA">
        <w:tc>
          <w:tcPr>
            <w:tcW w:w="5000" w:type="pct"/>
            <w:gridSpan w:val="4"/>
          </w:tcPr>
          <w:p w:rsidR="005139F7" w:rsidRPr="00462C0D" w:rsidRDefault="005139F7" w:rsidP="005139F7">
            <w:pPr>
              <w:jc w:val="both"/>
              <w:rPr>
                <w:sz w:val="20"/>
                <w:lang w:val="en-CA"/>
              </w:rPr>
            </w:pPr>
            <w:proofErr w:type="gramStart"/>
            <w:r w:rsidRPr="00462C0D">
              <w:rPr>
                <w:sz w:val="20"/>
                <w:lang w:val="en-CA"/>
              </w:rPr>
              <w:t xml:space="preserve">Charter of Rights — Search and seizure — Remedy — Whether Court of Appeal erred in law by intervening in correct conclusions of Superior Court on application of legal rules laid down by Supreme Court of Canada in </w:t>
            </w:r>
            <w:r w:rsidRPr="00462C0D">
              <w:rPr>
                <w:i/>
                <w:sz w:val="20"/>
                <w:lang w:val="en-CA"/>
              </w:rPr>
              <w:t>R. v. Araujo</w:t>
            </w:r>
            <w:r w:rsidRPr="00462C0D">
              <w:rPr>
                <w:sz w:val="20"/>
                <w:lang w:val="en-CA"/>
              </w:rPr>
              <w:t xml:space="preserve">, 2000 SCC 65, and </w:t>
            </w:r>
            <w:r w:rsidRPr="00462C0D">
              <w:rPr>
                <w:i/>
                <w:sz w:val="20"/>
                <w:lang w:val="en-CA"/>
              </w:rPr>
              <w:t>R. v. Morelli</w:t>
            </w:r>
            <w:r w:rsidRPr="00462C0D">
              <w:rPr>
                <w:sz w:val="20"/>
                <w:lang w:val="en-CA"/>
              </w:rPr>
              <w:t xml:space="preserve">, 2010 SCC 8, in relation to failure by trial judge to review remainder of reasonable grounds, as amplified, that supported informations in support of search warrants of Agence du revenu du Québec, which failure resulted in verdicts of acquittal being entered without consideration of whole of evidence — Whether Quebec Court of Appeal erred in law by applying rule of automatic exclusion of evidence in criminal law without conducting analysis under s. 24(2) of </w:t>
            </w:r>
            <w:r w:rsidRPr="00462C0D">
              <w:rPr>
                <w:i/>
                <w:sz w:val="20"/>
                <w:lang w:val="en-CA"/>
              </w:rPr>
              <w:t>Canadian Charter of Rights and Freedoms, Constitution Act, 1982, being Schedule B to the Canada Act 1982 (U.K.)</w:t>
            </w:r>
            <w:r w:rsidRPr="00462C0D">
              <w:rPr>
                <w:sz w:val="20"/>
                <w:lang w:val="en-CA"/>
              </w:rPr>
              <w:t>, 1982, c. 11 — Whether Quebec Court of Appeal erred in law by endorsing indivisibility of various government agencies and organizations in applying concept that government entity must be responsible for violations of</w:t>
            </w:r>
            <w:r w:rsidRPr="00462C0D">
              <w:rPr>
                <w:i/>
                <w:sz w:val="20"/>
                <w:lang w:val="en-CA"/>
              </w:rPr>
              <w:t xml:space="preserve"> Canadian Charter of Rights and Freedoms, Constitution Act, 1982, being Schedule B to the Canada Act 1982 (U.K.)</w:t>
            </w:r>
            <w:r w:rsidRPr="00462C0D">
              <w:rPr>
                <w:sz w:val="20"/>
                <w:lang w:val="en-CA"/>
              </w:rPr>
              <w:t>, 1982, c. 11, by any other government entity despite itself having used lawful means and not having committed violation.</w:t>
            </w:r>
            <w:proofErr w:type="gramEnd"/>
          </w:p>
        </w:tc>
      </w:tr>
      <w:tr w:rsidR="005139F7" w:rsidRPr="00462C0D" w:rsidTr="00BA7DAA">
        <w:tc>
          <w:tcPr>
            <w:tcW w:w="5000" w:type="pct"/>
            <w:gridSpan w:val="4"/>
          </w:tcPr>
          <w:p w:rsidR="005139F7" w:rsidRPr="00462C0D" w:rsidRDefault="005139F7" w:rsidP="005139F7">
            <w:pPr>
              <w:spacing w:line="276" w:lineRule="auto"/>
              <w:jc w:val="both"/>
              <w:rPr>
                <w:sz w:val="20"/>
                <w:lang w:val="en-CA"/>
              </w:rPr>
            </w:pPr>
          </w:p>
        </w:tc>
      </w:tr>
      <w:tr w:rsidR="005139F7" w:rsidRPr="00462C0D" w:rsidTr="00BA7DAA">
        <w:tc>
          <w:tcPr>
            <w:tcW w:w="5000" w:type="pct"/>
            <w:gridSpan w:val="4"/>
          </w:tcPr>
          <w:p w:rsidR="005139F7" w:rsidRPr="00462C0D" w:rsidRDefault="005139F7" w:rsidP="005139F7">
            <w:pPr>
              <w:jc w:val="both"/>
              <w:rPr>
                <w:sz w:val="20"/>
                <w:lang w:val="en-CA"/>
              </w:rPr>
            </w:pPr>
            <w:r w:rsidRPr="00462C0D">
              <w:rPr>
                <w:sz w:val="20"/>
                <w:lang w:val="en-CA"/>
              </w:rPr>
              <w:t xml:space="preserve">The respondents B.T. Céramiques et al. </w:t>
            </w:r>
            <w:proofErr w:type="gramStart"/>
            <w:r w:rsidRPr="00462C0D">
              <w:rPr>
                <w:sz w:val="20"/>
                <w:lang w:val="en-CA"/>
              </w:rPr>
              <w:t>were tried</w:t>
            </w:r>
            <w:proofErr w:type="gramEnd"/>
            <w:r w:rsidRPr="00462C0D">
              <w:rPr>
                <w:sz w:val="20"/>
                <w:lang w:val="en-CA"/>
              </w:rPr>
              <w:t xml:space="preserve"> in the Court of Québec for alleged offences. They answered by denouncing the conduct of the Canada Revenue Agency [CRA], which, they alleged, had gathered evidence by misusing its tax audit powers to conduct a criminal investigation without their knowledge. The CRA had used that </w:t>
            </w:r>
            <w:r w:rsidRPr="00462C0D">
              <w:rPr>
                <w:sz w:val="20"/>
                <w:lang w:val="en-CA"/>
              </w:rPr>
              <w:lastRenderedPageBreak/>
              <w:t xml:space="preserve">evidence to obtain search warrants and orders. The applicant, the Agence du revenu du Québec [ARQ], had obtained judicial authorizations to in turn seize evidence from offices of the CRA. B.T. Céramiques et al. sought to have that evidence excluded. The Court of Québec ordered that the evidence </w:t>
            </w:r>
            <w:proofErr w:type="gramStart"/>
            <w:r w:rsidRPr="00462C0D">
              <w:rPr>
                <w:sz w:val="20"/>
                <w:lang w:val="en-CA"/>
              </w:rPr>
              <w:t>be excluded</w:t>
            </w:r>
            <w:proofErr w:type="gramEnd"/>
            <w:r w:rsidRPr="00462C0D">
              <w:rPr>
                <w:sz w:val="20"/>
                <w:lang w:val="en-CA"/>
              </w:rPr>
              <w:t xml:space="preserve">. It considered that the predominant purpose of the CRA’s audit had been to establish penal liability and that the rights of B.T. Céramiques et al. </w:t>
            </w:r>
            <w:proofErr w:type="gramStart"/>
            <w:r w:rsidRPr="00462C0D">
              <w:rPr>
                <w:sz w:val="20"/>
                <w:lang w:val="en-CA"/>
              </w:rPr>
              <w:t>had been violated</w:t>
            </w:r>
            <w:proofErr w:type="gramEnd"/>
            <w:r w:rsidRPr="00462C0D">
              <w:rPr>
                <w:sz w:val="20"/>
                <w:lang w:val="en-CA"/>
              </w:rPr>
              <w:t xml:space="preserve">. The Superior Court allowed the appeal and rejected the exclusion of the evidence. It concluded that the Court of Québec had erred in several ways, including in its review of the ARQ’s conduct, which </w:t>
            </w:r>
            <w:proofErr w:type="gramStart"/>
            <w:r w:rsidRPr="00462C0D">
              <w:rPr>
                <w:sz w:val="20"/>
                <w:lang w:val="en-CA"/>
              </w:rPr>
              <w:t>should not have been equated</w:t>
            </w:r>
            <w:proofErr w:type="gramEnd"/>
            <w:r w:rsidRPr="00462C0D">
              <w:rPr>
                <w:sz w:val="20"/>
                <w:lang w:val="en-CA"/>
              </w:rPr>
              <w:t xml:space="preserve"> with that of the CRA. The Court of Appeal unanimously allowed the appeal. In its view, the Superior Court </w:t>
            </w:r>
            <w:proofErr w:type="gramStart"/>
            <w:r w:rsidRPr="00462C0D">
              <w:rPr>
                <w:sz w:val="20"/>
                <w:lang w:val="en-CA"/>
              </w:rPr>
              <w:t>had, among other things, ascribed</w:t>
            </w:r>
            <w:proofErr w:type="gramEnd"/>
            <w:r w:rsidRPr="00462C0D">
              <w:rPr>
                <w:sz w:val="20"/>
                <w:lang w:val="en-CA"/>
              </w:rPr>
              <w:t xml:space="preserve"> errors to the trial judge that were not in fact errors, and that it was therefore not open to the Superior Court to substitute its own assessment of the evidence for that of the trial judge.</w:t>
            </w:r>
          </w:p>
          <w:p w:rsidR="005139F7" w:rsidRPr="00462C0D" w:rsidRDefault="005139F7" w:rsidP="005139F7">
            <w:pPr>
              <w:jc w:val="both"/>
              <w:rPr>
                <w:sz w:val="20"/>
                <w:lang w:val="en-CA"/>
              </w:rPr>
            </w:pPr>
          </w:p>
        </w:tc>
      </w:tr>
      <w:tr w:rsidR="005139F7" w:rsidRPr="00462C0D" w:rsidTr="00BA7DAA">
        <w:tc>
          <w:tcPr>
            <w:tcW w:w="2427" w:type="pct"/>
            <w:gridSpan w:val="2"/>
          </w:tcPr>
          <w:p w:rsidR="005139F7" w:rsidRPr="00462C0D" w:rsidRDefault="005139F7" w:rsidP="005139F7">
            <w:pPr>
              <w:jc w:val="both"/>
              <w:rPr>
                <w:sz w:val="20"/>
                <w:lang w:val="en-CA"/>
              </w:rPr>
            </w:pPr>
            <w:r w:rsidRPr="00462C0D">
              <w:rPr>
                <w:sz w:val="20"/>
                <w:lang w:val="en-CA"/>
              </w:rPr>
              <w:lastRenderedPageBreak/>
              <w:t>October 30, 2015</w:t>
            </w:r>
          </w:p>
          <w:p w:rsidR="005139F7" w:rsidRPr="00462C0D" w:rsidRDefault="005139F7" w:rsidP="005139F7">
            <w:pPr>
              <w:jc w:val="both"/>
              <w:rPr>
                <w:sz w:val="20"/>
                <w:lang w:val="en-CA"/>
              </w:rPr>
            </w:pPr>
            <w:r w:rsidRPr="00462C0D">
              <w:rPr>
                <w:sz w:val="20"/>
                <w:lang w:val="en-CA"/>
              </w:rPr>
              <w:t>Court of Québec</w:t>
            </w:r>
          </w:p>
          <w:p w:rsidR="005139F7" w:rsidRPr="00462C0D" w:rsidRDefault="005139F7" w:rsidP="005139F7">
            <w:pPr>
              <w:jc w:val="both"/>
              <w:rPr>
                <w:sz w:val="20"/>
                <w:lang w:val="en-CA"/>
              </w:rPr>
            </w:pPr>
            <w:r w:rsidRPr="00462C0D">
              <w:rPr>
                <w:sz w:val="20"/>
                <w:lang w:val="en-CA"/>
              </w:rPr>
              <w:t>(Judge Larochelle)</w:t>
            </w:r>
          </w:p>
          <w:p w:rsidR="005139F7" w:rsidRPr="00462C0D" w:rsidRDefault="00462C0D" w:rsidP="005139F7">
            <w:pPr>
              <w:jc w:val="both"/>
              <w:rPr>
                <w:sz w:val="20"/>
                <w:lang w:val="en-CA"/>
              </w:rPr>
            </w:pPr>
            <w:hyperlink r:id="rId11" w:anchor="document" w:history="1">
              <w:r w:rsidR="005139F7" w:rsidRPr="00462C0D">
                <w:rPr>
                  <w:rStyle w:val="Hyperlink"/>
                  <w:sz w:val="20"/>
                  <w:lang w:val="en-CA"/>
                </w:rPr>
                <w:t>2015 QCCQ 14534</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Exclusion of evidence with respect to respondents ordered; application for stay of proceedings dismissed </w:t>
            </w:r>
          </w:p>
        </w:tc>
      </w:tr>
      <w:tr w:rsidR="005139F7" w:rsidRPr="00462C0D" w:rsidTr="00BA7DAA">
        <w:tc>
          <w:tcPr>
            <w:tcW w:w="2427" w:type="pct"/>
            <w:gridSpan w:val="2"/>
          </w:tcPr>
          <w:p w:rsidR="005139F7" w:rsidRPr="00462C0D" w:rsidRDefault="005139F7" w:rsidP="005139F7">
            <w:pPr>
              <w:jc w:val="both"/>
              <w:rPr>
                <w:sz w:val="20"/>
                <w:lang w:val="en-CA"/>
              </w:rPr>
            </w:pPr>
            <w:r w:rsidRPr="00462C0D">
              <w:rPr>
                <w:sz w:val="20"/>
                <w:lang w:val="en-CA"/>
              </w:rPr>
              <w:t>September 20, 2017</w:t>
            </w:r>
          </w:p>
          <w:p w:rsidR="005139F7" w:rsidRPr="00462C0D" w:rsidRDefault="005139F7" w:rsidP="005139F7">
            <w:pPr>
              <w:jc w:val="both"/>
              <w:rPr>
                <w:sz w:val="20"/>
                <w:lang w:val="en-CA"/>
              </w:rPr>
            </w:pPr>
            <w:r w:rsidRPr="00462C0D">
              <w:rPr>
                <w:sz w:val="20"/>
                <w:lang w:val="en-CA"/>
              </w:rPr>
              <w:t>Quebec Superior Court</w:t>
            </w:r>
          </w:p>
          <w:p w:rsidR="005139F7" w:rsidRPr="00462C0D" w:rsidRDefault="005139F7" w:rsidP="005139F7">
            <w:pPr>
              <w:jc w:val="both"/>
              <w:rPr>
                <w:sz w:val="20"/>
                <w:lang w:val="en-CA"/>
              </w:rPr>
            </w:pPr>
            <w:r w:rsidRPr="00462C0D">
              <w:rPr>
                <w:sz w:val="20"/>
                <w:lang w:val="en-CA"/>
              </w:rPr>
              <w:t>(Payette J.)</w:t>
            </w:r>
          </w:p>
          <w:p w:rsidR="005139F7" w:rsidRPr="00462C0D" w:rsidRDefault="00462C0D" w:rsidP="005139F7">
            <w:pPr>
              <w:jc w:val="both"/>
              <w:rPr>
                <w:sz w:val="20"/>
                <w:lang w:val="en-CA"/>
              </w:rPr>
            </w:pPr>
            <w:hyperlink r:id="rId12" w:history="1">
              <w:r w:rsidR="005139F7" w:rsidRPr="00462C0D">
                <w:rPr>
                  <w:rStyle w:val="Hyperlink"/>
                  <w:sz w:val="20"/>
                  <w:lang w:val="en-CA"/>
                </w:rPr>
                <w:t>2017 QCCS 4233</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Applicant’s appeal allowed; motion to exclude evidence dismissed</w:t>
            </w:r>
          </w:p>
          <w:p w:rsidR="005139F7" w:rsidRPr="00462C0D" w:rsidRDefault="005139F7" w:rsidP="005139F7">
            <w:pPr>
              <w:jc w:val="both"/>
              <w:rPr>
                <w:sz w:val="20"/>
                <w:lang w:val="en-CA"/>
              </w:rPr>
            </w:pPr>
          </w:p>
        </w:tc>
      </w:tr>
      <w:tr w:rsidR="005139F7" w:rsidRPr="00462C0D" w:rsidTr="00BA7DAA">
        <w:tc>
          <w:tcPr>
            <w:tcW w:w="2427" w:type="pct"/>
            <w:gridSpan w:val="2"/>
          </w:tcPr>
          <w:p w:rsidR="005139F7" w:rsidRPr="00462C0D" w:rsidRDefault="005139F7" w:rsidP="005139F7">
            <w:pPr>
              <w:jc w:val="both"/>
              <w:rPr>
                <w:sz w:val="20"/>
                <w:lang w:val="en-CA"/>
              </w:rPr>
            </w:pPr>
            <w:r w:rsidRPr="00462C0D">
              <w:rPr>
                <w:sz w:val="20"/>
                <w:lang w:val="en-CA"/>
              </w:rPr>
              <w:t>March 11, 2020</w:t>
            </w:r>
          </w:p>
          <w:p w:rsidR="005139F7" w:rsidRPr="00462C0D" w:rsidRDefault="005139F7" w:rsidP="005139F7">
            <w:pPr>
              <w:jc w:val="both"/>
              <w:rPr>
                <w:sz w:val="20"/>
                <w:lang w:val="en-CA"/>
              </w:rPr>
            </w:pPr>
            <w:r w:rsidRPr="00462C0D">
              <w:rPr>
                <w:sz w:val="20"/>
                <w:lang w:val="en-CA"/>
              </w:rPr>
              <w:t>Quebec Court of Appeal (Montréal)</w:t>
            </w:r>
          </w:p>
          <w:p w:rsidR="005139F7" w:rsidRPr="00462C0D" w:rsidRDefault="005139F7" w:rsidP="005139F7">
            <w:pPr>
              <w:jc w:val="both"/>
              <w:rPr>
                <w:sz w:val="20"/>
                <w:lang w:val="en-CA"/>
              </w:rPr>
            </w:pPr>
            <w:r w:rsidRPr="00462C0D">
              <w:rPr>
                <w:sz w:val="20"/>
                <w:lang w:val="en-CA"/>
              </w:rPr>
              <w:t>(Dufresne, Schrager and Roy JJ.A.)</w:t>
            </w:r>
          </w:p>
          <w:p w:rsidR="005139F7" w:rsidRPr="00462C0D" w:rsidRDefault="00462C0D" w:rsidP="005139F7">
            <w:pPr>
              <w:jc w:val="both"/>
              <w:rPr>
                <w:sz w:val="20"/>
                <w:lang w:val="en-CA"/>
              </w:rPr>
            </w:pPr>
            <w:hyperlink r:id="rId13" w:history="1">
              <w:r w:rsidR="005139F7" w:rsidRPr="00462C0D">
                <w:rPr>
                  <w:rStyle w:val="Hyperlink"/>
                  <w:sz w:val="20"/>
                  <w:lang w:val="en-CA"/>
                </w:rPr>
                <w:t>2020 QCCA 402</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Respondents’ appeal allowed </w:t>
            </w:r>
          </w:p>
          <w:p w:rsidR="005139F7" w:rsidRPr="00462C0D" w:rsidRDefault="005139F7" w:rsidP="005139F7">
            <w:pPr>
              <w:jc w:val="both"/>
              <w:rPr>
                <w:sz w:val="20"/>
                <w:lang w:val="en-CA"/>
              </w:rPr>
            </w:pPr>
          </w:p>
        </w:tc>
      </w:tr>
      <w:tr w:rsidR="005139F7" w:rsidRPr="00462C0D" w:rsidTr="00BA7DAA">
        <w:tc>
          <w:tcPr>
            <w:tcW w:w="2427" w:type="pct"/>
            <w:gridSpan w:val="2"/>
          </w:tcPr>
          <w:p w:rsidR="005139F7" w:rsidRPr="00462C0D" w:rsidRDefault="005139F7" w:rsidP="005139F7">
            <w:pPr>
              <w:jc w:val="both"/>
              <w:rPr>
                <w:sz w:val="20"/>
                <w:lang w:val="en-CA"/>
              </w:rPr>
            </w:pPr>
            <w:r w:rsidRPr="00462C0D">
              <w:rPr>
                <w:sz w:val="20"/>
                <w:lang w:val="en-CA"/>
              </w:rPr>
              <w:t>May 8, 2020</w:t>
            </w:r>
          </w:p>
          <w:p w:rsidR="005139F7" w:rsidRPr="00462C0D" w:rsidRDefault="005139F7" w:rsidP="005139F7">
            <w:pPr>
              <w:jc w:val="both"/>
              <w:rPr>
                <w:sz w:val="20"/>
                <w:lang w:val="en-CA"/>
              </w:rPr>
            </w:pPr>
            <w:r w:rsidRPr="00462C0D">
              <w:rPr>
                <w:sz w:val="20"/>
                <w:lang w:val="en-CA"/>
              </w:rPr>
              <w:t>Supreme Court of Canada</w:t>
            </w: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Application for leave to appeal filed</w:t>
            </w:r>
          </w:p>
          <w:p w:rsidR="005139F7" w:rsidRPr="00462C0D" w:rsidRDefault="005139F7" w:rsidP="005139F7">
            <w:pPr>
              <w:jc w:val="both"/>
              <w:rPr>
                <w:sz w:val="20"/>
                <w:lang w:val="en-CA"/>
              </w:rPr>
            </w:pPr>
          </w:p>
        </w:tc>
      </w:tr>
    </w:tbl>
    <w:p w:rsidR="005139F7" w:rsidRPr="00462C0D" w:rsidRDefault="005139F7" w:rsidP="005139F7">
      <w:pPr>
        <w:jc w:val="both"/>
        <w:rPr>
          <w:sz w:val="20"/>
          <w:lang w:val="en-CA"/>
        </w:rPr>
      </w:pPr>
    </w:p>
    <w:p w:rsidR="005139F7" w:rsidRPr="00462C0D" w:rsidRDefault="00462C0D" w:rsidP="005139F7">
      <w:pPr>
        <w:jc w:val="both"/>
        <w:rPr>
          <w:sz w:val="20"/>
          <w:lang w:val="en-CA"/>
        </w:rPr>
      </w:pPr>
      <w:r w:rsidRPr="00462C0D">
        <w:rPr>
          <w:sz w:val="20"/>
        </w:rPr>
        <w:pict>
          <v:rect id="_x0000_i1027" style="width:2in;height:1pt" o:hrpct="0" o:hralign="center" o:hrstd="t" o:hrnoshade="t" o:hr="t" fillcolor="black [3213]" stroked="f"/>
        </w:pict>
      </w:r>
    </w:p>
    <w:p w:rsidR="005139F7" w:rsidRPr="00462C0D" w:rsidRDefault="005139F7" w:rsidP="005139F7">
      <w:pPr>
        <w:jc w:val="both"/>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139F7" w:rsidRPr="00462C0D" w:rsidTr="00BA7DAA">
        <w:tc>
          <w:tcPr>
            <w:tcW w:w="543" w:type="pct"/>
            <w:hideMark/>
          </w:tcPr>
          <w:p w:rsidR="005139F7" w:rsidRPr="00462C0D" w:rsidRDefault="005139F7" w:rsidP="005139F7">
            <w:pPr>
              <w:spacing w:line="276" w:lineRule="auto"/>
              <w:jc w:val="both"/>
              <w:rPr>
                <w:sz w:val="20"/>
              </w:rPr>
            </w:pPr>
            <w:r w:rsidRPr="00462C0D">
              <w:rPr>
                <w:rStyle w:val="SCCFileNumberChar"/>
                <w:sz w:val="20"/>
                <w:szCs w:val="20"/>
              </w:rPr>
              <w:t>39177</w:t>
            </w:r>
          </w:p>
        </w:tc>
        <w:tc>
          <w:tcPr>
            <w:tcW w:w="4457" w:type="pct"/>
            <w:gridSpan w:val="3"/>
            <w:hideMark/>
          </w:tcPr>
          <w:p w:rsidR="005139F7" w:rsidRPr="00462C0D" w:rsidRDefault="005139F7" w:rsidP="005139F7">
            <w:pPr>
              <w:pStyle w:val="SCCLsocParty"/>
              <w:jc w:val="both"/>
              <w:rPr>
                <w:b/>
                <w:sz w:val="20"/>
                <w:szCs w:val="20"/>
              </w:rPr>
            </w:pPr>
            <w:r w:rsidRPr="00462C0D">
              <w:rPr>
                <w:b/>
                <w:sz w:val="20"/>
                <w:szCs w:val="20"/>
              </w:rPr>
              <w:t>Agence du revenu du Québec c. B.T. Céramiques inc., Entretien Torelli inc., Francesco Bruno, Rodolfo Palmerino, Alfredo Magalhaes, Gisella Palmerino</w:t>
            </w:r>
          </w:p>
          <w:p w:rsidR="005139F7" w:rsidRPr="00462C0D" w:rsidRDefault="005139F7" w:rsidP="005139F7">
            <w:pPr>
              <w:jc w:val="both"/>
              <w:rPr>
                <w:sz w:val="20"/>
              </w:rPr>
            </w:pPr>
            <w:r w:rsidRPr="00462C0D">
              <w:rPr>
                <w:sz w:val="20"/>
              </w:rPr>
              <w:t>(Qc) (Civile) (Autorisation)</w:t>
            </w:r>
          </w:p>
        </w:tc>
      </w:tr>
      <w:tr w:rsidR="005139F7" w:rsidRPr="00462C0D" w:rsidTr="00BA7DAA">
        <w:tc>
          <w:tcPr>
            <w:tcW w:w="5000" w:type="pct"/>
            <w:gridSpan w:val="4"/>
          </w:tcPr>
          <w:p w:rsidR="005139F7" w:rsidRPr="00462C0D" w:rsidRDefault="005139F7" w:rsidP="005139F7">
            <w:pPr>
              <w:jc w:val="both"/>
              <w:rPr>
                <w:sz w:val="20"/>
                <w:lang w:val="fr-CA"/>
              </w:rPr>
            </w:pPr>
            <w:r w:rsidRPr="00462C0D">
              <w:rPr>
                <w:i/>
                <w:sz w:val="20"/>
                <w:lang w:val="fr-CA"/>
              </w:rPr>
              <w:t>Charte des droits</w:t>
            </w:r>
            <w:r w:rsidRPr="00462C0D">
              <w:rPr>
                <w:sz w:val="20"/>
                <w:lang w:val="fr-CA"/>
              </w:rPr>
              <w:t xml:space="preserve"> — Fouilles, perquisitions et saisies — Réparation — La Cour d’appel a</w:t>
            </w:r>
            <w:r w:rsidRPr="00462C0D">
              <w:rPr>
                <w:sz w:val="20"/>
                <w:lang w:val="fr-CA"/>
              </w:rPr>
              <w:noBreakHyphen/>
              <w:t>t</w:t>
            </w:r>
            <w:r w:rsidRPr="00462C0D">
              <w:rPr>
                <w:sz w:val="20"/>
                <w:lang w:val="fr-CA"/>
              </w:rPr>
              <w:noBreakHyphen/>
              <w:t xml:space="preserve">elle erré en droit en intervenant quant aux conclusions correctes de la Cour supérieure en regard de l’application de règles de droit édictées par la Cour suprême du Canada dans les arrêts </w:t>
            </w:r>
            <w:r w:rsidRPr="00462C0D">
              <w:rPr>
                <w:i/>
                <w:sz w:val="20"/>
                <w:lang w:val="fr-CA"/>
              </w:rPr>
              <w:t>R. c. Araujo</w:t>
            </w:r>
            <w:r w:rsidRPr="00462C0D">
              <w:rPr>
                <w:sz w:val="20"/>
                <w:lang w:val="fr-CA"/>
              </w:rPr>
              <w:t xml:space="preserve">, 2000 CSC 65 et </w:t>
            </w:r>
            <w:r w:rsidRPr="00462C0D">
              <w:rPr>
                <w:i/>
                <w:sz w:val="20"/>
                <w:lang w:val="fr-CA"/>
              </w:rPr>
              <w:t>R. c. Morelli</w:t>
            </w:r>
            <w:r w:rsidRPr="00462C0D">
              <w:rPr>
                <w:sz w:val="20"/>
                <w:lang w:val="fr-CA"/>
              </w:rPr>
              <w:t>, 2010 CSC 8, quant à l’absence d’examen du reliquat des motifs raisonnables, avec amplification, par la juge d’instance appuyant les dénonciations au soutien des mandats de perquisition de l’Agence du revenu du Québec, amenant des verdicts d’acquittement étant prononcés alors que l’ensemble de la preuve n’a pas été examiné? — La Cour d’appel du Québec a</w:t>
            </w:r>
            <w:r w:rsidRPr="00462C0D">
              <w:rPr>
                <w:sz w:val="20"/>
                <w:lang w:val="fr-CA"/>
              </w:rPr>
              <w:noBreakHyphen/>
              <w:t>t</w:t>
            </w:r>
            <w:r w:rsidRPr="00462C0D">
              <w:rPr>
                <w:sz w:val="20"/>
                <w:lang w:val="fr-CA"/>
              </w:rPr>
              <w:noBreakHyphen/>
              <w:t xml:space="preserve">elle erré en droit en appliquant une règle automatique d’exclusion de la preuve en droit pénal sans procéder par l’analyse prévue à l’art. 24(2) de la </w:t>
            </w:r>
            <w:r w:rsidRPr="00462C0D">
              <w:rPr>
                <w:i/>
                <w:sz w:val="20"/>
                <w:lang w:val="fr-CA"/>
              </w:rPr>
              <w:t>Charte canadienne des droits et libertés</w:t>
            </w:r>
            <w:r w:rsidRPr="00462C0D">
              <w:rPr>
                <w:sz w:val="20"/>
                <w:lang w:val="fr-CA"/>
              </w:rPr>
              <w:t xml:space="preserve">, </w:t>
            </w:r>
            <w:r w:rsidRPr="00462C0D">
              <w:rPr>
                <w:i/>
                <w:sz w:val="20"/>
                <w:lang w:val="fr-CA"/>
              </w:rPr>
              <w:t>Loi constitutionnelle de 1982</w:t>
            </w:r>
            <w:r w:rsidRPr="00462C0D">
              <w:rPr>
                <w:sz w:val="20"/>
                <w:lang w:val="fr-CA"/>
              </w:rPr>
              <w:t xml:space="preserve">, </w:t>
            </w:r>
            <w:r w:rsidRPr="00462C0D">
              <w:rPr>
                <w:i/>
                <w:sz w:val="20"/>
                <w:lang w:val="fr-CA"/>
              </w:rPr>
              <w:t>Annexe B de la Loi de 1982 sur le Canada (R</w:t>
            </w:r>
            <w:r w:rsidRPr="00462C0D">
              <w:rPr>
                <w:i/>
                <w:sz w:val="20"/>
                <w:lang w:val="fr-CA"/>
              </w:rPr>
              <w:noBreakHyphen/>
              <w:t>U)</w:t>
            </w:r>
            <w:r w:rsidRPr="00462C0D">
              <w:rPr>
                <w:sz w:val="20"/>
                <w:lang w:val="fr-CA"/>
              </w:rPr>
              <w:t>, 1982 c. 11? — La Cour d’appel du Québec a</w:t>
            </w:r>
            <w:r w:rsidRPr="00462C0D">
              <w:rPr>
                <w:sz w:val="20"/>
                <w:lang w:val="fr-CA"/>
              </w:rPr>
              <w:noBreakHyphen/>
              <w:t>t</w:t>
            </w:r>
            <w:r w:rsidRPr="00462C0D">
              <w:rPr>
                <w:sz w:val="20"/>
                <w:lang w:val="fr-CA"/>
              </w:rPr>
              <w:noBreakHyphen/>
              <w:t>elle erré en droit en avalisant le caractère indivisible de l’État entre ses divers organismes et instances, en appliquant le concept qu’une entité étatique doit porter la responsabilité des violations de la</w:t>
            </w:r>
            <w:r w:rsidRPr="00462C0D">
              <w:rPr>
                <w:i/>
                <w:sz w:val="20"/>
                <w:lang w:val="fr-CA"/>
              </w:rPr>
              <w:t xml:space="preserve"> Charte canadienne des droits et libertés</w:t>
            </w:r>
            <w:r w:rsidRPr="00462C0D">
              <w:rPr>
                <w:sz w:val="20"/>
                <w:lang w:val="fr-CA"/>
              </w:rPr>
              <w:t xml:space="preserve">, </w:t>
            </w:r>
            <w:r w:rsidRPr="00462C0D">
              <w:rPr>
                <w:i/>
                <w:sz w:val="20"/>
                <w:lang w:val="fr-CA"/>
              </w:rPr>
              <w:t>Loi constitutionnelle de 1982</w:t>
            </w:r>
            <w:r w:rsidRPr="00462C0D">
              <w:rPr>
                <w:sz w:val="20"/>
                <w:lang w:val="fr-CA"/>
              </w:rPr>
              <w:t xml:space="preserve">, </w:t>
            </w:r>
            <w:r w:rsidRPr="00462C0D">
              <w:rPr>
                <w:i/>
                <w:sz w:val="20"/>
                <w:lang w:val="fr-CA"/>
              </w:rPr>
              <w:t>Annexe B de la Loi de 1982 sur le Canada (R</w:t>
            </w:r>
            <w:r w:rsidRPr="00462C0D">
              <w:rPr>
                <w:i/>
                <w:sz w:val="20"/>
                <w:lang w:val="fr-CA"/>
              </w:rPr>
              <w:noBreakHyphen/>
              <w:t>U)</w:t>
            </w:r>
            <w:r w:rsidRPr="00462C0D">
              <w:rPr>
                <w:sz w:val="20"/>
                <w:lang w:val="fr-CA"/>
              </w:rPr>
              <w:t>, 1982 c. 11, de toute autre entité étatique sans égard à la légalité des moyens utilisés par l’entité étatique n’ayant pas commis de violation?</w:t>
            </w:r>
          </w:p>
        </w:tc>
      </w:tr>
      <w:tr w:rsidR="005139F7" w:rsidRPr="00462C0D" w:rsidTr="00BA7DAA">
        <w:tc>
          <w:tcPr>
            <w:tcW w:w="5000" w:type="pct"/>
            <w:gridSpan w:val="4"/>
          </w:tcPr>
          <w:p w:rsidR="005139F7" w:rsidRPr="00462C0D" w:rsidRDefault="005139F7" w:rsidP="005139F7">
            <w:pPr>
              <w:spacing w:line="276" w:lineRule="auto"/>
              <w:jc w:val="both"/>
              <w:rPr>
                <w:sz w:val="20"/>
                <w:lang w:val="fr-CA"/>
              </w:rPr>
            </w:pPr>
          </w:p>
        </w:tc>
      </w:tr>
      <w:tr w:rsidR="005139F7" w:rsidRPr="00462C0D" w:rsidTr="00BA7DAA">
        <w:tc>
          <w:tcPr>
            <w:tcW w:w="5000" w:type="pct"/>
            <w:gridSpan w:val="4"/>
          </w:tcPr>
          <w:p w:rsidR="005139F7" w:rsidRPr="00462C0D" w:rsidRDefault="005139F7" w:rsidP="005139F7">
            <w:pPr>
              <w:jc w:val="both"/>
              <w:rPr>
                <w:sz w:val="20"/>
                <w:lang w:val="fr-CA"/>
              </w:rPr>
            </w:pPr>
            <w:r w:rsidRPr="00462C0D">
              <w:rPr>
                <w:sz w:val="20"/>
                <w:lang w:val="fr-CA"/>
              </w:rPr>
              <w:t>Les intimés B.T. Céramiques et al. subissent en Cour du Québec un procès concernant des d’infractions qui leurs sont reprochées. En réponse, ils dénoncent le comportement de l’Agence du revenu du Canada [ARC], qui, ils allèguent, aurait recueilli de la preuve en utilisant à mauvais escient les pouvoirs de vérification fiscale et pour mener à leur insu une enquête criminelle. Cette preuve a été utilisée par l’ARC pour obtenir des mandats de perquisition et autres ordonnances. La demanderesse, l’Agence du revenu du Québec [ARQ],</w:t>
            </w:r>
            <w:r w:rsidRPr="00462C0D">
              <w:rPr>
                <w:b/>
                <w:sz w:val="20"/>
                <w:lang w:val="fr-CA"/>
              </w:rPr>
              <w:t xml:space="preserve"> </w:t>
            </w:r>
            <w:r w:rsidRPr="00462C0D">
              <w:rPr>
                <w:sz w:val="20"/>
                <w:lang w:val="fr-CA"/>
              </w:rPr>
              <w:t xml:space="preserve">a obtenu des autorisations judiciaires pour saisir à son tour la preuve aux bureaux de l’ARC. B.T. Céramiques et al. demandent le rejet de cette preuve. La Cour du Québec ordonne l’exclusion de la preuve. Elle considère que l’objet prédominant de la vérification par l’ARC était d’enquêter sur la responsabilité pénale, et que les droits de B.T. Céramiques et al. n’ont pas été respectés. La Cour supérieure accueille l’appel et rejette l’exclusion de la preuve. Elle estime que la Cour du Québec a erré à </w:t>
            </w:r>
            <w:r w:rsidRPr="00462C0D">
              <w:rPr>
                <w:sz w:val="20"/>
                <w:lang w:val="fr-CA"/>
              </w:rPr>
              <w:lastRenderedPageBreak/>
              <w:t>de nombreux égards, dont dans son étude du comportement de l’ARQ, qui ne devait pas être assimilé à celui de l’ARC. La Cour d’appel, unanime, accueille l’appel. Elle est d’avis que la Cour supérieure a notamment imputé des erreurs à la juge de première instance qui n’en sont pas, et qu’il n’était donc pas permis à la Cour supérieure de substituer son appréciation de la preuve à celle de la juge d’instance.</w:t>
            </w:r>
          </w:p>
          <w:p w:rsidR="005139F7" w:rsidRPr="00462C0D" w:rsidRDefault="005139F7" w:rsidP="005139F7">
            <w:pPr>
              <w:jc w:val="both"/>
              <w:rPr>
                <w:sz w:val="20"/>
                <w:lang w:val="fr-CA"/>
              </w:rPr>
            </w:pPr>
          </w:p>
        </w:tc>
      </w:tr>
      <w:tr w:rsidR="005139F7" w:rsidRPr="00462C0D" w:rsidTr="00BA7DAA">
        <w:tc>
          <w:tcPr>
            <w:tcW w:w="2427" w:type="pct"/>
            <w:gridSpan w:val="2"/>
          </w:tcPr>
          <w:p w:rsidR="005139F7" w:rsidRPr="00462C0D" w:rsidRDefault="005139F7" w:rsidP="005139F7">
            <w:pPr>
              <w:jc w:val="both"/>
              <w:rPr>
                <w:sz w:val="20"/>
                <w:lang w:val="fr-CA"/>
              </w:rPr>
            </w:pPr>
            <w:r w:rsidRPr="00462C0D">
              <w:rPr>
                <w:sz w:val="20"/>
                <w:lang w:val="fr-CA"/>
              </w:rPr>
              <w:lastRenderedPageBreak/>
              <w:t>Le 30 octobre 2015</w:t>
            </w:r>
          </w:p>
          <w:p w:rsidR="005139F7" w:rsidRPr="00462C0D" w:rsidRDefault="005139F7" w:rsidP="005139F7">
            <w:pPr>
              <w:jc w:val="both"/>
              <w:rPr>
                <w:sz w:val="20"/>
                <w:lang w:val="fr-CA"/>
              </w:rPr>
            </w:pPr>
            <w:r w:rsidRPr="00462C0D">
              <w:rPr>
                <w:sz w:val="20"/>
                <w:lang w:val="fr-CA"/>
              </w:rPr>
              <w:t>Cour du Québec</w:t>
            </w:r>
          </w:p>
          <w:p w:rsidR="005139F7" w:rsidRPr="00462C0D" w:rsidRDefault="005139F7" w:rsidP="005139F7">
            <w:pPr>
              <w:jc w:val="both"/>
              <w:rPr>
                <w:sz w:val="20"/>
                <w:lang w:val="fr-CA"/>
              </w:rPr>
            </w:pPr>
            <w:r w:rsidRPr="00462C0D">
              <w:rPr>
                <w:sz w:val="20"/>
                <w:lang w:val="fr-CA"/>
              </w:rPr>
              <w:t>(la juge Larochelle)</w:t>
            </w:r>
          </w:p>
          <w:p w:rsidR="005139F7" w:rsidRPr="00462C0D" w:rsidRDefault="00462C0D" w:rsidP="005139F7">
            <w:pPr>
              <w:jc w:val="both"/>
              <w:rPr>
                <w:sz w:val="20"/>
              </w:rPr>
            </w:pPr>
            <w:hyperlink r:id="rId14" w:anchor="document" w:history="1">
              <w:r w:rsidR="005139F7" w:rsidRPr="00462C0D">
                <w:rPr>
                  <w:rStyle w:val="Hyperlink"/>
                  <w:sz w:val="20"/>
                </w:rPr>
                <w:t>2015 QCCQ 14534</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Exclusion de la preuve à l’égard des intimés ordonnée; demande d’arrêt des procédures rejetée</w:t>
            </w:r>
          </w:p>
        </w:tc>
      </w:tr>
      <w:tr w:rsidR="005139F7" w:rsidRPr="00462C0D" w:rsidTr="00BA7DAA">
        <w:tc>
          <w:tcPr>
            <w:tcW w:w="2427" w:type="pct"/>
            <w:gridSpan w:val="2"/>
          </w:tcPr>
          <w:p w:rsidR="005139F7" w:rsidRPr="00462C0D" w:rsidRDefault="005139F7" w:rsidP="005139F7">
            <w:pPr>
              <w:jc w:val="both"/>
              <w:rPr>
                <w:sz w:val="20"/>
                <w:lang w:val="fr-CA"/>
              </w:rPr>
            </w:pPr>
            <w:r w:rsidRPr="00462C0D">
              <w:rPr>
                <w:sz w:val="20"/>
                <w:lang w:val="fr-CA"/>
              </w:rPr>
              <w:t>Le 20 septembre 2017</w:t>
            </w:r>
          </w:p>
          <w:p w:rsidR="005139F7" w:rsidRPr="00462C0D" w:rsidRDefault="005139F7" w:rsidP="005139F7">
            <w:pPr>
              <w:jc w:val="both"/>
              <w:rPr>
                <w:sz w:val="20"/>
                <w:lang w:val="fr-CA"/>
              </w:rPr>
            </w:pPr>
            <w:r w:rsidRPr="00462C0D">
              <w:rPr>
                <w:sz w:val="20"/>
                <w:lang w:val="fr-CA"/>
              </w:rPr>
              <w:t>Cour supérieure du Québec</w:t>
            </w:r>
          </w:p>
          <w:p w:rsidR="005139F7" w:rsidRPr="00462C0D" w:rsidRDefault="005139F7" w:rsidP="005139F7">
            <w:pPr>
              <w:jc w:val="both"/>
              <w:rPr>
                <w:sz w:val="20"/>
              </w:rPr>
            </w:pPr>
            <w:r w:rsidRPr="00462C0D">
              <w:rPr>
                <w:sz w:val="20"/>
              </w:rPr>
              <w:t>(le juge Payette)</w:t>
            </w:r>
          </w:p>
          <w:p w:rsidR="005139F7" w:rsidRPr="00462C0D" w:rsidRDefault="00462C0D" w:rsidP="005139F7">
            <w:pPr>
              <w:jc w:val="both"/>
              <w:rPr>
                <w:sz w:val="20"/>
              </w:rPr>
            </w:pPr>
            <w:hyperlink r:id="rId15" w:history="1">
              <w:r w:rsidR="005139F7" w:rsidRPr="00462C0D">
                <w:rPr>
                  <w:rStyle w:val="Hyperlink"/>
                  <w:sz w:val="20"/>
                </w:rPr>
                <w:t>2017 QCCS 4233</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Appel de la demanderesse accueilli; requête en exclusion de la preuve rejetée</w:t>
            </w:r>
          </w:p>
          <w:p w:rsidR="005139F7" w:rsidRPr="00462C0D" w:rsidRDefault="005139F7" w:rsidP="005139F7">
            <w:pPr>
              <w:jc w:val="both"/>
              <w:rPr>
                <w:sz w:val="20"/>
                <w:lang w:val="fr-CA"/>
              </w:rPr>
            </w:pPr>
          </w:p>
        </w:tc>
      </w:tr>
      <w:tr w:rsidR="005139F7" w:rsidRPr="00462C0D" w:rsidTr="00BA7DAA">
        <w:tc>
          <w:tcPr>
            <w:tcW w:w="2427" w:type="pct"/>
            <w:gridSpan w:val="2"/>
          </w:tcPr>
          <w:p w:rsidR="005139F7" w:rsidRPr="00462C0D" w:rsidRDefault="005139F7" w:rsidP="005139F7">
            <w:pPr>
              <w:jc w:val="both"/>
              <w:rPr>
                <w:sz w:val="20"/>
                <w:lang w:val="fr-CA"/>
              </w:rPr>
            </w:pPr>
            <w:r w:rsidRPr="00462C0D">
              <w:rPr>
                <w:sz w:val="20"/>
                <w:lang w:val="fr-CA"/>
              </w:rPr>
              <w:t>Le 11 mars 2020</w:t>
            </w:r>
          </w:p>
          <w:p w:rsidR="005139F7" w:rsidRPr="00462C0D" w:rsidRDefault="005139F7" w:rsidP="005139F7">
            <w:pPr>
              <w:jc w:val="both"/>
              <w:rPr>
                <w:sz w:val="20"/>
                <w:lang w:val="fr-CA"/>
              </w:rPr>
            </w:pPr>
            <w:r w:rsidRPr="00462C0D">
              <w:rPr>
                <w:sz w:val="20"/>
                <w:lang w:val="fr-CA"/>
              </w:rPr>
              <w:t>Cour d’appel du Québec (Montréal)</w:t>
            </w:r>
          </w:p>
          <w:p w:rsidR="005139F7" w:rsidRPr="00462C0D" w:rsidRDefault="005139F7" w:rsidP="005139F7">
            <w:pPr>
              <w:jc w:val="both"/>
              <w:rPr>
                <w:sz w:val="20"/>
                <w:lang w:val="fr-CA"/>
              </w:rPr>
            </w:pPr>
            <w:r w:rsidRPr="00462C0D">
              <w:rPr>
                <w:sz w:val="20"/>
                <w:lang w:val="fr-CA"/>
              </w:rPr>
              <w:t>(les juges Dufresne, Schrager et Roy)</w:t>
            </w:r>
          </w:p>
          <w:p w:rsidR="005139F7" w:rsidRPr="00462C0D" w:rsidRDefault="00462C0D" w:rsidP="005139F7">
            <w:pPr>
              <w:jc w:val="both"/>
              <w:rPr>
                <w:sz w:val="20"/>
              </w:rPr>
            </w:pPr>
            <w:hyperlink r:id="rId16" w:history="1">
              <w:r w:rsidR="005139F7" w:rsidRPr="00462C0D">
                <w:rPr>
                  <w:rStyle w:val="Hyperlink"/>
                  <w:sz w:val="20"/>
                </w:rPr>
                <w:t>2020 QCCA 402</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rPr>
            </w:pPr>
            <w:r w:rsidRPr="00462C0D">
              <w:rPr>
                <w:sz w:val="20"/>
              </w:rPr>
              <w:t xml:space="preserve">Appel des intimés accueilli </w:t>
            </w:r>
          </w:p>
          <w:p w:rsidR="005139F7" w:rsidRPr="00462C0D" w:rsidRDefault="005139F7" w:rsidP="005139F7">
            <w:pPr>
              <w:jc w:val="both"/>
              <w:rPr>
                <w:sz w:val="20"/>
              </w:rPr>
            </w:pPr>
          </w:p>
        </w:tc>
      </w:tr>
      <w:tr w:rsidR="005139F7" w:rsidRPr="00462C0D" w:rsidTr="00BA7DAA">
        <w:tc>
          <w:tcPr>
            <w:tcW w:w="2427" w:type="pct"/>
            <w:gridSpan w:val="2"/>
          </w:tcPr>
          <w:p w:rsidR="005139F7" w:rsidRPr="00462C0D" w:rsidRDefault="005139F7" w:rsidP="005139F7">
            <w:pPr>
              <w:jc w:val="both"/>
              <w:rPr>
                <w:sz w:val="20"/>
                <w:lang w:val="fr-CA"/>
              </w:rPr>
            </w:pPr>
            <w:r w:rsidRPr="00462C0D">
              <w:rPr>
                <w:sz w:val="20"/>
                <w:lang w:val="fr-CA"/>
              </w:rPr>
              <w:t>Le 8 mai 2020</w:t>
            </w:r>
          </w:p>
          <w:p w:rsidR="005139F7" w:rsidRPr="00462C0D" w:rsidRDefault="005139F7" w:rsidP="005139F7">
            <w:pPr>
              <w:jc w:val="both"/>
              <w:rPr>
                <w:sz w:val="20"/>
                <w:lang w:val="fr-CA"/>
              </w:rPr>
            </w:pPr>
            <w:r w:rsidRPr="00462C0D">
              <w:rPr>
                <w:sz w:val="20"/>
                <w:lang w:val="fr-CA"/>
              </w:rPr>
              <w:t>Cour suprême du Canada</w:t>
            </w:r>
          </w:p>
        </w:tc>
        <w:tc>
          <w:tcPr>
            <w:tcW w:w="243" w:type="pct"/>
          </w:tcPr>
          <w:p w:rsidR="005139F7" w:rsidRPr="00462C0D" w:rsidRDefault="005139F7" w:rsidP="005139F7">
            <w:pPr>
              <w:jc w:val="both"/>
              <w:rPr>
                <w:sz w:val="20"/>
                <w:lang w:val="fr-CA"/>
              </w:rPr>
            </w:pPr>
          </w:p>
        </w:tc>
        <w:tc>
          <w:tcPr>
            <w:tcW w:w="2330" w:type="pct"/>
          </w:tcPr>
          <w:p w:rsidR="005139F7" w:rsidRPr="00462C0D" w:rsidRDefault="005139F7" w:rsidP="005139F7">
            <w:pPr>
              <w:jc w:val="both"/>
              <w:rPr>
                <w:sz w:val="20"/>
              </w:rPr>
            </w:pPr>
            <w:r w:rsidRPr="00462C0D">
              <w:rPr>
                <w:sz w:val="20"/>
              </w:rPr>
              <w:t>Demande d’autorisation d’appel déposée</w:t>
            </w:r>
          </w:p>
          <w:p w:rsidR="005139F7" w:rsidRPr="00462C0D" w:rsidRDefault="005139F7" w:rsidP="005139F7">
            <w:pPr>
              <w:jc w:val="both"/>
              <w:rPr>
                <w:sz w:val="20"/>
              </w:rPr>
            </w:pPr>
          </w:p>
        </w:tc>
      </w:tr>
    </w:tbl>
    <w:p w:rsidR="005139F7" w:rsidRPr="00462C0D" w:rsidRDefault="005139F7" w:rsidP="005139F7">
      <w:pPr>
        <w:jc w:val="both"/>
        <w:rPr>
          <w:sz w:val="20"/>
        </w:rPr>
      </w:pPr>
    </w:p>
    <w:p w:rsidR="005139F7" w:rsidRPr="00462C0D" w:rsidRDefault="00462C0D" w:rsidP="005139F7">
      <w:pPr>
        <w:jc w:val="both"/>
        <w:rPr>
          <w:sz w:val="20"/>
          <w:lang w:val="en-CA"/>
        </w:rPr>
      </w:pPr>
      <w:r w:rsidRPr="00462C0D">
        <w:rPr>
          <w:sz w:val="20"/>
        </w:rPr>
        <w:pict>
          <v:rect id="_x0000_i1028" style="width:2in;height:1pt" o:hrpct="0" o:hralign="center" o:hrstd="t" o:hrnoshade="t" o:hr="t" fillcolor="black [3213]" stroked="f"/>
        </w:pict>
      </w:r>
    </w:p>
    <w:p w:rsidR="005139F7" w:rsidRPr="00462C0D" w:rsidRDefault="005139F7" w:rsidP="005139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39F7" w:rsidRPr="00462C0D" w:rsidTr="00E95A6A">
        <w:tc>
          <w:tcPr>
            <w:tcW w:w="543" w:type="pct"/>
          </w:tcPr>
          <w:p w:rsidR="005139F7" w:rsidRPr="00462C0D" w:rsidRDefault="005139F7" w:rsidP="005139F7">
            <w:pPr>
              <w:jc w:val="both"/>
              <w:rPr>
                <w:sz w:val="20"/>
                <w:lang w:val="en-CA"/>
              </w:rPr>
            </w:pPr>
            <w:r w:rsidRPr="00462C0D">
              <w:rPr>
                <w:rStyle w:val="SCCFileNumberChar"/>
                <w:sz w:val="20"/>
                <w:szCs w:val="20"/>
              </w:rPr>
              <w:t>39181</w:t>
            </w:r>
          </w:p>
        </w:tc>
        <w:tc>
          <w:tcPr>
            <w:tcW w:w="4457" w:type="pct"/>
            <w:gridSpan w:val="3"/>
          </w:tcPr>
          <w:p w:rsidR="005139F7" w:rsidRPr="00462C0D" w:rsidRDefault="005139F7" w:rsidP="005139F7">
            <w:pPr>
              <w:pStyle w:val="SCCLsocParty"/>
              <w:jc w:val="both"/>
              <w:rPr>
                <w:b/>
                <w:sz w:val="20"/>
                <w:szCs w:val="20"/>
                <w:lang w:val="en-CA"/>
              </w:rPr>
            </w:pPr>
            <w:r w:rsidRPr="00462C0D">
              <w:rPr>
                <w:b/>
                <w:sz w:val="20"/>
                <w:szCs w:val="20"/>
                <w:lang w:val="en-CA"/>
              </w:rPr>
              <w:t>Denis Lefebvre v. Her Majesty the Queen</w:t>
            </w:r>
          </w:p>
          <w:p w:rsidR="005139F7" w:rsidRPr="00462C0D" w:rsidRDefault="005139F7" w:rsidP="005139F7">
            <w:pPr>
              <w:jc w:val="both"/>
              <w:rPr>
                <w:sz w:val="20"/>
                <w:lang w:val="en-CA"/>
              </w:rPr>
            </w:pPr>
            <w:r w:rsidRPr="00462C0D">
              <w:rPr>
                <w:sz w:val="20"/>
                <w:lang w:val="en-CA"/>
              </w:rPr>
              <w:t>(Que.) (Criminal) (By Leave)</w:t>
            </w:r>
          </w:p>
        </w:tc>
      </w:tr>
      <w:tr w:rsidR="005139F7" w:rsidRPr="00462C0D" w:rsidTr="00E95A6A">
        <w:tc>
          <w:tcPr>
            <w:tcW w:w="5000" w:type="pct"/>
            <w:gridSpan w:val="4"/>
          </w:tcPr>
          <w:p w:rsidR="005139F7" w:rsidRPr="00462C0D" w:rsidRDefault="005139F7" w:rsidP="005139F7">
            <w:pPr>
              <w:jc w:val="both"/>
              <w:rPr>
                <w:sz w:val="20"/>
                <w:lang w:val="en-CA"/>
              </w:rPr>
            </w:pPr>
            <w:proofErr w:type="gramStart"/>
            <w:r w:rsidRPr="00462C0D">
              <w:rPr>
                <w:sz w:val="20"/>
                <w:lang w:val="en-CA"/>
              </w:rPr>
              <w:t>Criminal law — Sentencing — Forfeiture order — Global sentence of 20 years’ imprisonment imposed on applicant — Period spent in pre</w:t>
            </w:r>
            <w:r w:rsidRPr="00462C0D">
              <w:rPr>
                <w:sz w:val="20"/>
                <w:lang w:val="en-CA"/>
              </w:rPr>
              <w:noBreakHyphen/>
              <w:t>trial custody, calculated on one-for-one basis, deducted from sentence  — Immovable belonging to applicant’s business forfeited as offence-related property — Court of Appeal allowing sentence appeal in part and granting enhanced credit of two days for each day spent three to cell in pre</w:t>
            </w:r>
            <w:r w:rsidRPr="00462C0D">
              <w:rPr>
                <w:sz w:val="20"/>
                <w:lang w:val="en-CA"/>
              </w:rPr>
              <w:noBreakHyphen/>
              <w:t>trial custody — Whether term of incarceration and heavy fine imposed on applicant constituted clearly unreasonable sentences — Whether Court of Appeal erred in law in intervening only partially in granting of enhanced credit of two days for pre</w:t>
            </w:r>
            <w:r w:rsidRPr="00462C0D">
              <w:rPr>
                <w:sz w:val="20"/>
                <w:lang w:val="en-CA"/>
              </w:rPr>
              <w:noBreakHyphen/>
              <w:t>trial custody — Whether trial judge erred in concluding that commercial immovable belonging to applicant was offence-related property — Whether trial judge erred in law in analysis and interpretation of proportionality test by ordering seizure of all of commercial immovable belonging to applicant — Whether trial judge erred in fact and law in finding that Crown had proven beyond reasonable doubt commission of offence, that of extortion, in relation to commercial immovable belonging to applicant.</w:t>
            </w:r>
            <w:proofErr w:type="gramEnd"/>
          </w:p>
        </w:tc>
      </w:tr>
      <w:tr w:rsidR="005139F7" w:rsidRPr="00462C0D" w:rsidTr="00E95A6A">
        <w:tc>
          <w:tcPr>
            <w:tcW w:w="5000" w:type="pct"/>
            <w:gridSpan w:val="4"/>
          </w:tcPr>
          <w:p w:rsidR="005139F7" w:rsidRPr="00462C0D" w:rsidRDefault="005139F7" w:rsidP="005139F7">
            <w:pPr>
              <w:jc w:val="both"/>
              <w:rPr>
                <w:sz w:val="20"/>
                <w:lang w:val="en-CA"/>
              </w:rPr>
            </w:pPr>
          </w:p>
        </w:tc>
      </w:tr>
      <w:tr w:rsidR="005139F7" w:rsidRPr="00462C0D" w:rsidTr="00E95A6A">
        <w:tc>
          <w:tcPr>
            <w:tcW w:w="5000" w:type="pct"/>
            <w:gridSpan w:val="4"/>
          </w:tcPr>
          <w:p w:rsidR="005139F7" w:rsidRPr="00462C0D" w:rsidRDefault="005139F7" w:rsidP="005139F7">
            <w:pPr>
              <w:jc w:val="both"/>
              <w:rPr>
                <w:sz w:val="20"/>
                <w:lang w:val="en-CA"/>
              </w:rPr>
            </w:pPr>
            <w:r w:rsidRPr="00462C0D">
              <w:rPr>
                <w:sz w:val="20"/>
                <w:lang w:val="en-CA"/>
              </w:rPr>
              <w:t xml:space="preserve">The applicant, Mr. Lefebvre, </w:t>
            </w:r>
            <w:proofErr w:type="gramStart"/>
            <w:r w:rsidRPr="00462C0D">
              <w:rPr>
                <w:sz w:val="20"/>
                <w:lang w:val="en-CA"/>
              </w:rPr>
              <w:t>was found</w:t>
            </w:r>
            <w:proofErr w:type="gramEnd"/>
            <w:r w:rsidRPr="00462C0D">
              <w:rPr>
                <w:sz w:val="20"/>
                <w:lang w:val="en-CA"/>
              </w:rPr>
              <w:t xml:space="preserve"> guilty of drug trafficking, conspiracy to traffic in drugs, trafficking for the benefit of a criminal organization and inciting a person to commit an offence for the benefit of a criminal organization. He filed a motion based on section 11(</w:t>
            </w:r>
            <w:r w:rsidRPr="00462C0D">
              <w:rPr>
                <w:i/>
                <w:sz w:val="20"/>
                <w:lang w:val="en-CA"/>
              </w:rPr>
              <w:t>i</w:t>
            </w:r>
            <w:r w:rsidRPr="00462C0D">
              <w:rPr>
                <w:sz w:val="20"/>
                <w:lang w:val="en-CA"/>
              </w:rPr>
              <w:t xml:space="preserve">) of the </w:t>
            </w:r>
            <w:r w:rsidRPr="00462C0D">
              <w:rPr>
                <w:i/>
                <w:sz w:val="20"/>
                <w:lang w:val="en-CA"/>
              </w:rPr>
              <w:t>Canadian Charter of Rights and Freedoms</w:t>
            </w:r>
            <w:r w:rsidRPr="00462C0D">
              <w:rPr>
                <w:sz w:val="20"/>
                <w:lang w:val="en-CA"/>
              </w:rPr>
              <w:t xml:space="preserve">, submitting that section 5 of the </w:t>
            </w:r>
            <w:r w:rsidRPr="00462C0D">
              <w:rPr>
                <w:i/>
                <w:sz w:val="20"/>
                <w:lang w:val="en-CA"/>
              </w:rPr>
              <w:t>Truth in Sentencing Act</w:t>
            </w:r>
            <w:r w:rsidRPr="00462C0D">
              <w:rPr>
                <w:sz w:val="20"/>
                <w:lang w:val="en-CA"/>
              </w:rPr>
              <w:t xml:space="preserve">, S.C. 2009, c. 29, infringes the right, if the punishment for an offence </w:t>
            </w:r>
            <w:proofErr w:type="gramStart"/>
            <w:r w:rsidRPr="00462C0D">
              <w:rPr>
                <w:sz w:val="20"/>
                <w:lang w:val="en-CA"/>
              </w:rPr>
              <w:t>has been varied</w:t>
            </w:r>
            <w:proofErr w:type="gramEnd"/>
            <w:r w:rsidRPr="00462C0D">
              <w:rPr>
                <w:sz w:val="20"/>
                <w:lang w:val="en-CA"/>
              </w:rPr>
              <w:t xml:space="preserve"> between the time of commission and the time of sentencing, to the benefit of the lesser punishment. The judge dismissed the motion. He imposed a global sentence of 20 years’ imprisonment and deducted only one day for each day spent in pre-trial custody. He ordered that a commercial immovable belonging to Mr. Lefebvre </w:t>
            </w:r>
            <w:proofErr w:type="gramStart"/>
            <w:r w:rsidRPr="00462C0D">
              <w:rPr>
                <w:sz w:val="20"/>
                <w:lang w:val="en-CA"/>
              </w:rPr>
              <w:t>be forfeited</w:t>
            </w:r>
            <w:proofErr w:type="gramEnd"/>
            <w:r w:rsidRPr="00462C0D">
              <w:rPr>
                <w:sz w:val="20"/>
                <w:lang w:val="en-CA"/>
              </w:rPr>
              <w:t xml:space="preserve"> as offence-related property, finding that it had been used, in particular, as a place to hold meetings to coordinate the organization’s operations and as a transit point for unlawful substances. The Court of Appeal allowed the sentence appeal in part. The court declared section 5 of the </w:t>
            </w:r>
            <w:r w:rsidRPr="00462C0D">
              <w:rPr>
                <w:i/>
                <w:sz w:val="20"/>
                <w:lang w:val="en-CA"/>
              </w:rPr>
              <w:t>Truth in Sentencing Act</w:t>
            </w:r>
            <w:r w:rsidRPr="00462C0D">
              <w:rPr>
                <w:sz w:val="20"/>
                <w:lang w:val="en-CA"/>
              </w:rPr>
              <w:t xml:space="preserve"> to be of no force or effect because it infringed the applicant’s right to the benefit of the lesser punishment, and granted him an enhanced credit of two days for each day spent three to a cell in pre</w:t>
            </w:r>
            <w:r w:rsidRPr="00462C0D">
              <w:rPr>
                <w:sz w:val="20"/>
                <w:lang w:val="en-CA"/>
              </w:rPr>
              <w:noBreakHyphen/>
              <w:t xml:space="preserve">trial custody. The Court of Appeal dismissed the appeal from the judgment of forfeiture of offence-related property. </w:t>
            </w:r>
          </w:p>
          <w:p w:rsidR="005139F7" w:rsidRPr="00462C0D" w:rsidRDefault="005139F7" w:rsidP="005139F7">
            <w:pPr>
              <w:jc w:val="both"/>
              <w:rPr>
                <w:sz w:val="20"/>
                <w:lang w:val="en-CA"/>
              </w:rPr>
            </w:pPr>
          </w:p>
        </w:tc>
      </w:tr>
      <w:tr w:rsidR="005139F7" w:rsidRPr="00462C0D" w:rsidTr="00E95A6A">
        <w:tc>
          <w:tcPr>
            <w:tcW w:w="2427" w:type="pct"/>
            <w:gridSpan w:val="2"/>
          </w:tcPr>
          <w:p w:rsidR="005139F7" w:rsidRPr="00462C0D" w:rsidRDefault="005139F7" w:rsidP="005139F7">
            <w:pPr>
              <w:jc w:val="both"/>
              <w:rPr>
                <w:sz w:val="20"/>
                <w:lang w:val="en-CA"/>
              </w:rPr>
            </w:pPr>
            <w:r w:rsidRPr="00462C0D">
              <w:rPr>
                <w:sz w:val="20"/>
                <w:lang w:val="en-CA"/>
              </w:rPr>
              <w:t>December 19, 2014</w:t>
            </w:r>
          </w:p>
          <w:p w:rsidR="005139F7" w:rsidRPr="00462C0D" w:rsidRDefault="005139F7" w:rsidP="005139F7">
            <w:pPr>
              <w:jc w:val="both"/>
              <w:rPr>
                <w:sz w:val="20"/>
                <w:lang w:val="en-CA"/>
              </w:rPr>
            </w:pPr>
            <w:r w:rsidRPr="00462C0D">
              <w:rPr>
                <w:sz w:val="20"/>
                <w:lang w:val="en-CA"/>
              </w:rPr>
              <w:t>Quebec Superior Court</w:t>
            </w:r>
          </w:p>
          <w:p w:rsidR="005139F7" w:rsidRPr="00462C0D" w:rsidRDefault="005139F7" w:rsidP="005139F7">
            <w:pPr>
              <w:jc w:val="both"/>
              <w:rPr>
                <w:sz w:val="20"/>
                <w:lang w:val="en-CA"/>
              </w:rPr>
            </w:pPr>
            <w:r w:rsidRPr="00462C0D">
              <w:rPr>
                <w:sz w:val="20"/>
                <w:lang w:val="en-CA"/>
              </w:rPr>
              <w:t>(Dionne J.)</w:t>
            </w:r>
          </w:p>
          <w:p w:rsidR="005139F7" w:rsidRPr="00462C0D" w:rsidRDefault="00462C0D" w:rsidP="005139F7">
            <w:pPr>
              <w:jc w:val="both"/>
              <w:rPr>
                <w:sz w:val="20"/>
                <w:lang w:val="en-CA"/>
              </w:rPr>
            </w:pPr>
            <w:hyperlink r:id="rId17" w:history="1">
              <w:r w:rsidR="005139F7" w:rsidRPr="00462C0D">
                <w:rPr>
                  <w:rStyle w:val="Hyperlink"/>
                  <w:sz w:val="20"/>
                  <w:lang w:val="en-CA"/>
                </w:rPr>
                <w:t>2014 QCCS 6786</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Motion concerning constitutionality of section 5 of </w:t>
            </w:r>
            <w:r w:rsidRPr="00462C0D">
              <w:rPr>
                <w:i/>
                <w:sz w:val="20"/>
                <w:lang w:val="en-CA"/>
              </w:rPr>
              <w:t>Truth in Sentencing Act</w:t>
            </w:r>
            <w:r w:rsidRPr="00462C0D">
              <w:rPr>
                <w:sz w:val="20"/>
                <w:lang w:val="en-CA"/>
              </w:rPr>
              <w:t xml:space="preserve"> dismissed</w:t>
            </w:r>
          </w:p>
        </w:tc>
      </w:tr>
      <w:tr w:rsidR="005139F7" w:rsidRPr="00462C0D" w:rsidTr="00E95A6A">
        <w:tc>
          <w:tcPr>
            <w:tcW w:w="2427" w:type="pct"/>
            <w:gridSpan w:val="2"/>
          </w:tcPr>
          <w:p w:rsidR="005139F7" w:rsidRPr="00462C0D" w:rsidRDefault="005139F7" w:rsidP="005139F7">
            <w:pPr>
              <w:jc w:val="both"/>
              <w:rPr>
                <w:sz w:val="20"/>
                <w:lang w:val="en-CA"/>
              </w:rPr>
            </w:pPr>
            <w:r w:rsidRPr="00462C0D">
              <w:rPr>
                <w:sz w:val="20"/>
                <w:lang w:val="en-CA"/>
              </w:rPr>
              <w:t>December 19, 2014</w:t>
            </w:r>
          </w:p>
          <w:p w:rsidR="005139F7" w:rsidRPr="00462C0D" w:rsidRDefault="005139F7" w:rsidP="005139F7">
            <w:pPr>
              <w:jc w:val="both"/>
              <w:rPr>
                <w:sz w:val="20"/>
                <w:lang w:val="en-CA"/>
              </w:rPr>
            </w:pPr>
            <w:r w:rsidRPr="00462C0D">
              <w:rPr>
                <w:sz w:val="20"/>
                <w:lang w:val="en-CA"/>
              </w:rPr>
              <w:t xml:space="preserve">Quebec Superior Court </w:t>
            </w:r>
          </w:p>
          <w:p w:rsidR="005139F7" w:rsidRPr="00462C0D" w:rsidRDefault="005139F7" w:rsidP="005139F7">
            <w:pPr>
              <w:jc w:val="both"/>
              <w:rPr>
                <w:sz w:val="20"/>
                <w:lang w:val="en-CA"/>
              </w:rPr>
            </w:pPr>
            <w:r w:rsidRPr="00462C0D">
              <w:rPr>
                <w:sz w:val="20"/>
                <w:lang w:val="en-CA"/>
              </w:rPr>
              <w:t>(Dionne J.)</w:t>
            </w:r>
          </w:p>
          <w:p w:rsidR="005139F7" w:rsidRPr="00462C0D" w:rsidRDefault="00462C0D" w:rsidP="005139F7">
            <w:pPr>
              <w:jc w:val="both"/>
              <w:rPr>
                <w:sz w:val="20"/>
                <w:lang w:val="en-CA"/>
              </w:rPr>
            </w:pPr>
            <w:hyperlink r:id="rId18" w:history="1">
              <w:r w:rsidR="005139F7" w:rsidRPr="00462C0D">
                <w:rPr>
                  <w:rStyle w:val="Hyperlink"/>
                  <w:sz w:val="20"/>
                  <w:lang w:val="en-CA"/>
                </w:rPr>
                <w:t>2014 QCCS 6535</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Global sentence of 20 years’ imprisonment and fine of $1,332,800 imposed on applicant. Period spent in pre</w:t>
            </w:r>
            <w:r w:rsidRPr="00462C0D">
              <w:rPr>
                <w:sz w:val="20"/>
                <w:lang w:val="en-CA"/>
              </w:rPr>
              <w:noBreakHyphen/>
              <w:t>trial custody, calculated on one-for-one basis, deducted from sentence.</w:t>
            </w:r>
          </w:p>
        </w:tc>
      </w:tr>
      <w:tr w:rsidR="005139F7" w:rsidRPr="00462C0D" w:rsidTr="00E95A6A">
        <w:tc>
          <w:tcPr>
            <w:tcW w:w="2427" w:type="pct"/>
            <w:gridSpan w:val="2"/>
          </w:tcPr>
          <w:p w:rsidR="005139F7" w:rsidRPr="00462C0D" w:rsidRDefault="005139F7" w:rsidP="005139F7">
            <w:pPr>
              <w:jc w:val="both"/>
              <w:rPr>
                <w:sz w:val="20"/>
                <w:lang w:val="en-CA"/>
              </w:rPr>
            </w:pPr>
            <w:r w:rsidRPr="00462C0D">
              <w:rPr>
                <w:sz w:val="20"/>
                <w:lang w:val="en-CA"/>
              </w:rPr>
              <w:t>July 30, 2015</w:t>
            </w:r>
          </w:p>
          <w:p w:rsidR="005139F7" w:rsidRPr="00462C0D" w:rsidRDefault="005139F7" w:rsidP="005139F7">
            <w:pPr>
              <w:jc w:val="both"/>
              <w:rPr>
                <w:sz w:val="20"/>
                <w:lang w:val="en-CA"/>
              </w:rPr>
            </w:pPr>
            <w:r w:rsidRPr="00462C0D">
              <w:rPr>
                <w:sz w:val="20"/>
                <w:lang w:val="en-CA"/>
              </w:rPr>
              <w:t>Quebec Superior Court</w:t>
            </w:r>
          </w:p>
          <w:p w:rsidR="005139F7" w:rsidRPr="00462C0D" w:rsidRDefault="005139F7" w:rsidP="005139F7">
            <w:pPr>
              <w:jc w:val="both"/>
              <w:rPr>
                <w:sz w:val="20"/>
                <w:lang w:val="en-CA"/>
              </w:rPr>
            </w:pPr>
            <w:r w:rsidRPr="00462C0D">
              <w:rPr>
                <w:sz w:val="20"/>
                <w:lang w:val="en-CA"/>
              </w:rPr>
              <w:t>(Dionne J.)</w:t>
            </w:r>
          </w:p>
          <w:p w:rsidR="005139F7" w:rsidRPr="00462C0D" w:rsidRDefault="00462C0D" w:rsidP="005139F7">
            <w:pPr>
              <w:jc w:val="both"/>
              <w:rPr>
                <w:sz w:val="20"/>
                <w:lang w:val="en-CA"/>
              </w:rPr>
            </w:pPr>
            <w:hyperlink r:id="rId19" w:history="1">
              <w:r w:rsidR="005139F7" w:rsidRPr="00462C0D">
                <w:rPr>
                  <w:rStyle w:val="Hyperlink"/>
                  <w:sz w:val="20"/>
                  <w:lang w:val="en-CA"/>
                </w:rPr>
                <w:t>2015 QCCS 4027</w:t>
              </w:r>
            </w:hyperlink>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Full forfeiture, as offence-related property, of immovable occupied by applicant’s business ordered </w:t>
            </w:r>
          </w:p>
        </w:tc>
      </w:tr>
      <w:tr w:rsidR="005139F7" w:rsidRPr="00462C0D" w:rsidTr="00E95A6A">
        <w:tc>
          <w:tcPr>
            <w:tcW w:w="2427" w:type="pct"/>
            <w:gridSpan w:val="2"/>
          </w:tcPr>
          <w:p w:rsidR="005139F7" w:rsidRPr="00462C0D" w:rsidRDefault="005139F7" w:rsidP="005139F7">
            <w:pPr>
              <w:jc w:val="both"/>
              <w:rPr>
                <w:sz w:val="20"/>
                <w:lang w:val="en-CA"/>
              </w:rPr>
            </w:pPr>
            <w:r w:rsidRPr="00462C0D">
              <w:rPr>
                <w:sz w:val="20"/>
                <w:lang w:val="en-CA"/>
              </w:rPr>
              <w:t>June 19, 2018</w:t>
            </w:r>
          </w:p>
          <w:p w:rsidR="005139F7" w:rsidRPr="00462C0D" w:rsidRDefault="005139F7" w:rsidP="005139F7">
            <w:pPr>
              <w:jc w:val="both"/>
              <w:rPr>
                <w:sz w:val="20"/>
                <w:lang w:val="en-CA"/>
              </w:rPr>
            </w:pPr>
            <w:r w:rsidRPr="00462C0D">
              <w:rPr>
                <w:sz w:val="20"/>
                <w:lang w:val="en-CA"/>
              </w:rPr>
              <w:t>Quebec Court of Appeal (Québec)</w:t>
            </w:r>
          </w:p>
          <w:p w:rsidR="005139F7" w:rsidRPr="00462C0D" w:rsidRDefault="005139F7" w:rsidP="005139F7">
            <w:pPr>
              <w:jc w:val="both"/>
              <w:rPr>
                <w:sz w:val="20"/>
                <w:lang w:val="en-CA"/>
              </w:rPr>
            </w:pPr>
            <w:r w:rsidRPr="00462C0D">
              <w:rPr>
                <w:sz w:val="20"/>
                <w:lang w:val="en-CA"/>
              </w:rPr>
              <w:t>(Bouchard, Gagnon and Healy JJ.A.)</w:t>
            </w:r>
          </w:p>
          <w:p w:rsidR="005139F7" w:rsidRPr="00462C0D" w:rsidRDefault="00462C0D" w:rsidP="005139F7">
            <w:pPr>
              <w:jc w:val="both"/>
              <w:rPr>
                <w:sz w:val="20"/>
                <w:lang w:val="en-CA"/>
              </w:rPr>
            </w:pPr>
            <w:hyperlink r:id="rId20" w:history="1">
              <w:r w:rsidR="005139F7" w:rsidRPr="00462C0D">
                <w:rPr>
                  <w:rStyle w:val="Hyperlink"/>
                  <w:sz w:val="20"/>
                  <w:lang w:val="en-CA"/>
                </w:rPr>
                <w:t>2018 QCCA 1033</w:t>
              </w:r>
            </w:hyperlink>
            <w:r w:rsidR="005139F7" w:rsidRPr="00462C0D">
              <w:rPr>
                <w:sz w:val="20"/>
                <w:lang w:val="en-CA"/>
              </w:rPr>
              <w:t xml:space="preserve"> (200</w:t>
            </w:r>
            <w:r w:rsidR="005139F7" w:rsidRPr="00462C0D">
              <w:rPr>
                <w:sz w:val="20"/>
                <w:lang w:val="en-CA"/>
              </w:rPr>
              <w:noBreakHyphen/>
              <w:t>10</w:t>
            </w:r>
            <w:r w:rsidR="005139F7" w:rsidRPr="00462C0D">
              <w:rPr>
                <w:sz w:val="20"/>
                <w:lang w:val="en-CA"/>
              </w:rPr>
              <w:noBreakHyphen/>
              <w:t>003092</w:t>
            </w:r>
            <w:r w:rsidR="005139F7" w:rsidRPr="00462C0D">
              <w:rPr>
                <w:sz w:val="20"/>
                <w:lang w:val="en-CA"/>
              </w:rPr>
              <w:noBreakHyphen/>
              <w:t>140)</w:t>
            </w:r>
          </w:p>
          <w:p w:rsidR="005139F7" w:rsidRPr="00462C0D" w:rsidRDefault="005139F7" w:rsidP="005139F7">
            <w:pPr>
              <w:jc w:val="both"/>
              <w:rPr>
                <w:sz w:val="20"/>
                <w:lang w:val="en-CA"/>
              </w:rPr>
            </w:pP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Sentence appeal allowed in part. Section 5 of </w:t>
            </w:r>
            <w:r w:rsidRPr="00462C0D">
              <w:rPr>
                <w:i/>
                <w:sz w:val="20"/>
                <w:lang w:val="en-CA"/>
              </w:rPr>
              <w:t>Truth in Sentencing Act</w:t>
            </w:r>
            <w:r w:rsidRPr="00462C0D">
              <w:rPr>
                <w:sz w:val="20"/>
                <w:lang w:val="en-CA"/>
              </w:rPr>
              <w:t xml:space="preserve"> declared to be of no force or effect because it infringed right guaranteed by section 11(</w:t>
            </w:r>
            <w:r w:rsidRPr="00462C0D">
              <w:rPr>
                <w:i/>
                <w:sz w:val="20"/>
                <w:lang w:val="en-CA"/>
              </w:rPr>
              <w:t>i</w:t>
            </w:r>
            <w:r w:rsidRPr="00462C0D">
              <w:rPr>
                <w:sz w:val="20"/>
                <w:lang w:val="en-CA"/>
              </w:rPr>
              <w:t xml:space="preserve">) of </w:t>
            </w:r>
            <w:r w:rsidRPr="00462C0D">
              <w:rPr>
                <w:i/>
                <w:sz w:val="20"/>
                <w:lang w:val="en-CA"/>
              </w:rPr>
              <w:t>Canadian Charter of Rights and Freedoms</w:t>
            </w:r>
            <w:r w:rsidRPr="00462C0D">
              <w:rPr>
                <w:sz w:val="20"/>
                <w:lang w:val="en-CA"/>
              </w:rPr>
              <w:t>. Enhanced credit of two days for each day spent three to cell in pre-trial custody granted. Appeal from forfeiture of offence</w:t>
            </w:r>
            <w:r w:rsidRPr="00462C0D">
              <w:rPr>
                <w:sz w:val="20"/>
                <w:lang w:val="en-CA"/>
              </w:rPr>
              <w:noBreakHyphen/>
              <w:t>related property dismissed.</w:t>
            </w:r>
          </w:p>
          <w:p w:rsidR="005139F7" w:rsidRPr="00462C0D" w:rsidRDefault="005139F7" w:rsidP="005139F7">
            <w:pPr>
              <w:jc w:val="both"/>
              <w:rPr>
                <w:sz w:val="20"/>
                <w:lang w:val="en-CA"/>
              </w:rPr>
            </w:pPr>
          </w:p>
        </w:tc>
      </w:tr>
      <w:tr w:rsidR="005139F7" w:rsidRPr="00462C0D" w:rsidTr="00E95A6A">
        <w:tc>
          <w:tcPr>
            <w:tcW w:w="2427" w:type="pct"/>
            <w:gridSpan w:val="2"/>
          </w:tcPr>
          <w:p w:rsidR="005139F7" w:rsidRPr="00462C0D" w:rsidRDefault="005139F7" w:rsidP="005139F7">
            <w:pPr>
              <w:jc w:val="both"/>
              <w:rPr>
                <w:sz w:val="20"/>
                <w:lang w:val="en-CA"/>
              </w:rPr>
            </w:pPr>
            <w:r w:rsidRPr="00462C0D">
              <w:rPr>
                <w:sz w:val="20"/>
                <w:lang w:val="en-CA"/>
              </w:rPr>
              <w:t>March 5, 2020</w:t>
            </w:r>
          </w:p>
          <w:p w:rsidR="005139F7" w:rsidRPr="00462C0D" w:rsidRDefault="005139F7" w:rsidP="005139F7">
            <w:pPr>
              <w:jc w:val="both"/>
              <w:rPr>
                <w:sz w:val="20"/>
                <w:lang w:val="en-CA"/>
              </w:rPr>
            </w:pPr>
            <w:r w:rsidRPr="00462C0D">
              <w:rPr>
                <w:sz w:val="20"/>
                <w:lang w:val="en-CA"/>
              </w:rPr>
              <w:t>Supreme Court of Canada</w:t>
            </w:r>
          </w:p>
        </w:tc>
        <w:tc>
          <w:tcPr>
            <w:tcW w:w="243" w:type="pct"/>
          </w:tcPr>
          <w:p w:rsidR="005139F7" w:rsidRPr="00462C0D" w:rsidRDefault="005139F7" w:rsidP="005139F7">
            <w:pPr>
              <w:jc w:val="both"/>
              <w:rPr>
                <w:sz w:val="20"/>
                <w:lang w:val="en-CA"/>
              </w:rPr>
            </w:pPr>
          </w:p>
        </w:tc>
        <w:tc>
          <w:tcPr>
            <w:tcW w:w="2330" w:type="pct"/>
          </w:tcPr>
          <w:p w:rsidR="005139F7" w:rsidRPr="00462C0D" w:rsidRDefault="005139F7" w:rsidP="005139F7">
            <w:pPr>
              <w:jc w:val="both"/>
              <w:rPr>
                <w:sz w:val="20"/>
                <w:lang w:val="en-CA"/>
              </w:rPr>
            </w:pPr>
            <w:r w:rsidRPr="00462C0D">
              <w:rPr>
                <w:sz w:val="20"/>
                <w:lang w:val="en-CA"/>
              </w:rPr>
              <w:t xml:space="preserve">Motion to extend time to file and serve application for leave to appeal and application for leave to appeal filed </w:t>
            </w:r>
          </w:p>
        </w:tc>
      </w:tr>
    </w:tbl>
    <w:p w:rsidR="005139F7" w:rsidRPr="00462C0D" w:rsidRDefault="005139F7" w:rsidP="005139F7">
      <w:pPr>
        <w:jc w:val="both"/>
        <w:rPr>
          <w:sz w:val="20"/>
          <w:lang w:val="en-CA"/>
        </w:rPr>
      </w:pPr>
    </w:p>
    <w:p w:rsidR="005139F7" w:rsidRPr="00462C0D" w:rsidRDefault="00462C0D" w:rsidP="005139F7">
      <w:pPr>
        <w:jc w:val="both"/>
        <w:rPr>
          <w:sz w:val="20"/>
          <w:lang w:val="en-CA"/>
        </w:rPr>
      </w:pPr>
      <w:r w:rsidRPr="00462C0D">
        <w:rPr>
          <w:sz w:val="20"/>
        </w:rPr>
        <w:pict>
          <v:rect id="_x0000_i1029" style="width:2in;height:1pt" o:hrpct="0" o:hralign="center" o:hrstd="t" o:hrnoshade="t" o:hr="t" fillcolor="black [3213]" stroked="f"/>
        </w:pict>
      </w:r>
    </w:p>
    <w:p w:rsidR="005139F7" w:rsidRPr="00462C0D" w:rsidRDefault="005139F7" w:rsidP="005139F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39F7" w:rsidRPr="00462C0D" w:rsidTr="00E95A6A">
        <w:tc>
          <w:tcPr>
            <w:tcW w:w="543" w:type="pct"/>
          </w:tcPr>
          <w:p w:rsidR="005139F7" w:rsidRPr="00462C0D" w:rsidRDefault="005139F7" w:rsidP="005139F7">
            <w:pPr>
              <w:jc w:val="both"/>
              <w:rPr>
                <w:sz w:val="20"/>
              </w:rPr>
            </w:pPr>
            <w:r w:rsidRPr="00462C0D">
              <w:rPr>
                <w:rStyle w:val="SCCFileNumberChar"/>
                <w:sz w:val="20"/>
                <w:szCs w:val="20"/>
              </w:rPr>
              <w:t>39181</w:t>
            </w:r>
          </w:p>
        </w:tc>
        <w:tc>
          <w:tcPr>
            <w:tcW w:w="4457" w:type="pct"/>
            <w:gridSpan w:val="3"/>
          </w:tcPr>
          <w:p w:rsidR="005139F7" w:rsidRPr="00462C0D" w:rsidRDefault="005139F7" w:rsidP="005139F7">
            <w:pPr>
              <w:pStyle w:val="SCCLsocParty"/>
              <w:jc w:val="both"/>
              <w:rPr>
                <w:b/>
                <w:sz w:val="20"/>
                <w:szCs w:val="20"/>
              </w:rPr>
            </w:pPr>
            <w:r w:rsidRPr="00462C0D">
              <w:rPr>
                <w:b/>
                <w:sz w:val="20"/>
                <w:szCs w:val="20"/>
              </w:rPr>
              <w:t>Denis Lefebvre c. Sa Majesté la Reine</w:t>
            </w:r>
          </w:p>
          <w:p w:rsidR="005139F7" w:rsidRPr="00462C0D" w:rsidRDefault="005139F7" w:rsidP="005139F7">
            <w:pPr>
              <w:jc w:val="both"/>
              <w:rPr>
                <w:sz w:val="20"/>
              </w:rPr>
            </w:pPr>
            <w:r w:rsidRPr="00462C0D">
              <w:rPr>
                <w:sz w:val="20"/>
              </w:rPr>
              <w:t>(Qc) (Criminelle) (Autorisation)</w:t>
            </w:r>
          </w:p>
        </w:tc>
      </w:tr>
      <w:tr w:rsidR="005139F7" w:rsidRPr="00462C0D" w:rsidTr="00E95A6A">
        <w:tc>
          <w:tcPr>
            <w:tcW w:w="5000" w:type="pct"/>
            <w:gridSpan w:val="4"/>
          </w:tcPr>
          <w:p w:rsidR="005139F7" w:rsidRPr="00462C0D" w:rsidRDefault="005139F7" w:rsidP="005139F7">
            <w:pPr>
              <w:jc w:val="both"/>
              <w:rPr>
                <w:sz w:val="20"/>
                <w:lang w:val="fr-CA"/>
              </w:rPr>
            </w:pPr>
            <w:r w:rsidRPr="00462C0D">
              <w:rPr>
                <w:sz w:val="20"/>
                <w:lang w:val="fr-CA"/>
              </w:rPr>
              <w:t>Droit criminel — Détermination de la peine — Ordonnance de confiscation — Peine globale de 20 ans d’emprisonnement imposée au demandeur — Période de détention provisoire, comptée en simple, déduite de la peine — Immeuble de l’entreprise du demandeur confisqué en tant que bien infractionnel — Cour d’appel accueillant en partie l’appel de la peine et accordant un crédit majoré de deux jours pour chaque jour de détention provisoire passé en occupation triple — La durée de l’incarcération et l’imposition d’une forte amende imposées au demandeur sont</w:t>
            </w:r>
            <w:r w:rsidRPr="00462C0D">
              <w:rPr>
                <w:sz w:val="20"/>
                <w:lang w:val="fr-CA"/>
              </w:rPr>
              <w:noBreakHyphen/>
              <w:t>elles des peines manifestement déraisonnables? — La Cour d’appel a</w:t>
            </w:r>
            <w:r w:rsidRPr="00462C0D">
              <w:rPr>
                <w:sz w:val="20"/>
                <w:lang w:val="fr-CA"/>
              </w:rPr>
              <w:noBreakHyphen/>
              <w:t>t</w:t>
            </w:r>
            <w:r w:rsidRPr="00462C0D">
              <w:rPr>
                <w:sz w:val="20"/>
                <w:lang w:val="fr-CA"/>
              </w:rPr>
              <w:noBreakHyphen/>
              <w:t>elle erré en droit en intervenant que partiellement quant à l’octroi d’un crédit majoré de deux jours de détention provisoire — Le juge de première instance a</w:t>
            </w:r>
            <w:r w:rsidRPr="00462C0D">
              <w:rPr>
                <w:sz w:val="20"/>
                <w:lang w:val="fr-CA"/>
              </w:rPr>
              <w:noBreakHyphen/>
              <w:t>t</w:t>
            </w:r>
            <w:r w:rsidRPr="00462C0D">
              <w:rPr>
                <w:sz w:val="20"/>
                <w:lang w:val="fr-CA"/>
              </w:rPr>
              <w:noBreakHyphen/>
              <w:t>il erré en concluant que l’immeuble commercial appartenant au demandeur est un bien infractionnel? — Le juge de première instance a</w:t>
            </w:r>
            <w:r w:rsidRPr="00462C0D">
              <w:rPr>
                <w:sz w:val="20"/>
                <w:lang w:val="fr-CA"/>
              </w:rPr>
              <w:noBreakHyphen/>
              <w:t>t</w:t>
            </w:r>
            <w:r w:rsidRPr="00462C0D">
              <w:rPr>
                <w:sz w:val="20"/>
                <w:lang w:val="fr-CA"/>
              </w:rPr>
              <w:noBreakHyphen/>
              <w:t>il erré en droit lors de son analyse et de l’interprétation du critère de proportionnalité en ordonnant la saisie totale de l’immeuble commercial appartenant au demandeur? — Le juge de première instance a</w:t>
            </w:r>
            <w:r w:rsidRPr="00462C0D">
              <w:rPr>
                <w:sz w:val="20"/>
                <w:lang w:val="fr-CA"/>
              </w:rPr>
              <w:noBreakHyphen/>
              <w:t>t</w:t>
            </w:r>
            <w:r w:rsidRPr="00462C0D">
              <w:rPr>
                <w:sz w:val="20"/>
                <w:lang w:val="fr-CA"/>
              </w:rPr>
              <w:noBreakHyphen/>
              <w:t>il erré en fait et droit en concluant que le ministère public a présenté une preuve hors de tout doute raisonnable de la commission d’une infraction, à savoir une extorsion, au profit de l’immeuble commercial appartenant au demandeur?</w:t>
            </w:r>
          </w:p>
        </w:tc>
      </w:tr>
      <w:tr w:rsidR="005139F7" w:rsidRPr="00462C0D" w:rsidTr="00E95A6A">
        <w:tc>
          <w:tcPr>
            <w:tcW w:w="5000" w:type="pct"/>
            <w:gridSpan w:val="4"/>
          </w:tcPr>
          <w:p w:rsidR="005139F7" w:rsidRPr="00462C0D" w:rsidRDefault="005139F7" w:rsidP="005139F7">
            <w:pPr>
              <w:jc w:val="both"/>
              <w:rPr>
                <w:sz w:val="20"/>
                <w:lang w:val="fr-CA"/>
              </w:rPr>
            </w:pPr>
          </w:p>
        </w:tc>
      </w:tr>
      <w:tr w:rsidR="005139F7" w:rsidRPr="00462C0D" w:rsidTr="00E95A6A">
        <w:tc>
          <w:tcPr>
            <w:tcW w:w="5000" w:type="pct"/>
            <w:gridSpan w:val="4"/>
          </w:tcPr>
          <w:p w:rsidR="005139F7" w:rsidRPr="00462C0D" w:rsidRDefault="005139F7" w:rsidP="005139F7">
            <w:pPr>
              <w:jc w:val="both"/>
              <w:rPr>
                <w:sz w:val="20"/>
                <w:lang w:val="fr-CA"/>
              </w:rPr>
            </w:pPr>
            <w:r w:rsidRPr="00462C0D">
              <w:rPr>
                <w:sz w:val="20"/>
                <w:lang w:val="fr-CA"/>
              </w:rPr>
              <w:t xml:space="preserve">Le demandeur, M. Lefebvre, a été déclaré coupable de trafic de drogue, complot pour trafic de drogue, trafic au profit d’une organisation criminelle et d’avoir incité une personne à commettre une infraction au profit d’une organisation criminelle. Il a présenté une requête fondée sur l’alinéa 11i) de la </w:t>
            </w:r>
            <w:r w:rsidRPr="00462C0D">
              <w:rPr>
                <w:i/>
                <w:sz w:val="20"/>
                <w:lang w:val="fr-CA"/>
              </w:rPr>
              <w:t>Charte canadienne des droits et libertés</w:t>
            </w:r>
            <w:r w:rsidRPr="00462C0D">
              <w:rPr>
                <w:sz w:val="20"/>
                <w:lang w:val="fr-CA"/>
              </w:rPr>
              <w:t xml:space="preserve">, soutenant que l’article 5 de la </w:t>
            </w:r>
            <w:r w:rsidRPr="00462C0D">
              <w:rPr>
                <w:i/>
                <w:sz w:val="20"/>
                <w:lang w:val="fr-CA"/>
              </w:rPr>
              <w:t>Loi sur l’adéquation de la peine et du crime</w:t>
            </w:r>
            <w:r w:rsidRPr="00462C0D">
              <w:rPr>
                <w:sz w:val="20"/>
                <w:lang w:val="fr-CA"/>
              </w:rPr>
              <w:t>, L.C. 2009, c. 29, viole le droit de bénéficier de la peine la moins sévère lorsque celle</w:t>
            </w:r>
            <w:r w:rsidRPr="00462C0D">
              <w:rPr>
                <w:sz w:val="20"/>
                <w:lang w:val="fr-CA"/>
              </w:rPr>
              <w:noBreakHyphen/>
              <w:t xml:space="preserve">ci est modifiée entre le moment de la perpétration de l’infraction et celui de la sentence. Le juge rejette cette requête. Il impose une peine globale de 20 ans d’emprisonnement et en déduit un jour seulement pour chaque jour de la période de détention provisoire. Il ordonne la confiscation de l’immeuble commercial de M. Lefebvre, en tant que bien infractionnel, concluant qu’il était notamment utilisé pour y tenir des rencontres de coordination des opérations de l’organisation en plus de servir de lieu de transit des substances illicites. La Cour d’appel a accueilli en partie l’appel de la peine. Elle a déclaré l’article 5 de la </w:t>
            </w:r>
            <w:r w:rsidRPr="00462C0D">
              <w:rPr>
                <w:i/>
                <w:sz w:val="20"/>
                <w:lang w:val="fr-CA"/>
              </w:rPr>
              <w:t>Loi sur l’adéquation de la peine et du crime</w:t>
            </w:r>
            <w:r w:rsidRPr="00462C0D">
              <w:rPr>
                <w:sz w:val="20"/>
                <w:lang w:val="fr-CA"/>
              </w:rPr>
              <w:t xml:space="preserve"> inopérant parce que portant atteinte au droit du demandeur de bénéficier de la peine la moins sévère et elle lui a accordé un crédit majoré de deux jours pour chaque jour de détention provisoire passé en occupation triple. Elle a rejeté l’appel à l’égard du jugement portant sur la confiscation des biens infractionnels. </w:t>
            </w:r>
          </w:p>
          <w:p w:rsidR="005139F7" w:rsidRPr="00462C0D" w:rsidRDefault="005139F7" w:rsidP="005139F7">
            <w:pPr>
              <w:jc w:val="both"/>
              <w:rPr>
                <w:sz w:val="20"/>
                <w:lang w:val="fr-CA"/>
              </w:rPr>
            </w:pP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Le 19 décembre 2014</w:t>
            </w:r>
          </w:p>
          <w:p w:rsidR="005139F7" w:rsidRPr="00462C0D" w:rsidRDefault="005139F7" w:rsidP="005139F7">
            <w:pPr>
              <w:jc w:val="both"/>
              <w:rPr>
                <w:sz w:val="20"/>
                <w:lang w:val="fr-CA"/>
              </w:rPr>
            </w:pPr>
            <w:r w:rsidRPr="00462C0D">
              <w:rPr>
                <w:sz w:val="20"/>
                <w:lang w:val="fr-CA"/>
              </w:rPr>
              <w:t>Cour supérieure du Québec</w:t>
            </w:r>
          </w:p>
          <w:p w:rsidR="005139F7" w:rsidRPr="00462C0D" w:rsidRDefault="005139F7" w:rsidP="005139F7">
            <w:pPr>
              <w:jc w:val="both"/>
              <w:rPr>
                <w:sz w:val="20"/>
              </w:rPr>
            </w:pPr>
            <w:r w:rsidRPr="00462C0D">
              <w:rPr>
                <w:sz w:val="20"/>
              </w:rPr>
              <w:t>(le juge Dionne)</w:t>
            </w:r>
          </w:p>
          <w:p w:rsidR="005139F7" w:rsidRPr="00462C0D" w:rsidRDefault="00462C0D" w:rsidP="005139F7">
            <w:pPr>
              <w:jc w:val="both"/>
              <w:rPr>
                <w:sz w:val="20"/>
              </w:rPr>
            </w:pPr>
            <w:hyperlink r:id="rId21" w:history="1">
              <w:r w:rsidR="005139F7" w:rsidRPr="00462C0D">
                <w:rPr>
                  <w:rStyle w:val="Hyperlink"/>
                  <w:sz w:val="20"/>
                </w:rPr>
                <w:t>2014 QCCS 6786</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 xml:space="preserve">Requête sur la constitutionnalité de l’article 5 de la </w:t>
            </w:r>
            <w:r w:rsidRPr="00462C0D">
              <w:rPr>
                <w:i/>
                <w:sz w:val="20"/>
                <w:lang w:val="fr-CA"/>
              </w:rPr>
              <w:t>Loi sur l’adéquation de la peine et du crime</w:t>
            </w:r>
            <w:r w:rsidRPr="00462C0D">
              <w:rPr>
                <w:sz w:val="20"/>
                <w:lang w:val="fr-CA"/>
              </w:rPr>
              <w:t xml:space="preserve"> rejetée.</w:t>
            </w: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Le 19 décembre 2014</w:t>
            </w:r>
          </w:p>
          <w:p w:rsidR="005139F7" w:rsidRPr="00462C0D" w:rsidRDefault="005139F7" w:rsidP="005139F7">
            <w:pPr>
              <w:jc w:val="both"/>
              <w:rPr>
                <w:sz w:val="20"/>
                <w:lang w:val="fr-CA"/>
              </w:rPr>
            </w:pPr>
            <w:r w:rsidRPr="00462C0D">
              <w:rPr>
                <w:sz w:val="20"/>
                <w:lang w:val="fr-CA"/>
              </w:rPr>
              <w:t>Cour supérieure du Québec</w:t>
            </w:r>
          </w:p>
          <w:p w:rsidR="005139F7" w:rsidRPr="00462C0D" w:rsidRDefault="005139F7" w:rsidP="005139F7">
            <w:pPr>
              <w:jc w:val="both"/>
              <w:rPr>
                <w:sz w:val="20"/>
              </w:rPr>
            </w:pPr>
            <w:r w:rsidRPr="00462C0D">
              <w:rPr>
                <w:sz w:val="20"/>
              </w:rPr>
              <w:t>(le juge Dionne)</w:t>
            </w:r>
          </w:p>
          <w:p w:rsidR="005139F7" w:rsidRPr="00462C0D" w:rsidRDefault="00462C0D" w:rsidP="005139F7">
            <w:pPr>
              <w:jc w:val="both"/>
              <w:rPr>
                <w:sz w:val="20"/>
              </w:rPr>
            </w:pPr>
            <w:hyperlink r:id="rId22" w:history="1">
              <w:r w:rsidR="005139F7" w:rsidRPr="00462C0D">
                <w:rPr>
                  <w:rStyle w:val="Hyperlink"/>
                  <w:sz w:val="20"/>
                </w:rPr>
                <w:t>2014 QCCS 6535</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Peine globale de 20 ans d’emprisonnement et amende de 1 332 800 $ imposées au demandeur. Période de détention provisoire, comptée en simple, déduite de la peine.</w:t>
            </w: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Le 30 juillet 2015</w:t>
            </w:r>
          </w:p>
          <w:p w:rsidR="005139F7" w:rsidRPr="00462C0D" w:rsidRDefault="005139F7" w:rsidP="005139F7">
            <w:pPr>
              <w:jc w:val="both"/>
              <w:rPr>
                <w:sz w:val="20"/>
                <w:lang w:val="fr-CA"/>
              </w:rPr>
            </w:pPr>
            <w:r w:rsidRPr="00462C0D">
              <w:rPr>
                <w:sz w:val="20"/>
                <w:lang w:val="fr-CA"/>
              </w:rPr>
              <w:t>Cour supérieure du Québec</w:t>
            </w:r>
          </w:p>
          <w:p w:rsidR="005139F7" w:rsidRPr="00462C0D" w:rsidRDefault="005139F7" w:rsidP="005139F7">
            <w:pPr>
              <w:jc w:val="both"/>
              <w:rPr>
                <w:sz w:val="20"/>
              </w:rPr>
            </w:pPr>
            <w:r w:rsidRPr="00462C0D">
              <w:rPr>
                <w:sz w:val="20"/>
              </w:rPr>
              <w:t>(le juge Dionne)</w:t>
            </w:r>
          </w:p>
          <w:p w:rsidR="005139F7" w:rsidRPr="00462C0D" w:rsidRDefault="00462C0D" w:rsidP="005139F7">
            <w:pPr>
              <w:jc w:val="both"/>
              <w:rPr>
                <w:sz w:val="20"/>
              </w:rPr>
            </w:pPr>
            <w:hyperlink r:id="rId23" w:history="1">
              <w:r w:rsidR="005139F7" w:rsidRPr="00462C0D">
                <w:rPr>
                  <w:rStyle w:val="Hyperlink"/>
                  <w:sz w:val="20"/>
                </w:rPr>
                <w:t>2015 QCCS 4027</w:t>
              </w:r>
            </w:hyperlink>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Confiscation totale de l’immeuble occupé par l’entreprise du demandeur, étant un bien infractionnel, ordonnée.</w:t>
            </w: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Le 19 juin 2018</w:t>
            </w:r>
          </w:p>
          <w:p w:rsidR="005139F7" w:rsidRPr="00462C0D" w:rsidRDefault="005139F7" w:rsidP="005139F7">
            <w:pPr>
              <w:jc w:val="both"/>
              <w:rPr>
                <w:sz w:val="20"/>
                <w:lang w:val="fr-CA"/>
              </w:rPr>
            </w:pPr>
            <w:r w:rsidRPr="00462C0D">
              <w:rPr>
                <w:sz w:val="20"/>
                <w:lang w:val="fr-CA"/>
              </w:rPr>
              <w:t>Cour d’appel du Québec (Québec)</w:t>
            </w:r>
          </w:p>
          <w:p w:rsidR="005139F7" w:rsidRPr="00462C0D" w:rsidRDefault="005139F7" w:rsidP="005139F7">
            <w:pPr>
              <w:jc w:val="both"/>
              <w:rPr>
                <w:sz w:val="20"/>
                <w:lang w:val="fr-CA"/>
              </w:rPr>
            </w:pPr>
            <w:r w:rsidRPr="00462C0D">
              <w:rPr>
                <w:sz w:val="20"/>
                <w:lang w:val="fr-CA"/>
              </w:rPr>
              <w:t xml:space="preserve">(les juges Bouchard, Gagnon et </w:t>
            </w:r>
            <w:proofErr w:type="spellStart"/>
            <w:r w:rsidRPr="00462C0D">
              <w:rPr>
                <w:sz w:val="20"/>
                <w:lang w:val="fr-CA"/>
              </w:rPr>
              <w:t>Healy</w:t>
            </w:r>
            <w:proofErr w:type="spellEnd"/>
            <w:r w:rsidRPr="00462C0D">
              <w:rPr>
                <w:sz w:val="20"/>
                <w:lang w:val="fr-CA"/>
              </w:rPr>
              <w:t>)</w:t>
            </w:r>
          </w:p>
          <w:p w:rsidR="005139F7" w:rsidRPr="00462C0D" w:rsidRDefault="00462C0D" w:rsidP="005139F7">
            <w:pPr>
              <w:jc w:val="both"/>
              <w:rPr>
                <w:sz w:val="20"/>
              </w:rPr>
            </w:pPr>
            <w:hyperlink r:id="rId24" w:history="1">
              <w:r w:rsidR="005139F7" w:rsidRPr="00462C0D">
                <w:rPr>
                  <w:rStyle w:val="Hyperlink"/>
                  <w:sz w:val="20"/>
                </w:rPr>
                <w:t>2018 QCCA 1033</w:t>
              </w:r>
            </w:hyperlink>
            <w:r w:rsidR="005139F7" w:rsidRPr="00462C0D">
              <w:rPr>
                <w:sz w:val="20"/>
              </w:rPr>
              <w:t xml:space="preserve"> (200</w:t>
            </w:r>
            <w:r w:rsidR="005139F7" w:rsidRPr="00462C0D">
              <w:rPr>
                <w:sz w:val="20"/>
              </w:rPr>
              <w:noBreakHyphen/>
              <w:t>10</w:t>
            </w:r>
            <w:r w:rsidR="005139F7" w:rsidRPr="00462C0D">
              <w:rPr>
                <w:sz w:val="20"/>
              </w:rPr>
              <w:noBreakHyphen/>
              <w:t>003092</w:t>
            </w:r>
            <w:r w:rsidR="005139F7" w:rsidRPr="00462C0D">
              <w:rPr>
                <w:sz w:val="20"/>
              </w:rPr>
              <w:noBreakHyphen/>
              <w:t>140)</w:t>
            </w:r>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rPr>
            </w:pPr>
            <w:r w:rsidRPr="00462C0D">
              <w:rPr>
                <w:sz w:val="20"/>
                <w:lang w:val="fr-CA"/>
              </w:rPr>
              <w:t xml:space="preserve">Appel de la peine accueillie en partie. Article 5 de la </w:t>
            </w:r>
            <w:r w:rsidRPr="00462C0D">
              <w:rPr>
                <w:i/>
                <w:sz w:val="20"/>
                <w:lang w:val="fr-CA"/>
              </w:rPr>
              <w:t>Loi sur l’adéquation de la peine et du crime</w:t>
            </w:r>
            <w:r w:rsidRPr="00462C0D">
              <w:rPr>
                <w:sz w:val="20"/>
                <w:lang w:val="fr-CA"/>
              </w:rPr>
              <w:t xml:space="preserve"> déclaré inopérant parce que portant atteinte au droit garanti à l’alinéa 11i) de la </w:t>
            </w:r>
            <w:r w:rsidRPr="00462C0D">
              <w:rPr>
                <w:i/>
                <w:sz w:val="20"/>
                <w:lang w:val="fr-CA"/>
              </w:rPr>
              <w:t>Charte canadienne des droits et libertés</w:t>
            </w:r>
            <w:r w:rsidRPr="00462C0D">
              <w:rPr>
                <w:sz w:val="20"/>
                <w:lang w:val="fr-CA"/>
              </w:rPr>
              <w:t xml:space="preserve">. Crédit majoré de deux jours pour chaque jour de détention provisoire passé en occupation triple accordé. </w:t>
            </w:r>
            <w:r w:rsidRPr="00462C0D">
              <w:rPr>
                <w:sz w:val="20"/>
              </w:rPr>
              <w:t xml:space="preserve">Appel </w:t>
            </w:r>
            <w:proofErr w:type="spellStart"/>
            <w:r w:rsidRPr="00462C0D">
              <w:rPr>
                <w:sz w:val="20"/>
              </w:rPr>
              <w:t>portant</w:t>
            </w:r>
            <w:proofErr w:type="spellEnd"/>
            <w:r w:rsidRPr="00462C0D">
              <w:rPr>
                <w:sz w:val="20"/>
              </w:rPr>
              <w:t xml:space="preserve"> sur la confiscation du bien infractionnel rejeté.</w:t>
            </w:r>
          </w:p>
          <w:p w:rsidR="005139F7" w:rsidRPr="00462C0D" w:rsidRDefault="005139F7" w:rsidP="005139F7">
            <w:pPr>
              <w:jc w:val="both"/>
              <w:rPr>
                <w:sz w:val="20"/>
              </w:rPr>
            </w:pP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Le 5 mars 2020</w:t>
            </w:r>
          </w:p>
          <w:p w:rsidR="005139F7" w:rsidRPr="00462C0D" w:rsidRDefault="005139F7" w:rsidP="005139F7">
            <w:pPr>
              <w:jc w:val="both"/>
              <w:rPr>
                <w:sz w:val="20"/>
                <w:lang w:val="fr-CA"/>
              </w:rPr>
            </w:pPr>
            <w:r w:rsidRPr="00462C0D">
              <w:rPr>
                <w:sz w:val="20"/>
                <w:lang w:val="fr-CA"/>
              </w:rPr>
              <w:t>Cour suprême du Canada</w:t>
            </w:r>
          </w:p>
          <w:p w:rsidR="005139F7" w:rsidRPr="00462C0D" w:rsidRDefault="005139F7" w:rsidP="005139F7">
            <w:pPr>
              <w:jc w:val="both"/>
              <w:rPr>
                <w:sz w:val="20"/>
                <w:lang w:val="fr-CA"/>
              </w:rPr>
            </w:pPr>
          </w:p>
        </w:tc>
        <w:tc>
          <w:tcPr>
            <w:tcW w:w="243" w:type="pct"/>
          </w:tcPr>
          <w:p w:rsidR="005139F7" w:rsidRPr="00462C0D" w:rsidRDefault="005139F7" w:rsidP="005139F7">
            <w:pPr>
              <w:jc w:val="both"/>
              <w:rPr>
                <w:sz w:val="20"/>
                <w:lang w:val="fr-CA"/>
              </w:rPr>
            </w:pPr>
          </w:p>
        </w:tc>
        <w:tc>
          <w:tcPr>
            <w:tcW w:w="2330" w:type="pct"/>
          </w:tcPr>
          <w:p w:rsidR="005139F7" w:rsidRPr="00462C0D" w:rsidRDefault="005139F7" w:rsidP="005139F7">
            <w:pPr>
              <w:jc w:val="both"/>
              <w:rPr>
                <w:sz w:val="20"/>
                <w:lang w:val="fr-CA"/>
              </w:rPr>
            </w:pPr>
            <w:r w:rsidRPr="00462C0D">
              <w:rPr>
                <w:sz w:val="20"/>
                <w:lang w:val="fr-CA"/>
              </w:rPr>
              <w:t xml:space="preserve">Requête en prorogation de délai pour présenter ou signifier une demande d’autorisation d’appel et demande d’autorisation </w:t>
            </w:r>
            <w:proofErr w:type="gramStart"/>
            <w:r w:rsidRPr="00462C0D">
              <w:rPr>
                <w:sz w:val="20"/>
                <w:lang w:val="fr-CA"/>
              </w:rPr>
              <w:t>d’appel déposées</w:t>
            </w:r>
            <w:proofErr w:type="gramEnd"/>
            <w:r w:rsidRPr="00462C0D">
              <w:rPr>
                <w:sz w:val="20"/>
                <w:lang w:val="fr-CA"/>
              </w:rPr>
              <w:t>.</w:t>
            </w:r>
          </w:p>
        </w:tc>
      </w:tr>
    </w:tbl>
    <w:p w:rsidR="005139F7" w:rsidRPr="00462C0D" w:rsidRDefault="005139F7" w:rsidP="005139F7">
      <w:pPr>
        <w:jc w:val="both"/>
        <w:rPr>
          <w:sz w:val="20"/>
          <w:lang w:val="fr-CA"/>
        </w:rPr>
      </w:pPr>
    </w:p>
    <w:p w:rsidR="005139F7" w:rsidRPr="00462C0D" w:rsidRDefault="00462C0D" w:rsidP="005139F7">
      <w:pPr>
        <w:jc w:val="both"/>
        <w:rPr>
          <w:sz w:val="20"/>
          <w:lang w:val="fr-CA"/>
        </w:rPr>
      </w:pPr>
      <w:r w:rsidRPr="00462C0D">
        <w:rPr>
          <w:sz w:val="20"/>
        </w:rPr>
        <w:pict>
          <v:rect id="_x0000_i1030" style="width:2in;height:1pt" o:hrpct="0" o:hralign="center" o:hrstd="t" o:hrnoshade="t" o:hr="t" fillcolor="black [3213]" stroked="f"/>
        </w:pict>
      </w:r>
    </w:p>
    <w:p w:rsidR="00804501" w:rsidRPr="00462C0D" w:rsidRDefault="00804501" w:rsidP="005139F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39F7" w:rsidRPr="00462C0D" w:rsidTr="00E95A6A">
        <w:tc>
          <w:tcPr>
            <w:tcW w:w="543" w:type="pct"/>
          </w:tcPr>
          <w:p w:rsidR="005139F7" w:rsidRPr="00462C0D" w:rsidRDefault="005139F7" w:rsidP="005139F7">
            <w:pPr>
              <w:jc w:val="both"/>
              <w:rPr>
                <w:sz w:val="20"/>
              </w:rPr>
            </w:pPr>
            <w:r w:rsidRPr="00462C0D">
              <w:rPr>
                <w:rStyle w:val="SCCFileNumberChar"/>
                <w:sz w:val="20"/>
                <w:szCs w:val="20"/>
              </w:rPr>
              <w:t>39154</w:t>
            </w:r>
          </w:p>
        </w:tc>
        <w:tc>
          <w:tcPr>
            <w:tcW w:w="4457" w:type="pct"/>
            <w:gridSpan w:val="3"/>
          </w:tcPr>
          <w:p w:rsidR="005139F7" w:rsidRPr="00462C0D" w:rsidRDefault="005139F7" w:rsidP="005139F7">
            <w:pPr>
              <w:pStyle w:val="SCCLsocParty"/>
              <w:jc w:val="both"/>
              <w:rPr>
                <w:b/>
                <w:sz w:val="20"/>
                <w:szCs w:val="20"/>
                <w:lang w:val="en-US"/>
              </w:rPr>
            </w:pPr>
            <w:r w:rsidRPr="00462C0D">
              <w:rPr>
                <w:b/>
                <w:sz w:val="20"/>
                <w:szCs w:val="20"/>
                <w:lang w:val="en-US"/>
              </w:rPr>
              <w:t>Her Majesty the Queen v. Adam Joseph Drake</w:t>
            </w:r>
          </w:p>
          <w:p w:rsidR="005139F7" w:rsidRPr="00462C0D" w:rsidRDefault="005139F7" w:rsidP="005139F7">
            <w:pPr>
              <w:jc w:val="both"/>
              <w:rPr>
                <w:sz w:val="20"/>
              </w:rPr>
            </w:pPr>
            <w:r w:rsidRPr="00462C0D">
              <w:rPr>
                <w:sz w:val="20"/>
              </w:rPr>
              <w:t>(N.S.) (Criminal) (By Leave)</w:t>
            </w:r>
          </w:p>
        </w:tc>
      </w:tr>
      <w:tr w:rsidR="005139F7" w:rsidRPr="00462C0D" w:rsidTr="00E95A6A">
        <w:tc>
          <w:tcPr>
            <w:tcW w:w="5000" w:type="pct"/>
            <w:gridSpan w:val="4"/>
          </w:tcPr>
          <w:p w:rsidR="005139F7" w:rsidRPr="00462C0D" w:rsidRDefault="005139F7" w:rsidP="005139F7">
            <w:pPr>
              <w:pStyle w:val="SCCBanSummary"/>
              <w:rPr>
                <w:sz w:val="20"/>
                <w:szCs w:val="20"/>
              </w:rPr>
            </w:pPr>
            <w:r w:rsidRPr="00462C0D">
              <w:rPr>
                <w:sz w:val="20"/>
                <w:szCs w:val="20"/>
              </w:rPr>
              <w:t>(Publication ban in case)</w:t>
            </w:r>
          </w:p>
          <w:p w:rsidR="005139F7" w:rsidRPr="00462C0D" w:rsidRDefault="005139F7" w:rsidP="005139F7">
            <w:pPr>
              <w:jc w:val="both"/>
              <w:rPr>
                <w:sz w:val="20"/>
              </w:rPr>
            </w:pPr>
          </w:p>
          <w:p w:rsidR="005139F7" w:rsidRPr="00462C0D" w:rsidRDefault="005139F7" w:rsidP="005139F7">
            <w:pPr>
              <w:jc w:val="both"/>
              <w:rPr>
                <w:sz w:val="20"/>
              </w:rPr>
            </w:pPr>
            <w:r w:rsidRPr="00462C0D">
              <w:rPr>
                <w:sz w:val="20"/>
              </w:rPr>
              <w:t xml:space="preserve">Criminal law — </w:t>
            </w:r>
            <w:r w:rsidRPr="00462C0D">
              <w:rPr>
                <w:spacing w:val="-1"/>
                <w:sz w:val="20"/>
              </w:rPr>
              <w:t xml:space="preserve">Judicial interim release — </w:t>
            </w:r>
            <w:r w:rsidRPr="00462C0D">
              <w:rPr>
                <w:sz w:val="20"/>
              </w:rPr>
              <w:t>Court of Appeal allows application for review of a denial of judicial interim release and orders release of accused on bail with terms — Whether Court of Appeal</w:t>
            </w:r>
            <w:r w:rsidRPr="00462C0D">
              <w:rPr>
                <w:spacing w:val="-1"/>
                <w:sz w:val="20"/>
              </w:rPr>
              <w:t xml:space="preserve"> </w:t>
            </w:r>
            <w:r w:rsidRPr="00462C0D">
              <w:rPr>
                <w:sz w:val="20"/>
              </w:rPr>
              <w:t>erred by requiring an overwhelming case against the accused — Whether Court of Appeal erred with respect to how to assess the strength of the Crown’s case — Whether bail hearing judge failed to consider the release plan when assessing whether detention was required to ensure public confidence in administration of justice — Deference due to bail hearing judge’s balancing of factors — Whether jurisprudence conflicts?</w:t>
            </w:r>
          </w:p>
        </w:tc>
      </w:tr>
      <w:tr w:rsidR="005139F7" w:rsidRPr="00462C0D" w:rsidTr="00E95A6A">
        <w:tc>
          <w:tcPr>
            <w:tcW w:w="5000" w:type="pct"/>
            <w:gridSpan w:val="4"/>
          </w:tcPr>
          <w:p w:rsidR="005139F7" w:rsidRPr="00462C0D" w:rsidRDefault="005139F7" w:rsidP="005139F7">
            <w:pPr>
              <w:jc w:val="both"/>
              <w:rPr>
                <w:sz w:val="20"/>
              </w:rPr>
            </w:pPr>
          </w:p>
        </w:tc>
      </w:tr>
      <w:tr w:rsidR="005139F7" w:rsidRPr="00462C0D" w:rsidTr="00E95A6A">
        <w:tc>
          <w:tcPr>
            <w:tcW w:w="5000" w:type="pct"/>
            <w:gridSpan w:val="4"/>
          </w:tcPr>
          <w:p w:rsidR="005139F7" w:rsidRPr="00462C0D" w:rsidRDefault="005139F7" w:rsidP="005139F7">
            <w:pPr>
              <w:jc w:val="both"/>
              <w:rPr>
                <w:sz w:val="20"/>
              </w:rPr>
            </w:pPr>
            <w:r w:rsidRPr="00462C0D">
              <w:rPr>
                <w:sz w:val="20"/>
              </w:rPr>
              <w:t>Mr. Drake was arrested, charged and denied judicial interim release on bail. The judge presiding over the judicial interim release hearing considered detention was not necessary to ensure attendance in court or for the protection or safety of the public but was necessary to maintain confidence in the administration of justice. A majority of the Court of Appeal allowed an application for review and ordered judicial interim release on bail with terms.</w:t>
            </w:r>
          </w:p>
          <w:p w:rsidR="005139F7" w:rsidRPr="00462C0D" w:rsidRDefault="005139F7" w:rsidP="005139F7">
            <w:pPr>
              <w:jc w:val="both"/>
              <w:rPr>
                <w:sz w:val="20"/>
              </w:rPr>
            </w:pPr>
          </w:p>
        </w:tc>
      </w:tr>
      <w:tr w:rsidR="005139F7" w:rsidRPr="00462C0D" w:rsidTr="00E95A6A">
        <w:tc>
          <w:tcPr>
            <w:tcW w:w="2427" w:type="pct"/>
            <w:gridSpan w:val="2"/>
          </w:tcPr>
          <w:p w:rsidR="005139F7" w:rsidRPr="00462C0D" w:rsidRDefault="005139F7" w:rsidP="005139F7">
            <w:pPr>
              <w:jc w:val="both"/>
              <w:rPr>
                <w:sz w:val="20"/>
              </w:rPr>
            </w:pPr>
            <w:r w:rsidRPr="00462C0D">
              <w:rPr>
                <w:sz w:val="20"/>
              </w:rPr>
              <w:t>June 12, 2019</w:t>
            </w:r>
          </w:p>
          <w:p w:rsidR="005139F7" w:rsidRPr="00462C0D" w:rsidRDefault="005139F7" w:rsidP="005139F7">
            <w:pPr>
              <w:jc w:val="both"/>
              <w:rPr>
                <w:sz w:val="20"/>
              </w:rPr>
            </w:pPr>
            <w:r w:rsidRPr="00462C0D">
              <w:rPr>
                <w:sz w:val="20"/>
              </w:rPr>
              <w:t>Supreme Court of Nova Scotia, Trial Division</w:t>
            </w:r>
          </w:p>
          <w:p w:rsidR="005139F7" w:rsidRPr="00462C0D" w:rsidRDefault="005139F7" w:rsidP="005139F7">
            <w:pPr>
              <w:jc w:val="both"/>
              <w:rPr>
                <w:sz w:val="20"/>
              </w:rPr>
            </w:pPr>
            <w:r w:rsidRPr="00462C0D">
              <w:rPr>
                <w:sz w:val="20"/>
              </w:rPr>
              <w:t>(Wright J.)</w:t>
            </w:r>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rPr>
            </w:pPr>
            <w:r w:rsidRPr="00462C0D">
              <w:rPr>
                <w:spacing w:val="-1"/>
                <w:sz w:val="20"/>
              </w:rPr>
              <w:t>Judicial interim release denied</w:t>
            </w:r>
          </w:p>
        </w:tc>
      </w:tr>
      <w:tr w:rsidR="005139F7" w:rsidRPr="00462C0D" w:rsidTr="00E95A6A">
        <w:tc>
          <w:tcPr>
            <w:tcW w:w="2427" w:type="pct"/>
            <w:gridSpan w:val="2"/>
          </w:tcPr>
          <w:p w:rsidR="005139F7" w:rsidRPr="00462C0D" w:rsidRDefault="005139F7" w:rsidP="005139F7">
            <w:pPr>
              <w:jc w:val="both"/>
              <w:rPr>
                <w:sz w:val="20"/>
              </w:rPr>
            </w:pPr>
            <w:r w:rsidRPr="00462C0D">
              <w:rPr>
                <w:sz w:val="20"/>
              </w:rPr>
              <w:t>March 13, 2020</w:t>
            </w:r>
          </w:p>
          <w:p w:rsidR="005139F7" w:rsidRPr="00462C0D" w:rsidRDefault="005139F7" w:rsidP="005139F7">
            <w:pPr>
              <w:jc w:val="both"/>
              <w:rPr>
                <w:sz w:val="20"/>
              </w:rPr>
            </w:pPr>
            <w:r w:rsidRPr="00462C0D">
              <w:rPr>
                <w:sz w:val="20"/>
              </w:rPr>
              <w:t>Nova Scotia Court of Appeal</w:t>
            </w:r>
          </w:p>
          <w:p w:rsidR="005139F7" w:rsidRPr="00462C0D" w:rsidRDefault="005139F7" w:rsidP="005139F7">
            <w:pPr>
              <w:jc w:val="both"/>
              <w:rPr>
                <w:sz w:val="20"/>
              </w:rPr>
            </w:pPr>
            <w:r w:rsidRPr="00462C0D">
              <w:rPr>
                <w:sz w:val="20"/>
              </w:rPr>
              <w:t>(Beveridge, Scanlan [dissenting], Beaton JJ.A.)</w:t>
            </w:r>
          </w:p>
          <w:p w:rsidR="005139F7" w:rsidRPr="00462C0D" w:rsidRDefault="005139F7" w:rsidP="005139F7">
            <w:pPr>
              <w:jc w:val="both"/>
              <w:rPr>
                <w:sz w:val="20"/>
              </w:rPr>
            </w:pPr>
            <w:r w:rsidRPr="00462C0D">
              <w:rPr>
                <w:sz w:val="20"/>
              </w:rPr>
              <w:t>2020 NSCA 27 (Unreported)</w:t>
            </w:r>
          </w:p>
          <w:p w:rsidR="005139F7" w:rsidRPr="00462C0D" w:rsidRDefault="005139F7" w:rsidP="005139F7">
            <w:pPr>
              <w:jc w:val="both"/>
              <w:rPr>
                <w:sz w:val="20"/>
              </w:rPr>
            </w:pPr>
            <w:r w:rsidRPr="00462C0D">
              <w:rPr>
                <w:sz w:val="20"/>
              </w:rPr>
              <w:t>CAC 490479</w:t>
            </w:r>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rPr>
            </w:pPr>
            <w:r w:rsidRPr="00462C0D">
              <w:rPr>
                <w:sz w:val="20"/>
              </w:rPr>
              <w:t>Application granted and release on terms ordered</w:t>
            </w:r>
          </w:p>
        </w:tc>
      </w:tr>
      <w:tr w:rsidR="005139F7" w:rsidRPr="00462C0D" w:rsidTr="00E95A6A">
        <w:tc>
          <w:tcPr>
            <w:tcW w:w="2427" w:type="pct"/>
            <w:gridSpan w:val="2"/>
          </w:tcPr>
          <w:p w:rsidR="005139F7" w:rsidRPr="00462C0D" w:rsidRDefault="005139F7" w:rsidP="005139F7">
            <w:pPr>
              <w:jc w:val="both"/>
              <w:rPr>
                <w:sz w:val="20"/>
              </w:rPr>
            </w:pPr>
            <w:r w:rsidRPr="00462C0D">
              <w:rPr>
                <w:sz w:val="20"/>
              </w:rPr>
              <w:t>May 5, 2020</w:t>
            </w:r>
          </w:p>
          <w:p w:rsidR="005139F7" w:rsidRPr="00462C0D" w:rsidRDefault="005139F7" w:rsidP="005139F7">
            <w:pPr>
              <w:jc w:val="both"/>
              <w:rPr>
                <w:sz w:val="20"/>
              </w:rPr>
            </w:pPr>
            <w:r w:rsidRPr="00462C0D">
              <w:rPr>
                <w:sz w:val="20"/>
              </w:rPr>
              <w:t>Supreme Court of Canada</w:t>
            </w: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rPr>
            </w:pPr>
            <w:r w:rsidRPr="00462C0D">
              <w:rPr>
                <w:sz w:val="20"/>
              </w:rPr>
              <w:t>Application for leave to appeal filed</w:t>
            </w:r>
          </w:p>
          <w:p w:rsidR="005139F7" w:rsidRPr="00462C0D" w:rsidRDefault="005139F7" w:rsidP="005139F7">
            <w:pPr>
              <w:jc w:val="both"/>
              <w:rPr>
                <w:sz w:val="20"/>
              </w:rPr>
            </w:pPr>
          </w:p>
        </w:tc>
      </w:tr>
    </w:tbl>
    <w:p w:rsidR="005139F7" w:rsidRPr="00462C0D" w:rsidRDefault="005139F7" w:rsidP="005139F7">
      <w:pPr>
        <w:jc w:val="both"/>
        <w:rPr>
          <w:sz w:val="20"/>
        </w:rPr>
      </w:pPr>
    </w:p>
    <w:p w:rsidR="005139F7" w:rsidRPr="00462C0D" w:rsidRDefault="00462C0D" w:rsidP="005139F7">
      <w:pPr>
        <w:jc w:val="both"/>
        <w:rPr>
          <w:sz w:val="20"/>
        </w:rPr>
      </w:pPr>
      <w:r w:rsidRPr="00462C0D">
        <w:rPr>
          <w:sz w:val="20"/>
        </w:rPr>
        <w:pict>
          <v:rect id="_x0000_i1031" style="width:2in;height:1pt" o:hrpct="0" o:hralign="center" o:hrstd="t" o:hrnoshade="t" o:hr="t" fillcolor="black [3213]" stroked="f"/>
        </w:pict>
      </w:r>
    </w:p>
    <w:p w:rsidR="005139F7" w:rsidRPr="00462C0D" w:rsidRDefault="005139F7" w:rsidP="005139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39F7" w:rsidRPr="00462C0D" w:rsidTr="00E95A6A">
        <w:tc>
          <w:tcPr>
            <w:tcW w:w="543" w:type="pct"/>
          </w:tcPr>
          <w:p w:rsidR="005139F7" w:rsidRPr="00462C0D" w:rsidRDefault="005139F7" w:rsidP="005139F7">
            <w:pPr>
              <w:jc w:val="both"/>
              <w:rPr>
                <w:sz w:val="20"/>
              </w:rPr>
            </w:pPr>
            <w:r w:rsidRPr="00462C0D">
              <w:rPr>
                <w:rStyle w:val="SCCFileNumberChar"/>
                <w:sz w:val="20"/>
                <w:szCs w:val="20"/>
              </w:rPr>
              <w:t>39154</w:t>
            </w:r>
          </w:p>
        </w:tc>
        <w:tc>
          <w:tcPr>
            <w:tcW w:w="4457" w:type="pct"/>
            <w:gridSpan w:val="3"/>
          </w:tcPr>
          <w:p w:rsidR="005139F7" w:rsidRPr="00462C0D" w:rsidRDefault="005139F7" w:rsidP="005139F7">
            <w:pPr>
              <w:pStyle w:val="SCCLsocParty"/>
              <w:jc w:val="both"/>
              <w:rPr>
                <w:b/>
                <w:sz w:val="20"/>
                <w:szCs w:val="20"/>
              </w:rPr>
            </w:pPr>
            <w:r w:rsidRPr="00462C0D">
              <w:rPr>
                <w:b/>
                <w:sz w:val="20"/>
                <w:szCs w:val="20"/>
              </w:rPr>
              <w:t>Sa Majesté la Reine c. Adam Joseph Drake</w:t>
            </w:r>
          </w:p>
          <w:p w:rsidR="005139F7" w:rsidRPr="00462C0D" w:rsidRDefault="005139F7" w:rsidP="005139F7">
            <w:pPr>
              <w:jc w:val="both"/>
              <w:rPr>
                <w:sz w:val="20"/>
                <w:lang w:val="fr-CA"/>
              </w:rPr>
            </w:pPr>
            <w:r w:rsidRPr="00462C0D">
              <w:rPr>
                <w:sz w:val="20"/>
                <w:lang w:val="fr-CA"/>
              </w:rPr>
              <w:t>(N.</w:t>
            </w:r>
            <w:r w:rsidRPr="00462C0D">
              <w:rPr>
                <w:sz w:val="20"/>
                <w:lang w:val="fr-CA"/>
              </w:rPr>
              <w:noBreakHyphen/>
              <w:t>É.) (Criminelle) (Sur autorisation)</w:t>
            </w:r>
          </w:p>
        </w:tc>
      </w:tr>
      <w:tr w:rsidR="005139F7" w:rsidRPr="00462C0D" w:rsidTr="00E95A6A">
        <w:tc>
          <w:tcPr>
            <w:tcW w:w="5000" w:type="pct"/>
            <w:gridSpan w:val="4"/>
          </w:tcPr>
          <w:p w:rsidR="005139F7" w:rsidRPr="00462C0D" w:rsidRDefault="005139F7" w:rsidP="005139F7">
            <w:pPr>
              <w:pStyle w:val="SCCBanSummary"/>
              <w:rPr>
                <w:sz w:val="20"/>
                <w:szCs w:val="20"/>
                <w:lang w:val="fr-CA"/>
              </w:rPr>
            </w:pPr>
            <w:r w:rsidRPr="00462C0D">
              <w:rPr>
                <w:sz w:val="20"/>
                <w:szCs w:val="20"/>
                <w:lang w:val="fr-CA"/>
              </w:rPr>
              <w:t>(Ordonnance de non</w:t>
            </w:r>
            <w:r w:rsidRPr="00462C0D">
              <w:rPr>
                <w:sz w:val="20"/>
                <w:szCs w:val="20"/>
                <w:lang w:val="fr-CA"/>
              </w:rPr>
              <w:noBreakHyphen/>
              <w:t>publication dans le dossier)</w:t>
            </w:r>
          </w:p>
          <w:p w:rsidR="005139F7" w:rsidRPr="00462C0D" w:rsidRDefault="005139F7" w:rsidP="005139F7">
            <w:pPr>
              <w:jc w:val="both"/>
              <w:rPr>
                <w:sz w:val="20"/>
                <w:lang w:val="fr-CA"/>
              </w:rPr>
            </w:pPr>
          </w:p>
          <w:p w:rsidR="005139F7" w:rsidRPr="00462C0D" w:rsidRDefault="005139F7" w:rsidP="005139F7">
            <w:pPr>
              <w:jc w:val="both"/>
              <w:rPr>
                <w:sz w:val="20"/>
                <w:lang w:val="fr-CA"/>
              </w:rPr>
            </w:pPr>
            <w:r w:rsidRPr="00462C0D">
              <w:rPr>
                <w:sz w:val="20"/>
                <w:lang w:val="fr-CA"/>
              </w:rPr>
              <w:t>Droit criminel — Mise en liberté provisoire</w:t>
            </w:r>
            <w:r w:rsidRPr="00462C0D">
              <w:rPr>
                <w:spacing w:val="-1"/>
                <w:sz w:val="20"/>
                <w:lang w:val="fr-CA"/>
              </w:rPr>
              <w:t xml:space="preserve"> — Demande de contrôle d’un refus d’accorder la mise en liberté provisoire accueillie par la Cour d’appel, qui ordonne en outre la mise en liberté sous caution de l’accusé à certaines conditions </w:t>
            </w:r>
            <w:r w:rsidRPr="00462C0D">
              <w:rPr>
                <w:sz w:val="20"/>
                <w:lang w:val="fr-CA"/>
              </w:rPr>
              <w:t>— La Cour d’appel a</w:t>
            </w:r>
            <w:r w:rsidRPr="00462C0D">
              <w:rPr>
                <w:sz w:val="20"/>
                <w:lang w:val="fr-CA"/>
              </w:rPr>
              <w:noBreakHyphen/>
              <w:t>t</w:t>
            </w:r>
            <w:r w:rsidRPr="00462C0D">
              <w:rPr>
                <w:sz w:val="20"/>
                <w:lang w:val="fr-CA"/>
              </w:rPr>
              <w:noBreakHyphen/>
              <w:t>elle fait erreur en exigeant une preuve accablante contre l’accusé? — La Cour d’appel s’est</w:t>
            </w:r>
            <w:r w:rsidRPr="00462C0D">
              <w:rPr>
                <w:sz w:val="20"/>
                <w:lang w:val="fr-CA"/>
              </w:rPr>
              <w:noBreakHyphen/>
              <w:t>elle trompée sur la manière d’évaluer la solidité de la preuve du ministère public? — Le juge présidant l’audience de mise en liberté sous caution a-t-il omis de prendre en considération le plan de mise en liberté au moment de décider si la détention s’imposait pour assurer la confiance du public dans l’administration de la justice? — Déférence due à la mise en balance des facteurs par le juge présidant l’audience de mise en liberté sous caution — La jurisprudence est</w:t>
            </w:r>
            <w:r w:rsidRPr="00462C0D">
              <w:rPr>
                <w:sz w:val="20"/>
                <w:lang w:val="fr-CA"/>
              </w:rPr>
              <w:noBreakHyphen/>
              <w:t>elle contradictoire?</w:t>
            </w:r>
          </w:p>
        </w:tc>
      </w:tr>
      <w:tr w:rsidR="005139F7" w:rsidRPr="00462C0D" w:rsidTr="00E95A6A">
        <w:tc>
          <w:tcPr>
            <w:tcW w:w="5000" w:type="pct"/>
            <w:gridSpan w:val="4"/>
          </w:tcPr>
          <w:p w:rsidR="005139F7" w:rsidRPr="00462C0D" w:rsidRDefault="005139F7" w:rsidP="005139F7">
            <w:pPr>
              <w:jc w:val="both"/>
              <w:rPr>
                <w:sz w:val="20"/>
                <w:lang w:val="fr-CA"/>
              </w:rPr>
            </w:pPr>
          </w:p>
        </w:tc>
      </w:tr>
      <w:tr w:rsidR="005139F7" w:rsidRPr="00462C0D" w:rsidTr="00E95A6A">
        <w:tc>
          <w:tcPr>
            <w:tcW w:w="5000" w:type="pct"/>
            <w:gridSpan w:val="4"/>
          </w:tcPr>
          <w:p w:rsidR="005139F7" w:rsidRPr="00462C0D" w:rsidRDefault="005139F7" w:rsidP="005139F7">
            <w:pPr>
              <w:jc w:val="both"/>
              <w:rPr>
                <w:sz w:val="20"/>
                <w:lang w:val="fr-CA"/>
              </w:rPr>
            </w:pPr>
            <w:r w:rsidRPr="00462C0D">
              <w:rPr>
                <w:sz w:val="20"/>
                <w:lang w:val="fr-CA"/>
              </w:rPr>
              <w:t xml:space="preserve">Monsieur Drake a été arrêté, accusé, puis on lui a refusé la mise en liberté provisoire sous caution. Le juge présidant l’audience de mise en liberté provisoire a estimé que la détention ne s’imposait pas pour assurer la présence de l’accusé au tribunal ou la sécurité du public, mais qu’elle s’avérait nécessaire pour maintenir la confiance dans l’administration de la justice. Les juges majoritaires de la Cour d’appel ont fait </w:t>
            </w:r>
            <w:proofErr w:type="gramStart"/>
            <w:r w:rsidRPr="00462C0D">
              <w:rPr>
                <w:sz w:val="20"/>
                <w:lang w:val="fr-CA"/>
              </w:rPr>
              <w:t>droit</w:t>
            </w:r>
            <w:proofErr w:type="gramEnd"/>
            <w:r w:rsidRPr="00462C0D">
              <w:rPr>
                <w:sz w:val="20"/>
                <w:lang w:val="fr-CA"/>
              </w:rPr>
              <w:t xml:space="preserve"> à une demande de contrôle et ordonné la mise en liberté provisoire sous caution à certaines conditions. </w:t>
            </w:r>
          </w:p>
          <w:p w:rsidR="005139F7" w:rsidRPr="00462C0D" w:rsidRDefault="005139F7" w:rsidP="005139F7">
            <w:pPr>
              <w:jc w:val="both"/>
              <w:rPr>
                <w:sz w:val="20"/>
                <w:lang w:val="fr-CA"/>
              </w:rPr>
            </w:pP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12 juin 2019</w:t>
            </w:r>
          </w:p>
          <w:p w:rsidR="005139F7" w:rsidRPr="00462C0D" w:rsidRDefault="005139F7" w:rsidP="005139F7">
            <w:pPr>
              <w:jc w:val="both"/>
              <w:rPr>
                <w:sz w:val="20"/>
                <w:lang w:val="fr-CA"/>
              </w:rPr>
            </w:pPr>
            <w:r w:rsidRPr="00462C0D">
              <w:rPr>
                <w:sz w:val="20"/>
                <w:lang w:val="fr-CA"/>
              </w:rPr>
              <w:t>Section de première instance de la Cour suprême de Nouvelle</w:t>
            </w:r>
            <w:r w:rsidRPr="00462C0D">
              <w:rPr>
                <w:sz w:val="20"/>
                <w:lang w:val="fr-CA"/>
              </w:rPr>
              <w:noBreakHyphen/>
              <w:t>Écosse</w:t>
            </w:r>
          </w:p>
          <w:p w:rsidR="005139F7" w:rsidRPr="00462C0D" w:rsidRDefault="005139F7" w:rsidP="005139F7">
            <w:pPr>
              <w:jc w:val="both"/>
              <w:rPr>
                <w:sz w:val="20"/>
                <w:lang w:val="fr-CA"/>
              </w:rPr>
            </w:pPr>
            <w:r w:rsidRPr="00462C0D">
              <w:rPr>
                <w:sz w:val="20"/>
                <w:lang w:val="fr-CA"/>
              </w:rPr>
              <w:t>(Juge Wright)</w:t>
            </w:r>
          </w:p>
          <w:p w:rsidR="005139F7" w:rsidRPr="00462C0D" w:rsidRDefault="005139F7" w:rsidP="005139F7">
            <w:pPr>
              <w:jc w:val="both"/>
              <w:rPr>
                <w:sz w:val="20"/>
                <w:lang w:val="fr-CA"/>
              </w:rPr>
            </w:pPr>
          </w:p>
        </w:tc>
        <w:tc>
          <w:tcPr>
            <w:tcW w:w="243" w:type="pct"/>
          </w:tcPr>
          <w:p w:rsidR="005139F7" w:rsidRPr="00462C0D" w:rsidRDefault="005139F7" w:rsidP="005139F7">
            <w:pPr>
              <w:jc w:val="both"/>
              <w:rPr>
                <w:sz w:val="20"/>
                <w:lang w:val="fr-CA"/>
              </w:rPr>
            </w:pPr>
          </w:p>
        </w:tc>
        <w:tc>
          <w:tcPr>
            <w:tcW w:w="2330" w:type="pct"/>
          </w:tcPr>
          <w:p w:rsidR="005139F7" w:rsidRPr="00462C0D" w:rsidRDefault="005139F7" w:rsidP="005139F7">
            <w:pPr>
              <w:jc w:val="both"/>
              <w:rPr>
                <w:sz w:val="20"/>
                <w:lang w:val="fr-CA"/>
              </w:rPr>
            </w:pPr>
            <w:r w:rsidRPr="00462C0D">
              <w:rPr>
                <w:spacing w:val="-1"/>
                <w:sz w:val="20"/>
                <w:lang w:val="fr-CA"/>
              </w:rPr>
              <w:t>Mise en liberté provisoire refusée</w:t>
            </w: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13 mars 2020</w:t>
            </w:r>
          </w:p>
          <w:p w:rsidR="005139F7" w:rsidRPr="00462C0D" w:rsidRDefault="005139F7" w:rsidP="005139F7">
            <w:pPr>
              <w:jc w:val="both"/>
              <w:rPr>
                <w:sz w:val="20"/>
                <w:lang w:val="fr-CA"/>
              </w:rPr>
            </w:pPr>
            <w:r w:rsidRPr="00462C0D">
              <w:rPr>
                <w:sz w:val="20"/>
                <w:lang w:val="fr-CA"/>
              </w:rPr>
              <w:t>Cour d’appel de Nouvelle</w:t>
            </w:r>
            <w:r w:rsidRPr="00462C0D">
              <w:rPr>
                <w:sz w:val="20"/>
                <w:lang w:val="fr-CA"/>
              </w:rPr>
              <w:noBreakHyphen/>
              <w:t>Écosse</w:t>
            </w:r>
          </w:p>
          <w:p w:rsidR="005139F7" w:rsidRPr="00462C0D" w:rsidRDefault="005139F7" w:rsidP="005139F7">
            <w:pPr>
              <w:jc w:val="both"/>
              <w:rPr>
                <w:sz w:val="20"/>
                <w:lang w:val="fr-CA"/>
              </w:rPr>
            </w:pPr>
            <w:r w:rsidRPr="00462C0D">
              <w:rPr>
                <w:sz w:val="20"/>
                <w:lang w:val="fr-CA"/>
              </w:rPr>
              <w:t>(Juges Beveridge, Scanlan [dissident] et Beaton)</w:t>
            </w:r>
          </w:p>
          <w:p w:rsidR="005139F7" w:rsidRPr="00462C0D" w:rsidRDefault="005139F7" w:rsidP="005139F7">
            <w:pPr>
              <w:jc w:val="both"/>
              <w:rPr>
                <w:sz w:val="20"/>
              </w:rPr>
            </w:pPr>
            <w:r w:rsidRPr="00462C0D">
              <w:rPr>
                <w:sz w:val="20"/>
              </w:rPr>
              <w:t>2020 NSCA 27 (Non publiée)</w:t>
            </w:r>
          </w:p>
          <w:p w:rsidR="005139F7" w:rsidRPr="00462C0D" w:rsidRDefault="005139F7" w:rsidP="005139F7">
            <w:pPr>
              <w:jc w:val="both"/>
              <w:rPr>
                <w:sz w:val="20"/>
              </w:rPr>
            </w:pPr>
            <w:r w:rsidRPr="00462C0D">
              <w:rPr>
                <w:sz w:val="20"/>
              </w:rPr>
              <w:t>CAC 490479</w:t>
            </w:r>
          </w:p>
          <w:p w:rsidR="005139F7" w:rsidRPr="00462C0D" w:rsidRDefault="005139F7" w:rsidP="005139F7">
            <w:pPr>
              <w:jc w:val="both"/>
              <w:rPr>
                <w:sz w:val="20"/>
              </w:rPr>
            </w:pPr>
          </w:p>
        </w:tc>
        <w:tc>
          <w:tcPr>
            <w:tcW w:w="243" w:type="pct"/>
          </w:tcPr>
          <w:p w:rsidR="005139F7" w:rsidRPr="00462C0D" w:rsidRDefault="005139F7" w:rsidP="005139F7">
            <w:pPr>
              <w:jc w:val="both"/>
              <w:rPr>
                <w:sz w:val="20"/>
              </w:rPr>
            </w:pPr>
          </w:p>
        </w:tc>
        <w:tc>
          <w:tcPr>
            <w:tcW w:w="2330" w:type="pct"/>
          </w:tcPr>
          <w:p w:rsidR="005139F7" w:rsidRPr="00462C0D" w:rsidRDefault="005139F7" w:rsidP="005139F7">
            <w:pPr>
              <w:jc w:val="both"/>
              <w:rPr>
                <w:sz w:val="20"/>
                <w:lang w:val="fr-CA"/>
              </w:rPr>
            </w:pPr>
            <w:r w:rsidRPr="00462C0D">
              <w:rPr>
                <w:sz w:val="20"/>
                <w:lang w:val="fr-CA"/>
              </w:rPr>
              <w:t xml:space="preserve">Demande accueillie et mise en liberté sous conditions ordonnée </w:t>
            </w:r>
          </w:p>
        </w:tc>
      </w:tr>
      <w:tr w:rsidR="005139F7" w:rsidRPr="00462C0D" w:rsidTr="00E95A6A">
        <w:tc>
          <w:tcPr>
            <w:tcW w:w="2427" w:type="pct"/>
            <w:gridSpan w:val="2"/>
          </w:tcPr>
          <w:p w:rsidR="005139F7" w:rsidRPr="00462C0D" w:rsidRDefault="005139F7" w:rsidP="005139F7">
            <w:pPr>
              <w:jc w:val="both"/>
              <w:rPr>
                <w:sz w:val="20"/>
                <w:lang w:val="fr-CA"/>
              </w:rPr>
            </w:pPr>
            <w:r w:rsidRPr="00462C0D">
              <w:rPr>
                <w:sz w:val="20"/>
                <w:lang w:val="fr-CA"/>
              </w:rPr>
              <w:t>5 mai 2020</w:t>
            </w:r>
          </w:p>
          <w:p w:rsidR="005139F7" w:rsidRPr="00462C0D" w:rsidRDefault="005139F7" w:rsidP="005139F7">
            <w:pPr>
              <w:jc w:val="both"/>
              <w:rPr>
                <w:sz w:val="20"/>
                <w:lang w:val="fr-CA"/>
              </w:rPr>
            </w:pPr>
            <w:r w:rsidRPr="00462C0D">
              <w:rPr>
                <w:sz w:val="20"/>
                <w:lang w:val="fr-CA"/>
              </w:rPr>
              <w:t>Cour suprême du Canada</w:t>
            </w:r>
          </w:p>
        </w:tc>
        <w:tc>
          <w:tcPr>
            <w:tcW w:w="243" w:type="pct"/>
          </w:tcPr>
          <w:p w:rsidR="005139F7" w:rsidRPr="00462C0D" w:rsidRDefault="005139F7" w:rsidP="005139F7">
            <w:pPr>
              <w:jc w:val="both"/>
              <w:rPr>
                <w:sz w:val="20"/>
                <w:lang w:val="fr-CA"/>
              </w:rPr>
            </w:pPr>
          </w:p>
        </w:tc>
        <w:tc>
          <w:tcPr>
            <w:tcW w:w="2330" w:type="pct"/>
          </w:tcPr>
          <w:p w:rsidR="005139F7" w:rsidRPr="00462C0D" w:rsidRDefault="005139F7" w:rsidP="005139F7">
            <w:pPr>
              <w:jc w:val="both"/>
              <w:rPr>
                <w:sz w:val="20"/>
                <w:lang w:val="fr-CA"/>
              </w:rPr>
            </w:pPr>
            <w:r w:rsidRPr="00462C0D">
              <w:rPr>
                <w:sz w:val="20"/>
                <w:lang w:val="fr-CA"/>
              </w:rPr>
              <w:t xml:space="preserve">Dépôt de la demande d’autorisation d’appel </w:t>
            </w:r>
          </w:p>
          <w:p w:rsidR="005139F7" w:rsidRPr="00462C0D" w:rsidRDefault="005139F7" w:rsidP="005139F7">
            <w:pPr>
              <w:jc w:val="both"/>
              <w:rPr>
                <w:sz w:val="20"/>
                <w:lang w:val="fr-CA"/>
              </w:rPr>
            </w:pPr>
          </w:p>
        </w:tc>
      </w:tr>
    </w:tbl>
    <w:p w:rsidR="005139F7" w:rsidRPr="00462C0D" w:rsidRDefault="005139F7" w:rsidP="00097BBF">
      <w:pPr>
        <w:rPr>
          <w:sz w:val="20"/>
          <w:lang w:val="fr-CA"/>
        </w:rPr>
      </w:pPr>
    </w:p>
    <w:p w:rsidR="00E85588" w:rsidRPr="00462C0D" w:rsidRDefault="00462C0D" w:rsidP="00E85588">
      <w:pPr>
        <w:jc w:val="both"/>
        <w:rPr>
          <w:sz w:val="20"/>
        </w:rPr>
      </w:pPr>
      <w:r w:rsidRPr="00462C0D">
        <w:rPr>
          <w:sz w:val="20"/>
        </w:rPr>
        <w:pict>
          <v:rect id="_x0000_i1032" style="width:2in;height:1pt" o:hrpct="0" o:hralign="center" o:hrstd="t" o:hrnoshade="t" o:hr="t" fillcolor="black [3213]" stroked="f"/>
        </w:pict>
      </w:r>
    </w:p>
    <w:p w:rsidR="00E85588" w:rsidRPr="00462C0D" w:rsidRDefault="00E85588" w:rsidP="00E85588">
      <w:pPr>
        <w:jc w:val="both"/>
        <w:rPr>
          <w:sz w:val="20"/>
        </w:rPr>
      </w:pPr>
    </w:p>
    <w:p w:rsidR="005C7161" w:rsidRPr="00462C0D" w:rsidRDefault="005C7161" w:rsidP="006A22CA">
      <w:pPr>
        <w:ind w:left="142" w:hanging="142"/>
        <w:jc w:val="both"/>
        <w:rPr>
          <w:sz w:val="20"/>
          <w:lang w:val="fr-CA"/>
        </w:rPr>
      </w:pPr>
    </w:p>
    <w:p w:rsidR="00FD3FA0" w:rsidRPr="00462C0D" w:rsidRDefault="00FD3FA0" w:rsidP="006A22CA">
      <w:pPr>
        <w:ind w:left="142" w:hanging="142"/>
        <w:jc w:val="both"/>
        <w:rPr>
          <w:sz w:val="20"/>
          <w:lang w:val="fr-CA"/>
        </w:rPr>
      </w:pPr>
    </w:p>
    <w:p w:rsidR="00D3344A" w:rsidRPr="00462C0D" w:rsidRDefault="00D3344A" w:rsidP="00D3344A">
      <w:pPr>
        <w:widowControl w:val="0"/>
        <w:outlineLvl w:val="0"/>
      </w:pPr>
      <w:r w:rsidRPr="00462C0D">
        <w:t>Supreme Court of Canada / Cour suprême du Canad</w:t>
      </w:r>
      <w:r w:rsidR="00EE289F" w:rsidRPr="00462C0D">
        <w:t>a</w:t>
      </w:r>
      <w:r w:rsidRPr="00462C0D">
        <w:t xml:space="preserve"> :</w:t>
      </w:r>
    </w:p>
    <w:p w:rsidR="00D3344A" w:rsidRPr="00462C0D" w:rsidRDefault="00462C0D" w:rsidP="00D3344A">
      <w:pPr>
        <w:widowControl w:val="0"/>
        <w:outlineLvl w:val="0"/>
        <w:rPr>
          <w:u w:val="single"/>
        </w:rPr>
      </w:pPr>
      <w:hyperlink r:id="rId25" w:history="1">
        <w:r w:rsidR="009B7391" w:rsidRPr="00462C0D">
          <w:rPr>
            <w:rStyle w:val="Hyperlink"/>
          </w:rPr>
          <w:t>comments-commentaires@scc-csc.ca</w:t>
        </w:r>
      </w:hyperlink>
    </w:p>
    <w:p w:rsidR="00D3344A" w:rsidRPr="00462C0D" w:rsidRDefault="0065588C" w:rsidP="00D3344A">
      <w:pPr>
        <w:widowControl w:val="0"/>
        <w:outlineLvl w:val="0"/>
      </w:pPr>
      <w:r w:rsidRPr="00462C0D">
        <w:t>613-</w:t>
      </w:r>
      <w:r w:rsidR="00D3344A" w:rsidRPr="00462C0D">
        <w:t>995-4330</w:t>
      </w:r>
    </w:p>
    <w:p w:rsidR="00497B5E" w:rsidRPr="00462C0D" w:rsidRDefault="00497B5E" w:rsidP="00497B5E">
      <w:pPr>
        <w:widowControl w:val="0"/>
        <w:rPr>
          <w:sz w:val="20"/>
        </w:rPr>
      </w:pPr>
    </w:p>
    <w:p w:rsidR="00F6251B" w:rsidRPr="006E558B" w:rsidRDefault="003F43E6" w:rsidP="00F6251B">
      <w:pPr>
        <w:pStyle w:val="Footer"/>
        <w:jc w:val="center"/>
      </w:pPr>
      <w:r w:rsidRPr="00462C0D">
        <w:t>- 30 -</w:t>
      </w:r>
      <w:bookmarkStart w:id="0" w:name="_GoBack"/>
      <w:bookmarkEnd w:id="0"/>
    </w:p>
    <w:sectPr w:rsidR="00F6251B" w:rsidRPr="006E558B" w:rsidSect="00E62F93">
      <w:headerReference w:type="even" r:id="rId26"/>
      <w:headerReference w:type="default" r:id="rId27"/>
      <w:footerReference w:type="even" r:id="rId28"/>
      <w:footerReference w:type="default" r:id="rId29"/>
      <w:headerReference w:type="first" r:id="rId30"/>
      <w:footerReference w:type="first" r:id="rId3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DD" w:rsidRDefault="00B352DD" w:rsidP="0034178A">
      <w:r>
        <w:separator/>
      </w:r>
    </w:p>
  </w:endnote>
  <w:endnote w:type="continuationSeparator" w:id="0">
    <w:p w:rsidR="00B352DD" w:rsidRDefault="00B352D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Pr="009F77F0" w:rsidRDefault="00B352D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DD" w:rsidRDefault="00B352DD" w:rsidP="0034178A">
      <w:r>
        <w:separator/>
      </w:r>
    </w:p>
  </w:footnote>
  <w:footnote w:type="continuationSeparator" w:id="0">
    <w:p w:rsidR="00B352DD" w:rsidRDefault="00B352D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DD" w:rsidRDefault="00B3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9"/>
  </w:num>
  <w:num w:numId="15">
    <w:abstractNumId w:val="17"/>
  </w:num>
  <w:num w:numId="16">
    <w:abstractNumId w:val="8"/>
  </w:num>
  <w:num w:numId="17">
    <w:abstractNumId w:val="16"/>
  </w:num>
  <w:num w:numId="18">
    <w:abstractNumId w:val="15"/>
  </w:num>
  <w:num w:numId="19">
    <w:abstractNumId w:val="11"/>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59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77" TargetMode="External"/><Relationship Id="rId13" Type="http://schemas.openxmlformats.org/officeDocument/2006/relationships/hyperlink" Target="https://www.canlii.org/fr/qc/qcca/doc/2020/2020qcca402/2020qcca402.html" TargetMode="External"/><Relationship Id="rId18" Type="http://schemas.openxmlformats.org/officeDocument/2006/relationships/hyperlink" Target="https://www.canlii.org/fr/qc/qccs/doc/2014/2014qccs6535/2014qccs653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fr/qc/qccs/doc/2014/2014qccs6786/2014qccs6786.html" TargetMode="External"/><Relationship Id="rId7" Type="http://schemas.openxmlformats.org/officeDocument/2006/relationships/endnotes" Target="endnotes.xml"/><Relationship Id="rId12" Type="http://schemas.openxmlformats.org/officeDocument/2006/relationships/hyperlink" Target="https://www.canlii.org/fr/qc/qccs/doc/2017/2017qccs4233/2017qccs4233.html" TargetMode="External"/><Relationship Id="rId17" Type="http://schemas.openxmlformats.org/officeDocument/2006/relationships/hyperlink" Target="https://www.canlii.org/fr/qc/qccs/doc/2014/2014qccs6786/2014qccs6786.html"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20/2020qcca402/2020qcca402.html" TargetMode="External"/><Relationship Id="rId20" Type="http://schemas.openxmlformats.org/officeDocument/2006/relationships/hyperlink" Target="https://www.canlii.org/fr/qc/qcca/doc/2018/2018qcca1033/2018qcca1033.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q/doc/2015/2015qccq14534/2015qccq14534.html?autocompleteStr=2015%20qccq%2014534&amp;autocompletePos=1" TargetMode="External"/><Relationship Id="rId24" Type="http://schemas.openxmlformats.org/officeDocument/2006/relationships/hyperlink" Target="https://www.canlii.org/fr/qc/qcca/doc/2018/2018qcca1033/2018qcca103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fr/qc/qccs/doc/2017/2017qccs4233/2017qccs4233.html" TargetMode="External"/><Relationship Id="rId23" Type="http://schemas.openxmlformats.org/officeDocument/2006/relationships/hyperlink" Target="https://www.canlii.org/fr/qc/qccs/doc/2015/2015qccs4027/2015qccs4027.html?autocompleteStr=2015%20qccs%204027&amp;autocompletePos=1" TargetMode="External"/><Relationship Id="rId28" Type="http://schemas.openxmlformats.org/officeDocument/2006/relationships/footer" Target="footer1.xml"/><Relationship Id="rId10" Type="http://schemas.openxmlformats.org/officeDocument/2006/relationships/hyperlink" Target="https://www.scc-csc.ca/case-dossier/info/sum-som-eng.aspx?cas=39154" TargetMode="External"/><Relationship Id="rId19" Type="http://schemas.openxmlformats.org/officeDocument/2006/relationships/hyperlink" Target="https://www.canlii.org/fr/qc/qccs/doc/2015/2015qccs4027/2015qccs4027.html?autocompleteStr=2015%20qccs%204027&amp;autocompletePos=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181" TargetMode="External"/><Relationship Id="rId14" Type="http://schemas.openxmlformats.org/officeDocument/2006/relationships/hyperlink" Target="https://www.canlii.org/fr/qc/qccq/doc/2015/2015qccq14534/2015qccq14534.html?autocompleteStr=2015%20qccq%2014534&amp;autocompletePos=1" TargetMode="External"/><Relationship Id="rId22" Type="http://schemas.openxmlformats.org/officeDocument/2006/relationships/hyperlink" Target="https://www.canlii.org/fr/qc/qccs/doc/2014/2014qccs6535/2014qccs6535.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B1EB-D54B-4168-934D-9AB6DF52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2020-08-28T17:40:00Z</dcterms:modified>
</cp:coreProperties>
</file>