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2527D7" w:rsidRDefault="001C4415" w:rsidP="001C4415">
      <w:pPr>
        <w:pStyle w:val="Header"/>
        <w:jc w:val="center"/>
        <w:rPr>
          <w:b/>
          <w:sz w:val="32"/>
        </w:rPr>
      </w:pPr>
      <w:r w:rsidRPr="002527D7">
        <w:rPr>
          <w:b/>
          <w:sz w:val="32"/>
        </w:rPr>
        <w:t>Supreme Court of Canada / Cour suprême du Canada</w:t>
      </w:r>
    </w:p>
    <w:p w:rsidR="001C4415" w:rsidRPr="002527D7" w:rsidRDefault="001C4415" w:rsidP="001C4415">
      <w:pPr>
        <w:widowControl w:val="0"/>
        <w:rPr>
          <w:i/>
        </w:rPr>
      </w:pPr>
    </w:p>
    <w:p w:rsidR="001C4415" w:rsidRPr="002527D7" w:rsidRDefault="001C4415" w:rsidP="001C4415">
      <w:pPr>
        <w:widowControl w:val="0"/>
        <w:rPr>
          <w:i/>
        </w:rPr>
      </w:pPr>
    </w:p>
    <w:p w:rsidR="001C4415" w:rsidRPr="002527D7" w:rsidRDefault="001C4415" w:rsidP="001C4415">
      <w:pPr>
        <w:widowControl w:val="0"/>
        <w:rPr>
          <w:i/>
        </w:rPr>
      </w:pPr>
      <w:r w:rsidRPr="002527D7">
        <w:rPr>
          <w:i/>
        </w:rPr>
        <w:t>(le français suit)</w:t>
      </w:r>
    </w:p>
    <w:p w:rsidR="001C4415" w:rsidRPr="002527D7" w:rsidRDefault="001C4415" w:rsidP="001C4415">
      <w:pPr>
        <w:widowControl w:val="0"/>
      </w:pPr>
    </w:p>
    <w:p w:rsidR="001C4415" w:rsidRPr="002527D7" w:rsidRDefault="000347C1" w:rsidP="00214729">
      <w:pPr>
        <w:widowControl w:val="0"/>
        <w:jc w:val="center"/>
        <w:rPr>
          <w:b/>
        </w:rPr>
      </w:pPr>
      <w:r w:rsidRPr="002527D7">
        <w:fldChar w:fldCharType="begin"/>
      </w:r>
      <w:r w:rsidR="00FA7412" w:rsidRPr="002527D7">
        <w:instrText xml:space="preserve"> SEQ CHAPTER \h \r 1</w:instrText>
      </w:r>
      <w:r w:rsidRPr="002527D7">
        <w:fldChar w:fldCharType="end"/>
      </w:r>
      <w:r w:rsidR="006545ED" w:rsidRPr="002527D7">
        <w:rPr>
          <w:b/>
        </w:rPr>
        <w:t>REASONS FOR J</w:t>
      </w:r>
      <w:r w:rsidR="00455BB9" w:rsidRPr="002527D7">
        <w:rPr>
          <w:b/>
        </w:rPr>
        <w:t>UDGMENT</w:t>
      </w:r>
      <w:r w:rsidR="00FA7412" w:rsidRPr="002527D7">
        <w:rPr>
          <w:b/>
        </w:rPr>
        <w:t xml:space="preserve"> TO BE RENDERED IN APPEA</w:t>
      </w:r>
      <w:r w:rsidR="00342E49" w:rsidRPr="002527D7">
        <w:rPr>
          <w:b/>
        </w:rPr>
        <w:t>L</w:t>
      </w:r>
    </w:p>
    <w:p w:rsidR="005A7C1B" w:rsidRPr="002527D7" w:rsidRDefault="005A7C1B" w:rsidP="005A7C1B">
      <w:pPr>
        <w:widowControl w:val="0"/>
      </w:pPr>
    </w:p>
    <w:p w:rsidR="00EC79B0" w:rsidRPr="002527D7" w:rsidRDefault="00766CBA" w:rsidP="00EC79B0">
      <w:pPr>
        <w:widowControl w:val="0"/>
        <w:rPr>
          <w:b/>
        </w:rPr>
      </w:pPr>
      <w:r w:rsidRPr="002527D7">
        <w:rPr>
          <w:b/>
        </w:rPr>
        <w:t>September</w:t>
      </w:r>
      <w:r w:rsidR="00C86395" w:rsidRPr="002527D7">
        <w:rPr>
          <w:b/>
        </w:rPr>
        <w:t xml:space="preserve"> </w:t>
      </w:r>
      <w:r w:rsidR="009C7B0C" w:rsidRPr="002527D7">
        <w:rPr>
          <w:b/>
        </w:rPr>
        <w:t>1</w:t>
      </w:r>
      <w:r w:rsidRPr="002527D7">
        <w:rPr>
          <w:b/>
        </w:rPr>
        <w:t>4</w:t>
      </w:r>
      <w:r w:rsidR="00EC79B0" w:rsidRPr="002527D7">
        <w:rPr>
          <w:b/>
        </w:rPr>
        <w:t>, 20</w:t>
      </w:r>
      <w:r w:rsidR="00690520" w:rsidRPr="002527D7">
        <w:rPr>
          <w:b/>
        </w:rPr>
        <w:t>20</w:t>
      </w:r>
    </w:p>
    <w:p w:rsidR="00EC79B0" w:rsidRPr="002527D7" w:rsidRDefault="00EC79B0" w:rsidP="00EC79B0">
      <w:pPr>
        <w:widowControl w:val="0"/>
        <w:rPr>
          <w:b/>
        </w:rPr>
      </w:pPr>
      <w:r w:rsidRPr="002527D7">
        <w:rPr>
          <w:b/>
        </w:rPr>
        <w:t>For immediate release</w:t>
      </w:r>
    </w:p>
    <w:p w:rsidR="00EC79B0" w:rsidRPr="002527D7" w:rsidRDefault="00EC79B0" w:rsidP="00EC79B0">
      <w:pPr>
        <w:widowControl w:val="0"/>
      </w:pPr>
    </w:p>
    <w:p w:rsidR="00EC79B0" w:rsidRPr="002527D7" w:rsidRDefault="00EC79B0" w:rsidP="00EC79B0">
      <w:pPr>
        <w:widowControl w:val="0"/>
        <w:rPr>
          <w:lang w:val="fr-CA"/>
        </w:rPr>
      </w:pPr>
      <w:r w:rsidRPr="002527D7">
        <w:rPr>
          <w:b/>
        </w:rPr>
        <w:t>OTTAWA</w:t>
      </w:r>
      <w:r w:rsidRPr="002527D7">
        <w:t xml:space="preserve"> –</w:t>
      </w:r>
      <w:r w:rsidR="00C73BB2" w:rsidRPr="002527D7">
        <w:t xml:space="preserve"> On </w:t>
      </w:r>
      <w:r w:rsidR="009C7B0C" w:rsidRPr="002527D7">
        <w:t>November</w:t>
      </w:r>
      <w:r w:rsidR="00C73BB2" w:rsidRPr="002527D7">
        <w:t xml:space="preserve"> </w:t>
      </w:r>
      <w:r w:rsidR="00782B59" w:rsidRPr="002527D7">
        <w:t>14</w:t>
      </w:r>
      <w:r w:rsidR="00C73BB2" w:rsidRPr="002527D7">
        <w:t>, 201</w:t>
      </w:r>
      <w:r w:rsidR="0043481E" w:rsidRPr="002527D7">
        <w:t>9</w:t>
      </w:r>
      <w:r w:rsidR="00C73BB2" w:rsidRPr="002527D7">
        <w:t xml:space="preserve">, the Supreme Court of Canada </w:t>
      </w:r>
      <w:r w:rsidR="00782B59" w:rsidRPr="002527D7">
        <w:t>allowed</w:t>
      </w:r>
      <w:r w:rsidR="00C73BB2" w:rsidRPr="002527D7">
        <w:t xml:space="preserve"> the appeal with reasons to follow in the following appeal. The reasons for judgment will be delivered at 9:45 a.m. E</w:t>
      </w:r>
      <w:r w:rsidR="00690520" w:rsidRPr="002527D7">
        <w:t>D</w:t>
      </w:r>
      <w:r w:rsidR="00C73BB2" w:rsidRPr="002527D7">
        <w:t xml:space="preserve">T on </w:t>
      </w:r>
      <w:r w:rsidR="009C7B0C" w:rsidRPr="002527D7">
        <w:t>Friday</w:t>
      </w:r>
      <w:r w:rsidR="00C73BB2" w:rsidRPr="002527D7">
        <w:t xml:space="preserve">, </w:t>
      </w:r>
      <w:r w:rsidR="00782B59" w:rsidRPr="002527D7">
        <w:t>September</w:t>
      </w:r>
      <w:r w:rsidR="00C73BB2" w:rsidRPr="002527D7">
        <w:t xml:space="preserve"> </w:t>
      </w:r>
      <w:r w:rsidR="009C7B0C" w:rsidRPr="002527D7">
        <w:t>1</w:t>
      </w:r>
      <w:r w:rsidR="00782B59" w:rsidRPr="002527D7">
        <w:t>8</w:t>
      </w:r>
      <w:r w:rsidR="00C73BB2" w:rsidRPr="002527D7">
        <w:t>, 20</w:t>
      </w:r>
      <w:r w:rsidR="00690520" w:rsidRPr="002527D7">
        <w:t>20</w:t>
      </w:r>
      <w:r w:rsidR="00C73BB2" w:rsidRPr="002527D7">
        <w:t xml:space="preserve">. </w:t>
      </w:r>
      <w:r w:rsidR="00C73BB2" w:rsidRPr="002527D7">
        <w:rPr>
          <w:lang w:val="fr-CA"/>
        </w:rPr>
        <w:t>T</w:t>
      </w:r>
      <w:r w:rsidR="00455BB9" w:rsidRPr="002527D7">
        <w:rPr>
          <w:lang w:val="fr-CA"/>
        </w:rPr>
        <w:t>his</w:t>
      </w:r>
      <w:r w:rsidRPr="002527D7">
        <w:rPr>
          <w:lang w:val="fr-CA"/>
        </w:rPr>
        <w:t xml:space="preserve"> list is subject to change.</w:t>
      </w:r>
    </w:p>
    <w:p w:rsidR="001C4415" w:rsidRPr="002527D7" w:rsidRDefault="001C4415" w:rsidP="001C4415">
      <w:pPr>
        <w:widowControl w:val="0"/>
        <w:rPr>
          <w:lang w:val="fr-CA"/>
        </w:rPr>
      </w:pPr>
    </w:p>
    <w:p w:rsidR="00AB491A" w:rsidRPr="002527D7" w:rsidRDefault="00AB491A" w:rsidP="001C4415">
      <w:pPr>
        <w:widowControl w:val="0"/>
        <w:rPr>
          <w:lang w:val="fr-CA"/>
        </w:rPr>
      </w:pPr>
    </w:p>
    <w:p w:rsidR="001335A1" w:rsidRPr="002527D7" w:rsidRDefault="001335A1" w:rsidP="001335A1">
      <w:pPr>
        <w:widowControl w:val="0"/>
        <w:jc w:val="center"/>
        <w:rPr>
          <w:b/>
          <w:lang w:val="fr-CA"/>
        </w:rPr>
      </w:pPr>
      <w:r w:rsidRPr="002527D7">
        <w:rPr>
          <w:b/>
          <w:lang w:val="fr-CA"/>
        </w:rPr>
        <w:t>PROCHAIN</w:t>
      </w:r>
      <w:r w:rsidR="006545ED" w:rsidRPr="002527D7">
        <w:rPr>
          <w:b/>
          <w:lang w:val="fr-CA"/>
        </w:rPr>
        <w:t>S MOTIFS DE</w:t>
      </w:r>
      <w:r w:rsidRPr="002527D7">
        <w:rPr>
          <w:b/>
          <w:lang w:val="fr-CA"/>
        </w:rPr>
        <w:t xml:space="preserve"> JUGEMENT</w:t>
      </w:r>
      <w:r w:rsidR="00455BB9" w:rsidRPr="002527D7">
        <w:rPr>
          <w:b/>
          <w:lang w:val="fr-CA"/>
        </w:rPr>
        <w:t xml:space="preserve"> SUR APPEL</w:t>
      </w:r>
    </w:p>
    <w:p w:rsidR="001335A1" w:rsidRPr="002527D7" w:rsidRDefault="001335A1" w:rsidP="001335A1">
      <w:pPr>
        <w:widowControl w:val="0"/>
        <w:rPr>
          <w:lang w:val="fr-CA"/>
        </w:rPr>
      </w:pPr>
    </w:p>
    <w:p w:rsidR="00EC79B0" w:rsidRPr="002527D7" w:rsidRDefault="00EC79B0" w:rsidP="00EC79B0">
      <w:pPr>
        <w:widowControl w:val="0"/>
        <w:rPr>
          <w:b/>
          <w:lang w:val="fr-CA"/>
        </w:rPr>
      </w:pPr>
      <w:r w:rsidRPr="002527D7">
        <w:rPr>
          <w:b/>
          <w:lang w:val="fr-CA"/>
        </w:rPr>
        <w:t xml:space="preserve">Le </w:t>
      </w:r>
      <w:r w:rsidR="009C7B0C" w:rsidRPr="002527D7">
        <w:rPr>
          <w:b/>
          <w:lang w:val="fr-CA"/>
        </w:rPr>
        <w:t>1</w:t>
      </w:r>
      <w:r w:rsidR="00766CBA" w:rsidRPr="002527D7">
        <w:rPr>
          <w:b/>
          <w:lang w:val="fr-CA"/>
        </w:rPr>
        <w:t>4</w:t>
      </w:r>
      <w:r w:rsidR="009C7B0C" w:rsidRPr="002527D7">
        <w:rPr>
          <w:b/>
          <w:lang w:val="fr-CA"/>
        </w:rPr>
        <w:t xml:space="preserve"> </w:t>
      </w:r>
      <w:r w:rsidR="00766CBA" w:rsidRPr="002527D7">
        <w:rPr>
          <w:b/>
          <w:lang w:val="fr-CA"/>
        </w:rPr>
        <w:t>septembre</w:t>
      </w:r>
      <w:r w:rsidR="00C86395" w:rsidRPr="002527D7">
        <w:rPr>
          <w:b/>
          <w:lang w:val="fr-CA"/>
        </w:rPr>
        <w:t xml:space="preserve"> </w:t>
      </w:r>
      <w:r w:rsidR="0086609D" w:rsidRPr="002527D7">
        <w:rPr>
          <w:b/>
          <w:lang w:val="fr-CA"/>
        </w:rPr>
        <w:t>20</w:t>
      </w:r>
      <w:r w:rsidR="00690520" w:rsidRPr="002527D7">
        <w:rPr>
          <w:b/>
          <w:lang w:val="fr-CA"/>
        </w:rPr>
        <w:t>20</w:t>
      </w:r>
    </w:p>
    <w:p w:rsidR="00EC79B0" w:rsidRPr="002527D7" w:rsidRDefault="00EC79B0" w:rsidP="00EC79B0">
      <w:pPr>
        <w:widowControl w:val="0"/>
        <w:rPr>
          <w:b/>
          <w:lang w:val="fr-CA"/>
        </w:rPr>
      </w:pPr>
      <w:r w:rsidRPr="002527D7">
        <w:rPr>
          <w:b/>
          <w:lang w:val="fr-CA"/>
        </w:rPr>
        <w:t>Pour diffusion immédiate</w:t>
      </w:r>
    </w:p>
    <w:p w:rsidR="00EC79B0" w:rsidRPr="002527D7" w:rsidRDefault="00EC79B0" w:rsidP="00EC79B0">
      <w:pPr>
        <w:widowControl w:val="0"/>
        <w:rPr>
          <w:lang w:val="fr-CA"/>
        </w:rPr>
      </w:pPr>
    </w:p>
    <w:p w:rsidR="00EC79B0" w:rsidRPr="002527D7" w:rsidRDefault="00EC79B0" w:rsidP="00EC79B0">
      <w:pPr>
        <w:widowControl w:val="0"/>
        <w:rPr>
          <w:lang w:val="fr-CA"/>
        </w:rPr>
      </w:pPr>
      <w:r w:rsidRPr="002527D7">
        <w:rPr>
          <w:b/>
          <w:lang w:val="fr-CA"/>
        </w:rPr>
        <w:t>OTTAWA</w:t>
      </w:r>
      <w:r w:rsidR="00C73BB2" w:rsidRPr="002527D7">
        <w:rPr>
          <w:lang w:val="fr-CA"/>
        </w:rPr>
        <w:t xml:space="preserve"> – Le </w:t>
      </w:r>
      <w:r w:rsidR="00782B59" w:rsidRPr="002527D7">
        <w:rPr>
          <w:lang w:val="fr-CA"/>
        </w:rPr>
        <w:t>14</w:t>
      </w:r>
      <w:r w:rsidR="00C73BB2" w:rsidRPr="002527D7">
        <w:rPr>
          <w:lang w:val="fr-CA"/>
        </w:rPr>
        <w:t xml:space="preserve"> </w:t>
      </w:r>
      <w:r w:rsidR="009C7B0C" w:rsidRPr="002527D7">
        <w:rPr>
          <w:lang w:val="fr-CA"/>
        </w:rPr>
        <w:t>novembre</w:t>
      </w:r>
      <w:r w:rsidR="00C73BB2" w:rsidRPr="002527D7">
        <w:rPr>
          <w:lang w:val="fr-CA"/>
        </w:rPr>
        <w:t xml:space="preserve"> 201</w:t>
      </w:r>
      <w:r w:rsidR="0043481E" w:rsidRPr="002527D7">
        <w:rPr>
          <w:lang w:val="fr-CA"/>
        </w:rPr>
        <w:t>9</w:t>
      </w:r>
      <w:r w:rsidR="00C73BB2" w:rsidRPr="002527D7">
        <w:rPr>
          <w:lang w:val="fr-CA"/>
        </w:rPr>
        <w:t xml:space="preserve">, la Cour suprême du Canada a </w:t>
      </w:r>
      <w:r w:rsidR="00782B59" w:rsidRPr="002527D7">
        <w:rPr>
          <w:lang w:val="fr-CA"/>
        </w:rPr>
        <w:t xml:space="preserve">accueilli </w:t>
      </w:r>
      <w:r w:rsidR="00C73BB2" w:rsidRPr="002527D7">
        <w:rPr>
          <w:lang w:val="fr-CA"/>
        </w:rPr>
        <w:t>l’appel</w:t>
      </w:r>
      <w:r w:rsidR="00DB5074" w:rsidRPr="002527D7">
        <w:rPr>
          <w:lang w:val="fr-CA"/>
        </w:rPr>
        <w:t xml:space="preserve"> avec</w:t>
      </w:r>
      <w:r w:rsidR="00C73BB2" w:rsidRPr="002527D7">
        <w:rPr>
          <w:lang w:val="fr-CA"/>
        </w:rPr>
        <w:t xml:space="preserve"> motifs à suivre </w:t>
      </w:r>
      <w:r w:rsidR="00C73BB2" w:rsidRPr="002527D7">
        <w:rPr>
          <w:szCs w:val="24"/>
          <w:lang w:val="fr-CA"/>
        </w:rPr>
        <w:t>dans</w:t>
      </w:r>
      <w:r w:rsidR="001A02D9" w:rsidRPr="002527D7">
        <w:rPr>
          <w:szCs w:val="24"/>
          <w:lang w:val="fr-CA"/>
        </w:rPr>
        <w:t xml:space="preserve"> l’</w:t>
      </w:r>
      <w:r w:rsidR="00C73BB2" w:rsidRPr="002527D7">
        <w:rPr>
          <w:szCs w:val="24"/>
          <w:lang w:val="fr-CA"/>
        </w:rPr>
        <w:t>appel</w:t>
      </w:r>
      <w:r w:rsidR="00C73BB2" w:rsidRPr="002527D7">
        <w:rPr>
          <w:lang w:val="fr-CA"/>
        </w:rPr>
        <w:t xml:space="preserve"> suivant. Ses motifs</w:t>
      </w:r>
      <w:r w:rsidR="006F57A6" w:rsidRPr="002527D7">
        <w:rPr>
          <w:lang w:val="fr-CA"/>
        </w:rPr>
        <w:t xml:space="preserve"> de jugement seront déposés le </w:t>
      </w:r>
      <w:r w:rsidR="009C7B0C" w:rsidRPr="002527D7">
        <w:rPr>
          <w:lang w:val="fr-CA"/>
        </w:rPr>
        <w:t>v</w:t>
      </w:r>
      <w:r w:rsidR="006F57A6" w:rsidRPr="002527D7">
        <w:rPr>
          <w:lang w:val="fr-CA"/>
        </w:rPr>
        <w:t>e</w:t>
      </w:r>
      <w:r w:rsidR="009C7B0C" w:rsidRPr="002527D7">
        <w:rPr>
          <w:lang w:val="fr-CA"/>
        </w:rPr>
        <w:t>ndre</w:t>
      </w:r>
      <w:r w:rsidR="006F57A6" w:rsidRPr="002527D7">
        <w:rPr>
          <w:lang w:val="fr-CA"/>
        </w:rPr>
        <w:t>di</w:t>
      </w:r>
      <w:r w:rsidR="00C73BB2" w:rsidRPr="002527D7">
        <w:rPr>
          <w:lang w:val="fr-CA"/>
        </w:rPr>
        <w:t xml:space="preserve"> </w:t>
      </w:r>
      <w:r w:rsidR="009C7B0C" w:rsidRPr="002527D7">
        <w:rPr>
          <w:lang w:val="fr-CA"/>
        </w:rPr>
        <w:t>1</w:t>
      </w:r>
      <w:r w:rsidR="00782B59" w:rsidRPr="002527D7">
        <w:rPr>
          <w:lang w:val="fr-CA"/>
        </w:rPr>
        <w:t>8</w:t>
      </w:r>
      <w:r w:rsidR="00C73BB2" w:rsidRPr="002527D7">
        <w:rPr>
          <w:lang w:val="fr-CA"/>
        </w:rPr>
        <w:t xml:space="preserve"> </w:t>
      </w:r>
      <w:r w:rsidR="00782B59" w:rsidRPr="002527D7">
        <w:rPr>
          <w:lang w:val="fr-CA"/>
        </w:rPr>
        <w:t>septembre</w:t>
      </w:r>
      <w:r w:rsidR="00C73BB2" w:rsidRPr="002527D7">
        <w:rPr>
          <w:lang w:val="fr-CA"/>
        </w:rPr>
        <w:t xml:space="preserve"> 20</w:t>
      </w:r>
      <w:r w:rsidR="00690520" w:rsidRPr="002527D7">
        <w:rPr>
          <w:lang w:val="fr-CA"/>
        </w:rPr>
        <w:t>20</w:t>
      </w:r>
      <w:r w:rsidR="00C73BB2" w:rsidRPr="002527D7">
        <w:rPr>
          <w:lang w:val="fr-CA"/>
        </w:rPr>
        <w:t>, à 9 h 45 H</w:t>
      </w:r>
      <w:r w:rsidR="00690520" w:rsidRPr="002527D7">
        <w:rPr>
          <w:lang w:val="fr-CA"/>
        </w:rPr>
        <w:t>A</w:t>
      </w:r>
      <w:r w:rsidR="00C73BB2" w:rsidRPr="002527D7">
        <w:rPr>
          <w:lang w:val="fr-CA"/>
        </w:rPr>
        <w:t xml:space="preserve">E. </w:t>
      </w:r>
      <w:r w:rsidRPr="002527D7">
        <w:rPr>
          <w:lang w:val="fr-CA"/>
        </w:rPr>
        <w:t>Cette liste est sujette à modifications.</w:t>
      </w:r>
    </w:p>
    <w:p w:rsidR="001335A1" w:rsidRPr="002527D7" w:rsidRDefault="001335A1" w:rsidP="001335A1">
      <w:pPr>
        <w:widowControl w:val="0"/>
        <w:rPr>
          <w:szCs w:val="24"/>
          <w:lang w:val="fr-CA"/>
        </w:rPr>
      </w:pPr>
    </w:p>
    <w:p w:rsidR="0043481E" w:rsidRPr="002527D7" w:rsidRDefault="002527D7" w:rsidP="001335A1">
      <w:pPr>
        <w:widowControl w:val="0"/>
        <w:rPr>
          <w:szCs w:val="24"/>
          <w:lang w:val="fr-CA"/>
        </w:rPr>
      </w:pPr>
      <w:r w:rsidRPr="002527D7">
        <w:rPr>
          <w:sz w:val="20"/>
        </w:rPr>
        <w:pict>
          <v:rect id="_x0000_i1025" style="width:2in;height:1pt" o:hrpct="0" o:hralign="center" o:hrstd="t" o:hrnoshade="t" o:hr="t" fillcolor="black [3213]" stroked="f"/>
        </w:pict>
      </w:r>
    </w:p>
    <w:p w:rsidR="001335A1" w:rsidRPr="002527D7" w:rsidRDefault="001335A1" w:rsidP="001335A1">
      <w:pPr>
        <w:widowControl w:val="0"/>
        <w:rPr>
          <w:szCs w:val="24"/>
          <w:lang w:val="fr-CA"/>
        </w:rPr>
      </w:pPr>
    </w:p>
    <w:p w:rsidR="00782B59" w:rsidRPr="002527D7" w:rsidRDefault="00782B59" w:rsidP="00782B59">
      <w:pPr>
        <w:widowControl w:val="0"/>
        <w:rPr>
          <w:szCs w:val="24"/>
        </w:rPr>
      </w:pPr>
      <w:r w:rsidRPr="002527D7">
        <w:rPr>
          <w:i/>
          <w:iCs/>
          <w:szCs w:val="24"/>
          <w:lang w:val="fr-CA"/>
        </w:rPr>
        <w:t>Danelle Michel v. Sean Graydon</w:t>
      </w:r>
      <w:r w:rsidRPr="002527D7">
        <w:rPr>
          <w:szCs w:val="24"/>
          <w:lang w:val="fr-CA"/>
        </w:rPr>
        <w:t xml:space="preserve"> (B.C.) </w:t>
      </w:r>
      <w:r w:rsidRPr="002527D7">
        <w:rPr>
          <w:szCs w:val="24"/>
        </w:rPr>
        <w:t>(</w:t>
      </w:r>
      <w:hyperlink r:id="rId7" w:history="1">
        <w:r w:rsidRPr="002527D7">
          <w:rPr>
            <w:rStyle w:val="Hyperlink"/>
            <w:szCs w:val="24"/>
          </w:rPr>
          <w:t>38498</w:t>
        </w:r>
      </w:hyperlink>
      <w:r w:rsidRPr="002527D7">
        <w:rPr>
          <w:szCs w:val="24"/>
        </w:rPr>
        <w:t>)</w:t>
      </w:r>
    </w:p>
    <w:p w:rsidR="009C7B0C" w:rsidRPr="002527D7" w:rsidRDefault="009C7B0C" w:rsidP="00340C6D">
      <w:pPr>
        <w:jc w:val="both"/>
        <w:rPr>
          <w:sz w:val="20"/>
        </w:rPr>
      </w:pPr>
    </w:p>
    <w:p w:rsidR="00782B59" w:rsidRPr="002527D7" w:rsidRDefault="00782B59" w:rsidP="00340C6D">
      <w:pPr>
        <w:jc w:val="both"/>
        <w:rPr>
          <w:sz w:val="20"/>
        </w:rPr>
      </w:pPr>
    </w:p>
    <w:p w:rsidR="00782B59" w:rsidRPr="002527D7" w:rsidRDefault="00782B59" w:rsidP="008C22AD">
      <w:pPr>
        <w:widowControl w:val="0"/>
        <w:ind w:left="720" w:hanging="720"/>
        <w:jc w:val="both"/>
        <w:rPr>
          <w:b/>
          <w:i/>
          <w:sz w:val="20"/>
          <w:lang w:val="en-CA"/>
        </w:rPr>
      </w:pPr>
      <w:r w:rsidRPr="002527D7">
        <w:rPr>
          <w:b/>
          <w:sz w:val="20"/>
          <w:lang w:val="en-CA"/>
        </w:rPr>
        <w:fldChar w:fldCharType="begin"/>
      </w:r>
      <w:r w:rsidRPr="002527D7">
        <w:rPr>
          <w:b/>
          <w:sz w:val="20"/>
          <w:lang w:val="en-CA"/>
        </w:rPr>
        <w:instrText xml:space="preserve"> SEQ CHAPTER \h \r 1</w:instrText>
      </w:r>
      <w:r w:rsidRPr="002527D7">
        <w:rPr>
          <w:b/>
          <w:sz w:val="20"/>
        </w:rPr>
        <w:fldChar w:fldCharType="end"/>
      </w:r>
      <w:r w:rsidRPr="002527D7">
        <w:rPr>
          <w:b/>
          <w:sz w:val="20"/>
          <w:lang w:val="en-CA"/>
        </w:rPr>
        <w:t>38498</w:t>
      </w:r>
      <w:r w:rsidRPr="002527D7">
        <w:rPr>
          <w:b/>
          <w:sz w:val="20"/>
          <w:lang w:val="en-CA"/>
        </w:rPr>
        <w:tab/>
      </w:r>
      <w:r w:rsidRPr="002527D7">
        <w:rPr>
          <w:b/>
          <w:i/>
          <w:sz w:val="20"/>
        </w:rPr>
        <w:t>Danelle</w:t>
      </w:r>
      <w:r w:rsidRPr="002527D7">
        <w:rPr>
          <w:b/>
          <w:i/>
          <w:sz w:val="20"/>
          <w:lang w:val="en-CA"/>
        </w:rPr>
        <w:t xml:space="preserve"> Michel v. Sean Graydon</w:t>
      </w:r>
    </w:p>
    <w:p w:rsidR="00782B59" w:rsidRPr="002527D7" w:rsidRDefault="00782B59" w:rsidP="008C22AD">
      <w:pPr>
        <w:widowControl w:val="0"/>
        <w:ind w:left="720" w:hanging="720"/>
        <w:jc w:val="both"/>
        <w:rPr>
          <w:sz w:val="20"/>
        </w:rPr>
      </w:pPr>
      <w:r w:rsidRPr="002527D7">
        <w:rPr>
          <w:sz w:val="20"/>
          <w:lang w:val="en-CA"/>
        </w:rPr>
        <w:tab/>
      </w:r>
      <w:r w:rsidRPr="002527D7">
        <w:rPr>
          <w:sz w:val="20"/>
        </w:rPr>
        <w:t>(B.C.) (Civil) (By Leave)</w:t>
      </w:r>
    </w:p>
    <w:p w:rsidR="00782B59" w:rsidRPr="002527D7" w:rsidRDefault="00782B59" w:rsidP="00E9463C">
      <w:pPr>
        <w:pStyle w:val="SCCBanSummary"/>
        <w:rPr>
          <w:sz w:val="20"/>
          <w:szCs w:val="20"/>
        </w:rPr>
      </w:pPr>
    </w:p>
    <w:p w:rsidR="00782B59" w:rsidRPr="002527D7" w:rsidRDefault="00782B59" w:rsidP="00E9463C">
      <w:pPr>
        <w:pStyle w:val="SCCBanSummary"/>
        <w:rPr>
          <w:sz w:val="20"/>
          <w:szCs w:val="20"/>
        </w:rPr>
      </w:pPr>
      <w:r w:rsidRPr="002527D7">
        <w:rPr>
          <w:sz w:val="20"/>
          <w:szCs w:val="20"/>
        </w:rPr>
        <w:t>(Court file contains information that is not available for inspection by the public)</w:t>
      </w:r>
    </w:p>
    <w:p w:rsidR="00782B59" w:rsidRPr="002527D7" w:rsidRDefault="00782B59">
      <w:pPr>
        <w:widowControl w:val="0"/>
        <w:jc w:val="both"/>
        <w:rPr>
          <w:sz w:val="20"/>
          <w:lang w:val="en-CA"/>
        </w:rPr>
      </w:pPr>
    </w:p>
    <w:p w:rsidR="00782B59" w:rsidRPr="002527D7" w:rsidRDefault="00782B59">
      <w:pPr>
        <w:widowControl w:val="0"/>
        <w:jc w:val="both"/>
        <w:rPr>
          <w:sz w:val="20"/>
        </w:rPr>
      </w:pPr>
      <w:r w:rsidRPr="002527D7">
        <w:rPr>
          <w:sz w:val="20"/>
        </w:rPr>
        <w:t>Family law - Support - Child support - Retroactive support - Mother of child seeking retroactive variation of child support for child who was adult at time of application - Whether a court has jurisdiction to make a retroactive child support award where the application is made after child has ceased to be child of marriage.</w:t>
      </w:r>
    </w:p>
    <w:p w:rsidR="00782B59" w:rsidRPr="002527D7" w:rsidRDefault="00782B59">
      <w:pPr>
        <w:widowControl w:val="0"/>
        <w:jc w:val="both"/>
        <w:rPr>
          <w:sz w:val="20"/>
        </w:rPr>
      </w:pPr>
    </w:p>
    <w:p w:rsidR="00782B59" w:rsidRPr="002527D7" w:rsidRDefault="00782B59" w:rsidP="008C22AD">
      <w:pPr>
        <w:jc w:val="both"/>
        <w:rPr>
          <w:sz w:val="20"/>
        </w:rPr>
      </w:pPr>
      <w:r w:rsidRPr="002527D7">
        <w:rPr>
          <w:sz w:val="20"/>
        </w:rPr>
        <w:t xml:space="preserve">The appellant and respondent resided with one another as common law spouses from 1990 until 1994. Their daughter, A.G., was born in 1991. When the relationship ended, A.G. lived with Ms. Michel. Child support was originally dealt with by way of a Provincial Court order that was subsequently subject to a consent variation order in March, 2001, whereby Mr. Graydon agreed to pay child support in the amount of $341 per month, based on his </w:t>
      </w:r>
      <w:r w:rsidRPr="002527D7">
        <w:rPr>
          <w:i/>
          <w:sz w:val="20"/>
        </w:rPr>
        <w:t>Federal Child Support Guidelines</w:t>
      </w:r>
      <w:r w:rsidRPr="002527D7">
        <w:rPr>
          <w:sz w:val="20"/>
        </w:rPr>
        <w:t xml:space="preserve">, SOR/97-175 income. Mr. Graydon refused Ms. Michel’s request at the time for an annual review of the child support amount and no review was conducted during the period that A.G. was a child. In 2012, Mr. Graydon obtained an order cancelling the child support on the ground that A.G. had reached the age of majority, had completed a certificate program and was working. In 2015, Ms. Michel applied for a retroactive increase of child support back to 2001 pursuant to s. 152 of the </w:t>
      </w:r>
      <w:r w:rsidRPr="002527D7">
        <w:rPr>
          <w:i/>
          <w:sz w:val="20"/>
        </w:rPr>
        <w:t>Family Law Act</w:t>
      </w:r>
      <w:r w:rsidRPr="002527D7">
        <w:rPr>
          <w:sz w:val="20"/>
        </w:rPr>
        <w:t xml:space="preserve">, S.B.C. 2011, </w:t>
      </w:r>
      <w:proofErr w:type="gramStart"/>
      <w:r w:rsidRPr="002527D7">
        <w:rPr>
          <w:sz w:val="20"/>
        </w:rPr>
        <w:t>c</w:t>
      </w:r>
      <w:proofErr w:type="gramEnd"/>
      <w:r w:rsidRPr="002527D7">
        <w:rPr>
          <w:sz w:val="20"/>
        </w:rPr>
        <w:t>. 25. Mr. Graydon contested the jurisdiction of the court to make such an order on the basis that A.G. was not a “child of the marriage”. At the time the application was heard in Provincial Court, A.G. was 24 years of age. The trial judge concluded that Mr. Graydon was obliged to pay $23,000 in retroactive child support. This decision was overturned on appeal. Ms. Michel’s appeal was dismissed.</w:t>
      </w:r>
    </w:p>
    <w:p w:rsidR="00782B59" w:rsidRPr="002527D7" w:rsidRDefault="00782B59" w:rsidP="008C22AD">
      <w:pPr>
        <w:jc w:val="both"/>
        <w:rPr>
          <w:sz w:val="20"/>
        </w:rPr>
      </w:pPr>
    </w:p>
    <w:p w:rsidR="00782B59" w:rsidRPr="002527D7" w:rsidRDefault="002527D7" w:rsidP="008C22AD">
      <w:pPr>
        <w:jc w:val="both"/>
        <w:rPr>
          <w:sz w:val="20"/>
        </w:rPr>
      </w:pPr>
      <w:r w:rsidRPr="002527D7">
        <w:rPr>
          <w:sz w:val="20"/>
        </w:rPr>
        <w:pict>
          <v:rect id="_x0000_i1026" style="width:2in;height:1pt" o:hrpct="0" o:hralign="center" o:hrstd="t" o:hrnoshade="t" o:hr="t" fillcolor="black [3213]" stroked="f"/>
        </w:pict>
      </w:r>
    </w:p>
    <w:p w:rsidR="00782B59" w:rsidRPr="002527D7" w:rsidRDefault="00782B59" w:rsidP="008C22AD">
      <w:pPr>
        <w:jc w:val="both"/>
        <w:rPr>
          <w:sz w:val="20"/>
        </w:rPr>
      </w:pPr>
    </w:p>
    <w:p w:rsidR="00782B59" w:rsidRPr="002527D7" w:rsidRDefault="00782B59" w:rsidP="00782B59">
      <w:pPr>
        <w:pStyle w:val="SCCLsocParty"/>
        <w:rPr>
          <w:sz w:val="20"/>
          <w:szCs w:val="20"/>
        </w:rPr>
      </w:pPr>
      <w:r w:rsidRPr="002527D7">
        <w:rPr>
          <w:rStyle w:val="SCCFileNumberChar"/>
          <w:i w:val="0"/>
          <w:sz w:val="20"/>
          <w:szCs w:val="20"/>
          <w:lang w:val="fr-CA"/>
        </w:rPr>
        <w:t>38498</w:t>
      </w:r>
      <w:r w:rsidRPr="002527D7">
        <w:rPr>
          <w:rStyle w:val="SCCFileNumberChar"/>
          <w:i w:val="0"/>
          <w:sz w:val="20"/>
          <w:szCs w:val="20"/>
          <w:lang w:val="fr-CA"/>
        </w:rPr>
        <w:tab/>
      </w:r>
      <w:r w:rsidRPr="002527D7">
        <w:rPr>
          <w:b/>
          <w:sz w:val="20"/>
          <w:szCs w:val="20"/>
        </w:rPr>
        <w:t>Danelle Michel c. Sean Graydon</w:t>
      </w:r>
    </w:p>
    <w:p w:rsidR="00782B59" w:rsidRPr="002527D7" w:rsidRDefault="00782B59" w:rsidP="00782B59">
      <w:pPr>
        <w:ind w:left="360" w:firstLine="360"/>
        <w:jc w:val="both"/>
        <w:rPr>
          <w:sz w:val="20"/>
          <w:lang w:val="fr-CA"/>
        </w:rPr>
      </w:pPr>
      <w:r w:rsidRPr="002527D7">
        <w:rPr>
          <w:sz w:val="20"/>
          <w:lang w:val="fr-CA"/>
        </w:rPr>
        <w:t>(C.</w:t>
      </w:r>
      <w:r w:rsidRPr="002527D7">
        <w:rPr>
          <w:sz w:val="20"/>
          <w:lang w:val="fr-CA"/>
        </w:rPr>
        <w:noBreakHyphen/>
        <w:t>B.) (Civile) (Autorisation)</w:t>
      </w:r>
    </w:p>
    <w:p w:rsidR="00782B59" w:rsidRPr="002527D7" w:rsidRDefault="00782B59" w:rsidP="008C22AD">
      <w:pPr>
        <w:jc w:val="both"/>
        <w:rPr>
          <w:sz w:val="20"/>
          <w:lang w:val="fr-CA"/>
        </w:rPr>
      </w:pPr>
    </w:p>
    <w:p w:rsidR="00782B59" w:rsidRPr="002527D7" w:rsidRDefault="00782B59" w:rsidP="00782B59">
      <w:pPr>
        <w:pStyle w:val="SCCBanSummary"/>
        <w:rPr>
          <w:sz w:val="20"/>
          <w:szCs w:val="20"/>
          <w:lang w:val="fr-CA"/>
        </w:rPr>
      </w:pPr>
      <w:r w:rsidRPr="002527D7">
        <w:rPr>
          <w:sz w:val="20"/>
          <w:szCs w:val="20"/>
          <w:lang w:val="fr-CA"/>
        </w:rPr>
        <w:t>(Le dossier de la Cour renferme des données que le public n’est pas autorisé à consulter)</w:t>
      </w:r>
    </w:p>
    <w:p w:rsidR="00782B59" w:rsidRPr="002527D7" w:rsidRDefault="00782B59" w:rsidP="00782B59">
      <w:pPr>
        <w:rPr>
          <w:sz w:val="20"/>
          <w:lang w:val="fr-CA"/>
        </w:rPr>
      </w:pPr>
    </w:p>
    <w:p w:rsidR="00782B59" w:rsidRPr="002527D7" w:rsidRDefault="00782B59" w:rsidP="00782B59">
      <w:pPr>
        <w:jc w:val="both"/>
        <w:rPr>
          <w:sz w:val="20"/>
          <w:lang w:val="fr-CA"/>
        </w:rPr>
      </w:pPr>
      <w:r w:rsidRPr="002527D7">
        <w:rPr>
          <w:sz w:val="20"/>
          <w:lang w:val="fr-CA"/>
        </w:rPr>
        <w:t>Droit de la famille - Aliments - Pension alimentaire pour enfants - Pension alimentaire rétroactive - La mère demande la modification rétroactive de la pension alimentaire pour une enfant qui était adulte au moment de la demande - Un tribunal a</w:t>
      </w:r>
      <w:r w:rsidRPr="002527D7">
        <w:rPr>
          <w:sz w:val="20"/>
          <w:lang w:val="fr-CA"/>
        </w:rPr>
        <w:noBreakHyphen/>
        <w:t>t</w:t>
      </w:r>
      <w:r w:rsidRPr="002527D7">
        <w:rPr>
          <w:sz w:val="20"/>
          <w:lang w:val="fr-CA"/>
        </w:rPr>
        <w:noBreakHyphen/>
        <w:t xml:space="preserve">il compétence pour </w:t>
      </w:r>
      <w:r w:rsidRPr="002527D7">
        <w:rPr>
          <w:iCs/>
          <w:sz w:val="20"/>
          <w:lang w:val="fr-CA"/>
        </w:rPr>
        <w:t xml:space="preserve">rendre une ordonnance alimentaire rétroactive au profit d’une enfant </w:t>
      </w:r>
      <w:r w:rsidRPr="002527D7">
        <w:rPr>
          <w:sz w:val="20"/>
          <w:lang w:val="fr-CA"/>
        </w:rPr>
        <w:t>lorsque la demande est faite après que l’enfant a cessé d’être une enfant à charge?</w:t>
      </w:r>
    </w:p>
    <w:p w:rsidR="00782B59" w:rsidRPr="002527D7" w:rsidRDefault="00782B59" w:rsidP="008C22AD">
      <w:pPr>
        <w:jc w:val="both"/>
        <w:rPr>
          <w:sz w:val="20"/>
          <w:lang w:val="fr-CA"/>
        </w:rPr>
      </w:pPr>
    </w:p>
    <w:p w:rsidR="00782B59" w:rsidRPr="002527D7" w:rsidRDefault="00782B59" w:rsidP="008C22AD">
      <w:pPr>
        <w:jc w:val="both"/>
        <w:rPr>
          <w:sz w:val="20"/>
          <w:lang w:val="fr-CA"/>
        </w:rPr>
      </w:pPr>
      <w:r w:rsidRPr="002527D7">
        <w:rPr>
          <w:sz w:val="20"/>
          <w:lang w:val="fr-CA"/>
        </w:rPr>
        <w:t xml:space="preserve">L’appelante et l’intimé ont cohabité en union libre de 1990 à 1994. Leur fille, A.G., est née en 1991. Lorsque la relation a pris fin, A.G. vivait avec Mme Michel. La pension alimentaire pour l’enfant a d’abord été traitée par voie d’ordonnance de la Cour provinciale, qui a fait l’objet d’une ordonnance de modification sur consentement en mars 2001, en vertu de laquelle M. Graydon a accepté de verser une pension alimentaire de 341 $ par mois, en fonction de son revenu suivant les  </w:t>
      </w:r>
      <w:r w:rsidRPr="002527D7">
        <w:rPr>
          <w:i/>
          <w:sz w:val="20"/>
          <w:lang w:val="fr-CA"/>
        </w:rPr>
        <w:t>Lignes directrices fédérales sur les pensions alimentaires pour enfants</w:t>
      </w:r>
      <w:r w:rsidRPr="002527D7">
        <w:rPr>
          <w:sz w:val="20"/>
          <w:lang w:val="fr-CA"/>
        </w:rPr>
        <w:t>, DORS/97</w:t>
      </w:r>
      <w:r w:rsidRPr="002527D7">
        <w:rPr>
          <w:sz w:val="20"/>
          <w:lang w:val="fr-CA"/>
        </w:rPr>
        <w:noBreakHyphen/>
        <w:t xml:space="preserve">175. Monsieur Graydon a rejeté la demande que Mme Michel avait faite à l’époque pour une révision annuelle du montant de la pension alimentaire pour l’enfant et aucune révision n’a été faite pendant la période où A.G. était une enfant. En 2012, M. Graydon a obtenu une ordonnance annulant la pension alimentaire pour l’enfant au motif qu’A.G. avait atteint l’âge de la majorité, qu’elle avait réussi un programme menant à un certificat et qu’elle travaillait. En 2015, Mme Michel a demandé une augmentation rétroactive de la pension alimentaire pour l’enfant, remontant à 2001, en vertu de l’art. 152 de la </w:t>
      </w:r>
      <w:r w:rsidRPr="002527D7">
        <w:rPr>
          <w:i/>
          <w:sz w:val="20"/>
          <w:lang w:val="fr-CA"/>
        </w:rPr>
        <w:t>Family Law Act</w:t>
      </w:r>
      <w:r w:rsidRPr="002527D7">
        <w:rPr>
          <w:sz w:val="20"/>
          <w:lang w:val="fr-CA"/>
        </w:rPr>
        <w:t>, S.B.C. 2011, ch. 25. Monsieur Graydon a contesté la compétence du tribunal pour rendre une telle ordonnance, plaidant qu’A.G. n’était pas une « enfant à charge ». Au moment où la demande a été instruite en Cour provinciale, A.G. était âgée de 24 ans. Le juge de première instance a conclu que M. Graydon était obligé de verser 23 000 $ à titre de pension alimentaire rétroactive pour l’enfant. Cette décision a été infirmée en appel. L’appel de Mme Michel a été rejeté.</w:t>
      </w:r>
    </w:p>
    <w:p w:rsidR="00782B59" w:rsidRPr="002527D7" w:rsidRDefault="00782B59" w:rsidP="00A76585">
      <w:pPr>
        <w:rPr>
          <w:szCs w:val="24"/>
          <w:lang w:val="fr-CA"/>
        </w:rPr>
      </w:pPr>
    </w:p>
    <w:p w:rsidR="00782B59" w:rsidRPr="002527D7" w:rsidRDefault="002527D7" w:rsidP="00340C6D">
      <w:pPr>
        <w:jc w:val="both"/>
        <w:rPr>
          <w:sz w:val="20"/>
          <w:lang w:val="fr-CA"/>
        </w:rPr>
      </w:pPr>
      <w:r w:rsidRPr="002527D7">
        <w:rPr>
          <w:sz w:val="20"/>
        </w:rPr>
        <w:pict>
          <v:rect id="_x0000_i1027" style="width:2in;height:1pt" o:hrpct="0" o:hralign="center" o:hrstd="t" o:hrnoshade="t" o:hr="t" fillcolor="black [3213]" stroked="f"/>
        </w:pict>
      </w:r>
    </w:p>
    <w:p w:rsidR="00782B59" w:rsidRPr="002527D7" w:rsidRDefault="00782B59" w:rsidP="00340C6D">
      <w:pPr>
        <w:jc w:val="both"/>
        <w:rPr>
          <w:szCs w:val="24"/>
          <w:lang w:val="fr-CA"/>
        </w:rPr>
      </w:pPr>
    </w:p>
    <w:p w:rsidR="00ED67FB" w:rsidRPr="002527D7" w:rsidRDefault="00ED67FB" w:rsidP="00340C6D">
      <w:pPr>
        <w:jc w:val="both"/>
        <w:rPr>
          <w:szCs w:val="24"/>
          <w:lang w:val="fr-CA"/>
        </w:rPr>
      </w:pPr>
    </w:p>
    <w:p w:rsidR="00072A63" w:rsidRPr="002527D7" w:rsidRDefault="00072A63" w:rsidP="00EC79B0">
      <w:pPr>
        <w:jc w:val="both"/>
        <w:rPr>
          <w:szCs w:val="24"/>
          <w:lang w:val="fr-CA"/>
        </w:rPr>
      </w:pPr>
    </w:p>
    <w:p w:rsidR="001C4415" w:rsidRPr="002527D7" w:rsidRDefault="001C4415" w:rsidP="001C4415">
      <w:pPr>
        <w:widowControl w:val="0"/>
        <w:outlineLvl w:val="0"/>
      </w:pPr>
      <w:r w:rsidRPr="002527D7">
        <w:t xml:space="preserve">Supreme Court of Canada / Cour suprême du </w:t>
      </w:r>
      <w:proofErr w:type="gramStart"/>
      <w:r w:rsidRPr="002527D7">
        <w:t>Canada :</w:t>
      </w:r>
      <w:proofErr w:type="gramEnd"/>
      <w:r w:rsidRPr="002527D7">
        <w:t xml:space="preserve"> </w:t>
      </w:r>
    </w:p>
    <w:p w:rsidR="001C4415" w:rsidRPr="002527D7" w:rsidRDefault="002527D7" w:rsidP="001C4415">
      <w:pPr>
        <w:widowControl w:val="0"/>
        <w:outlineLvl w:val="0"/>
      </w:pPr>
      <w:hyperlink r:id="rId8" w:history="1">
        <w:r w:rsidR="001C4415" w:rsidRPr="002527D7">
          <w:rPr>
            <w:rStyle w:val="Hyperlink"/>
          </w:rPr>
          <w:t>comments-commentaires@scc-csc.ca</w:t>
        </w:r>
      </w:hyperlink>
    </w:p>
    <w:p w:rsidR="001C4415" w:rsidRPr="002527D7" w:rsidRDefault="001C4415" w:rsidP="001C4415">
      <w:pPr>
        <w:widowControl w:val="0"/>
        <w:outlineLvl w:val="0"/>
      </w:pPr>
      <w:r w:rsidRPr="002527D7">
        <w:t>(613) 995-4330</w:t>
      </w:r>
    </w:p>
    <w:p w:rsidR="001C4415" w:rsidRPr="002527D7" w:rsidRDefault="001C4415" w:rsidP="001C4415">
      <w:pPr>
        <w:widowControl w:val="0"/>
        <w:rPr>
          <w:sz w:val="20"/>
        </w:rPr>
      </w:pPr>
    </w:p>
    <w:p w:rsidR="0036476C" w:rsidRPr="00A8502B" w:rsidRDefault="001C4415" w:rsidP="0036476C">
      <w:pPr>
        <w:pStyle w:val="Footer"/>
        <w:jc w:val="center"/>
        <w:rPr>
          <w:lang w:val="fr-CA"/>
        </w:rPr>
      </w:pPr>
      <w:r w:rsidRPr="002527D7">
        <w:rPr>
          <w:lang w:val="fr-CA"/>
        </w:rPr>
        <w:t xml:space="preserve">- 30 </w:t>
      </w:r>
      <w:r w:rsidR="003C1B6E" w:rsidRPr="002527D7">
        <w:rPr>
          <w:lang w:val="fr-CA"/>
        </w:rPr>
        <w:t>-</w:t>
      </w:r>
      <w:bookmarkStart w:id="0" w:name="_GoBack"/>
      <w:bookmarkEnd w:id="0"/>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5B0A"/>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02D9"/>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4BAD"/>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27D7"/>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B6ECB"/>
    <w:rsid w:val="003B7075"/>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466"/>
    <w:rsid w:val="0043481E"/>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76F"/>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2A0E"/>
    <w:rsid w:val="00534E1E"/>
    <w:rsid w:val="00537187"/>
    <w:rsid w:val="00537545"/>
    <w:rsid w:val="005400BA"/>
    <w:rsid w:val="0054378D"/>
    <w:rsid w:val="00545B3E"/>
    <w:rsid w:val="005511F1"/>
    <w:rsid w:val="00551845"/>
    <w:rsid w:val="00552278"/>
    <w:rsid w:val="0055520C"/>
    <w:rsid w:val="00560D32"/>
    <w:rsid w:val="005631B8"/>
    <w:rsid w:val="00563EF8"/>
    <w:rsid w:val="005717F4"/>
    <w:rsid w:val="00572E24"/>
    <w:rsid w:val="00575FA2"/>
    <w:rsid w:val="00580897"/>
    <w:rsid w:val="00580EBF"/>
    <w:rsid w:val="00581503"/>
    <w:rsid w:val="00591F70"/>
    <w:rsid w:val="005932DF"/>
    <w:rsid w:val="00594A5F"/>
    <w:rsid w:val="00595150"/>
    <w:rsid w:val="00595922"/>
    <w:rsid w:val="005973D8"/>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44B6"/>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45ED"/>
    <w:rsid w:val="006630E5"/>
    <w:rsid w:val="00666E0D"/>
    <w:rsid w:val="0067017D"/>
    <w:rsid w:val="00676709"/>
    <w:rsid w:val="00680968"/>
    <w:rsid w:val="00682A71"/>
    <w:rsid w:val="00685A30"/>
    <w:rsid w:val="0069052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57A6"/>
    <w:rsid w:val="006F6171"/>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6CBA"/>
    <w:rsid w:val="00767B87"/>
    <w:rsid w:val="00772636"/>
    <w:rsid w:val="00777C18"/>
    <w:rsid w:val="007805CD"/>
    <w:rsid w:val="00780B16"/>
    <w:rsid w:val="00782B59"/>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1C40"/>
    <w:rsid w:val="008B305D"/>
    <w:rsid w:val="008B5FA3"/>
    <w:rsid w:val="008B5FDB"/>
    <w:rsid w:val="008B6308"/>
    <w:rsid w:val="008C2F61"/>
    <w:rsid w:val="008C5D03"/>
    <w:rsid w:val="008D2829"/>
    <w:rsid w:val="008D3DE1"/>
    <w:rsid w:val="008D557C"/>
    <w:rsid w:val="008D5B1F"/>
    <w:rsid w:val="008D6BC4"/>
    <w:rsid w:val="008E0CF4"/>
    <w:rsid w:val="008E5108"/>
    <w:rsid w:val="008E5D30"/>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2F9B"/>
    <w:rsid w:val="00975F1B"/>
    <w:rsid w:val="0097705F"/>
    <w:rsid w:val="009773EE"/>
    <w:rsid w:val="009813C5"/>
    <w:rsid w:val="009907CD"/>
    <w:rsid w:val="0099092D"/>
    <w:rsid w:val="009927A8"/>
    <w:rsid w:val="00992E03"/>
    <w:rsid w:val="00993EF1"/>
    <w:rsid w:val="00995BAC"/>
    <w:rsid w:val="009A229C"/>
    <w:rsid w:val="009A7FCE"/>
    <w:rsid w:val="009B06DD"/>
    <w:rsid w:val="009B603F"/>
    <w:rsid w:val="009B68EF"/>
    <w:rsid w:val="009B72F4"/>
    <w:rsid w:val="009C0D0F"/>
    <w:rsid w:val="009C2A17"/>
    <w:rsid w:val="009C643F"/>
    <w:rsid w:val="009C7B0C"/>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3227"/>
    <w:rsid w:val="00A64DFD"/>
    <w:rsid w:val="00A709E8"/>
    <w:rsid w:val="00A8420B"/>
    <w:rsid w:val="00A8502B"/>
    <w:rsid w:val="00A86226"/>
    <w:rsid w:val="00A86D9C"/>
    <w:rsid w:val="00A920FB"/>
    <w:rsid w:val="00A9462E"/>
    <w:rsid w:val="00A96F68"/>
    <w:rsid w:val="00A97C36"/>
    <w:rsid w:val="00AA6478"/>
    <w:rsid w:val="00AB491A"/>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8B3"/>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1F9B"/>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058"/>
    <w:rsid w:val="00C23E02"/>
    <w:rsid w:val="00C26855"/>
    <w:rsid w:val="00C26ED7"/>
    <w:rsid w:val="00C343BF"/>
    <w:rsid w:val="00C34DBC"/>
    <w:rsid w:val="00C3754A"/>
    <w:rsid w:val="00C443AF"/>
    <w:rsid w:val="00C51144"/>
    <w:rsid w:val="00C54C7F"/>
    <w:rsid w:val="00C55365"/>
    <w:rsid w:val="00C56B06"/>
    <w:rsid w:val="00C65E58"/>
    <w:rsid w:val="00C724D2"/>
    <w:rsid w:val="00C72BFA"/>
    <w:rsid w:val="00C73BB2"/>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074"/>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D67FB"/>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277B7"/>
    <w:rsid w:val="00F317F9"/>
    <w:rsid w:val="00F33A4A"/>
    <w:rsid w:val="00F353AE"/>
    <w:rsid w:val="00F36D46"/>
    <w:rsid w:val="00F43DC9"/>
    <w:rsid w:val="00F441EF"/>
    <w:rsid w:val="00F443E2"/>
    <w:rsid w:val="00F52595"/>
    <w:rsid w:val="00F530EE"/>
    <w:rsid w:val="00F54B30"/>
    <w:rsid w:val="00F57324"/>
    <w:rsid w:val="00F63FCE"/>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3E5C"/>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ED67FB"/>
    <w:rPr>
      <w:b/>
      <w:lang w:val="fr-CA" w:eastAsia="en-CA"/>
    </w:rPr>
  </w:style>
  <w:style w:type="character" w:customStyle="1" w:styleId="SCCCaseDescriptorChar">
    <w:name w:val="SCC.CaseDescriptor Char"/>
    <w:basedOn w:val="DefaultParagraphFont"/>
    <w:link w:val="SCCCaseDescriptor"/>
    <w:rsid w:val="00ED67FB"/>
    <w:rPr>
      <w:b/>
      <w:sz w:val="24"/>
      <w:lang w:val="fr-CA" w:eastAsia="en-CA"/>
    </w:rPr>
  </w:style>
  <w:style w:type="paragraph" w:customStyle="1" w:styleId="SCCBanSummary">
    <w:name w:val="SCC.BanSummary"/>
    <w:basedOn w:val="Normal"/>
    <w:next w:val="Normal"/>
    <w:link w:val="SCCBanSummaryChar"/>
    <w:rsid w:val="00782B59"/>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782B59"/>
    <w:rPr>
      <w:rFonts w:eastAsiaTheme="minorHAnsi" w:cstheme="minorBidi"/>
      <w:smallCaps/>
      <w:sz w:val="24"/>
      <w:szCs w:val="22"/>
      <w:lang w:val="en-CA"/>
    </w:rPr>
  </w:style>
  <w:style w:type="paragraph" w:customStyle="1" w:styleId="SCCFileNumber">
    <w:name w:val="SCC.FileNumber"/>
    <w:basedOn w:val="Normal"/>
    <w:next w:val="Normal"/>
    <w:link w:val="SCCFileNumberChar"/>
    <w:rsid w:val="00782B5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782B59"/>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849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2020-03-26T23:41:00Z</dcterms:created>
  <dcterms:modified xsi:type="dcterms:W3CDTF">2020-09-14T16:29:00Z</dcterms:modified>
</cp:coreProperties>
</file>