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A54039" w:rsidRDefault="00A41431" w:rsidP="00A41431">
      <w:pPr>
        <w:pStyle w:val="Header"/>
        <w:jc w:val="center"/>
        <w:rPr>
          <w:b/>
          <w:sz w:val="32"/>
        </w:rPr>
      </w:pPr>
      <w:r w:rsidRPr="00A54039">
        <w:rPr>
          <w:b/>
          <w:sz w:val="32"/>
        </w:rPr>
        <w:t>Supreme Court of Canada / Cour suprême du Canada</w:t>
      </w:r>
    </w:p>
    <w:p w:rsidR="00A41431" w:rsidRPr="00A54039" w:rsidRDefault="00A41431" w:rsidP="00A41431">
      <w:pPr>
        <w:widowControl w:val="0"/>
        <w:rPr>
          <w:i/>
        </w:rPr>
      </w:pPr>
    </w:p>
    <w:p w:rsidR="00A41431" w:rsidRPr="00A54039" w:rsidRDefault="00A41431" w:rsidP="00A41431">
      <w:pPr>
        <w:widowControl w:val="0"/>
        <w:rPr>
          <w:i/>
        </w:rPr>
      </w:pPr>
    </w:p>
    <w:p w:rsidR="00DF33A9" w:rsidRPr="00A54039" w:rsidRDefault="00DF33A9" w:rsidP="00DF33A9">
      <w:pPr>
        <w:widowControl w:val="0"/>
        <w:rPr>
          <w:i/>
          <w:sz w:val="20"/>
          <w:lang w:val="fr-CA"/>
        </w:rPr>
      </w:pPr>
      <w:r w:rsidRPr="00A54039">
        <w:rPr>
          <w:i/>
          <w:sz w:val="20"/>
          <w:lang w:val="fr-CA"/>
        </w:rPr>
        <w:t>(</w:t>
      </w:r>
      <w:r w:rsidR="00167C53" w:rsidRPr="00A54039">
        <w:rPr>
          <w:i/>
          <w:sz w:val="20"/>
          <w:lang w:val="fr-CA"/>
        </w:rPr>
        <w:t>Le</w:t>
      </w:r>
      <w:r w:rsidRPr="00A54039">
        <w:rPr>
          <w:i/>
          <w:sz w:val="20"/>
          <w:lang w:val="fr-CA"/>
        </w:rPr>
        <w:t xml:space="preserve"> français suit)</w:t>
      </w:r>
    </w:p>
    <w:p w:rsidR="00DF33A9" w:rsidRPr="00A54039" w:rsidRDefault="00DF33A9" w:rsidP="00DF33A9">
      <w:pPr>
        <w:widowControl w:val="0"/>
        <w:rPr>
          <w:lang w:val="fr-CA"/>
        </w:rPr>
      </w:pPr>
    </w:p>
    <w:p w:rsidR="00DF33A9" w:rsidRPr="00A54039" w:rsidRDefault="001E2235" w:rsidP="00DF33A9">
      <w:pPr>
        <w:widowControl w:val="0"/>
        <w:jc w:val="center"/>
        <w:rPr>
          <w:b/>
          <w:lang w:val="fr-CA"/>
        </w:rPr>
      </w:pPr>
      <w:r w:rsidRPr="00A54039">
        <w:fldChar w:fldCharType="begin"/>
      </w:r>
      <w:r w:rsidR="00DF33A9" w:rsidRPr="00A54039">
        <w:rPr>
          <w:lang w:val="fr-CA"/>
        </w:rPr>
        <w:instrText xml:space="preserve"> SEQ CHAPTER \h \r 1</w:instrText>
      </w:r>
      <w:r w:rsidRPr="00A54039">
        <w:fldChar w:fldCharType="end"/>
      </w:r>
      <w:r w:rsidR="00DF33A9" w:rsidRPr="00A54039">
        <w:rPr>
          <w:b/>
          <w:lang w:val="fr-CA"/>
        </w:rPr>
        <w:t>JUDGMENT</w:t>
      </w:r>
      <w:r w:rsidR="00777096" w:rsidRPr="00A54039">
        <w:rPr>
          <w:b/>
          <w:lang w:val="fr-CA"/>
        </w:rPr>
        <w:t xml:space="preserve"> </w:t>
      </w:r>
      <w:r w:rsidR="00DF33A9" w:rsidRPr="00A54039">
        <w:rPr>
          <w:b/>
          <w:lang w:val="fr-CA"/>
        </w:rPr>
        <w:t>IN APPEA</w:t>
      </w:r>
      <w:r w:rsidR="00671A3B" w:rsidRPr="00A54039">
        <w:rPr>
          <w:b/>
          <w:lang w:val="fr-CA"/>
        </w:rPr>
        <w:t>L</w:t>
      </w:r>
    </w:p>
    <w:p w:rsidR="00DF33A9" w:rsidRPr="00A54039" w:rsidRDefault="00DF33A9" w:rsidP="0050239F">
      <w:pPr>
        <w:widowControl w:val="0"/>
        <w:rPr>
          <w:lang w:val="fr-CA"/>
        </w:rPr>
      </w:pPr>
    </w:p>
    <w:p w:rsidR="00DF33A9" w:rsidRPr="00A54039" w:rsidRDefault="000C4004" w:rsidP="00DF33A9">
      <w:pPr>
        <w:widowControl w:val="0"/>
      </w:pPr>
      <w:r w:rsidRPr="00A54039">
        <w:rPr>
          <w:b/>
        </w:rPr>
        <w:t>October</w:t>
      </w:r>
      <w:r w:rsidR="006E047B" w:rsidRPr="00A54039">
        <w:rPr>
          <w:b/>
        </w:rPr>
        <w:t xml:space="preserve"> </w:t>
      </w:r>
      <w:r w:rsidR="004E48B9" w:rsidRPr="00A54039">
        <w:rPr>
          <w:b/>
        </w:rPr>
        <w:t>3</w:t>
      </w:r>
      <w:r w:rsidR="00F45F0D" w:rsidRPr="00A54039">
        <w:rPr>
          <w:b/>
        </w:rPr>
        <w:t>0</w:t>
      </w:r>
      <w:r w:rsidR="00425D2C" w:rsidRPr="00A54039">
        <w:rPr>
          <w:b/>
        </w:rPr>
        <w:t>, 20</w:t>
      </w:r>
      <w:r w:rsidR="009C1BB4" w:rsidRPr="00A54039">
        <w:rPr>
          <w:b/>
        </w:rPr>
        <w:t>20</w:t>
      </w:r>
    </w:p>
    <w:p w:rsidR="00DF33A9" w:rsidRPr="00A54039" w:rsidRDefault="00DF33A9" w:rsidP="00DF33A9">
      <w:pPr>
        <w:widowControl w:val="0"/>
        <w:rPr>
          <w:b/>
        </w:rPr>
      </w:pPr>
      <w:r w:rsidRPr="00A54039">
        <w:rPr>
          <w:b/>
        </w:rPr>
        <w:t>For immediate release</w:t>
      </w:r>
    </w:p>
    <w:p w:rsidR="00DF33A9" w:rsidRPr="00A54039" w:rsidRDefault="00DF33A9" w:rsidP="00DF33A9">
      <w:pPr>
        <w:widowControl w:val="0"/>
      </w:pPr>
    </w:p>
    <w:p w:rsidR="00DF33A9" w:rsidRPr="00A54039" w:rsidRDefault="00DF33A9" w:rsidP="00167C53">
      <w:pPr>
        <w:widowControl w:val="0"/>
      </w:pPr>
      <w:r w:rsidRPr="00A54039">
        <w:rPr>
          <w:b/>
        </w:rPr>
        <w:t>OTTAWA</w:t>
      </w:r>
      <w:r w:rsidRPr="00A54039">
        <w:t xml:space="preserve"> – The Supreme Court of Canada has today deposited with the Registrar </w:t>
      </w:r>
      <w:r w:rsidR="004972A6" w:rsidRPr="00A54039">
        <w:t>judgmen</w:t>
      </w:r>
      <w:r w:rsidR="00167671" w:rsidRPr="00A54039">
        <w:t>t</w:t>
      </w:r>
      <w:r w:rsidR="004972A6" w:rsidRPr="00A54039">
        <w:t xml:space="preserve"> in the following appeal</w:t>
      </w:r>
      <w:r w:rsidRPr="00A54039">
        <w:t>.</w:t>
      </w:r>
      <w:r w:rsidR="00167C53" w:rsidRPr="00A54039">
        <w:t xml:space="preserve"> </w:t>
      </w:r>
      <w:r w:rsidR="0050239F" w:rsidRPr="00A54039">
        <w:t xml:space="preserve">The </w:t>
      </w:r>
      <w:hyperlink r:id="rId7" w:history="1">
        <w:r w:rsidR="00A15DD5" w:rsidRPr="00A54039">
          <w:rPr>
            <w:rStyle w:val="Hyperlink"/>
          </w:rPr>
          <w:t>reasons for judgment</w:t>
        </w:r>
      </w:hyperlink>
      <w:r w:rsidR="00A15DD5" w:rsidRPr="00A54039">
        <w:t xml:space="preserve"> and the </w:t>
      </w:r>
      <w:hyperlink r:id="rId8" w:history="1">
        <w:r w:rsidR="00A15DD5" w:rsidRPr="00A54039">
          <w:rPr>
            <w:rStyle w:val="Hyperlink"/>
          </w:rPr>
          <w:t>Case in Brief</w:t>
        </w:r>
      </w:hyperlink>
      <w:r w:rsidR="00A15DD5" w:rsidRPr="00A54039">
        <w:t xml:space="preserve"> will </w:t>
      </w:r>
      <w:r w:rsidRPr="00A54039">
        <w:t>be available shortly</w:t>
      </w:r>
      <w:r w:rsidR="006E047B" w:rsidRPr="00A54039">
        <w:rPr>
          <w:rStyle w:val="Hyperlink"/>
          <w:color w:val="auto"/>
          <w:u w:val="none"/>
        </w:rPr>
        <w:t>.</w:t>
      </w:r>
    </w:p>
    <w:p w:rsidR="00DA7E05" w:rsidRPr="00A54039" w:rsidRDefault="00DA7E05" w:rsidP="00DF33A9">
      <w:pPr>
        <w:widowControl w:val="0"/>
      </w:pPr>
    </w:p>
    <w:p w:rsidR="00AA2A9D" w:rsidRPr="00A54039" w:rsidRDefault="00AA2A9D" w:rsidP="00DF33A9">
      <w:pPr>
        <w:widowControl w:val="0"/>
      </w:pPr>
    </w:p>
    <w:p w:rsidR="00DF33A9" w:rsidRPr="00A54039" w:rsidRDefault="00DF33A9" w:rsidP="00DF33A9">
      <w:pPr>
        <w:widowControl w:val="0"/>
        <w:jc w:val="center"/>
        <w:rPr>
          <w:lang w:val="fr-CA"/>
        </w:rPr>
      </w:pPr>
      <w:r w:rsidRPr="00A54039">
        <w:rPr>
          <w:b/>
          <w:lang w:val="fr-CA"/>
        </w:rPr>
        <w:t>JUGEMENT SUR APPEL</w:t>
      </w:r>
    </w:p>
    <w:p w:rsidR="00DF33A9" w:rsidRPr="00A54039" w:rsidRDefault="00DF33A9" w:rsidP="00DF33A9">
      <w:pPr>
        <w:widowControl w:val="0"/>
        <w:rPr>
          <w:lang w:val="fr-CA"/>
        </w:rPr>
      </w:pPr>
    </w:p>
    <w:p w:rsidR="00DF33A9" w:rsidRPr="00A54039" w:rsidRDefault="00DF33A9" w:rsidP="00DF33A9">
      <w:pPr>
        <w:widowControl w:val="0"/>
        <w:rPr>
          <w:lang w:val="fr-CA"/>
        </w:rPr>
      </w:pPr>
      <w:r w:rsidRPr="00A54039">
        <w:rPr>
          <w:b/>
          <w:lang w:val="fr-CA"/>
        </w:rPr>
        <w:t xml:space="preserve">Le </w:t>
      </w:r>
      <w:r w:rsidR="004E48B9" w:rsidRPr="00A54039">
        <w:rPr>
          <w:b/>
          <w:lang w:val="fr-CA"/>
        </w:rPr>
        <w:t>3</w:t>
      </w:r>
      <w:r w:rsidR="00F45F0D" w:rsidRPr="00A54039">
        <w:rPr>
          <w:b/>
          <w:lang w:val="fr-CA"/>
        </w:rPr>
        <w:t>0</w:t>
      </w:r>
      <w:r w:rsidR="00EA3A1F" w:rsidRPr="00A54039">
        <w:rPr>
          <w:b/>
          <w:lang w:val="fr-CA"/>
        </w:rPr>
        <w:t xml:space="preserve"> </w:t>
      </w:r>
      <w:r w:rsidR="000C4004" w:rsidRPr="00A54039">
        <w:rPr>
          <w:b/>
          <w:lang w:val="fr-CA"/>
        </w:rPr>
        <w:t>octobre</w:t>
      </w:r>
      <w:r w:rsidR="00BB1936" w:rsidRPr="00A54039">
        <w:rPr>
          <w:b/>
          <w:lang w:val="fr-CA"/>
        </w:rPr>
        <w:t xml:space="preserve"> </w:t>
      </w:r>
      <w:r w:rsidR="007B36C2" w:rsidRPr="00A54039">
        <w:rPr>
          <w:b/>
          <w:lang w:val="fr-CA"/>
        </w:rPr>
        <w:t>20</w:t>
      </w:r>
      <w:r w:rsidR="009C1BB4" w:rsidRPr="00A54039">
        <w:rPr>
          <w:b/>
          <w:lang w:val="fr-CA"/>
        </w:rPr>
        <w:t>20</w:t>
      </w:r>
    </w:p>
    <w:p w:rsidR="00DF33A9" w:rsidRPr="00A54039" w:rsidRDefault="00DF33A9" w:rsidP="00DF33A9">
      <w:pPr>
        <w:widowControl w:val="0"/>
        <w:rPr>
          <w:b/>
          <w:lang w:val="fr-CA"/>
        </w:rPr>
      </w:pPr>
      <w:r w:rsidRPr="00A54039">
        <w:rPr>
          <w:b/>
          <w:lang w:val="fr-CA"/>
        </w:rPr>
        <w:t>Pour diffusion immédiate</w:t>
      </w:r>
    </w:p>
    <w:p w:rsidR="00DF33A9" w:rsidRPr="00A54039" w:rsidRDefault="00DF33A9" w:rsidP="00DF33A9">
      <w:pPr>
        <w:widowControl w:val="0"/>
        <w:rPr>
          <w:lang w:val="fr-CA"/>
        </w:rPr>
      </w:pPr>
    </w:p>
    <w:p w:rsidR="00DF33A9" w:rsidRPr="00A54039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A54039">
        <w:rPr>
          <w:b/>
          <w:lang w:val="fr-CA"/>
        </w:rPr>
        <w:t>OTTAWA</w:t>
      </w:r>
      <w:r w:rsidRPr="00A54039">
        <w:rPr>
          <w:lang w:val="fr-CA"/>
        </w:rPr>
        <w:t xml:space="preserve"> – La Cour suprême du Canada a déposé aujourd’hui auprès du registraire</w:t>
      </w:r>
      <w:r w:rsidR="004972A6" w:rsidRPr="00A54039">
        <w:rPr>
          <w:lang w:val="fr-CA"/>
        </w:rPr>
        <w:t xml:space="preserve"> le jugement dans l'appel suivant.</w:t>
      </w:r>
      <w:r w:rsidR="00167C53" w:rsidRPr="00A54039">
        <w:rPr>
          <w:lang w:val="fr-CA"/>
        </w:rPr>
        <w:t xml:space="preserve"> </w:t>
      </w:r>
      <w:r w:rsidR="0050239F" w:rsidRPr="00A54039">
        <w:rPr>
          <w:lang w:val="fr-CA"/>
        </w:rPr>
        <w:t xml:space="preserve">Les </w:t>
      </w:r>
      <w:hyperlink r:id="rId9" w:history="1">
        <w:r w:rsidR="00A15DD5" w:rsidRPr="00A54039">
          <w:rPr>
            <w:rStyle w:val="Hyperlink"/>
            <w:lang w:val="fr-CA"/>
          </w:rPr>
          <w:t>motifs de jugement</w:t>
        </w:r>
      </w:hyperlink>
      <w:r w:rsidR="00A15DD5" w:rsidRPr="00A54039">
        <w:rPr>
          <w:lang w:val="fr-CA"/>
        </w:rPr>
        <w:t xml:space="preserve"> et </w:t>
      </w:r>
      <w:hyperlink r:id="rId10" w:history="1">
        <w:r w:rsidR="00A15DD5" w:rsidRPr="00A54039">
          <w:rPr>
            <w:rStyle w:val="Hyperlink"/>
            <w:i/>
            <w:lang w:val="fr-CA"/>
          </w:rPr>
          <w:t>La cause en bref</w:t>
        </w:r>
      </w:hyperlink>
      <w:r w:rsidR="00A15DD5" w:rsidRPr="00A54039">
        <w:rPr>
          <w:lang w:val="fr-CA"/>
        </w:rPr>
        <w:t xml:space="preserve"> seront</w:t>
      </w:r>
      <w:r w:rsidR="0050239F" w:rsidRPr="00A54039">
        <w:rPr>
          <w:lang w:val="fr-CA"/>
        </w:rPr>
        <w:t xml:space="preserve"> </w:t>
      </w:r>
      <w:r w:rsidRPr="00A54039">
        <w:rPr>
          <w:lang w:val="fr-CA"/>
        </w:rPr>
        <w:t>disponibles sous peu</w:t>
      </w:r>
      <w:r w:rsidR="0050239F" w:rsidRPr="00A54039">
        <w:rPr>
          <w:lang w:val="fr-CA"/>
        </w:rPr>
        <w:t>.</w:t>
      </w:r>
    </w:p>
    <w:p w:rsidR="00DA7E05" w:rsidRPr="00A54039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A54039" w:rsidRDefault="00636ADA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A54039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A54039" w:rsidRDefault="00A579AD" w:rsidP="004C2577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A54039">
        <w:rPr>
          <w:b/>
          <w:sz w:val="20"/>
        </w:rPr>
        <w:fldChar w:fldCharType="begin"/>
      </w:r>
      <w:r w:rsidRPr="00A54039">
        <w:rPr>
          <w:b/>
          <w:sz w:val="20"/>
          <w:lang w:val="fr-CA"/>
        </w:rPr>
        <w:instrText xml:space="preserve"> SEQ CHAPTER \h \r 1</w:instrText>
      </w:r>
      <w:r w:rsidRPr="00A54039">
        <w:rPr>
          <w:b/>
          <w:sz w:val="20"/>
        </w:rPr>
        <w:fldChar w:fldCharType="end"/>
      </w:r>
      <w:r w:rsidRPr="00A54039">
        <w:rPr>
          <w:b/>
          <w:sz w:val="20"/>
          <w:lang w:val="fr-CA"/>
        </w:rPr>
        <w:t>3</w:t>
      </w:r>
      <w:r w:rsidR="008936F8" w:rsidRPr="00A54039">
        <w:rPr>
          <w:b/>
          <w:sz w:val="20"/>
          <w:lang w:val="fr-CA"/>
        </w:rPr>
        <w:t>7</w:t>
      </w:r>
      <w:r w:rsidR="0093600D" w:rsidRPr="00A54039">
        <w:rPr>
          <w:b/>
          <w:sz w:val="20"/>
          <w:lang w:val="fr-CA"/>
        </w:rPr>
        <w:t>8</w:t>
      </w:r>
      <w:r w:rsidR="008936F8" w:rsidRPr="00A54039">
        <w:rPr>
          <w:b/>
          <w:sz w:val="20"/>
          <w:lang w:val="fr-CA"/>
        </w:rPr>
        <w:t>98</w:t>
      </w:r>
      <w:r w:rsidRPr="00A54039">
        <w:rPr>
          <w:color w:val="FF0000"/>
          <w:sz w:val="20"/>
          <w:lang w:val="fr-CA"/>
        </w:rPr>
        <w:tab/>
      </w:r>
      <w:r w:rsidR="0085641B" w:rsidRPr="00A54039">
        <w:rPr>
          <w:rFonts w:eastAsiaTheme="minorHAnsi" w:cstheme="minorBidi"/>
          <w:b/>
          <w:sz w:val="20"/>
          <w:lang w:val="fr-CA"/>
        </w:rPr>
        <w:t>Desjardins Cabinet de services financiers inc. et Desjardins Gestion internationale d’actifs inc., personne morale légalement constituée, anciennement Desjardins Gestion d’actifs inc.</w:t>
      </w:r>
      <w:r w:rsidRPr="00A54039">
        <w:rPr>
          <w:rFonts w:eastAsiaTheme="minorHAnsi" w:cstheme="minorBidi"/>
          <w:b/>
          <w:sz w:val="20"/>
          <w:lang w:val="fr-CA"/>
        </w:rPr>
        <w:t xml:space="preserve"> </w:t>
      </w:r>
      <w:r w:rsidR="008936F8" w:rsidRPr="00A54039">
        <w:rPr>
          <w:rFonts w:eastAsiaTheme="minorHAnsi" w:cstheme="minorBidi"/>
          <w:b/>
          <w:sz w:val="20"/>
          <w:lang w:val="fr-CA"/>
        </w:rPr>
        <w:t>c</w:t>
      </w:r>
      <w:r w:rsidRPr="00A54039">
        <w:rPr>
          <w:rFonts w:eastAsiaTheme="minorHAnsi" w:cstheme="minorBidi"/>
          <w:b/>
          <w:sz w:val="20"/>
          <w:lang w:val="fr-CA"/>
        </w:rPr>
        <w:t xml:space="preserve">. </w:t>
      </w:r>
      <w:r w:rsidR="008936F8" w:rsidRPr="00A54039">
        <w:rPr>
          <w:rFonts w:eastAsiaTheme="minorHAnsi" w:cstheme="minorBidi"/>
          <w:b/>
          <w:sz w:val="20"/>
          <w:lang w:val="fr-CA"/>
        </w:rPr>
        <w:t>Ronald Asselin</w:t>
      </w:r>
      <w:r w:rsidR="0093600D" w:rsidRPr="00A54039">
        <w:rPr>
          <w:rFonts w:eastAsiaTheme="minorHAnsi" w:cstheme="minorBidi"/>
          <w:b/>
          <w:sz w:val="20"/>
          <w:lang w:val="fr-CA"/>
        </w:rPr>
        <w:t xml:space="preserve"> </w:t>
      </w:r>
      <w:r w:rsidRPr="00A54039">
        <w:rPr>
          <w:rFonts w:eastAsiaTheme="minorHAnsi" w:cstheme="minorBidi"/>
          <w:iCs/>
          <w:sz w:val="20"/>
          <w:lang w:val="fr-CA"/>
        </w:rPr>
        <w:t>(</w:t>
      </w:r>
      <w:r w:rsidR="008936F8" w:rsidRPr="00A54039">
        <w:rPr>
          <w:rFonts w:eastAsiaTheme="minorHAnsi" w:cstheme="minorBidi"/>
          <w:iCs/>
          <w:sz w:val="20"/>
          <w:lang w:val="fr-CA"/>
        </w:rPr>
        <w:t>Qc</w:t>
      </w:r>
      <w:r w:rsidRPr="00A54039">
        <w:rPr>
          <w:rFonts w:eastAsiaTheme="minorHAnsi" w:cstheme="minorBidi"/>
          <w:iCs/>
          <w:sz w:val="20"/>
          <w:lang w:val="fr-CA"/>
        </w:rPr>
        <w:t>)</w:t>
      </w:r>
    </w:p>
    <w:p w:rsidR="00A579AD" w:rsidRPr="00A54039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A54039">
        <w:rPr>
          <w:rFonts w:eastAsiaTheme="minorHAnsi" w:cstheme="minorBidi"/>
          <w:b/>
          <w:sz w:val="20"/>
          <w:lang w:val="fr-CA"/>
        </w:rPr>
        <w:t>20</w:t>
      </w:r>
      <w:r w:rsidR="009C1BB4" w:rsidRPr="00A54039">
        <w:rPr>
          <w:rFonts w:eastAsiaTheme="minorHAnsi" w:cstheme="minorBidi"/>
          <w:b/>
          <w:sz w:val="20"/>
          <w:lang w:val="fr-CA"/>
        </w:rPr>
        <w:t>20</w:t>
      </w:r>
      <w:r w:rsidRPr="00A54039">
        <w:rPr>
          <w:rFonts w:eastAsiaTheme="minorHAnsi" w:cstheme="minorBidi"/>
          <w:b/>
          <w:sz w:val="20"/>
          <w:lang w:val="fr-CA"/>
        </w:rPr>
        <w:t xml:space="preserve"> SCC </w:t>
      </w:r>
      <w:r w:rsidR="008936F8" w:rsidRPr="00A54039">
        <w:rPr>
          <w:rFonts w:eastAsiaTheme="minorHAnsi" w:cstheme="minorBidi"/>
          <w:b/>
          <w:sz w:val="20"/>
          <w:lang w:val="fr-CA"/>
        </w:rPr>
        <w:t>30</w:t>
      </w:r>
      <w:r w:rsidRPr="00A54039">
        <w:rPr>
          <w:rFonts w:eastAsiaTheme="minorHAnsi" w:cstheme="minorBidi"/>
          <w:b/>
          <w:sz w:val="20"/>
          <w:lang w:val="fr-CA"/>
        </w:rPr>
        <w:t xml:space="preserve"> / 20</w:t>
      </w:r>
      <w:r w:rsidR="009C1BB4" w:rsidRPr="00A54039">
        <w:rPr>
          <w:rFonts w:eastAsiaTheme="minorHAnsi" w:cstheme="minorBidi"/>
          <w:b/>
          <w:sz w:val="20"/>
          <w:lang w:val="fr-CA"/>
        </w:rPr>
        <w:t>20</w:t>
      </w:r>
      <w:r w:rsidRPr="00A54039">
        <w:rPr>
          <w:rFonts w:eastAsiaTheme="minorHAnsi" w:cstheme="minorBidi"/>
          <w:b/>
          <w:sz w:val="20"/>
          <w:lang w:val="fr-CA"/>
        </w:rPr>
        <w:t xml:space="preserve"> CSC </w:t>
      </w:r>
      <w:r w:rsidR="008936F8" w:rsidRPr="00A54039">
        <w:rPr>
          <w:rFonts w:eastAsiaTheme="minorHAnsi" w:cstheme="minorBidi"/>
          <w:b/>
          <w:sz w:val="20"/>
          <w:lang w:val="fr-CA"/>
        </w:rPr>
        <w:t>30</w:t>
      </w:r>
    </w:p>
    <w:p w:rsidR="00A579AD" w:rsidRPr="00A54039" w:rsidRDefault="00A579AD" w:rsidP="00A579AD">
      <w:pPr>
        <w:ind w:left="1440" w:hanging="1440"/>
        <w:jc w:val="both"/>
        <w:rPr>
          <w:sz w:val="20"/>
          <w:lang w:val="fr-CA"/>
        </w:rPr>
      </w:pPr>
    </w:p>
    <w:p w:rsidR="00A579AD" w:rsidRPr="00A54039" w:rsidRDefault="00A579AD" w:rsidP="00A579AD">
      <w:pPr>
        <w:ind w:left="1440" w:hanging="1440"/>
        <w:rPr>
          <w:sz w:val="20"/>
          <w:lang w:val="fr-CA"/>
        </w:rPr>
      </w:pPr>
      <w:r w:rsidRPr="00A54039">
        <w:rPr>
          <w:sz w:val="20"/>
          <w:lang w:val="fr-CA"/>
        </w:rPr>
        <w:t>Coram:</w:t>
      </w:r>
      <w:r w:rsidRPr="00A54039">
        <w:rPr>
          <w:sz w:val="20"/>
          <w:lang w:val="fr-CA"/>
        </w:rPr>
        <w:tab/>
      </w:r>
      <w:r w:rsidR="008936F8" w:rsidRPr="00A54039">
        <w:rPr>
          <w:sz w:val="20"/>
          <w:lang w:val="fr-CA"/>
        </w:rPr>
        <w:t>Le juge en chef Wagner et les juges Abella, Moldaver, Karakatsanis, Côté, Brown, Rowe, Martin et Kasirer</w:t>
      </w:r>
    </w:p>
    <w:p w:rsidR="00A579AD" w:rsidRPr="00A54039" w:rsidRDefault="00A579AD" w:rsidP="00A579AD">
      <w:pPr>
        <w:jc w:val="both"/>
        <w:rPr>
          <w:sz w:val="20"/>
          <w:lang w:val="fr-CA"/>
        </w:rPr>
      </w:pPr>
    </w:p>
    <w:p w:rsidR="00A54039" w:rsidRPr="00A54039" w:rsidRDefault="00A54039" w:rsidP="00A54039">
      <w:pPr>
        <w:jc w:val="both"/>
        <w:rPr>
          <w:sz w:val="20"/>
          <w:lang w:val="fr-CA"/>
        </w:rPr>
      </w:pPr>
      <w:r w:rsidRPr="00A54039">
        <w:rPr>
          <w:sz w:val="20"/>
          <w:lang w:val="fr-CA"/>
        </w:rPr>
        <w:t xml:space="preserve">L’appel interjeté contre l’arrêt de la Cour d’appel du Québec (Montréal), numéro 500-09-025896-168, 2017 QCCA 1673, daté du 31 octobre 2017, entendu le 5 décembre 2019, est accueilli en partie à la seule fin de modifier les par. 8 et 9 de l’arrêt de la Cour d’appel afin qu’ils se lisent de la manière suivante : 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rFonts w:eastAsiaTheme="minorEastAsia"/>
          <w:sz w:val="20"/>
          <w:lang w:val="fr-CA"/>
        </w:rPr>
      </w:pP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rFonts w:eastAsiaTheme="minorEastAsia"/>
          <w:sz w:val="20"/>
          <w:lang w:val="fr-CA"/>
        </w:rPr>
      </w:pPr>
      <w:r w:rsidRPr="00A54039">
        <w:rPr>
          <w:rFonts w:eastAsiaTheme="minorEastAsia"/>
          <w:sz w:val="20"/>
          <w:lang w:val="fr-CA"/>
        </w:rPr>
        <w:t xml:space="preserve">[8] </w:t>
      </w:r>
      <w:r w:rsidRPr="00A54039">
        <w:rPr>
          <w:rFonts w:eastAsiaTheme="minorEastAsia"/>
          <w:b/>
          <w:sz w:val="20"/>
          <w:lang w:val="fr-CA"/>
        </w:rPr>
        <w:t>IDENTIFIE</w:t>
      </w:r>
      <w:r w:rsidRPr="00A54039">
        <w:rPr>
          <w:rFonts w:eastAsiaTheme="minorEastAsia"/>
          <w:sz w:val="20"/>
          <w:lang w:val="fr-CA"/>
        </w:rPr>
        <w:t xml:space="preserve"> comme suit les principales questions de fait et de droit qui devront être traitées collectivement : 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rFonts w:eastAsiaTheme="minorEastAsia"/>
          <w:sz w:val="20"/>
          <w:lang w:val="fr-CA"/>
        </w:rPr>
      </w:pPr>
    </w:p>
    <w:p w:rsidR="00A54039" w:rsidRPr="00A54039" w:rsidRDefault="00A54039" w:rsidP="00A54039">
      <w:pPr>
        <w:pStyle w:val="Citation-AltC"/>
        <w:spacing w:after="0"/>
        <w:ind w:left="0"/>
        <w:contextualSpacing w:val="0"/>
        <w:jc w:val="center"/>
        <w:rPr>
          <w:sz w:val="20"/>
          <w:lang w:val="fr-CA"/>
        </w:rPr>
      </w:pPr>
      <w:r w:rsidRPr="00A54039">
        <w:rPr>
          <w:rFonts w:eastAsiaTheme="minorEastAsia"/>
          <w:sz w:val="20"/>
          <w:lang w:val="fr-CA"/>
        </w:rPr>
        <w:t>. . .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sz w:val="20"/>
          <w:lang w:val="fr-CA"/>
        </w:rPr>
      </w:pPr>
    </w:p>
    <w:p w:rsidR="00A54039" w:rsidRPr="00A54039" w:rsidRDefault="00A54039" w:rsidP="00A54039">
      <w:pPr>
        <w:pStyle w:val="Citation-AltC"/>
        <w:numPr>
          <w:ilvl w:val="0"/>
          <w:numId w:val="12"/>
        </w:numPr>
        <w:tabs>
          <w:tab w:val="left" w:pos="1560"/>
        </w:tabs>
        <w:spacing w:after="0"/>
        <w:contextualSpacing w:val="0"/>
        <w:rPr>
          <w:sz w:val="20"/>
          <w:lang w:val="fr-CA"/>
        </w:rPr>
      </w:pPr>
      <w:r w:rsidRPr="00A54039">
        <w:rPr>
          <w:b/>
          <w:sz w:val="20"/>
          <w:lang w:val="fr-CA"/>
        </w:rPr>
        <w:t>Dommages.</w:t>
      </w:r>
      <w:r w:rsidRPr="00A54039">
        <w:rPr>
          <w:sz w:val="20"/>
          <w:lang w:val="fr-CA"/>
        </w:rPr>
        <w:t xml:space="preserve"> Selon les réponses aux questions qui précèdent, Desjardins Cabinet de Services Financiers inc. et Desjardins Gestion Internationale d’Actifs inc. sont-elles tenues : 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sz w:val="20"/>
          <w:lang w:val="fr-CA"/>
        </w:rPr>
      </w:pP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jc w:val="center"/>
        <w:rPr>
          <w:sz w:val="20"/>
          <w:lang w:val="fr-CA"/>
        </w:rPr>
      </w:pPr>
      <w:r w:rsidRPr="00A54039">
        <w:rPr>
          <w:sz w:val="20"/>
          <w:lang w:val="fr-CA"/>
        </w:rPr>
        <w:t>. . .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sz w:val="20"/>
          <w:lang w:val="fr-CA"/>
        </w:rPr>
      </w:pPr>
    </w:p>
    <w:p w:rsidR="00A54039" w:rsidRPr="00A54039" w:rsidRDefault="00A54039" w:rsidP="00A54039">
      <w:pPr>
        <w:pStyle w:val="Citation-AltC"/>
        <w:numPr>
          <w:ilvl w:val="0"/>
          <w:numId w:val="13"/>
        </w:numPr>
        <w:tabs>
          <w:tab w:val="left" w:pos="1560"/>
        </w:tabs>
        <w:spacing w:after="0"/>
        <w:ind w:left="1076" w:hanging="283"/>
        <w:contextualSpacing w:val="0"/>
        <w:rPr>
          <w:sz w:val="20"/>
          <w:lang w:val="fr-CA"/>
        </w:rPr>
      </w:pPr>
      <w:r w:rsidRPr="00A54039">
        <w:rPr>
          <w:sz w:val="20"/>
          <w:lang w:val="fr-CA"/>
        </w:rPr>
        <w:t>au paiement à chacun des membres du groupe d’une somme de mille dollars (1 000 $) à titre de dommages-intérêts punitifs uniquement en lien avec des « Réclamations non visées » au sens de l’article 1 du Troisième plan modifié de transaction et d’arrangement homologué par l’ordonnance de la Cour supérieure de justice de l’Ontario daté du 12 janvier 2009 (</w:t>
      </w:r>
      <w:r w:rsidRPr="00A54039">
        <w:rPr>
          <w:i/>
          <w:sz w:val="20"/>
          <w:lang w:val="fr-CA"/>
        </w:rPr>
        <w:t>ATB Financial c.</w:t>
      </w:r>
      <w:r w:rsidRPr="00A54039">
        <w:rPr>
          <w:sz w:val="20"/>
          <w:lang w:val="fr-CA"/>
        </w:rPr>
        <w:t xml:space="preserve"> </w:t>
      </w:r>
      <w:r w:rsidRPr="00A54039">
        <w:rPr>
          <w:i/>
          <w:sz w:val="20"/>
          <w:lang w:val="fr-CA"/>
        </w:rPr>
        <w:t xml:space="preserve">Metcalfe &amp; Mansfield Alternative Investments II Corp. </w:t>
      </w:r>
      <w:r w:rsidRPr="00A54039">
        <w:rPr>
          <w:sz w:val="20"/>
          <w:lang w:val="fr-CA"/>
        </w:rPr>
        <w:t>(2008), 43 C.B.R. (5th) 269), sauf à parfaire, avec intérêt au taux légale et l’indemnité additionnelle à compter du jugement à être prononcé?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sz w:val="20"/>
          <w:lang w:val="fr-CA"/>
        </w:rPr>
      </w:pP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sz w:val="20"/>
          <w:lang w:val="fr-CA"/>
        </w:rPr>
      </w:pPr>
      <w:r w:rsidRPr="00A54039">
        <w:rPr>
          <w:sz w:val="20"/>
          <w:lang w:val="fr-CA"/>
        </w:rPr>
        <w:lastRenderedPageBreak/>
        <w:t xml:space="preserve">[9] </w:t>
      </w:r>
      <w:r w:rsidRPr="00A54039">
        <w:rPr>
          <w:b/>
          <w:sz w:val="20"/>
          <w:lang w:val="fr-CA"/>
        </w:rPr>
        <w:t>IDENTIFIE</w:t>
      </w:r>
      <w:r w:rsidRPr="00A54039">
        <w:rPr>
          <w:sz w:val="20"/>
          <w:lang w:val="fr-CA"/>
        </w:rPr>
        <w:t xml:space="preserve"> comme suit les principales conclusions recherchées sur le fond par l’action collective, étant entendu que le caractère </w:t>
      </w:r>
      <w:r w:rsidRPr="00A54039">
        <w:rPr>
          <w:i/>
          <w:sz w:val="20"/>
          <w:lang w:val="fr-CA"/>
        </w:rPr>
        <w:t>in solidum</w:t>
      </w:r>
      <w:r w:rsidRPr="00A54039">
        <w:rPr>
          <w:sz w:val="20"/>
          <w:lang w:val="fr-CA"/>
        </w:rPr>
        <w:t xml:space="preserve"> des condamnations ci-dessous est tributaire de la réponse que, le cas échéant, la Cour supérieure donnera à la question 6 </w:t>
      </w:r>
      <w:r w:rsidRPr="00A54039">
        <w:rPr>
          <w:i/>
          <w:sz w:val="20"/>
          <w:lang w:val="fr-CA"/>
        </w:rPr>
        <w:t>in fine</w:t>
      </w:r>
      <w:r w:rsidRPr="00A54039">
        <w:rPr>
          <w:sz w:val="20"/>
          <w:lang w:val="fr-CA"/>
        </w:rPr>
        <w:t xml:space="preserve">, telle que définie au paragraphe [8] ci-dessus : 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sz w:val="20"/>
          <w:lang w:val="fr-CA"/>
        </w:rPr>
      </w:pP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jc w:val="center"/>
        <w:rPr>
          <w:sz w:val="20"/>
          <w:lang w:val="fr-CA"/>
        </w:rPr>
      </w:pPr>
      <w:r w:rsidRPr="00A54039">
        <w:rPr>
          <w:sz w:val="20"/>
          <w:lang w:val="fr-CA"/>
        </w:rPr>
        <w:t>. . .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sz w:val="20"/>
          <w:lang w:val="fr-CA"/>
        </w:rPr>
      </w:pPr>
    </w:p>
    <w:p w:rsidR="00A54039" w:rsidRPr="00A54039" w:rsidRDefault="00A54039" w:rsidP="00A54039">
      <w:pPr>
        <w:pStyle w:val="Citation-AltC"/>
        <w:spacing w:after="0"/>
        <w:ind w:left="226"/>
        <w:contextualSpacing w:val="0"/>
        <w:rPr>
          <w:sz w:val="20"/>
          <w:lang w:val="fr-CA"/>
        </w:rPr>
      </w:pPr>
      <w:r w:rsidRPr="00A54039">
        <w:rPr>
          <w:sz w:val="20"/>
          <w:lang w:val="fr-CA"/>
        </w:rPr>
        <w:t>CONDAMNER chacune des intimées à payer à chacun des membres du groupe la somme de mille dollars (1 000 $) à titre de dommages-intérêts punitifs uniquement en lien avec des « Réclamations non visées » au sens de l’article 1 du Troisième plan modifié de transaction et d’arrangement homologué par l’ordonnance de la Cour supérieure de justice de l’Ontario daté du 12 janvier 2009 (</w:t>
      </w:r>
      <w:r w:rsidRPr="00A54039">
        <w:rPr>
          <w:i/>
          <w:sz w:val="20"/>
          <w:lang w:val="fr-CA"/>
        </w:rPr>
        <w:t>ATB Financial c.</w:t>
      </w:r>
      <w:r w:rsidRPr="00A54039">
        <w:rPr>
          <w:sz w:val="20"/>
          <w:lang w:val="fr-CA"/>
        </w:rPr>
        <w:t xml:space="preserve"> </w:t>
      </w:r>
      <w:r w:rsidRPr="00A54039">
        <w:rPr>
          <w:i/>
          <w:sz w:val="20"/>
          <w:lang w:val="fr-CA"/>
        </w:rPr>
        <w:t xml:space="preserve">Metcalfe &amp; Mansfield Alternative Investments II Corp. </w:t>
      </w:r>
      <w:r w:rsidRPr="00A54039">
        <w:rPr>
          <w:sz w:val="20"/>
          <w:lang w:val="fr-CA"/>
        </w:rPr>
        <w:t>(2008), 43 C.B.R. (5th) 269), sauf à parfaire, avec l’intérêt au taux légal et l’indemnité additionnelle à compter du jugement à être prononcé et ORDONNER le recouvrement collectif de ces sommes.</w:t>
      </w:r>
    </w:p>
    <w:p w:rsidR="00A54039" w:rsidRPr="00A54039" w:rsidRDefault="00A54039" w:rsidP="00A54039">
      <w:pPr>
        <w:jc w:val="both"/>
        <w:rPr>
          <w:sz w:val="20"/>
          <w:lang w:val="fr-CA"/>
        </w:rPr>
      </w:pPr>
    </w:p>
    <w:p w:rsidR="00A54039" w:rsidRPr="00A54039" w:rsidRDefault="00A54039" w:rsidP="00A54039">
      <w:pPr>
        <w:jc w:val="both"/>
        <w:rPr>
          <w:sz w:val="20"/>
          <w:lang w:val="fr-CA"/>
        </w:rPr>
      </w:pPr>
      <w:r w:rsidRPr="00A54039">
        <w:rPr>
          <w:sz w:val="20"/>
          <w:lang w:val="fr-CA"/>
        </w:rPr>
        <w:t>Les dépens devant toutes les cours sont accordés à l’intimé. Les juges Moldaver, Côté et Rowe sont dissidents en partie.</w:t>
      </w:r>
    </w:p>
    <w:p w:rsidR="008936F8" w:rsidRDefault="008936F8" w:rsidP="008936F8">
      <w:pPr>
        <w:jc w:val="both"/>
        <w:rPr>
          <w:sz w:val="20"/>
          <w:lang w:val="fr-CA"/>
        </w:rPr>
      </w:pPr>
    </w:p>
    <w:p w:rsidR="00636ADA" w:rsidRPr="00A54039" w:rsidRDefault="00636ADA" w:rsidP="008936F8">
      <w:pPr>
        <w:jc w:val="both"/>
        <w:rPr>
          <w:sz w:val="20"/>
          <w:lang w:val="fr-CA"/>
        </w:rPr>
      </w:pPr>
      <w:bookmarkStart w:id="0" w:name="_GoBack"/>
      <w:bookmarkEnd w:id="0"/>
    </w:p>
    <w:p w:rsidR="008936F8" w:rsidRPr="00A54039" w:rsidRDefault="008936F8" w:rsidP="00A579AD">
      <w:pPr>
        <w:jc w:val="both"/>
        <w:rPr>
          <w:sz w:val="20"/>
          <w:lang w:val="fr-CA"/>
        </w:rPr>
      </w:pPr>
    </w:p>
    <w:p w:rsidR="00A54039" w:rsidRPr="00A54039" w:rsidRDefault="00A54039" w:rsidP="00A54039">
      <w:pPr>
        <w:jc w:val="both"/>
        <w:rPr>
          <w:sz w:val="20"/>
          <w:lang w:val="en-CA"/>
        </w:rPr>
      </w:pPr>
      <w:r w:rsidRPr="00A54039">
        <w:rPr>
          <w:sz w:val="20"/>
          <w:lang w:val="en-CA"/>
        </w:rPr>
        <w:t xml:space="preserve">The appeal from the judgment </w:t>
      </w:r>
      <w:bookmarkStart w:id="1" w:name="BM_1_"/>
      <w:bookmarkEnd w:id="1"/>
      <w:r w:rsidRPr="00A54039">
        <w:rPr>
          <w:sz w:val="20"/>
          <w:lang w:val="en-CA"/>
        </w:rPr>
        <w:t xml:space="preserve">of the </w:t>
      </w:r>
      <w:r w:rsidRPr="00A54039">
        <w:rPr>
          <w:sz w:val="20"/>
        </w:rPr>
        <w:t>Court of Appeal of Quebec (Montréal)</w:t>
      </w:r>
      <w:r w:rsidRPr="00A54039">
        <w:rPr>
          <w:sz w:val="20"/>
          <w:lang w:val="en-CA"/>
        </w:rPr>
        <w:t xml:space="preserve">, Number </w:t>
      </w:r>
      <w:r w:rsidRPr="00A54039">
        <w:rPr>
          <w:sz w:val="20"/>
        </w:rPr>
        <w:t xml:space="preserve"> 500-09-025896-168</w:t>
      </w:r>
      <w:r w:rsidRPr="00A54039">
        <w:rPr>
          <w:sz w:val="20"/>
          <w:lang w:val="en-CA"/>
        </w:rPr>
        <w:t xml:space="preserve">, </w:t>
      </w:r>
      <w:r w:rsidRPr="00A54039">
        <w:rPr>
          <w:sz w:val="20"/>
        </w:rPr>
        <w:t xml:space="preserve">2017 QCCA 1673, </w:t>
      </w:r>
      <w:r w:rsidRPr="00A54039">
        <w:rPr>
          <w:sz w:val="20"/>
          <w:lang w:val="en-CA"/>
        </w:rPr>
        <w:t xml:space="preserve">dated </w:t>
      </w:r>
      <w:r w:rsidRPr="00A54039">
        <w:rPr>
          <w:sz w:val="20"/>
        </w:rPr>
        <w:t>October 31, 2017</w:t>
      </w:r>
      <w:r w:rsidRPr="00A54039">
        <w:rPr>
          <w:sz w:val="20"/>
          <w:lang w:val="en-CA"/>
        </w:rPr>
        <w:t xml:space="preserve">, heard on </w:t>
      </w:r>
      <w:r w:rsidRPr="00A54039">
        <w:rPr>
          <w:sz w:val="20"/>
        </w:rPr>
        <w:t>December 5, 2019</w:t>
      </w:r>
      <w:r w:rsidRPr="00A54039">
        <w:rPr>
          <w:sz w:val="20"/>
          <w:lang w:val="en-CA"/>
        </w:rPr>
        <w:t>, is allowed in part solely for the purpose of varying paras. 8 and 9 of the Court of Appeal’s judgment so that they read as follows:</w:t>
      </w:r>
    </w:p>
    <w:p w:rsidR="00A54039" w:rsidRPr="00A54039" w:rsidRDefault="00A54039" w:rsidP="00A54039">
      <w:pPr>
        <w:jc w:val="both"/>
        <w:rPr>
          <w:sz w:val="20"/>
          <w:lang w:val="en-CA"/>
        </w:rPr>
      </w:pP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rFonts w:eastAsiaTheme="minorEastAsia"/>
          <w:sz w:val="20"/>
        </w:rPr>
      </w:pPr>
      <w:r w:rsidRPr="00A54039">
        <w:rPr>
          <w:rFonts w:eastAsiaTheme="minorEastAsia"/>
          <w:sz w:val="20"/>
        </w:rPr>
        <w:t>[</w:t>
      </w:r>
      <w:r w:rsidRPr="00A54039">
        <w:rPr>
          <w:rFonts w:eastAsiaTheme="minorEastAsia"/>
          <w:smallCaps/>
          <w:sz w:val="20"/>
        </w:rPr>
        <w:t>translation</w:t>
      </w:r>
      <w:r w:rsidRPr="00A54039">
        <w:rPr>
          <w:rFonts w:eastAsiaTheme="minorEastAsia"/>
          <w:sz w:val="20"/>
        </w:rPr>
        <w:t>]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rFonts w:eastAsiaTheme="minorEastAsia"/>
          <w:sz w:val="20"/>
        </w:rPr>
      </w:pPr>
      <w:r w:rsidRPr="00A54039">
        <w:rPr>
          <w:rFonts w:eastAsiaTheme="minorEastAsia"/>
          <w:sz w:val="20"/>
        </w:rPr>
        <w:t xml:space="preserve">[8] </w:t>
      </w:r>
      <w:r w:rsidRPr="00A54039">
        <w:rPr>
          <w:rFonts w:eastAsiaTheme="minorEastAsia"/>
          <w:b/>
          <w:sz w:val="20"/>
        </w:rPr>
        <w:t>IDENTIFIES</w:t>
      </w:r>
      <w:r w:rsidRPr="00A54039">
        <w:rPr>
          <w:rFonts w:eastAsiaTheme="minorEastAsia"/>
          <w:sz w:val="20"/>
        </w:rPr>
        <w:t xml:space="preserve"> as follows the</w:t>
      </w:r>
      <w:r w:rsidRPr="00A54039">
        <w:rPr>
          <w:sz w:val="20"/>
        </w:rPr>
        <w:t xml:space="preserve"> principal </w:t>
      </w:r>
      <w:r w:rsidRPr="00A54039">
        <w:rPr>
          <w:rFonts w:eastAsiaTheme="minorEastAsia"/>
          <w:sz w:val="20"/>
        </w:rPr>
        <w:t>questions of fact and of law to be dealt with collectively: 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jc w:val="left"/>
        <w:rPr>
          <w:rFonts w:eastAsiaTheme="minorEastAsia"/>
          <w:sz w:val="20"/>
        </w:rPr>
      </w:pP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jc w:val="center"/>
        <w:rPr>
          <w:rFonts w:eastAsiaTheme="minorEastAsia"/>
          <w:sz w:val="20"/>
        </w:rPr>
      </w:pPr>
      <w:r w:rsidRPr="00A54039">
        <w:rPr>
          <w:rFonts w:eastAsiaTheme="minorEastAsia"/>
          <w:sz w:val="20"/>
        </w:rPr>
        <w:t>. . .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jc w:val="left"/>
        <w:rPr>
          <w:sz w:val="20"/>
        </w:rPr>
      </w:pPr>
    </w:p>
    <w:p w:rsidR="00A54039" w:rsidRPr="00A54039" w:rsidRDefault="00A54039" w:rsidP="00A54039">
      <w:pPr>
        <w:pStyle w:val="Citation-AltC"/>
        <w:numPr>
          <w:ilvl w:val="0"/>
          <w:numId w:val="14"/>
        </w:numPr>
        <w:tabs>
          <w:tab w:val="left" w:pos="1560"/>
        </w:tabs>
        <w:spacing w:after="0"/>
        <w:contextualSpacing w:val="0"/>
        <w:rPr>
          <w:sz w:val="20"/>
        </w:rPr>
      </w:pPr>
      <w:r w:rsidRPr="00A54039">
        <w:rPr>
          <w:b/>
          <w:sz w:val="20"/>
        </w:rPr>
        <w:t>Damages.</w:t>
      </w:r>
      <w:r w:rsidRPr="00A54039">
        <w:rPr>
          <w:sz w:val="20"/>
        </w:rPr>
        <w:t xml:space="preserve"> Based on the answers to the previous questions, are Desjardins Financial Services Firm Inc. and Desjardins Global Asset Management Inc. liable: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jc w:val="left"/>
        <w:rPr>
          <w:sz w:val="20"/>
        </w:rPr>
      </w:pP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jc w:val="center"/>
        <w:rPr>
          <w:sz w:val="20"/>
        </w:rPr>
      </w:pPr>
      <w:r w:rsidRPr="00A54039">
        <w:rPr>
          <w:sz w:val="20"/>
        </w:rPr>
        <w:t>. . .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jc w:val="left"/>
        <w:rPr>
          <w:sz w:val="20"/>
        </w:rPr>
      </w:pPr>
    </w:p>
    <w:p w:rsidR="00A54039" w:rsidRPr="00A54039" w:rsidRDefault="00A54039" w:rsidP="00A54039">
      <w:pPr>
        <w:pStyle w:val="Citation-AltC"/>
        <w:numPr>
          <w:ilvl w:val="0"/>
          <w:numId w:val="15"/>
        </w:numPr>
        <w:tabs>
          <w:tab w:val="left" w:pos="1016"/>
        </w:tabs>
        <w:spacing w:after="0"/>
        <w:ind w:left="1016" w:hanging="272"/>
        <w:contextualSpacing w:val="0"/>
        <w:rPr>
          <w:sz w:val="20"/>
        </w:rPr>
      </w:pPr>
      <w:r w:rsidRPr="00A54039">
        <w:rPr>
          <w:sz w:val="20"/>
        </w:rPr>
        <w:t>to pay each member of the group one thousand dollars ($1,000) in punitive damages solely in relation to “Unaffected Claims” within the meaning of article 1 of the Third Amended Plan of Compromise and Arrangement approved by order of the Ontario Superior Court dated January 12, 2009 (</w:t>
      </w:r>
      <w:r w:rsidRPr="00A54039">
        <w:rPr>
          <w:i/>
          <w:sz w:val="20"/>
        </w:rPr>
        <w:t>ATB Financial c.</w:t>
      </w:r>
      <w:r w:rsidRPr="00A54039">
        <w:rPr>
          <w:sz w:val="20"/>
        </w:rPr>
        <w:t xml:space="preserve"> </w:t>
      </w:r>
      <w:r w:rsidRPr="00A54039">
        <w:rPr>
          <w:i/>
          <w:sz w:val="20"/>
        </w:rPr>
        <w:t xml:space="preserve">Metcalfe &amp; Mansfield Alternative Investments II Corp. </w:t>
      </w:r>
      <w:r w:rsidRPr="00A54039">
        <w:rPr>
          <w:sz w:val="20"/>
        </w:rPr>
        <w:t>(2008), 43 C.B.R. (5th) 269), subject to adjustment, with interest at the legal rate and the additional indemnity from the date of the judgment to be rendered?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sz w:val="20"/>
        </w:rPr>
      </w:pP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sz w:val="20"/>
        </w:rPr>
      </w:pPr>
      <w:r w:rsidRPr="00A54039">
        <w:rPr>
          <w:sz w:val="20"/>
        </w:rPr>
        <w:t xml:space="preserve">[9] </w:t>
      </w:r>
      <w:r w:rsidRPr="00A54039">
        <w:rPr>
          <w:b/>
          <w:sz w:val="20"/>
        </w:rPr>
        <w:t>IDENTIFIES</w:t>
      </w:r>
      <w:r w:rsidRPr="00A54039">
        <w:rPr>
          <w:sz w:val="20"/>
        </w:rPr>
        <w:t xml:space="preserve"> as follows the principal conclusions sought on the merits in the class action, it being understood that whether the awards set out below are </w:t>
      </w:r>
      <w:r w:rsidRPr="00A54039">
        <w:rPr>
          <w:i/>
          <w:sz w:val="20"/>
        </w:rPr>
        <w:t xml:space="preserve">in solidum </w:t>
      </w:r>
      <w:r w:rsidRPr="00A54039">
        <w:rPr>
          <w:sz w:val="20"/>
        </w:rPr>
        <w:t xml:space="preserve">depends on the answer, if any, given by the Superior Court to the final portion of question 6, as defined at paragraph [8] above: 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sz w:val="20"/>
        </w:rPr>
      </w:pP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jc w:val="center"/>
        <w:rPr>
          <w:sz w:val="20"/>
        </w:rPr>
      </w:pPr>
      <w:r w:rsidRPr="00A54039">
        <w:rPr>
          <w:sz w:val="20"/>
        </w:rPr>
        <w:t>. . .</w:t>
      </w: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0"/>
        <w:contextualSpacing w:val="0"/>
        <w:rPr>
          <w:sz w:val="20"/>
        </w:rPr>
      </w:pPr>
    </w:p>
    <w:p w:rsidR="00A54039" w:rsidRPr="00A54039" w:rsidRDefault="00A54039" w:rsidP="00A54039">
      <w:pPr>
        <w:pStyle w:val="Citation-AltC"/>
        <w:tabs>
          <w:tab w:val="left" w:pos="1560"/>
        </w:tabs>
        <w:spacing w:after="0"/>
        <w:ind w:left="307"/>
        <w:contextualSpacing w:val="0"/>
        <w:rPr>
          <w:sz w:val="20"/>
        </w:rPr>
      </w:pPr>
      <w:r w:rsidRPr="00A54039">
        <w:rPr>
          <w:sz w:val="20"/>
        </w:rPr>
        <w:t>ORDER each of the respondents to pay each member of the group one thousand dollars ($1,000) in punitive damages solely in relation to “Unaffected Claims” within the meaning of article 1 of the Third Amended Plan of Compromise and Arrangement approved by order of the Ontario Superior Court dated January 12, 2009 (</w:t>
      </w:r>
      <w:r w:rsidRPr="00A54039">
        <w:rPr>
          <w:i/>
          <w:sz w:val="20"/>
        </w:rPr>
        <w:t>ATB Financial c.</w:t>
      </w:r>
      <w:r w:rsidRPr="00A54039">
        <w:rPr>
          <w:sz w:val="20"/>
        </w:rPr>
        <w:t xml:space="preserve"> </w:t>
      </w:r>
      <w:r w:rsidRPr="00A54039">
        <w:rPr>
          <w:i/>
          <w:sz w:val="20"/>
        </w:rPr>
        <w:t xml:space="preserve">Metcalfe &amp; Mansfield Alternative Investments II Corp. </w:t>
      </w:r>
      <w:r w:rsidRPr="00A54039">
        <w:rPr>
          <w:sz w:val="20"/>
        </w:rPr>
        <w:t>(2008), 43 C.B.R. (5th) 269), subject to adjustment, with interest at the legal rate and the additional indemnity from the date of the judgment to be rendered, and ORDER the collective recovery of these amounts.</w:t>
      </w:r>
    </w:p>
    <w:p w:rsidR="00A54039" w:rsidRPr="00A54039" w:rsidRDefault="00A54039" w:rsidP="00A54039">
      <w:pPr>
        <w:jc w:val="both"/>
        <w:rPr>
          <w:sz w:val="20"/>
          <w:lang w:val="en-CA"/>
        </w:rPr>
      </w:pPr>
    </w:p>
    <w:p w:rsidR="00A54039" w:rsidRPr="00A54039" w:rsidRDefault="00A54039" w:rsidP="00A54039">
      <w:pPr>
        <w:jc w:val="both"/>
        <w:rPr>
          <w:sz w:val="20"/>
          <w:lang w:val="en-CA"/>
        </w:rPr>
      </w:pPr>
      <w:r w:rsidRPr="00A54039">
        <w:rPr>
          <w:sz w:val="20"/>
          <w:lang w:val="en-CA"/>
        </w:rPr>
        <w:t xml:space="preserve">Costs throughout are awarded to the respondent. Moldaver, Côté and Rowe JJ. </w:t>
      </w:r>
      <w:proofErr w:type="gramStart"/>
      <w:r w:rsidRPr="00A54039">
        <w:rPr>
          <w:sz w:val="20"/>
          <w:lang w:val="en-CA"/>
        </w:rPr>
        <w:t>dissent</w:t>
      </w:r>
      <w:proofErr w:type="gramEnd"/>
      <w:r w:rsidRPr="00A54039">
        <w:rPr>
          <w:sz w:val="20"/>
          <w:lang w:val="en-CA"/>
        </w:rPr>
        <w:t xml:space="preserve"> in part.</w:t>
      </w:r>
    </w:p>
    <w:p w:rsidR="00A579AD" w:rsidRPr="00A54039" w:rsidRDefault="00A579AD" w:rsidP="00A579AD">
      <w:pPr>
        <w:widowControl w:val="0"/>
        <w:jc w:val="both"/>
        <w:outlineLvl w:val="0"/>
        <w:rPr>
          <w:sz w:val="20"/>
          <w:lang w:val="en-CA"/>
        </w:rPr>
      </w:pPr>
    </w:p>
    <w:p w:rsidR="00B92F8C" w:rsidRPr="00A54039" w:rsidRDefault="00636ADA" w:rsidP="00A579AD">
      <w:pPr>
        <w:widowControl w:val="0"/>
        <w:jc w:val="both"/>
        <w:outlineLvl w:val="0"/>
        <w:rPr>
          <w:sz w:val="20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A54039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A54039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A54039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A54039" w:rsidRDefault="00DF33A9" w:rsidP="00DF33A9">
      <w:pPr>
        <w:widowControl w:val="0"/>
        <w:outlineLvl w:val="0"/>
      </w:pPr>
      <w:r w:rsidRPr="00A54039">
        <w:lastRenderedPageBreak/>
        <w:t xml:space="preserve">Supreme Court of Canada / Cour suprême du </w:t>
      </w:r>
      <w:proofErr w:type="gramStart"/>
      <w:r w:rsidRPr="00A54039">
        <w:t>Canada :</w:t>
      </w:r>
      <w:proofErr w:type="gramEnd"/>
      <w:r w:rsidRPr="00A54039">
        <w:t xml:space="preserve"> </w:t>
      </w:r>
    </w:p>
    <w:p w:rsidR="00DF33A9" w:rsidRPr="00A54039" w:rsidRDefault="00636ADA" w:rsidP="00DF33A9">
      <w:pPr>
        <w:widowControl w:val="0"/>
        <w:outlineLvl w:val="0"/>
      </w:pPr>
      <w:hyperlink r:id="rId11" w:history="1">
        <w:r w:rsidR="00DF33A9" w:rsidRPr="00A54039">
          <w:rPr>
            <w:rStyle w:val="Hyperlink"/>
          </w:rPr>
          <w:t>comments-commentaires@scc-csc.ca</w:t>
        </w:r>
      </w:hyperlink>
    </w:p>
    <w:p w:rsidR="00DF33A9" w:rsidRPr="00A54039" w:rsidRDefault="00DF33A9" w:rsidP="00DF33A9">
      <w:pPr>
        <w:widowControl w:val="0"/>
        <w:outlineLvl w:val="0"/>
      </w:pPr>
      <w:r w:rsidRPr="00A54039">
        <w:t>(613) 995-4330</w:t>
      </w:r>
    </w:p>
    <w:p w:rsidR="00DF33A9" w:rsidRPr="00A54039" w:rsidRDefault="00DF33A9" w:rsidP="00DF33A9">
      <w:pPr>
        <w:widowControl w:val="0"/>
        <w:rPr>
          <w:sz w:val="20"/>
        </w:rPr>
      </w:pPr>
    </w:p>
    <w:p w:rsidR="00DF33A9" w:rsidRPr="00A54039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A54039">
        <w:rPr>
          <w:lang w:val="en-CA"/>
        </w:rPr>
        <w:t>- 30 -</w:t>
      </w:r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24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A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5813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2020-10-29T16:58:00Z</dcterms:modified>
</cp:coreProperties>
</file>