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32CDC" w:rsidRDefault="003F43E6" w:rsidP="00CC5785">
      <w:pPr>
        <w:pStyle w:val="Header"/>
        <w:jc w:val="center"/>
        <w:rPr>
          <w:b/>
          <w:sz w:val="32"/>
        </w:rPr>
      </w:pPr>
      <w:r w:rsidRPr="00532CDC">
        <w:rPr>
          <w:b/>
          <w:sz w:val="32"/>
        </w:rPr>
        <w:t>Supreme Court of Canada / Cour suprême du Canada</w:t>
      </w:r>
    </w:p>
    <w:p w:rsidR="003F43E6" w:rsidRPr="00532CDC" w:rsidRDefault="003F43E6" w:rsidP="00CC5785">
      <w:pPr>
        <w:widowControl w:val="0"/>
        <w:rPr>
          <w:i/>
        </w:rPr>
      </w:pPr>
    </w:p>
    <w:p w:rsidR="003F43E6" w:rsidRPr="00532CDC" w:rsidRDefault="003F43E6" w:rsidP="00CC5785">
      <w:pPr>
        <w:widowControl w:val="0"/>
        <w:rPr>
          <w:i/>
        </w:rPr>
      </w:pPr>
    </w:p>
    <w:p w:rsidR="006F2579" w:rsidRPr="00532CDC" w:rsidRDefault="006F2579" w:rsidP="00CC5785">
      <w:pPr>
        <w:widowControl w:val="0"/>
        <w:rPr>
          <w:i/>
          <w:sz w:val="20"/>
          <w:lang w:val="fr-CA"/>
        </w:rPr>
      </w:pPr>
      <w:r w:rsidRPr="00532CDC">
        <w:rPr>
          <w:i/>
          <w:sz w:val="20"/>
          <w:lang w:val="fr-CA"/>
        </w:rPr>
        <w:t>(</w:t>
      </w:r>
      <w:r w:rsidR="008F3C5D" w:rsidRPr="00532CDC">
        <w:rPr>
          <w:i/>
          <w:sz w:val="20"/>
          <w:lang w:val="fr-CA"/>
        </w:rPr>
        <w:t>L</w:t>
      </w:r>
      <w:r w:rsidRPr="00532CDC">
        <w:rPr>
          <w:i/>
          <w:sz w:val="20"/>
          <w:lang w:val="fr-CA"/>
        </w:rPr>
        <w:t>e français suit)</w:t>
      </w:r>
    </w:p>
    <w:p w:rsidR="006F2579" w:rsidRPr="00532CDC" w:rsidRDefault="006F2579" w:rsidP="00CC5785">
      <w:pPr>
        <w:widowControl w:val="0"/>
        <w:rPr>
          <w:lang w:val="fr-CA"/>
        </w:rPr>
      </w:pPr>
    </w:p>
    <w:p w:rsidR="006F2579" w:rsidRPr="00532CDC" w:rsidRDefault="00C007C3" w:rsidP="00CC5785">
      <w:pPr>
        <w:widowControl w:val="0"/>
        <w:jc w:val="center"/>
        <w:rPr>
          <w:b/>
          <w:lang w:val="fr-CA"/>
        </w:rPr>
      </w:pPr>
      <w:r w:rsidRPr="00532CDC">
        <w:fldChar w:fldCharType="begin"/>
      </w:r>
      <w:r w:rsidR="006F2579" w:rsidRPr="00532CDC">
        <w:rPr>
          <w:lang w:val="fr-CA"/>
        </w:rPr>
        <w:instrText xml:space="preserve"> SEQ CHAPTER \h \r 1</w:instrText>
      </w:r>
      <w:r w:rsidRPr="00532CDC">
        <w:fldChar w:fldCharType="end"/>
      </w:r>
      <w:r w:rsidR="002767DF" w:rsidRPr="00532CDC">
        <w:rPr>
          <w:b/>
          <w:lang w:val="fr-CA"/>
        </w:rPr>
        <w:t xml:space="preserve">JUDGMENTS </w:t>
      </w:r>
      <w:r w:rsidR="004C4C26" w:rsidRPr="00532CDC">
        <w:rPr>
          <w:b/>
          <w:lang w:val="fr-CA"/>
        </w:rPr>
        <w:t>IN LEAVE APPLICATION</w:t>
      </w:r>
      <w:r w:rsidR="002375D8" w:rsidRPr="00532CDC">
        <w:rPr>
          <w:b/>
          <w:lang w:val="fr-CA"/>
        </w:rPr>
        <w:t>S</w:t>
      </w:r>
    </w:p>
    <w:p w:rsidR="006F2579" w:rsidRPr="00532CDC" w:rsidRDefault="006F2579" w:rsidP="00CC5785">
      <w:pPr>
        <w:widowControl w:val="0"/>
        <w:rPr>
          <w:lang w:val="fr-CA"/>
        </w:rPr>
      </w:pPr>
    </w:p>
    <w:p w:rsidR="006F2579" w:rsidRPr="00532CDC" w:rsidRDefault="005A4DC5" w:rsidP="00CC5785">
      <w:pPr>
        <w:widowControl w:val="0"/>
      </w:pPr>
      <w:r w:rsidRPr="00532CDC">
        <w:rPr>
          <w:b/>
        </w:rPr>
        <w:t>November</w:t>
      </w:r>
      <w:r w:rsidR="00221A4C" w:rsidRPr="00532CDC">
        <w:rPr>
          <w:b/>
        </w:rPr>
        <w:t xml:space="preserve"> </w:t>
      </w:r>
      <w:r w:rsidRPr="00532CDC">
        <w:rPr>
          <w:b/>
        </w:rPr>
        <w:t>1</w:t>
      </w:r>
      <w:r w:rsidR="00293696" w:rsidRPr="00532CDC">
        <w:rPr>
          <w:b/>
        </w:rPr>
        <w:t>9</w:t>
      </w:r>
      <w:r w:rsidR="00435430" w:rsidRPr="00532CDC">
        <w:rPr>
          <w:b/>
        </w:rPr>
        <w:t>,</w:t>
      </w:r>
      <w:r w:rsidR="008825DB" w:rsidRPr="00532CDC">
        <w:rPr>
          <w:b/>
        </w:rPr>
        <w:t xml:space="preserve"> 20</w:t>
      </w:r>
      <w:r w:rsidR="002902CC" w:rsidRPr="00532CDC">
        <w:rPr>
          <w:b/>
        </w:rPr>
        <w:t>20</w:t>
      </w:r>
    </w:p>
    <w:p w:rsidR="006F2579" w:rsidRPr="00532CDC" w:rsidRDefault="006F2579" w:rsidP="00CC5785">
      <w:pPr>
        <w:widowControl w:val="0"/>
        <w:rPr>
          <w:b/>
        </w:rPr>
      </w:pPr>
      <w:r w:rsidRPr="00532CDC">
        <w:rPr>
          <w:b/>
        </w:rPr>
        <w:t>For immediate release</w:t>
      </w:r>
    </w:p>
    <w:p w:rsidR="006F2579" w:rsidRPr="00532CDC" w:rsidRDefault="006F2579" w:rsidP="00CC5785">
      <w:pPr>
        <w:widowControl w:val="0"/>
      </w:pPr>
    </w:p>
    <w:p w:rsidR="002767DF" w:rsidRPr="00532CDC" w:rsidRDefault="002767DF" w:rsidP="00CC5785">
      <w:pPr>
        <w:widowControl w:val="0"/>
      </w:pPr>
      <w:r w:rsidRPr="00532CDC">
        <w:rPr>
          <w:b/>
        </w:rPr>
        <w:t>OTTAWA</w:t>
      </w:r>
      <w:r w:rsidRPr="00532CDC">
        <w:t xml:space="preserve"> – The Suprem</w:t>
      </w:r>
      <w:r w:rsidR="00580213" w:rsidRPr="00532CDC">
        <w:t>e</w:t>
      </w:r>
      <w:r w:rsidRPr="00532CDC">
        <w:t xml:space="preserve"> Court of Canada has today deposited with the Registrar judgment</w:t>
      </w:r>
      <w:r w:rsidR="004D3B41" w:rsidRPr="00532CDC">
        <w:t>s</w:t>
      </w:r>
      <w:r w:rsidRPr="00532CDC">
        <w:t xml:space="preserve"> in the following </w:t>
      </w:r>
      <w:r w:rsidR="00063949" w:rsidRPr="00532CDC">
        <w:t xml:space="preserve">leave </w:t>
      </w:r>
      <w:r w:rsidRPr="00532CDC">
        <w:t>application</w:t>
      </w:r>
      <w:r w:rsidR="00CC044F" w:rsidRPr="00532CDC">
        <w:t>s</w:t>
      </w:r>
      <w:r w:rsidRPr="00532CDC">
        <w:t>.</w:t>
      </w:r>
    </w:p>
    <w:p w:rsidR="006F2579" w:rsidRPr="00532CDC" w:rsidRDefault="006F2579" w:rsidP="00CC5785">
      <w:pPr>
        <w:widowControl w:val="0"/>
      </w:pPr>
    </w:p>
    <w:p w:rsidR="006F2579" w:rsidRPr="00532CDC" w:rsidRDefault="006F2579" w:rsidP="00CC5785">
      <w:pPr>
        <w:widowControl w:val="0"/>
      </w:pPr>
    </w:p>
    <w:p w:rsidR="002767DF" w:rsidRPr="00532CDC" w:rsidRDefault="002767DF" w:rsidP="00CC5785">
      <w:pPr>
        <w:widowControl w:val="0"/>
        <w:jc w:val="center"/>
        <w:rPr>
          <w:lang w:val="fr-CA"/>
        </w:rPr>
      </w:pPr>
      <w:r w:rsidRPr="00532CDC">
        <w:rPr>
          <w:b/>
          <w:lang w:val="fr-CA"/>
        </w:rPr>
        <w:t>JUGEMENT</w:t>
      </w:r>
      <w:r w:rsidR="004C4C26" w:rsidRPr="00532CDC">
        <w:rPr>
          <w:b/>
          <w:lang w:val="fr-CA"/>
        </w:rPr>
        <w:t>S SUR DEMANDE</w:t>
      </w:r>
      <w:r w:rsidR="00CC044F" w:rsidRPr="00532CDC">
        <w:rPr>
          <w:b/>
          <w:lang w:val="fr-CA"/>
        </w:rPr>
        <w:t>S</w:t>
      </w:r>
      <w:r w:rsidRPr="00532CDC">
        <w:rPr>
          <w:b/>
          <w:lang w:val="fr-CA"/>
        </w:rPr>
        <w:t xml:space="preserve"> D’AUTORISATION</w:t>
      </w:r>
    </w:p>
    <w:p w:rsidR="006F2579" w:rsidRPr="00532CDC" w:rsidRDefault="006F2579" w:rsidP="00CC5785">
      <w:pPr>
        <w:widowControl w:val="0"/>
        <w:rPr>
          <w:lang w:val="fr-CA"/>
        </w:rPr>
      </w:pPr>
    </w:p>
    <w:p w:rsidR="006F2579" w:rsidRPr="00532CDC" w:rsidRDefault="006F2579" w:rsidP="00CC5785">
      <w:pPr>
        <w:widowControl w:val="0"/>
        <w:rPr>
          <w:lang w:val="fr-CA"/>
        </w:rPr>
      </w:pPr>
      <w:r w:rsidRPr="00532CDC">
        <w:rPr>
          <w:b/>
          <w:lang w:val="fr-CA"/>
        </w:rPr>
        <w:t>Le</w:t>
      </w:r>
      <w:r w:rsidR="008825DB" w:rsidRPr="00532CDC">
        <w:rPr>
          <w:b/>
          <w:lang w:val="fr-CA"/>
        </w:rPr>
        <w:t xml:space="preserve"> </w:t>
      </w:r>
      <w:r w:rsidR="005A4DC5" w:rsidRPr="00532CDC">
        <w:rPr>
          <w:b/>
          <w:lang w:val="fr-CA"/>
        </w:rPr>
        <w:t>1</w:t>
      </w:r>
      <w:r w:rsidR="00293696" w:rsidRPr="00532CDC">
        <w:rPr>
          <w:b/>
          <w:lang w:val="fr-CA"/>
        </w:rPr>
        <w:t>9</w:t>
      </w:r>
      <w:r w:rsidR="00CC0432" w:rsidRPr="00532CDC">
        <w:rPr>
          <w:b/>
          <w:lang w:val="fr-CA"/>
        </w:rPr>
        <w:t xml:space="preserve"> </w:t>
      </w:r>
      <w:r w:rsidR="005A4DC5" w:rsidRPr="00532CDC">
        <w:rPr>
          <w:b/>
          <w:lang w:val="fr-CA"/>
        </w:rPr>
        <w:t>novembre</w:t>
      </w:r>
      <w:r w:rsidR="004E4B02" w:rsidRPr="00532CDC">
        <w:rPr>
          <w:b/>
          <w:lang w:val="fr-CA"/>
        </w:rPr>
        <w:t xml:space="preserve"> </w:t>
      </w:r>
      <w:r w:rsidR="008825DB" w:rsidRPr="00532CDC">
        <w:rPr>
          <w:b/>
          <w:lang w:val="fr-CA"/>
        </w:rPr>
        <w:t>20</w:t>
      </w:r>
      <w:r w:rsidR="002902CC" w:rsidRPr="00532CDC">
        <w:rPr>
          <w:b/>
          <w:lang w:val="fr-CA"/>
        </w:rPr>
        <w:t>20</w:t>
      </w:r>
    </w:p>
    <w:p w:rsidR="006F2579" w:rsidRPr="00532CDC" w:rsidRDefault="006F2579" w:rsidP="00CC5785">
      <w:pPr>
        <w:widowControl w:val="0"/>
        <w:rPr>
          <w:b/>
          <w:lang w:val="fr-CA"/>
        </w:rPr>
      </w:pPr>
      <w:r w:rsidRPr="00532CDC">
        <w:rPr>
          <w:b/>
          <w:lang w:val="fr-CA"/>
        </w:rPr>
        <w:t>Pour diffusion immédiate</w:t>
      </w:r>
    </w:p>
    <w:p w:rsidR="006F2579" w:rsidRPr="00532CDC" w:rsidRDefault="006F2579" w:rsidP="00CC5785">
      <w:pPr>
        <w:widowControl w:val="0"/>
        <w:rPr>
          <w:lang w:val="fr-CA"/>
        </w:rPr>
      </w:pPr>
    </w:p>
    <w:p w:rsidR="002767DF" w:rsidRPr="00532CDC" w:rsidRDefault="002767DF" w:rsidP="00CC5785">
      <w:pPr>
        <w:widowControl w:val="0"/>
        <w:rPr>
          <w:lang w:val="fr-CA"/>
        </w:rPr>
      </w:pPr>
      <w:r w:rsidRPr="00532CDC">
        <w:rPr>
          <w:b/>
          <w:lang w:val="fr-CA"/>
        </w:rPr>
        <w:t>OTTAWA</w:t>
      </w:r>
      <w:r w:rsidRPr="00532CDC">
        <w:rPr>
          <w:lang w:val="fr-CA"/>
        </w:rPr>
        <w:t xml:space="preserve"> – La Cour suprême du Canada a déposé aujourd’hui auprès du registraire les jugements dans </w:t>
      </w:r>
      <w:r w:rsidR="00CC044F" w:rsidRPr="00532CDC">
        <w:rPr>
          <w:lang w:val="fr-CA"/>
        </w:rPr>
        <w:t>les</w:t>
      </w:r>
      <w:r w:rsidR="008C7CD9" w:rsidRPr="00532CDC">
        <w:rPr>
          <w:lang w:val="fr-CA"/>
        </w:rPr>
        <w:t xml:space="preserve"> </w:t>
      </w:r>
      <w:r w:rsidR="004C4C26" w:rsidRPr="00532CDC">
        <w:rPr>
          <w:lang w:val="fr-CA"/>
        </w:rPr>
        <w:t>demande</w:t>
      </w:r>
      <w:r w:rsidR="0088435A" w:rsidRPr="00532CDC">
        <w:rPr>
          <w:lang w:val="fr-CA"/>
        </w:rPr>
        <w:t>s</w:t>
      </w:r>
      <w:r w:rsidRPr="00532CDC">
        <w:rPr>
          <w:lang w:val="fr-CA"/>
        </w:rPr>
        <w:t xml:space="preserve"> d’au</w:t>
      </w:r>
      <w:r w:rsidR="00F24EF2" w:rsidRPr="00532CDC">
        <w:rPr>
          <w:lang w:val="fr-CA"/>
        </w:rPr>
        <w:t xml:space="preserve">torisation </w:t>
      </w:r>
      <w:r w:rsidR="007F2922" w:rsidRPr="00532CDC">
        <w:rPr>
          <w:lang w:val="fr-CA"/>
        </w:rPr>
        <w:t>sui</w:t>
      </w:r>
      <w:r w:rsidR="00F24EF2" w:rsidRPr="00532CDC">
        <w:rPr>
          <w:lang w:val="fr-CA"/>
        </w:rPr>
        <w:t>v</w:t>
      </w:r>
      <w:r w:rsidR="007F2922" w:rsidRPr="00532CDC">
        <w:rPr>
          <w:lang w:val="fr-CA"/>
        </w:rPr>
        <w:t>a</w:t>
      </w:r>
      <w:r w:rsidR="00F24EF2" w:rsidRPr="00532CDC">
        <w:rPr>
          <w:lang w:val="fr-CA"/>
        </w:rPr>
        <w:t>nt</w:t>
      </w:r>
      <w:r w:rsidR="00C56657" w:rsidRPr="00532CDC">
        <w:rPr>
          <w:lang w:val="fr-CA"/>
        </w:rPr>
        <w:t>s</w:t>
      </w:r>
      <w:r w:rsidR="00F24EF2" w:rsidRPr="00532CDC">
        <w:rPr>
          <w:lang w:val="fr-CA"/>
        </w:rPr>
        <w:t>.</w:t>
      </w:r>
    </w:p>
    <w:p w:rsidR="00694BDA" w:rsidRPr="00532CDC" w:rsidRDefault="00694BDA" w:rsidP="00CC5785">
      <w:pPr>
        <w:jc w:val="both"/>
        <w:rPr>
          <w:sz w:val="20"/>
          <w:lang w:val="fr-CA"/>
        </w:rPr>
      </w:pPr>
    </w:p>
    <w:p w:rsidR="00DA0759" w:rsidRPr="00532CDC" w:rsidRDefault="000D76E8" w:rsidP="00CC5785">
      <w:pPr>
        <w:jc w:val="both"/>
        <w:rPr>
          <w:sz w:val="20"/>
          <w:lang w:val="fr-CA"/>
        </w:rPr>
      </w:pPr>
      <w:r w:rsidRPr="00532CDC">
        <w:rPr>
          <w:sz w:val="20"/>
        </w:rPr>
        <w:pict>
          <v:rect id="_x0000_i1025" style="width:2in;height:1pt" o:hrpct="0" o:hralign="center" o:hrstd="t" o:hrnoshade="t" o:hr="t" fillcolor="black [3213]" stroked="f"/>
        </w:pict>
      </w:r>
    </w:p>
    <w:p w:rsidR="008620ED" w:rsidRPr="00532CDC" w:rsidRDefault="008620ED" w:rsidP="00CC5785">
      <w:pPr>
        <w:jc w:val="both"/>
        <w:rPr>
          <w:sz w:val="20"/>
        </w:rPr>
      </w:pPr>
    </w:p>
    <w:p w:rsidR="00431DE2" w:rsidRPr="00532CDC" w:rsidRDefault="00431DE2" w:rsidP="00CC5785">
      <w:pPr>
        <w:jc w:val="both"/>
        <w:rPr>
          <w:b/>
          <w:sz w:val="22"/>
          <w:szCs w:val="22"/>
        </w:rPr>
      </w:pPr>
      <w:r w:rsidRPr="00532CDC">
        <w:rPr>
          <w:b/>
          <w:sz w:val="22"/>
          <w:szCs w:val="22"/>
        </w:rPr>
        <w:t>DISMISSED / REJETÉE</w:t>
      </w:r>
      <w:r w:rsidR="001B1618" w:rsidRPr="00532CDC">
        <w:rPr>
          <w:b/>
          <w:sz w:val="22"/>
          <w:szCs w:val="22"/>
        </w:rPr>
        <w:t>S</w:t>
      </w:r>
    </w:p>
    <w:p w:rsidR="00431DE2" w:rsidRPr="00532CDC" w:rsidRDefault="00431DE2" w:rsidP="00CC5785">
      <w:pPr>
        <w:jc w:val="both"/>
        <w:rPr>
          <w:sz w:val="20"/>
        </w:rPr>
      </w:pPr>
    </w:p>
    <w:p w:rsidR="002D4D9B" w:rsidRPr="00532CDC" w:rsidRDefault="002D4D9B" w:rsidP="002D4D9B">
      <w:pPr>
        <w:rPr>
          <w:sz w:val="22"/>
          <w:szCs w:val="22"/>
        </w:rPr>
      </w:pPr>
      <w:r w:rsidRPr="00532CDC">
        <w:rPr>
          <w:i/>
          <w:sz w:val="22"/>
          <w:szCs w:val="22"/>
        </w:rPr>
        <w:t xml:space="preserve">Quinn Provost v. Dueck Downtown Chevrolet Buick GMC Limited and Kyle Katerenchuk </w:t>
      </w:r>
      <w:r w:rsidRPr="00532CDC">
        <w:rPr>
          <w:sz w:val="22"/>
          <w:szCs w:val="22"/>
        </w:rPr>
        <w:t>(B.C.) (Civil) (By Leave) (</w:t>
      </w:r>
      <w:hyperlink r:id="rId8" w:history="1">
        <w:r w:rsidRPr="00532CDC">
          <w:rPr>
            <w:rStyle w:val="Hyperlink"/>
            <w:sz w:val="22"/>
            <w:szCs w:val="22"/>
          </w:rPr>
          <w:t>39260</w:t>
        </w:r>
      </w:hyperlink>
      <w:r w:rsidRPr="00532CDC">
        <w:rPr>
          <w:sz w:val="22"/>
          <w:szCs w:val="22"/>
        </w:rPr>
        <w:t>)</w:t>
      </w:r>
    </w:p>
    <w:p w:rsidR="00A04D13" w:rsidRPr="00532CDC" w:rsidRDefault="00A04D13" w:rsidP="00CC5785">
      <w:pPr>
        <w:widowControl w:val="0"/>
        <w:rPr>
          <w:sz w:val="20"/>
        </w:rPr>
      </w:pPr>
    </w:p>
    <w:p w:rsidR="002D4D9B" w:rsidRPr="00532CDC" w:rsidRDefault="002D4D9B" w:rsidP="002D4D9B">
      <w:pPr>
        <w:jc w:val="both"/>
        <w:rPr>
          <w:sz w:val="20"/>
        </w:rPr>
      </w:pPr>
      <w:r w:rsidRPr="00532CDC">
        <w:rPr>
          <w:sz w:val="20"/>
        </w:rPr>
        <w:t>The motion for an extension of time to serve and file the application for leave to appeal is granted. The motion to expedite the application for leave to appeal is granted. The application for leave to appeal from the judgment of the</w:t>
      </w:r>
      <w:bookmarkStart w:id="0" w:name="BM_1_"/>
      <w:bookmarkEnd w:id="0"/>
      <w:r w:rsidRPr="00532CDC">
        <w:rPr>
          <w:sz w:val="20"/>
        </w:rPr>
        <w:t xml:space="preserve"> Court of Appeal for British Columbia (Vancouver), Number CA44808, 2020 BCCA 86, dated March 12, 2020, is dismissed with costs.</w:t>
      </w:r>
    </w:p>
    <w:p w:rsidR="008B5E4C" w:rsidRPr="00532CDC" w:rsidRDefault="008B5E4C" w:rsidP="00CC5785">
      <w:pPr>
        <w:jc w:val="both"/>
        <w:rPr>
          <w:sz w:val="20"/>
        </w:rPr>
      </w:pPr>
    </w:p>
    <w:p w:rsidR="008B5E4C" w:rsidRPr="00532CDC" w:rsidRDefault="002D4D9B" w:rsidP="000D76E8">
      <w:pPr>
        <w:jc w:val="both"/>
        <w:rPr>
          <w:sz w:val="20"/>
          <w:lang w:val="fr-CA"/>
        </w:rPr>
      </w:pPr>
      <w:r w:rsidRPr="00532CDC">
        <w:rPr>
          <w:sz w:val="20"/>
          <w:lang w:val="fr-CA"/>
        </w:rPr>
        <w:t>La requête en prorogation du délai de signification et de dépôt de la demande d’autorisation d’appel est accueillie. La requête visant à accélérer le traitement de la demande d’autorisation d’appel est accueillie. La demande d’autorisation d’appel de l’arrêt de la Cour d’appel de la Colombie-Britannique (Vancouver), numéro CA44808, 2020 BCCA 86, daté du 12 mars 2020, est rejetée avec dépens.</w:t>
      </w:r>
    </w:p>
    <w:p w:rsidR="009C3D5E" w:rsidRPr="00532CDC" w:rsidRDefault="009C3D5E" w:rsidP="00CC5785">
      <w:pPr>
        <w:jc w:val="both"/>
        <w:rPr>
          <w:sz w:val="20"/>
          <w:lang w:val="fr-CA"/>
        </w:rPr>
      </w:pPr>
    </w:p>
    <w:p w:rsidR="00A04D13" w:rsidRPr="00532CDC" w:rsidRDefault="000D76E8" w:rsidP="00CC5785">
      <w:pPr>
        <w:widowControl w:val="0"/>
        <w:rPr>
          <w:sz w:val="20"/>
        </w:rPr>
      </w:pPr>
      <w:r w:rsidRPr="00532CDC">
        <w:rPr>
          <w:sz w:val="20"/>
        </w:rPr>
        <w:pict>
          <v:rect id="_x0000_i1027" style="width:2in;height:1pt" o:hrpct="0" o:hralign="center" o:hrstd="t" o:hrnoshade="t" o:hr="t" fillcolor="black [3213]" stroked="f"/>
        </w:pict>
      </w:r>
    </w:p>
    <w:p w:rsidR="00A04D13" w:rsidRPr="00532CDC" w:rsidRDefault="00A04D13" w:rsidP="00CC5785">
      <w:pPr>
        <w:widowControl w:val="0"/>
        <w:rPr>
          <w:sz w:val="20"/>
        </w:rPr>
      </w:pPr>
    </w:p>
    <w:p w:rsidR="00190064" w:rsidRPr="00532CDC" w:rsidRDefault="00190064" w:rsidP="00190064">
      <w:pPr>
        <w:rPr>
          <w:rFonts w:eastAsiaTheme="minorHAnsi"/>
          <w:sz w:val="22"/>
          <w:szCs w:val="22"/>
        </w:rPr>
      </w:pPr>
      <w:r w:rsidRPr="00532CDC">
        <w:rPr>
          <w:rFonts w:eastAsiaTheme="minorHAnsi"/>
          <w:bCs/>
          <w:i/>
          <w:iCs/>
          <w:sz w:val="22"/>
          <w:szCs w:val="22"/>
        </w:rPr>
        <w:t>Gary Curtis v. Andrew Pinto and Pinto Wray James LLP</w:t>
      </w:r>
      <w:r w:rsidRPr="00532CDC">
        <w:rPr>
          <w:rFonts w:eastAsiaTheme="minorHAnsi"/>
          <w:sz w:val="22"/>
          <w:szCs w:val="22"/>
        </w:rPr>
        <w:t xml:space="preserve"> (Ont.) (Civil) (By Leave) </w:t>
      </w:r>
      <w:r w:rsidRPr="00532CDC">
        <w:rPr>
          <w:sz w:val="22"/>
          <w:szCs w:val="22"/>
        </w:rPr>
        <w:t>(</w:t>
      </w:r>
      <w:hyperlink r:id="rId9" w:history="1">
        <w:r w:rsidRPr="00532CDC">
          <w:rPr>
            <w:rStyle w:val="Hyperlink"/>
            <w:sz w:val="22"/>
            <w:szCs w:val="22"/>
          </w:rPr>
          <w:t>39249</w:t>
        </w:r>
      </w:hyperlink>
      <w:r w:rsidRPr="00532CDC">
        <w:rPr>
          <w:sz w:val="22"/>
          <w:szCs w:val="22"/>
        </w:rPr>
        <w:t>)</w:t>
      </w:r>
    </w:p>
    <w:p w:rsidR="00293696" w:rsidRPr="00532CDC" w:rsidRDefault="00293696" w:rsidP="00CC5785">
      <w:pPr>
        <w:widowControl w:val="0"/>
        <w:rPr>
          <w:sz w:val="20"/>
        </w:rPr>
      </w:pPr>
    </w:p>
    <w:p w:rsidR="00190064" w:rsidRPr="00532CDC" w:rsidRDefault="00190064" w:rsidP="00190064">
      <w:pPr>
        <w:jc w:val="both"/>
        <w:rPr>
          <w:sz w:val="20"/>
        </w:rPr>
      </w:pPr>
      <w:r w:rsidRPr="00532CDC">
        <w:rPr>
          <w:sz w:val="20"/>
        </w:rPr>
        <w:t>The application for leave to appeal from the judgment of the Court of Appeal for Ontario, Number C67234, 2019 ONCA 982, dated December 10, 2019, is dismissed.</w:t>
      </w:r>
    </w:p>
    <w:p w:rsidR="00190064" w:rsidRPr="00532CDC" w:rsidRDefault="00190064" w:rsidP="00190064">
      <w:pPr>
        <w:jc w:val="both"/>
        <w:rPr>
          <w:sz w:val="20"/>
        </w:rPr>
      </w:pPr>
    </w:p>
    <w:p w:rsidR="00190064" w:rsidRPr="00532CDC" w:rsidRDefault="00190064" w:rsidP="000D76E8">
      <w:pPr>
        <w:jc w:val="both"/>
        <w:rPr>
          <w:sz w:val="20"/>
          <w:lang w:val="fr-CA"/>
        </w:rPr>
      </w:pPr>
      <w:r w:rsidRPr="00532CDC">
        <w:rPr>
          <w:sz w:val="20"/>
          <w:lang w:val="fr-CA"/>
        </w:rPr>
        <w:t>La demande d’autorisation d’appel de l’arrêt de la Cour d’appel de l’Ontario, numéro C67234, 2019 ONCA 982, daté du 10 décembre 2019, est rejetée.</w:t>
      </w:r>
    </w:p>
    <w:p w:rsidR="00293696" w:rsidRPr="00532CDC" w:rsidRDefault="00293696" w:rsidP="00CC5785">
      <w:pPr>
        <w:widowControl w:val="0"/>
        <w:rPr>
          <w:sz w:val="20"/>
          <w:lang w:val="fr-CA"/>
        </w:rPr>
      </w:pPr>
    </w:p>
    <w:p w:rsidR="00A25AB0" w:rsidRPr="00532CDC" w:rsidRDefault="000D76E8" w:rsidP="00CC5785">
      <w:pPr>
        <w:widowControl w:val="0"/>
        <w:rPr>
          <w:sz w:val="20"/>
        </w:rPr>
      </w:pPr>
      <w:r w:rsidRPr="00532CDC">
        <w:rPr>
          <w:sz w:val="20"/>
        </w:rPr>
        <w:pict>
          <v:rect id="_x0000_i1028" style="width:2in;height:1pt" o:hrpct="0" o:hralign="center" o:hrstd="t" o:hrnoshade="t" o:hr="t" fillcolor="black [3213]" stroked="f"/>
        </w:pict>
      </w:r>
    </w:p>
    <w:p w:rsidR="00A25AB0" w:rsidRPr="00532CDC" w:rsidRDefault="00A25AB0" w:rsidP="00CC5785">
      <w:pPr>
        <w:widowControl w:val="0"/>
        <w:rPr>
          <w:sz w:val="20"/>
        </w:rPr>
      </w:pPr>
    </w:p>
    <w:p w:rsidR="00D17D58" w:rsidRPr="00532CDC" w:rsidRDefault="00D17D58" w:rsidP="00D17D58">
      <w:pPr>
        <w:rPr>
          <w:sz w:val="22"/>
          <w:szCs w:val="22"/>
        </w:rPr>
      </w:pPr>
      <w:r w:rsidRPr="00532CDC">
        <w:rPr>
          <w:bCs/>
          <w:i/>
          <w:iCs/>
          <w:sz w:val="22"/>
          <w:szCs w:val="22"/>
        </w:rPr>
        <w:t>Qianhui Deng, Administrator on behalf of the Estate of Shiming Deng (deceased) v. Her Majesty the Queen</w:t>
      </w:r>
      <w:r w:rsidRPr="00532CDC">
        <w:rPr>
          <w:sz w:val="22"/>
          <w:szCs w:val="22"/>
        </w:rPr>
        <w:t xml:space="preserve"> (F.C.) (Civil) (By Leave) (</w:t>
      </w:r>
      <w:hyperlink r:id="rId10" w:history="1">
        <w:r w:rsidRPr="00532CDC">
          <w:rPr>
            <w:rStyle w:val="Hyperlink"/>
            <w:sz w:val="22"/>
            <w:szCs w:val="22"/>
          </w:rPr>
          <w:t>39209</w:t>
        </w:r>
      </w:hyperlink>
      <w:r w:rsidRPr="00532CDC">
        <w:rPr>
          <w:sz w:val="22"/>
          <w:szCs w:val="22"/>
        </w:rPr>
        <w:t>)</w:t>
      </w:r>
    </w:p>
    <w:p w:rsidR="005A4DC5" w:rsidRPr="00532CDC" w:rsidRDefault="005A4DC5" w:rsidP="00CC5785">
      <w:pPr>
        <w:widowControl w:val="0"/>
        <w:rPr>
          <w:sz w:val="20"/>
        </w:rPr>
      </w:pPr>
    </w:p>
    <w:p w:rsidR="00D17D58" w:rsidRPr="00532CDC" w:rsidRDefault="00D17D58" w:rsidP="00D17D58">
      <w:pPr>
        <w:jc w:val="both"/>
        <w:rPr>
          <w:sz w:val="20"/>
        </w:rPr>
      </w:pPr>
      <w:r w:rsidRPr="00532CDC">
        <w:rPr>
          <w:sz w:val="20"/>
        </w:rPr>
        <w:lastRenderedPageBreak/>
        <w:t>The application for leave to appeal from the judgment of the Federal Court of Appeal, Number A-142-18, 2019 FCA 312, dated December 13, 2019, is dismissed with costs.</w:t>
      </w:r>
    </w:p>
    <w:p w:rsidR="00D17D58" w:rsidRPr="00532CDC" w:rsidRDefault="00D17D58" w:rsidP="00D17D58">
      <w:pPr>
        <w:jc w:val="both"/>
        <w:rPr>
          <w:sz w:val="20"/>
        </w:rPr>
      </w:pPr>
    </w:p>
    <w:p w:rsidR="00D17D58" w:rsidRPr="00532CDC" w:rsidRDefault="00D17D58" w:rsidP="000D76E8">
      <w:pPr>
        <w:jc w:val="both"/>
        <w:rPr>
          <w:sz w:val="20"/>
          <w:lang w:val="fr-CA"/>
        </w:rPr>
      </w:pPr>
      <w:r w:rsidRPr="00532CDC">
        <w:rPr>
          <w:sz w:val="20"/>
          <w:lang w:val="fr-CA"/>
        </w:rPr>
        <w:t>La demande d’autorisation d’appel de l’arrêt de la Cour d’appel fédérale, numéro A</w:t>
      </w:r>
      <w:r w:rsidRPr="00532CDC">
        <w:rPr>
          <w:sz w:val="20"/>
          <w:lang w:val="fr-CA"/>
        </w:rPr>
        <w:noBreakHyphen/>
        <w:t>142</w:t>
      </w:r>
      <w:r w:rsidRPr="00532CDC">
        <w:rPr>
          <w:sz w:val="20"/>
          <w:lang w:val="fr-CA"/>
        </w:rPr>
        <w:noBreakHyphen/>
        <w:t>18, 2019 CAF 312, daté du 13 décembre 2019, est rejetée avec dépens.</w:t>
      </w:r>
    </w:p>
    <w:p w:rsidR="00293696" w:rsidRPr="00532CDC" w:rsidRDefault="00293696" w:rsidP="00CC5785">
      <w:pPr>
        <w:widowControl w:val="0"/>
        <w:rPr>
          <w:sz w:val="20"/>
          <w:lang w:val="fr-CA"/>
        </w:rPr>
      </w:pPr>
    </w:p>
    <w:p w:rsidR="00A25AB0" w:rsidRPr="00532CDC" w:rsidRDefault="000D76E8" w:rsidP="00CC5785">
      <w:pPr>
        <w:widowControl w:val="0"/>
        <w:rPr>
          <w:sz w:val="20"/>
        </w:rPr>
      </w:pPr>
      <w:r w:rsidRPr="00532CDC">
        <w:rPr>
          <w:sz w:val="20"/>
        </w:rPr>
        <w:pict>
          <v:rect id="_x0000_i1029" style="width:2in;height:1pt" o:hrpct="0" o:hralign="center" o:hrstd="t" o:hrnoshade="t" o:hr="t" fillcolor="black [3213]" stroked="f"/>
        </w:pict>
      </w:r>
    </w:p>
    <w:p w:rsidR="00A25AB0" w:rsidRPr="00532CDC" w:rsidRDefault="00A25AB0" w:rsidP="00CC5785">
      <w:pPr>
        <w:widowControl w:val="0"/>
        <w:rPr>
          <w:sz w:val="20"/>
        </w:rPr>
      </w:pPr>
    </w:p>
    <w:p w:rsidR="00D17D58" w:rsidRPr="00532CDC" w:rsidRDefault="00D17D58" w:rsidP="00D17D58">
      <w:pPr>
        <w:pStyle w:val="SCCLsocSubfileSeparator"/>
        <w:jc w:val="left"/>
        <w:rPr>
          <w:b w:val="0"/>
          <w:i/>
          <w:sz w:val="22"/>
          <w:szCs w:val="22"/>
        </w:rPr>
      </w:pPr>
      <w:r w:rsidRPr="00532CDC">
        <w:rPr>
          <w:b w:val="0"/>
          <w:i/>
          <w:sz w:val="22"/>
          <w:szCs w:val="22"/>
        </w:rPr>
        <w:t>Leah Drover v. Craig Drover</w:t>
      </w:r>
      <w:r w:rsidRPr="00532CDC">
        <w:rPr>
          <w:b w:val="0"/>
          <w:sz w:val="22"/>
          <w:szCs w:val="22"/>
        </w:rPr>
        <w:t xml:space="preserve"> (N.L.) (Civil) (By Leave) (</w:t>
      </w:r>
      <w:hyperlink r:id="rId11" w:history="1">
        <w:r w:rsidRPr="00532CDC">
          <w:rPr>
            <w:rStyle w:val="Hyperlink"/>
            <w:b w:val="0"/>
            <w:sz w:val="22"/>
            <w:szCs w:val="22"/>
          </w:rPr>
          <w:t>39146</w:t>
        </w:r>
      </w:hyperlink>
      <w:r w:rsidRPr="00532CDC">
        <w:rPr>
          <w:b w:val="0"/>
          <w:sz w:val="22"/>
          <w:szCs w:val="22"/>
        </w:rPr>
        <w:t>)</w:t>
      </w:r>
    </w:p>
    <w:p w:rsidR="005A4DC5" w:rsidRPr="00532CDC" w:rsidRDefault="005A4DC5" w:rsidP="00CC5785">
      <w:pPr>
        <w:widowControl w:val="0"/>
        <w:rPr>
          <w:sz w:val="20"/>
        </w:rPr>
      </w:pPr>
    </w:p>
    <w:p w:rsidR="00D17D58" w:rsidRPr="00532CDC" w:rsidRDefault="00D17D58" w:rsidP="00D17D58">
      <w:pPr>
        <w:jc w:val="both"/>
        <w:rPr>
          <w:sz w:val="20"/>
        </w:rPr>
      </w:pPr>
      <w:r w:rsidRPr="00532CDC">
        <w:rPr>
          <w:sz w:val="20"/>
        </w:rPr>
        <w:t>The application for leave to appeal from the judgment of the Court of Appeal of Newfoundland and Labrador, Number 2018 01H 0010, 2020 NLCA 9, dated February 28, 2020, is dismissed.</w:t>
      </w:r>
    </w:p>
    <w:p w:rsidR="00D17D58" w:rsidRPr="00532CDC" w:rsidRDefault="00D17D58" w:rsidP="00D17D58">
      <w:pPr>
        <w:jc w:val="both"/>
        <w:rPr>
          <w:sz w:val="20"/>
        </w:rPr>
      </w:pPr>
    </w:p>
    <w:p w:rsidR="00D17D58" w:rsidRPr="00532CDC" w:rsidRDefault="00D17D58" w:rsidP="000D76E8">
      <w:pPr>
        <w:jc w:val="both"/>
        <w:rPr>
          <w:sz w:val="20"/>
          <w:lang w:val="fr-CA"/>
        </w:rPr>
      </w:pPr>
      <w:r w:rsidRPr="00532CDC">
        <w:rPr>
          <w:sz w:val="20"/>
          <w:lang w:val="fr-CA"/>
        </w:rPr>
        <w:t>La demande d’autorisation d’appel de l’arrêt de la Cour d’appel de Terre-Neuve-et-Labrador, numéro 201801H0010, 2020 NLCA 9, daté du 28 février 2020, est rejetée.</w:t>
      </w:r>
    </w:p>
    <w:p w:rsidR="00293696" w:rsidRPr="00532CDC" w:rsidRDefault="00293696" w:rsidP="00CC5785">
      <w:pPr>
        <w:widowControl w:val="0"/>
        <w:rPr>
          <w:sz w:val="20"/>
          <w:lang w:val="fr-CA"/>
        </w:rPr>
      </w:pPr>
    </w:p>
    <w:p w:rsidR="00A25AB0" w:rsidRPr="00532CDC" w:rsidRDefault="000D76E8" w:rsidP="00CC5785">
      <w:pPr>
        <w:widowControl w:val="0"/>
        <w:rPr>
          <w:sz w:val="20"/>
        </w:rPr>
      </w:pPr>
      <w:r w:rsidRPr="00532CDC">
        <w:rPr>
          <w:sz w:val="20"/>
        </w:rPr>
        <w:pict>
          <v:rect id="_x0000_i1030" style="width:2in;height:1pt" o:hrpct="0" o:hralign="center" o:hrstd="t" o:hrnoshade="t" o:hr="t" fillcolor="black [3213]" stroked="f"/>
        </w:pict>
      </w:r>
    </w:p>
    <w:p w:rsidR="00A25AB0" w:rsidRPr="00532CDC" w:rsidRDefault="00A25AB0" w:rsidP="00CC5785">
      <w:pPr>
        <w:widowControl w:val="0"/>
        <w:rPr>
          <w:sz w:val="20"/>
        </w:rPr>
      </w:pPr>
    </w:p>
    <w:p w:rsidR="00D17D58" w:rsidRPr="00532CDC" w:rsidRDefault="00D17D58" w:rsidP="00D17D58">
      <w:pPr>
        <w:rPr>
          <w:sz w:val="22"/>
          <w:szCs w:val="22"/>
        </w:rPr>
      </w:pPr>
      <w:r w:rsidRPr="00532CDC">
        <w:rPr>
          <w:i/>
          <w:sz w:val="22"/>
          <w:szCs w:val="22"/>
        </w:rPr>
        <w:t xml:space="preserve">T.J.K. v. M.A.K. </w:t>
      </w:r>
      <w:r w:rsidRPr="00532CDC">
        <w:rPr>
          <w:sz w:val="22"/>
          <w:szCs w:val="22"/>
        </w:rPr>
        <w:t>(Alta.) (Civil) (By Leave) (</w:t>
      </w:r>
      <w:hyperlink r:id="rId12" w:history="1">
        <w:r w:rsidRPr="00532CDC">
          <w:rPr>
            <w:rStyle w:val="Hyperlink"/>
            <w:sz w:val="22"/>
            <w:szCs w:val="22"/>
          </w:rPr>
          <w:t>39283</w:t>
        </w:r>
      </w:hyperlink>
      <w:r w:rsidRPr="00532CDC">
        <w:rPr>
          <w:sz w:val="22"/>
          <w:szCs w:val="22"/>
        </w:rPr>
        <w:t>)</w:t>
      </w:r>
    </w:p>
    <w:p w:rsidR="005A4DC5" w:rsidRPr="00532CDC" w:rsidRDefault="005A4DC5" w:rsidP="00CC5785">
      <w:pPr>
        <w:widowControl w:val="0"/>
        <w:rPr>
          <w:sz w:val="20"/>
        </w:rPr>
      </w:pPr>
    </w:p>
    <w:p w:rsidR="00D17D58" w:rsidRPr="00532CDC" w:rsidRDefault="00D17D58" w:rsidP="00D17D58">
      <w:pPr>
        <w:jc w:val="both"/>
        <w:rPr>
          <w:sz w:val="20"/>
        </w:rPr>
      </w:pPr>
      <w:r w:rsidRPr="00532CDC">
        <w:rPr>
          <w:sz w:val="20"/>
        </w:rPr>
        <w:t>The application for leave to appeal from the judgment of the Court of Appeal of Alberta (Edmonton), Number 1903-0210-AC, 2020 ABCA 196, dated May 12, 2020, is dismissed with costs.</w:t>
      </w:r>
    </w:p>
    <w:p w:rsidR="00D17D58" w:rsidRPr="00532CDC" w:rsidRDefault="00D17D58" w:rsidP="00D17D58">
      <w:pPr>
        <w:jc w:val="both"/>
        <w:rPr>
          <w:sz w:val="20"/>
        </w:rPr>
      </w:pPr>
    </w:p>
    <w:p w:rsidR="00D17D58" w:rsidRPr="00532CDC" w:rsidRDefault="00D17D58" w:rsidP="000D76E8">
      <w:pPr>
        <w:jc w:val="both"/>
        <w:rPr>
          <w:sz w:val="20"/>
          <w:lang w:val="fr-CA"/>
        </w:rPr>
      </w:pPr>
      <w:r w:rsidRPr="00532CDC">
        <w:rPr>
          <w:sz w:val="20"/>
          <w:lang w:val="fr-CA"/>
        </w:rPr>
        <w:t>La demande d’autorisation d’appel de l’arrêt de la Cour d’appel de l’Alberta (Edmonton), numéro 1903-0210-AC, 2020 ABCA 196, daté du 12 mai 2020, est rejetée avec dépens.</w:t>
      </w:r>
    </w:p>
    <w:p w:rsidR="00293696" w:rsidRPr="00532CDC" w:rsidRDefault="00293696" w:rsidP="00CC5785">
      <w:pPr>
        <w:widowControl w:val="0"/>
        <w:rPr>
          <w:sz w:val="20"/>
          <w:lang w:val="fr-CA"/>
        </w:rPr>
      </w:pPr>
    </w:p>
    <w:p w:rsidR="00A25AB0" w:rsidRPr="00532CDC" w:rsidRDefault="000D76E8" w:rsidP="00CC5785">
      <w:pPr>
        <w:widowControl w:val="0"/>
        <w:rPr>
          <w:sz w:val="20"/>
        </w:rPr>
      </w:pPr>
      <w:r w:rsidRPr="00532CDC">
        <w:rPr>
          <w:sz w:val="20"/>
        </w:rPr>
        <w:pict>
          <v:rect id="_x0000_i1031" style="width:2in;height:1pt" o:hrpct="0" o:hralign="center" o:hrstd="t" o:hrnoshade="t" o:hr="t" fillcolor="black [3213]" stroked="f"/>
        </w:pict>
      </w:r>
    </w:p>
    <w:p w:rsidR="00A25AB0" w:rsidRPr="00532CDC" w:rsidRDefault="00A25AB0" w:rsidP="00CC5785">
      <w:pPr>
        <w:widowControl w:val="0"/>
        <w:rPr>
          <w:sz w:val="20"/>
        </w:rPr>
      </w:pPr>
    </w:p>
    <w:p w:rsidR="00532CDC" w:rsidRPr="00532CDC" w:rsidRDefault="00532CDC" w:rsidP="00532CDC">
      <w:pPr>
        <w:rPr>
          <w:i/>
          <w:sz w:val="22"/>
          <w:szCs w:val="22"/>
          <w:lang w:val="en-CA"/>
        </w:rPr>
      </w:pPr>
      <w:r w:rsidRPr="00532CDC">
        <w:rPr>
          <w:i/>
          <w:sz w:val="22"/>
          <w:szCs w:val="22"/>
          <w:lang w:val="en-CA"/>
        </w:rPr>
        <w:t xml:space="preserve">Orren Brooks Johnson v. Her Majesty the Queen </w:t>
      </w:r>
      <w:r w:rsidRPr="00532CDC">
        <w:rPr>
          <w:sz w:val="22"/>
          <w:szCs w:val="22"/>
          <w:lang w:val="en-CA"/>
        </w:rPr>
        <w:t xml:space="preserve">(Sask.) (Criminal) (By Leave) </w:t>
      </w:r>
      <w:r w:rsidRPr="00532CDC">
        <w:rPr>
          <w:sz w:val="22"/>
          <w:szCs w:val="22"/>
        </w:rPr>
        <w:t>(</w:t>
      </w:r>
      <w:hyperlink r:id="rId13" w:history="1">
        <w:r w:rsidRPr="00532CDC">
          <w:rPr>
            <w:rStyle w:val="Hyperlink"/>
            <w:sz w:val="22"/>
            <w:szCs w:val="22"/>
          </w:rPr>
          <w:t>39194</w:t>
        </w:r>
      </w:hyperlink>
      <w:r w:rsidRPr="00532CDC">
        <w:rPr>
          <w:sz w:val="22"/>
          <w:szCs w:val="22"/>
        </w:rPr>
        <w:t>)</w:t>
      </w:r>
    </w:p>
    <w:p w:rsidR="005A4DC5" w:rsidRPr="00532CDC" w:rsidRDefault="005A4DC5" w:rsidP="00CC5785">
      <w:pPr>
        <w:widowControl w:val="0"/>
        <w:rPr>
          <w:sz w:val="20"/>
        </w:rPr>
      </w:pPr>
    </w:p>
    <w:p w:rsidR="00532CDC" w:rsidRPr="00532CDC" w:rsidRDefault="00532CDC" w:rsidP="00532CDC">
      <w:pPr>
        <w:jc w:val="both"/>
        <w:rPr>
          <w:sz w:val="20"/>
        </w:rPr>
      </w:pPr>
      <w:r w:rsidRPr="00532CDC">
        <w:rPr>
          <w:sz w:val="20"/>
        </w:rPr>
        <w:t>The motion for an extension of time to serve and file the application for leave to appeal is granted. The application for leave to appeal from the judgment of the Court of Appeal for Saskatchewan, Number CACR2940, 2019 SKCA 138, dated December 18, 2019, is dismissed.</w:t>
      </w:r>
    </w:p>
    <w:p w:rsidR="00532CDC" w:rsidRPr="00532CDC" w:rsidRDefault="00532CDC" w:rsidP="00532CDC">
      <w:pPr>
        <w:jc w:val="both"/>
        <w:rPr>
          <w:sz w:val="20"/>
        </w:rPr>
      </w:pPr>
    </w:p>
    <w:p w:rsidR="00532CDC" w:rsidRPr="00532CDC" w:rsidRDefault="00532CDC" w:rsidP="000D76E8">
      <w:pPr>
        <w:jc w:val="both"/>
        <w:rPr>
          <w:sz w:val="20"/>
          <w:lang w:val="fr-CA"/>
        </w:rPr>
      </w:pPr>
      <w:r w:rsidRPr="00532CDC">
        <w:rPr>
          <w:sz w:val="20"/>
          <w:lang w:val="fr-CA"/>
        </w:rPr>
        <w:t>La requête en prorogation du délai de signification et de dépôt de la demande d’autorisation d’appel est accueillie. La demande d’autorisation d’appel de l’arrêt de la Cour d’appel de la Saskatchewan, numéro CACR2940, 2019 SKCA 138, daté du 18 décembre 2019, est rejetée.</w:t>
      </w:r>
    </w:p>
    <w:p w:rsidR="00293696" w:rsidRPr="00532CDC" w:rsidRDefault="00293696" w:rsidP="00CC5785">
      <w:pPr>
        <w:widowControl w:val="0"/>
        <w:rPr>
          <w:sz w:val="20"/>
          <w:lang w:val="fr-CA"/>
        </w:rPr>
      </w:pPr>
    </w:p>
    <w:p w:rsidR="00A25AB0" w:rsidRPr="00532CDC" w:rsidRDefault="000D76E8" w:rsidP="00CC5785">
      <w:pPr>
        <w:widowControl w:val="0"/>
        <w:rPr>
          <w:sz w:val="20"/>
        </w:rPr>
      </w:pPr>
      <w:r w:rsidRPr="00532CDC">
        <w:rPr>
          <w:sz w:val="20"/>
        </w:rPr>
        <w:pict>
          <v:rect id="_x0000_i1032" style="width:2in;height:1pt" o:hrpct="0" o:hralign="center" o:hrstd="t" o:hrnoshade="t" o:hr="t" fillcolor="black [3213]" stroked="f"/>
        </w:pict>
      </w:r>
    </w:p>
    <w:p w:rsidR="00A25AB0" w:rsidRPr="00532CDC" w:rsidRDefault="00A25AB0" w:rsidP="00CC5785">
      <w:pPr>
        <w:widowControl w:val="0"/>
        <w:rPr>
          <w:sz w:val="20"/>
        </w:rPr>
      </w:pPr>
    </w:p>
    <w:p w:rsidR="002D4D9B" w:rsidRPr="00532CDC" w:rsidRDefault="002D4D9B" w:rsidP="002D4D9B">
      <w:pPr>
        <w:jc w:val="both"/>
        <w:rPr>
          <w:b/>
          <w:sz w:val="22"/>
          <w:szCs w:val="22"/>
        </w:rPr>
      </w:pPr>
      <w:r w:rsidRPr="00532CDC">
        <w:rPr>
          <w:b/>
          <w:sz w:val="22"/>
          <w:szCs w:val="22"/>
        </w:rPr>
        <w:t>REMANDED</w:t>
      </w:r>
      <w:r w:rsidRPr="00532CDC">
        <w:rPr>
          <w:b/>
          <w:sz w:val="22"/>
          <w:szCs w:val="22"/>
        </w:rPr>
        <w:t xml:space="preserve"> / RE</w:t>
      </w:r>
      <w:r w:rsidRPr="00532CDC">
        <w:rPr>
          <w:b/>
          <w:sz w:val="22"/>
          <w:szCs w:val="22"/>
        </w:rPr>
        <w:t>NVOY</w:t>
      </w:r>
      <w:r w:rsidRPr="00532CDC">
        <w:rPr>
          <w:b/>
          <w:sz w:val="22"/>
          <w:szCs w:val="22"/>
        </w:rPr>
        <w:t>ÉE</w:t>
      </w:r>
    </w:p>
    <w:p w:rsidR="00293696" w:rsidRPr="00532CDC" w:rsidRDefault="00293696" w:rsidP="00CC5785">
      <w:pPr>
        <w:widowControl w:val="0"/>
        <w:rPr>
          <w:sz w:val="20"/>
        </w:rPr>
      </w:pPr>
    </w:p>
    <w:p w:rsidR="002D4D9B" w:rsidRPr="00532CDC" w:rsidRDefault="002D4D9B" w:rsidP="002D4D9B">
      <w:pPr>
        <w:rPr>
          <w:sz w:val="22"/>
          <w:szCs w:val="22"/>
        </w:rPr>
      </w:pPr>
      <w:r w:rsidRPr="00532CDC">
        <w:rPr>
          <w:i/>
          <w:sz w:val="22"/>
          <w:szCs w:val="22"/>
        </w:rPr>
        <w:t>Ivars Mikelsteins v. Morrison Hershfield Limited</w:t>
      </w:r>
      <w:r w:rsidRPr="00532CDC">
        <w:rPr>
          <w:sz w:val="22"/>
          <w:szCs w:val="22"/>
        </w:rPr>
        <w:t xml:space="preserve"> (Ont.) (Civil) (By Leave) (</w:t>
      </w:r>
      <w:hyperlink r:id="rId14" w:history="1">
        <w:r w:rsidRPr="00532CDC">
          <w:rPr>
            <w:rStyle w:val="Hyperlink"/>
            <w:sz w:val="22"/>
            <w:szCs w:val="22"/>
          </w:rPr>
          <w:t>38806</w:t>
        </w:r>
      </w:hyperlink>
      <w:r w:rsidRPr="00532CDC">
        <w:rPr>
          <w:sz w:val="22"/>
          <w:szCs w:val="22"/>
        </w:rPr>
        <w:t>)</w:t>
      </w:r>
    </w:p>
    <w:p w:rsidR="00293696" w:rsidRPr="00532CDC" w:rsidRDefault="00293696" w:rsidP="00CC5785">
      <w:pPr>
        <w:widowControl w:val="0"/>
        <w:rPr>
          <w:sz w:val="20"/>
        </w:rPr>
      </w:pPr>
    </w:p>
    <w:p w:rsidR="002D4D9B" w:rsidRPr="00532CDC" w:rsidRDefault="002D4D9B" w:rsidP="002D4D9B">
      <w:pPr>
        <w:jc w:val="both"/>
        <w:rPr>
          <w:sz w:val="20"/>
        </w:rPr>
      </w:pPr>
      <w:r w:rsidRPr="00532CDC">
        <w:rPr>
          <w:sz w:val="20"/>
        </w:rPr>
        <w:t xml:space="preserve">Pursuant to subsection 43(1.1) of the </w:t>
      </w:r>
      <w:r w:rsidRPr="00532CDC">
        <w:rPr>
          <w:i/>
          <w:sz w:val="20"/>
        </w:rPr>
        <w:t>Supreme Court Act</w:t>
      </w:r>
      <w:r w:rsidRPr="00532CDC">
        <w:rPr>
          <w:sz w:val="20"/>
        </w:rPr>
        <w:t>, the case forming the basis of the application for leave to appeal from the judgment of the Court of Appeal for Ontario, Number C66315, 2019 ONCA 515, dated June 20, 2019, is remanded to the Court of Appeal for Ontario for disposition in accordance with</w:t>
      </w:r>
      <w:r w:rsidRPr="00532CDC">
        <w:rPr>
          <w:i/>
          <w:sz w:val="20"/>
        </w:rPr>
        <w:t xml:space="preserve"> David Matthews v. Ocean Nutrition Canada Ltd.</w:t>
      </w:r>
      <w:r w:rsidR="00315347">
        <w:rPr>
          <w:sz w:val="20"/>
        </w:rPr>
        <w:t xml:space="preserve">, </w:t>
      </w:r>
      <w:r w:rsidRPr="00532CDC">
        <w:rPr>
          <w:sz w:val="20"/>
        </w:rPr>
        <w:t>2020 SCC 26.</w:t>
      </w:r>
    </w:p>
    <w:p w:rsidR="002D4D9B" w:rsidRPr="00532CDC" w:rsidRDefault="002D4D9B" w:rsidP="002D4D9B">
      <w:pPr>
        <w:jc w:val="both"/>
        <w:rPr>
          <w:sz w:val="20"/>
        </w:rPr>
      </w:pPr>
    </w:p>
    <w:p w:rsidR="002D4D9B" w:rsidRPr="00532CDC" w:rsidRDefault="002D4D9B" w:rsidP="002D4D9B">
      <w:pPr>
        <w:jc w:val="both"/>
        <w:rPr>
          <w:sz w:val="20"/>
        </w:rPr>
      </w:pPr>
      <w:r w:rsidRPr="00532CDC">
        <w:rPr>
          <w:sz w:val="20"/>
        </w:rPr>
        <w:t>Karakatsanis J. took no part in the judgment.</w:t>
      </w:r>
    </w:p>
    <w:p w:rsidR="002D4D9B" w:rsidRPr="00532CDC" w:rsidRDefault="002D4D9B" w:rsidP="00CC5785">
      <w:pPr>
        <w:widowControl w:val="0"/>
        <w:rPr>
          <w:sz w:val="20"/>
        </w:rPr>
      </w:pPr>
    </w:p>
    <w:p w:rsidR="002D4D9B" w:rsidRPr="00532CDC" w:rsidRDefault="002D4D9B" w:rsidP="002D4D9B">
      <w:pPr>
        <w:jc w:val="both"/>
        <w:rPr>
          <w:sz w:val="20"/>
          <w:lang w:val="fr-CA"/>
        </w:rPr>
      </w:pPr>
      <w:r w:rsidRPr="00532CDC">
        <w:rPr>
          <w:sz w:val="20"/>
          <w:lang w:val="fr-CA"/>
        </w:rPr>
        <w:t xml:space="preserve">Conformément au paragraphe 43(1.1) de la </w:t>
      </w:r>
      <w:r w:rsidRPr="00532CDC">
        <w:rPr>
          <w:i/>
          <w:sz w:val="20"/>
          <w:lang w:val="fr-CA"/>
        </w:rPr>
        <w:t>Loi sur la Cour suprême</w:t>
      </w:r>
      <w:r w:rsidRPr="00532CDC">
        <w:rPr>
          <w:sz w:val="20"/>
          <w:lang w:val="fr-CA"/>
        </w:rPr>
        <w:t>, l’affaire à l’origine de la demande d’autorisation d’appel de l’arrêt de la Cour d’appel de l’Ontario, numéro C66315,  2019 ONCA 515</w:t>
      </w:r>
      <w:bookmarkStart w:id="1" w:name="_GoBack"/>
      <w:bookmarkEnd w:id="1"/>
      <w:r w:rsidRPr="00532CDC">
        <w:rPr>
          <w:sz w:val="20"/>
          <w:lang w:val="fr-CA"/>
        </w:rPr>
        <w:t xml:space="preserve">, daté du 20 juin 2019, est renvoyée à la Cour d’appel de l’Ontario pour qu’elle statue en conformité avec </w:t>
      </w:r>
      <w:r w:rsidRPr="00532CDC">
        <w:rPr>
          <w:i/>
          <w:sz w:val="20"/>
          <w:lang w:val="fr-CA"/>
        </w:rPr>
        <w:t>David Matthews c. Ocean Nutrition Canada Ltd.</w:t>
      </w:r>
      <w:r w:rsidRPr="00532CDC">
        <w:rPr>
          <w:sz w:val="20"/>
          <w:lang w:val="fr-CA"/>
        </w:rPr>
        <w:t>, 2020 CSC 26.</w:t>
      </w:r>
    </w:p>
    <w:p w:rsidR="002D4D9B" w:rsidRPr="00532CDC" w:rsidRDefault="002D4D9B" w:rsidP="002D4D9B">
      <w:pPr>
        <w:jc w:val="both"/>
        <w:rPr>
          <w:sz w:val="20"/>
          <w:lang w:val="fr-CA"/>
        </w:rPr>
      </w:pPr>
    </w:p>
    <w:p w:rsidR="00293696" w:rsidRPr="00532CDC" w:rsidRDefault="002D4D9B" w:rsidP="002D4D9B">
      <w:pPr>
        <w:widowControl w:val="0"/>
        <w:rPr>
          <w:sz w:val="20"/>
          <w:lang w:val="fr-CA"/>
        </w:rPr>
      </w:pPr>
      <w:r w:rsidRPr="00532CDC">
        <w:rPr>
          <w:sz w:val="20"/>
          <w:lang w:val="fr-CA"/>
        </w:rPr>
        <w:t>La juge Karakatsanis n’a pas participé au jugement.</w:t>
      </w:r>
    </w:p>
    <w:p w:rsidR="002D4D9B" w:rsidRPr="00532CDC" w:rsidRDefault="002D4D9B" w:rsidP="002D4D9B">
      <w:pPr>
        <w:widowControl w:val="0"/>
        <w:rPr>
          <w:sz w:val="20"/>
          <w:lang w:val="fr-CA"/>
        </w:rPr>
      </w:pPr>
    </w:p>
    <w:p w:rsidR="00A25AB0" w:rsidRPr="00532CDC" w:rsidRDefault="000D76E8" w:rsidP="00CC5785">
      <w:pPr>
        <w:widowControl w:val="0"/>
        <w:rPr>
          <w:sz w:val="20"/>
        </w:rPr>
      </w:pPr>
      <w:r w:rsidRPr="00532CDC">
        <w:rPr>
          <w:sz w:val="20"/>
        </w:rPr>
        <w:lastRenderedPageBreak/>
        <w:pict>
          <v:rect id="_x0000_i1033" style="width:2in;height:1pt" o:hrpct="0" o:hralign="center" o:hrstd="t" o:hrnoshade="t" o:hr="t" fillcolor="black [3213]" stroked="f"/>
        </w:pict>
      </w:r>
    </w:p>
    <w:p w:rsidR="00293696" w:rsidRPr="00532CDC" w:rsidRDefault="00293696" w:rsidP="00CC5785">
      <w:pPr>
        <w:ind w:left="357" w:hanging="357"/>
        <w:rPr>
          <w:sz w:val="20"/>
        </w:rPr>
      </w:pPr>
    </w:p>
    <w:p w:rsidR="00293696" w:rsidRPr="00532CDC" w:rsidRDefault="00293696" w:rsidP="00CC5785">
      <w:pPr>
        <w:ind w:left="357" w:hanging="357"/>
        <w:rPr>
          <w:sz w:val="20"/>
        </w:rPr>
      </w:pPr>
    </w:p>
    <w:p w:rsidR="00927F71" w:rsidRPr="00532CDC" w:rsidRDefault="00927F71" w:rsidP="00CC5785">
      <w:pPr>
        <w:widowControl w:val="0"/>
        <w:autoSpaceDE w:val="0"/>
        <w:autoSpaceDN w:val="0"/>
        <w:adjustRightInd w:val="0"/>
        <w:ind w:left="357" w:hanging="357"/>
        <w:rPr>
          <w:sz w:val="20"/>
        </w:rPr>
      </w:pPr>
    </w:p>
    <w:p w:rsidR="00D3344A" w:rsidRPr="00532CDC" w:rsidRDefault="00D3344A" w:rsidP="00CC5785">
      <w:pPr>
        <w:widowControl w:val="0"/>
        <w:outlineLvl w:val="0"/>
      </w:pPr>
      <w:r w:rsidRPr="00532CDC">
        <w:t xml:space="preserve">Supreme Court of Canada / Cour suprême du </w:t>
      </w:r>
      <w:proofErr w:type="gramStart"/>
      <w:r w:rsidRPr="00532CDC">
        <w:t>Canada :</w:t>
      </w:r>
      <w:proofErr w:type="gramEnd"/>
      <w:r w:rsidRPr="00532CDC">
        <w:t xml:space="preserve"> </w:t>
      </w:r>
    </w:p>
    <w:p w:rsidR="00D3344A" w:rsidRPr="00532CDC" w:rsidRDefault="000D76E8" w:rsidP="00CC5785">
      <w:pPr>
        <w:widowControl w:val="0"/>
        <w:outlineLvl w:val="0"/>
        <w:rPr>
          <w:color w:val="0000FF"/>
          <w:u w:val="single"/>
        </w:rPr>
      </w:pPr>
      <w:hyperlink r:id="rId15" w:history="1">
        <w:r w:rsidR="00D3344A" w:rsidRPr="00532CDC">
          <w:rPr>
            <w:rStyle w:val="Hyperlink"/>
          </w:rPr>
          <w:t>comments-commentaires@scc-csc.ca</w:t>
        </w:r>
      </w:hyperlink>
    </w:p>
    <w:p w:rsidR="00D3344A" w:rsidRPr="00532CDC" w:rsidRDefault="00D3344A" w:rsidP="00CC5785">
      <w:pPr>
        <w:widowControl w:val="0"/>
        <w:outlineLvl w:val="0"/>
      </w:pPr>
      <w:r w:rsidRPr="00532CDC">
        <w:t>(613) 995-4330</w:t>
      </w:r>
    </w:p>
    <w:p w:rsidR="00497B5E" w:rsidRPr="00532CDC" w:rsidRDefault="00497B5E" w:rsidP="00CC5785">
      <w:pPr>
        <w:widowControl w:val="0"/>
        <w:rPr>
          <w:sz w:val="20"/>
        </w:rPr>
      </w:pPr>
    </w:p>
    <w:p w:rsidR="003F43E6" w:rsidRPr="00532CDC" w:rsidRDefault="003F43E6" w:rsidP="00CC5785">
      <w:pPr>
        <w:widowControl w:val="0"/>
        <w:rPr>
          <w:sz w:val="20"/>
        </w:rPr>
      </w:pPr>
    </w:p>
    <w:p w:rsidR="00224F26" w:rsidRPr="00910AEC" w:rsidRDefault="003F43E6" w:rsidP="00CC5785">
      <w:pPr>
        <w:pStyle w:val="Footer"/>
        <w:jc w:val="center"/>
      </w:pPr>
      <w:r w:rsidRPr="00532CDC">
        <w:t>- 30</w:t>
      </w:r>
      <w:r w:rsidR="00312438" w:rsidRPr="00532CDC">
        <w:t xml:space="preserve"> -</w:t>
      </w:r>
    </w:p>
    <w:p w:rsidR="00C711D9" w:rsidRPr="00910AEC" w:rsidRDefault="00C711D9" w:rsidP="00CC5785">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8"/>
  </w:num>
  <w:num w:numId="4">
    <w:abstractNumId w:val="34"/>
  </w:num>
  <w:num w:numId="5">
    <w:abstractNumId w:val="29"/>
  </w:num>
  <w:num w:numId="6">
    <w:abstractNumId w:val="16"/>
  </w:num>
  <w:num w:numId="7">
    <w:abstractNumId w:val="23"/>
  </w:num>
  <w:num w:numId="8">
    <w:abstractNumId w:val="22"/>
  </w:num>
  <w:num w:numId="9">
    <w:abstractNumId w:val="2"/>
  </w:num>
  <w:num w:numId="10">
    <w:abstractNumId w:val="19"/>
  </w:num>
  <w:num w:numId="11">
    <w:abstractNumId w:val="33"/>
  </w:num>
  <w:num w:numId="12">
    <w:abstractNumId w:val="21"/>
  </w:num>
  <w:num w:numId="13">
    <w:abstractNumId w:val="14"/>
  </w:num>
  <w:num w:numId="14">
    <w:abstractNumId w:val="17"/>
  </w:num>
  <w:num w:numId="15">
    <w:abstractNumId w:val="0"/>
  </w:num>
  <w:num w:numId="16">
    <w:abstractNumId w:val="10"/>
  </w:num>
  <w:num w:numId="17">
    <w:abstractNumId w:val="24"/>
  </w:num>
  <w:num w:numId="18">
    <w:abstractNumId w:val="12"/>
  </w:num>
  <w:num w:numId="19">
    <w:abstractNumId w:val="13"/>
  </w:num>
  <w:num w:numId="20">
    <w:abstractNumId w:val="1"/>
  </w:num>
  <w:num w:numId="21">
    <w:abstractNumId w:val="35"/>
  </w:num>
  <w:num w:numId="22">
    <w:abstractNumId w:val="30"/>
  </w:num>
  <w:num w:numId="23">
    <w:abstractNumId w:val="11"/>
  </w:num>
  <w:num w:numId="24">
    <w:abstractNumId w:val="5"/>
  </w:num>
  <w:num w:numId="25">
    <w:abstractNumId w:val="7"/>
  </w:num>
  <w:num w:numId="26">
    <w:abstractNumId w:val="4"/>
  </w:num>
  <w:num w:numId="27">
    <w:abstractNumId w:val="26"/>
  </w:num>
  <w:num w:numId="28">
    <w:abstractNumId w:val="3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15"/>
  </w:num>
  <w:num w:numId="33">
    <w:abstractNumId w:val="38"/>
  </w:num>
  <w:num w:numId="34">
    <w:abstractNumId w:val="36"/>
  </w:num>
  <w:num w:numId="35">
    <w:abstractNumId w:val="25"/>
  </w:num>
  <w:num w:numId="36">
    <w:abstractNumId w:val="28"/>
  </w:num>
  <w:num w:numId="37">
    <w:abstractNumId w:val="9"/>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1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60" TargetMode="External"/><Relationship Id="rId13" Type="http://schemas.openxmlformats.org/officeDocument/2006/relationships/hyperlink" Target="https://www.scc-csc.ca/case-dossier/info/sum-som-eng.aspx?cas=3919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2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46"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2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249" TargetMode="External"/><Relationship Id="rId14" Type="http://schemas.openxmlformats.org/officeDocument/2006/relationships/hyperlink" Target="https://www.scc-csc.ca/case-dossier/info/sum-som-eng.aspx?cas=388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B935-BF2E-4A6D-A231-76E52B2E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2020-11-16T18:22:00Z</dcterms:modified>
</cp:coreProperties>
</file>