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2505E" w:rsidRDefault="000E391F" w:rsidP="000E391F">
      <w:pPr>
        <w:pStyle w:val="Header"/>
        <w:jc w:val="center"/>
        <w:rPr>
          <w:b/>
          <w:sz w:val="32"/>
        </w:rPr>
      </w:pPr>
      <w:r w:rsidRPr="0072505E">
        <w:rPr>
          <w:b/>
          <w:sz w:val="32"/>
        </w:rPr>
        <w:t>Supreme Court of Canada / Cour suprême du Canada</w:t>
      </w:r>
    </w:p>
    <w:p w:rsidR="000E391F" w:rsidRPr="0072505E" w:rsidRDefault="000E391F" w:rsidP="000E391F">
      <w:pPr>
        <w:widowControl w:val="0"/>
      </w:pPr>
    </w:p>
    <w:p w:rsidR="000E391F" w:rsidRPr="0072505E" w:rsidRDefault="000E391F" w:rsidP="000E391F">
      <w:pPr>
        <w:widowControl w:val="0"/>
        <w:rPr>
          <w:i/>
        </w:rPr>
      </w:pPr>
    </w:p>
    <w:p w:rsidR="006F2579" w:rsidRPr="0072505E" w:rsidRDefault="006F2579" w:rsidP="006F2579">
      <w:pPr>
        <w:widowControl w:val="0"/>
        <w:rPr>
          <w:i/>
          <w:sz w:val="20"/>
        </w:rPr>
      </w:pPr>
      <w:r w:rsidRPr="0072505E">
        <w:rPr>
          <w:i/>
          <w:sz w:val="20"/>
        </w:rPr>
        <w:t>(</w:t>
      </w:r>
      <w:r w:rsidR="003240B6" w:rsidRPr="0072505E">
        <w:rPr>
          <w:i/>
          <w:sz w:val="20"/>
        </w:rPr>
        <w:t>L</w:t>
      </w:r>
      <w:r w:rsidRPr="0072505E">
        <w:rPr>
          <w:i/>
          <w:sz w:val="20"/>
        </w:rPr>
        <w:t>e français suit)</w:t>
      </w:r>
    </w:p>
    <w:p w:rsidR="006F2579" w:rsidRPr="0072505E" w:rsidRDefault="006F2579" w:rsidP="006F2579">
      <w:pPr>
        <w:widowControl w:val="0"/>
      </w:pPr>
    </w:p>
    <w:p w:rsidR="006F2579" w:rsidRPr="0072505E" w:rsidRDefault="00B07908" w:rsidP="006F2579">
      <w:pPr>
        <w:widowControl w:val="0"/>
        <w:jc w:val="center"/>
        <w:rPr>
          <w:b/>
        </w:rPr>
      </w:pPr>
      <w:r w:rsidRPr="0072505E">
        <w:fldChar w:fldCharType="begin"/>
      </w:r>
      <w:r w:rsidR="006F2579" w:rsidRPr="0072505E">
        <w:instrText xml:space="preserve"> SEQ CHAPTER \h \r 1</w:instrText>
      </w:r>
      <w:r w:rsidRPr="0072505E">
        <w:fldChar w:fldCharType="end"/>
      </w:r>
      <w:r w:rsidR="006F2579" w:rsidRPr="0072505E">
        <w:rPr>
          <w:b/>
        </w:rPr>
        <w:t>JUDGMENT</w:t>
      </w:r>
      <w:r w:rsidR="00B17AAC" w:rsidRPr="0072505E">
        <w:rPr>
          <w:b/>
        </w:rPr>
        <w:t>S</w:t>
      </w:r>
      <w:r w:rsidR="006F2579" w:rsidRPr="0072505E">
        <w:rPr>
          <w:b/>
        </w:rPr>
        <w:t xml:space="preserve"> TO B</w:t>
      </w:r>
      <w:r w:rsidR="00001846" w:rsidRPr="0072505E">
        <w:rPr>
          <w:b/>
        </w:rPr>
        <w:t>E RENDERED IN LE</w:t>
      </w:r>
      <w:r w:rsidR="00A0288A" w:rsidRPr="0072505E">
        <w:rPr>
          <w:b/>
        </w:rPr>
        <w:t>A</w:t>
      </w:r>
      <w:r w:rsidR="00001846" w:rsidRPr="0072505E">
        <w:rPr>
          <w:b/>
        </w:rPr>
        <w:t>VE APPLICATION</w:t>
      </w:r>
      <w:r w:rsidR="00511288" w:rsidRPr="0072505E">
        <w:rPr>
          <w:b/>
        </w:rPr>
        <w:t>S</w:t>
      </w:r>
    </w:p>
    <w:p w:rsidR="006F2579" w:rsidRPr="0072505E" w:rsidRDefault="006F2579" w:rsidP="006F2579">
      <w:pPr>
        <w:widowControl w:val="0"/>
      </w:pPr>
    </w:p>
    <w:p w:rsidR="006F2579" w:rsidRPr="0072505E" w:rsidRDefault="004C631D" w:rsidP="006F2579">
      <w:pPr>
        <w:widowControl w:val="0"/>
      </w:pPr>
      <w:r w:rsidRPr="0072505E">
        <w:rPr>
          <w:b/>
        </w:rPr>
        <w:t>November</w:t>
      </w:r>
      <w:r w:rsidR="00A15B66" w:rsidRPr="0072505E">
        <w:rPr>
          <w:b/>
        </w:rPr>
        <w:t xml:space="preserve"> </w:t>
      </w:r>
      <w:r w:rsidR="002C5E29" w:rsidRPr="0072505E">
        <w:rPr>
          <w:b/>
        </w:rPr>
        <w:t>23</w:t>
      </w:r>
      <w:r w:rsidR="004441C7" w:rsidRPr="0072505E">
        <w:rPr>
          <w:b/>
        </w:rPr>
        <w:t>,</w:t>
      </w:r>
      <w:r w:rsidR="006F2579" w:rsidRPr="0072505E">
        <w:rPr>
          <w:b/>
        </w:rPr>
        <w:t xml:space="preserve"> </w:t>
      </w:r>
      <w:r w:rsidR="0054689F" w:rsidRPr="0072505E">
        <w:rPr>
          <w:b/>
        </w:rPr>
        <w:t>20</w:t>
      </w:r>
      <w:r w:rsidR="00526754" w:rsidRPr="0072505E">
        <w:rPr>
          <w:b/>
        </w:rPr>
        <w:t>20</w:t>
      </w:r>
    </w:p>
    <w:p w:rsidR="006F2579" w:rsidRPr="0072505E" w:rsidRDefault="00674F39" w:rsidP="006F2579">
      <w:pPr>
        <w:widowControl w:val="0"/>
        <w:rPr>
          <w:b/>
        </w:rPr>
      </w:pPr>
      <w:r w:rsidRPr="0072505E">
        <w:rPr>
          <w:b/>
        </w:rPr>
        <w:t>For immediate release</w:t>
      </w:r>
    </w:p>
    <w:p w:rsidR="006F2579" w:rsidRPr="0072505E" w:rsidRDefault="006F2579" w:rsidP="006F2579">
      <w:pPr>
        <w:widowControl w:val="0"/>
      </w:pPr>
    </w:p>
    <w:p w:rsidR="006F2579" w:rsidRPr="0072505E" w:rsidRDefault="006F2579" w:rsidP="006F2579">
      <w:pPr>
        <w:widowControl w:val="0"/>
        <w:rPr>
          <w:lang w:val="fr-CA"/>
        </w:rPr>
      </w:pPr>
      <w:r w:rsidRPr="0072505E">
        <w:rPr>
          <w:b/>
        </w:rPr>
        <w:t>OTTAWA</w:t>
      </w:r>
      <w:r w:rsidRPr="0072505E">
        <w:t xml:space="preserve"> – The Supreme Court of Canad</w:t>
      </w:r>
      <w:r w:rsidR="006246E4" w:rsidRPr="0072505E">
        <w:t>a</w:t>
      </w:r>
      <w:r w:rsidRPr="0072505E">
        <w:t xml:space="preserve"> announced today that judgment in the following </w:t>
      </w:r>
      <w:r w:rsidR="00DB6199" w:rsidRPr="0072505E">
        <w:t xml:space="preserve">leave applications </w:t>
      </w:r>
      <w:r w:rsidRPr="0072505E">
        <w:t xml:space="preserve">will be delivered at 9:45 a.m. </w:t>
      </w:r>
      <w:r w:rsidR="00E05816" w:rsidRPr="0072505E">
        <w:t>E</w:t>
      </w:r>
      <w:r w:rsidR="004C631D" w:rsidRPr="0072505E">
        <w:t>S</w:t>
      </w:r>
      <w:r w:rsidR="00E05816" w:rsidRPr="0072505E">
        <w:t>T</w:t>
      </w:r>
      <w:r w:rsidRPr="0072505E">
        <w:t xml:space="preserve"> on Thursday, </w:t>
      </w:r>
      <w:r w:rsidR="004C631D" w:rsidRPr="0072505E">
        <w:t>November</w:t>
      </w:r>
      <w:r w:rsidR="00455912" w:rsidRPr="0072505E">
        <w:t xml:space="preserve"> </w:t>
      </w:r>
      <w:r w:rsidR="002C5E29" w:rsidRPr="0072505E">
        <w:t>26</w:t>
      </w:r>
      <w:r w:rsidR="007E112F" w:rsidRPr="0072505E">
        <w:t>,</w:t>
      </w:r>
      <w:r w:rsidR="002F38D7" w:rsidRPr="0072505E">
        <w:t xml:space="preserve"> </w:t>
      </w:r>
      <w:r w:rsidR="006648D1" w:rsidRPr="0072505E">
        <w:t>20</w:t>
      </w:r>
      <w:r w:rsidR="00526754" w:rsidRPr="0072505E">
        <w:t>20</w:t>
      </w:r>
      <w:r w:rsidRPr="0072505E">
        <w:t xml:space="preserve">. </w:t>
      </w:r>
      <w:r w:rsidRPr="0072505E">
        <w:rPr>
          <w:lang w:val="fr-CA"/>
        </w:rPr>
        <w:t>This list is subject to chang</w:t>
      </w:r>
      <w:r w:rsidR="00192F7F" w:rsidRPr="0072505E">
        <w:rPr>
          <w:lang w:val="fr-CA"/>
        </w:rPr>
        <w:t>e</w:t>
      </w:r>
      <w:r w:rsidRPr="0072505E">
        <w:rPr>
          <w:lang w:val="fr-CA"/>
        </w:rPr>
        <w:t>.</w:t>
      </w:r>
    </w:p>
    <w:p w:rsidR="00FF5AA4" w:rsidRPr="0072505E" w:rsidRDefault="00FF5AA4" w:rsidP="006F2579">
      <w:pPr>
        <w:widowControl w:val="0"/>
        <w:rPr>
          <w:lang w:val="fr-CA"/>
        </w:rPr>
      </w:pPr>
    </w:p>
    <w:p w:rsidR="00B43418" w:rsidRPr="0072505E" w:rsidRDefault="00B43418" w:rsidP="006F2579">
      <w:pPr>
        <w:widowControl w:val="0"/>
        <w:rPr>
          <w:lang w:val="fr-CA"/>
        </w:rPr>
      </w:pPr>
    </w:p>
    <w:p w:rsidR="006F2579" w:rsidRPr="0072505E" w:rsidRDefault="006F2579" w:rsidP="006F2579">
      <w:pPr>
        <w:widowControl w:val="0"/>
        <w:jc w:val="center"/>
        <w:rPr>
          <w:lang w:val="fr-CA"/>
        </w:rPr>
      </w:pPr>
      <w:r w:rsidRPr="0072505E">
        <w:rPr>
          <w:b/>
          <w:lang w:val="fr-CA"/>
        </w:rPr>
        <w:t>PROCHAIN</w:t>
      </w:r>
      <w:r w:rsidR="00B17AAC" w:rsidRPr="0072505E">
        <w:rPr>
          <w:b/>
          <w:lang w:val="fr-CA"/>
        </w:rPr>
        <w:t>S</w:t>
      </w:r>
      <w:r w:rsidRPr="0072505E">
        <w:rPr>
          <w:b/>
          <w:lang w:val="fr-CA"/>
        </w:rPr>
        <w:t xml:space="preserve"> JUGEMENT</w:t>
      </w:r>
      <w:r w:rsidR="00B17AAC" w:rsidRPr="0072505E">
        <w:rPr>
          <w:b/>
          <w:lang w:val="fr-CA"/>
        </w:rPr>
        <w:t>S</w:t>
      </w:r>
      <w:r w:rsidR="00001846" w:rsidRPr="0072505E">
        <w:rPr>
          <w:b/>
          <w:lang w:val="fr-CA"/>
        </w:rPr>
        <w:t xml:space="preserve"> SUR DEMANDE</w:t>
      </w:r>
      <w:r w:rsidR="00B17AAC" w:rsidRPr="0072505E">
        <w:rPr>
          <w:b/>
          <w:lang w:val="fr-CA"/>
        </w:rPr>
        <w:t>S</w:t>
      </w:r>
      <w:r w:rsidRPr="0072505E">
        <w:rPr>
          <w:b/>
          <w:lang w:val="fr-CA"/>
        </w:rPr>
        <w:t xml:space="preserve"> D’AUTORISATION</w:t>
      </w:r>
    </w:p>
    <w:p w:rsidR="006F2579" w:rsidRPr="0072505E" w:rsidRDefault="006F2579" w:rsidP="006F2579">
      <w:pPr>
        <w:widowControl w:val="0"/>
        <w:rPr>
          <w:lang w:val="fr-CA"/>
        </w:rPr>
      </w:pPr>
    </w:p>
    <w:p w:rsidR="006F2579" w:rsidRPr="0072505E" w:rsidRDefault="006F2579" w:rsidP="006F2579">
      <w:pPr>
        <w:widowControl w:val="0"/>
        <w:rPr>
          <w:lang w:val="fr-CA"/>
        </w:rPr>
      </w:pPr>
      <w:r w:rsidRPr="0072505E">
        <w:rPr>
          <w:b/>
          <w:lang w:val="fr-CA"/>
        </w:rPr>
        <w:t>Le</w:t>
      </w:r>
      <w:r w:rsidR="00957A76" w:rsidRPr="0072505E">
        <w:rPr>
          <w:b/>
          <w:lang w:val="fr-CA"/>
        </w:rPr>
        <w:t xml:space="preserve"> </w:t>
      </w:r>
      <w:r w:rsidR="002C5E29" w:rsidRPr="0072505E">
        <w:rPr>
          <w:b/>
          <w:lang w:val="fr-CA"/>
        </w:rPr>
        <w:t>23</w:t>
      </w:r>
      <w:r w:rsidR="007A72CA" w:rsidRPr="0072505E">
        <w:rPr>
          <w:b/>
          <w:lang w:val="fr-CA"/>
        </w:rPr>
        <w:t xml:space="preserve"> </w:t>
      </w:r>
      <w:r w:rsidR="004C631D" w:rsidRPr="0072505E">
        <w:rPr>
          <w:b/>
          <w:lang w:val="fr-CA"/>
        </w:rPr>
        <w:t>novembre</w:t>
      </w:r>
      <w:r w:rsidR="00A151D1" w:rsidRPr="0072505E">
        <w:rPr>
          <w:b/>
          <w:lang w:val="fr-CA"/>
        </w:rPr>
        <w:t xml:space="preserve"> 20</w:t>
      </w:r>
      <w:r w:rsidR="00526754" w:rsidRPr="0072505E">
        <w:rPr>
          <w:b/>
          <w:lang w:val="fr-CA"/>
        </w:rPr>
        <w:t>20</w:t>
      </w:r>
    </w:p>
    <w:p w:rsidR="006F2579" w:rsidRPr="0072505E" w:rsidRDefault="006F2579" w:rsidP="006F2579">
      <w:pPr>
        <w:widowControl w:val="0"/>
        <w:rPr>
          <w:b/>
          <w:lang w:val="fr-CA"/>
        </w:rPr>
      </w:pPr>
      <w:r w:rsidRPr="0072505E">
        <w:rPr>
          <w:b/>
          <w:lang w:val="fr-CA"/>
        </w:rPr>
        <w:t>Pour diffusion immédiate</w:t>
      </w:r>
    </w:p>
    <w:p w:rsidR="006F2579" w:rsidRPr="0072505E" w:rsidRDefault="006F2579" w:rsidP="006F2579">
      <w:pPr>
        <w:widowControl w:val="0"/>
        <w:rPr>
          <w:lang w:val="fr-CA"/>
        </w:rPr>
      </w:pPr>
    </w:p>
    <w:p w:rsidR="006F2579" w:rsidRPr="0072505E" w:rsidRDefault="006F2579" w:rsidP="006F2579">
      <w:pPr>
        <w:widowControl w:val="0"/>
        <w:rPr>
          <w:lang w:val="fr-CA"/>
        </w:rPr>
      </w:pPr>
      <w:r w:rsidRPr="0072505E">
        <w:rPr>
          <w:b/>
          <w:lang w:val="fr-CA"/>
        </w:rPr>
        <w:t>OTTAWA</w:t>
      </w:r>
      <w:r w:rsidRPr="0072505E">
        <w:rPr>
          <w:lang w:val="fr-CA"/>
        </w:rPr>
        <w:t xml:space="preserve"> – La Cour suprême du Canada annonce que jugement ser</w:t>
      </w:r>
      <w:r w:rsidR="004259F9" w:rsidRPr="0072505E">
        <w:rPr>
          <w:lang w:val="fr-CA"/>
        </w:rPr>
        <w:t>a</w:t>
      </w:r>
      <w:r w:rsidRPr="0072505E">
        <w:rPr>
          <w:lang w:val="fr-CA"/>
        </w:rPr>
        <w:t xml:space="preserve"> rendu dans l</w:t>
      </w:r>
      <w:r w:rsidR="008600ED" w:rsidRPr="0072505E">
        <w:rPr>
          <w:lang w:val="fr-CA"/>
        </w:rPr>
        <w:t>es</w:t>
      </w:r>
      <w:r w:rsidRPr="0072505E">
        <w:rPr>
          <w:lang w:val="fr-CA"/>
        </w:rPr>
        <w:t xml:space="preserve"> demande</w:t>
      </w:r>
      <w:r w:rsidR="008600ED" w:rsidRPr="0072505E">
        <w:rPr>
          <w:lang w:val="fr-CA"/>
        </w:rPr>
        <w:t>s</w:t>
      </w:r>
      <w:r w:rsidRPr="0072505E">
        <w:rPr>
          <w:lang w:val="fr-CA"/>
        </w:rPr>
        <w:t xml:space="preserve"> d</w:t>
      </w:r>
      <w:r w:rsidR="00001846" w:rsidRPr="0072505E">
        <w:rPr>
          <w:lang w:val="fr-CA"/>
        </w:rPr>
        <w:t>’autorisation suivante</w:t>
      </w:r>
      <w:r w:rsidR="008600ED" w:rsidRPr="0072505E">
        <w:rPr>
          <w:lang w:val="fr-CA"/>
        </w:rPr>
        <w:t>s</w:t>
      </w:r>
      <w:r w:rsidRPr="0072505E">
        <w:rPr>
          <w:lang w:val="fr-CA"/>
        </w:rPr>
        <w:t xml:space="preserve"> le jeudi </w:t>
      </w:r>
      <w:r w:rsidR="002C5E29" w:rsidRPr="0072505E">
        <w:rPr>
          <w:lang w:val="fr-CA"/>
        </w:rPr>
        <w:t>26</w:t>
      </w:r>
      <w:r w:rsidR="00466302" w:rsidRPr="0072505E">
        <w:rPr>
          <w:lang w:val="fr-CA"/>
        </w:rPr>
        <w:t xml:space="preserve"> </w:t>
      </w:r>
      <w:r w:rsidR="004C631D" w:rsidRPr="0072505E">
        <w:rPr>
          <w:lang w:val="fr-CA"/>
        </w:rPr>
        <w:t>novembre</w:t>
      </w:r>
      <w:r w:rsidR="00694391" w:rsidRPr="0072505E">
        <w:rPr>
          <w:lang w:val="fr-CA"/>
        </w:rPr>
        <w:t xml:space="preserve"> 2</w:t>
      </w:r>
      <w:r w:rsidR="006648D1" w:rsidRPr="0072505E">
        <w:rPr>
          <w:lang w:val="fr-CA"/>
        </w:rPr>
        <w:t>0</w:t>
      </w:r>
      <w:r w:rsidR="00526754" w:rsidRPr="0072505E">
        <w:rPr>
          <w:lang w:val="fr-CA"/>
        </w:rPr>
        <w:t>20</w:t>
      </w:r>
      <w:r w:rsidRPr="0072505E">
        <w:rPr>
          <w:lang w:val="fr-CA"/>
        </w:rPr>
        <w:t xml:space="preserve">, à 9 h 45 </w:t>
      </w:r>
      <w:r w:rsidR="000627A2" w:rsidRPr="0072505E">
        <w:rPr>
          <w:lang w:val="fr-CA"/>
        </w:rPr>
        <w:t>H</w:t>
      </w:r>
      <w:r w:rsidR="004C631D" w:rsidRPr="0072505E">
        <w:rPr>
          <w:lang w:val="fr-CA"/>
        </w:rPr>
        <w:t>N</w:t>
      </w:r>
      <w:r w:rsidRPr="0072505E">
        <w:rPr>
          <w:lang w:val="fr-CA"/>
        </w:rPr>
        <w:t>E. Cette liste est sujette à modifications.</w:t>
      </w:r>
    </w:p>
    <w:p w:rsidR="0080556B" w:rsidRPr="0072505E" w:rsidRDefault="0080556B" w:rsidP="009B14F4">
      <w:pPr>
        <w:widowControl w:val="0"/>
        <w:jc w:val="both"/>
        <w:rPr>
          <w:sz w:val="20"/>
          <w:lang w:val="fr-CA"/>
        </w:rPr>
      </w:pPr>
    </w:p>
    <w:p w:rsidR="00867C61" w:rsidRPr="0072505E" w:rsidRDefault="001C78D7" w:rsidP="009B14F4">
      <w:pPr>
        <w:widowControl w:val="0"/>
        <w:jc w:val="both"/>
        <w:rPr>
          <w:sz w:val="20"/>
        </w:rPr>
      </w:pPr>
      <w:r w:rsidRPr="0072505E">
        <w:rPr>
          <w:sz w:val="20"/>
        </w:rPr>
        <w:pict>
          <v:rect id="_x0000_i1025" style="width:2in;height:1pt" o:hrpct="0" o:hralign="center" o:hrstd="t" o:hrnoshade="t" o:hr="t" fillcolor="black [3213]" stroked="f"/>
        </w:pict>
      </w:r>
    </w:p>
    <w:p w:rsidR="0029283C" w:rsidRPr="0072505E" w:rsidRDefault="0029283C" w:rsidP="0029283C">
      <w:pPr>
        <w:rPr>
          <w:sz w:val="20"/>
        </w:rPr>
      </w:pPr>
    </w:p>
    <w:p w:rsidR="00986262" w:rsidRPr="0072505E" w:rsidRDefault="00986262" w:rsidP="00986262">
      <w:pPr>
        <w:pStyle w:val="ListParagraph"/>
        <w:numPr>
          <w:ilvl w:val="0"/>
          <w:numId w:val="10"/>
        </w:numPr>
        <w:ind w:left="357" w:hanging="357"/>
        <w:rPr>
          <w:sz w:val="20"/>
        </w:rPr>
      </w:pPr>
      <w:r w:rsidRPr="0072505E">
        <w:rPr>
          <w:i/>
          <w:sz w:val="20"/>
        </w:rPr>
        <w:t>WORKS Gourmet Burger Bistro Inc., et al. v. 2352392 Ontario Inc., et al.</w:t>
      </w:r>
      <w:r w:rsidRPr="0072505E">
        <w:rPr>
          <w:sz w:val="20"/>
        </w:rPr>
        <w:t xml:space="preserve"> (Ont.) (Civil) (By Leave) (</w:t>
      </w:r>
      <w:hyperlink r:id="rId8" w:history="1">
        <w:r w:rsidRPr="0072505E">
          <w:rPr>
            <w:rStyle w:val="Hyperlink"/>
            <w:sz w:val="20"/>
            <w:szCs w:val="20"/>
          </w:rPr>
          <w:t>3</w:t>
        </w:r>
        <w:r w:rsidR="006D5A07" w:rsidRPr="0072505E">
          <w:rPr>
            <w:rStyle w:val="Hyperlink"/>
            <w:sz w:val="20"/>
            <w:szCs w:val="20"/>
          </w:rPr>
          <w:t>9183</w:t>
        </w:r>
      </w:hyperlink>
      <w:r w:rsidRPr="0072505E">
        <w:rPr>
          <w:sz w:val="20"/>
        </w:rPr>
        <w:t>)</w:t>
      </w:r>
    </w:p>
    <w:p w:rsidR="00986262" w:rsidRPr="0072505E" w:rsidRDefault="00986262" w:rsidP="00986262">
      <w:pPr>
        <w:ind w:left="357" w:hanging="357"/>
        <w:contextualSpacing/>
        <w:rPr>
          <w:sz w:val="20"/>
        </w:rPr>
      </w:pPr>
    </w:p>
    <w:p w:rsidR="00986262" w:rsidRPr="0072505E" w:rsidRDefault="00986262" w:rsidP="00986262">
      <w:pPr>
        <w:pStyle w:val="ListParagraph"/>
        <w:numPr>
          <w:ilvl w:val="0"/>
          <w:numId w:val="10"/>
        </w:numPr>
        <w:ind w:left="357" w:hanging="357"/>
        <w:rPr>
          <w:sz w:val="20"/>
          <w:lang w:val="fr-CA"/>
        </w:rPr>
      </w:pPr>
      <w:r w:rsidRPr="0072505E">
        <w:rPr>
          <w:i/>
          <w:sz w:val="20"/>
          <w:lang w:val="fr-CA"/>
        </w:rPr>
        <w:t>Lyne Bélanger c. Sa Majesté la Reine</w:t>
      </w:r>
      <w:r w:rsidRPr="0072505E">
        <w:rPr>
          <w:sz w:val="20"/>
          <w:lang w:val="fr-CA"/>
        </w:rPr>
        <w:t xml:space="preserve"> (Qc) (Criminelle) (Autorisation) (</w:t>
      </w:r>
      <w:hyperlink r:id="rId9" w:history="1">
        <w:r w:rsidRPr="0072505E">
          <w:rPr>
            <w:rStyle w:val="Hyperlink"/>
            <w:sz w:val="20"/>
            <w:szCs w:val="20"/>
            <w:lang w:val="fr-CA"/>
          </w:rPr>
          <w:t>3</w:t>
        </w:r>
        <w:r w:rsidR="006D5A07" w:rsidRPr="0072505E">
          <w:rPr>
            <w:rStyle w:val="Hyperlink"/>
            <w:sz w:val="20"/>
            <w:szCs w:val="20"/>
            <w:lang w:val="fr-CA"/>
          </w:rPr>
          <w:t>9255</w:t>
        </w:r>
      </w:hyperlink>
      <w:r w:rsidRPr="0072505E">
        <w:rPr>
          <w:sz w:val="20"/>
          <w:lang w:val="fr-CA"/>
        </w:rPr>
        <w:t>)</w:t>
      </w:r>
    </w:p>
    <w:p w:rsidR="00986262" w:rsidRPr="0072505E" w:rsidRDefault="00986262" w:rsidP="00986262">
      <w:pPr>
        <w:ind w:left="357" w:hanging="357"/>
        <w:rPr>
          <w:sz w:val="20"/>
          <w:lang w:val="fr-CA"/>
        </w:rPr>
      </w:pPr>
    </w:p>
    <w:p w:rsidR="00986262" w:rsidRPr="0072505E" w:rsidRDefault="00986262" w:rsidP="00986262">
      <w:pPr>
        <w:pStyle w:val="ListParagraph"/>
        <w:numPr>
          <w:ilvl w:val="0"/>
          <w:numId w:val="10"/>
        </w:numPr>
        <w:ind w:left="357" w:hanging="357"/>
        <w:rPr>
          <w:sz w:val="20"/>
        </w:rPr>
      </w:pPr>
      <w:r w:rsidRPr="0072505E">
        <w:rPr>
          <w:i/>
          <w:sz w:val="20"/>
          <w:lang w:val="fr-CA"/>
        </w:rPr>
        <w:t>Procureur général du Québec c. Sylvain Picard, et al.</w:t>
      </w:r>
      <w:r w:rsidRPr="0072505E">
        <w:rPr>
          <w:sz w:val="20"/>
          <w:lang w:val="fr-CA"/>
        </w:rPr>
        <w:t xml:space="preserve"> </w:t>
      </w:r>
      <w:r w:rsidRPr="0072505E">
        <w:rPr>
          <w:sz w:val="20"/>
        </w:rPr>
        <w:t>(C.F.) (Civile) (Autorisation) (</w:t>
      </w:r>
      <w:hyperlink r:id="rId10" w:history="1">
        <w:r w:rsidRPr="0072505E">
          <w:rPr>
            <w:rStyle w:val="Hyperlink"/>
            <w:sz w:val="20"/>
            <w:szCs w:val="20"/>
          </w:rPr>
          <w:t>3</w:t>
        </w:r>
        <w:r w:rsidR="006D5A07" w:rsidRPr="0072505E">
          <w:rPr>
            <w:rStyle w:val="Hyperlink"/>
            <w:sz w:val="20"/>
            <w:szCs w:val="20"/>
          </w:rPr>
          <w:t>9210</w:t>
        </w:r>
      </w:hyperlink>
      <w:r w:rsidRPr="0072505E">
        <w:rPr>
          <w:sz w:val="20"/>
        </w:rPr>
        <w:t>)</w:t>
      </w:r>
    </w:p>
    <w:p w:rsidR="002C5E29" w:rsidRPr="0072505E" w:rsidRDefault="002C5E29" w:rsidP="00986262">
      <w:pPr>
        <w:ind w:left="357" w:hanging="357"/>
        <w:rPr>
          <w:sz w:val="20"/>
        </w:rPr>
      </w:pPr>
    </w:p>
    <w:p w:rsidR="00986262" w:rsidRPr="0072505E" w:rsidRDefault="00986262" w:rsidP="00986262">
      <w:pPr>
        <w:pStyle w:val="ListParagraph"/>
        <w:numPr>
          <w:ilvl w:val="0"/>
          <w:numId w:val="10"/>
        </w:numPr>
        <w:ind w:left="357" w:hanging="357"/>
        <w:rPr>
          <w:sz w:val="20"/>
        </w:rPr>
      </w:pPr>
      <w:r w:rsidRPr="0072505E">
        <w:rPr>
          <w:i/>
          <w:sz w:val="20"/>
        </w:rPr>
        <w:t>Karen Stirrett v. Bradley Strauss</w:t>
      </w:r>
      <w:r w:rsidRPr="0072505E">
        <w:rPr>
          <w:sz w:val="20"/>
        </w:rPr>
        <w:t xml:space="preserve"> (Ont.) (Civil) (By Leave) (</w:t>
      </w:r>
      <w:hyperlink r:id="rId11" w:history="1">
        <w:r w:rsidRPr="0072505E">
          <w:rPr>
            <w:rStyle w:val="Hyperlink"/>
            <w:sz w:val="20"/>
            <w:szCs w:val="20"/>
          </w:rPr>
          <w:t>3</w:t>
        </w:r>
        <w:r w:rsidR="00494F25" w:rsidRPr="0072505E">
          <w:rPr>
            <w:rStyle w:val="Hyperlink"/>
            <w:sz w:val="20"/>
            <w:szCs w:val="20"/>
          </w:rPr>
          <w:t>9268</w:t>
        </w:r>
      </w:hyperlink>
      <w:r w:rsidRPr="0072505E">
        <w:rPr>
          <w:sz w:val="20"/>
        </w:rPr>
        <w:t>)</w:t>
      </w:r>
    </w:p>
    <w:p w:rsidR="002C5E29" w:rsidRPr="0072505E" w:rsidRDefault="002C5E29" w:rsidP="00986262">
      <w:pPr>
        <w:ind w:left="357" w:hanging="357"/>
        <w:rPr>
          <w:sz w:val="20"/>
        </w:rPr>
      </w:pPr>
    </w:p>
    <w:p w:rsidR="00986262" w:rsidRPr="0072505E" w:rsidRDefault="00986262" w:rsidP="00986262">
      <w:pPr>
        <w:pStyle w:val="ListParagraph"/>
        <w:numPr>
          <w:ilvl w:val="0"/>
          <w:numId w:val="10"/>
        </w:numPr>
        <w:ind w:left="357" w:hanging="357"/>
        <w:rPr>
          <w:i/>
          <w:sz w:val="20"/>
        </w:rPr>
      </w:pPr>
      <w:r w:rsidRPr="0072505E">
        <w:rPr>
          <w:i/>
          <w:sz w:val="20"/>
        </w:rPr>
        <w:t>Johnny Wilfred Troy Awasis v. Her Majesty the</w:t>
      </w:r>
      <w:r w:rsidR="00494F25" w:rsidRPr="0072505E">
        <w:rPr>
          <w:i/>
          <w:sz w:val="20"/>
        </w:rPr>
        <w:t xml:space="preserve"> Queen</w:t>
      </w:r>
      <w:r w:rsidRPr="0072505E">
        <w:rPr>
          <w:i/>
          <w:sz w:val="20"/>
        </w:rPr>
        <w:t xml:space="preserve"> </w:t>
      </w:r>
      <w:r w:rsidRPr="0072505E">
        <w:rPr>
          <w:sz w:val="20"/>
        </w:rPr>
        <w:t>(B.C.) (Criminal) (By Leave) (</w:t>
      </w:r>
      <w:hyperlink r:id="rId12" w:history="1">
        <w:r w:rsidRPr="0072505E">
          <w:rPr>
            <w:rStyle w:val="Hyperlink"/>
            <w:sz w:val="20"/>
            <w:szCs w:val="20"/>
          </w:rPr>
          <w:t>3</w:t>
        </w:r>
        <w:r w:rsidR="00494F25" w:rsidRPr="0072505E">
          <w:rPr>
            <w:rStyle w:val="Hyperlink"/>
            <w:sz w:val="20"/>
            <w:szCs w:val="20"/>
          </w:rPr>
          <w:t>9262</w:t>
        </w:r>
      </w:hyperlink>
      <w:r w:rsidRPr="0072505E">
        <w:rPr>
          <w:sz w:val="20"/>
        </w:rPr>
        <w:t>)</w:t>
      </w:r>
    </w:p>
    <w:p w:rsidR="00986262" w:rsidRPr="0072505E" w:rsidRDefault="00986262" w:rsidP="00986262">
      <w:pPr>
        <w:widowControl w:val="0"/>
        <w:autoSpaceDE w:val="0"/>
        <w:autoSpaceDN w:val="0"/>
        <w:adjustRightInd w:val="0"/>
        <w:ind w:left="357" w:hanging="357"/>
        <w:rPr>
          <w:sz w:val="20"/>
        </w:rPr>
      </w:pPr>
    </w:p>
    <w:p w:rsidR="00986262" w:rsidRPr="0072505E" w:rsidRDefault="00986262" w:rsidP="00986262">
      <w:pPr>
        <w:pStyle w:val="ListParagraph"/>
        <w:numPr>
          <w:ilvl w:val="0"/>
          <w:numId w:val="10"/>
        </w:numPr>
        <w:ind w:left="357" w:hanging="357"/>
        <w:rPr>
          <w:i/>
          <w:sz w:val="20"/>
        </w:rPr>
      </w:pPr>
      <w:r w:rsidRPr="0072505E">
        <w:rPr>
          <w:i/>
          <w:sz w:val="20"/>
        </w:rPr>
        <w:t xml:space="preserve">Dustin Blue Moir v. Her Majesty the Queen </w:t>
      </w:r>
      <w:r w:rsidRPr="0072505E">
        <w:rPr>
          <w:sz w:val="20"/>
        </w:rPr>
        <w:t>(B.C.) (Criminal) (By Leave) (</w:t>
      </w:r>
      <w:hyperlink r:id="rId13" w:history="1">
        <w:r w:rsidRPr="0072505E">
          <w:rPr>
            <w:rStyle w:val="Hyperlink"/>
            <w:sz w:val="20"/>
            <w:szCs w:val="20"/>
          </w:rPr>
          <w:t>3</w:t>
        </w:r>
        <w:r w:rsidR="00140F37" w:rsidRPr="0072505E">
          <w:rPr>
            <w:rStyle w:val="Hyperlink"/>
            <w:sz w:val="20"/>
            <w:szCs w:val="20"/>
          </w:rPr>
          <w:t>923</w:t>
        </w:r>
        <w:r w:rsidRPr="0072505E">
          <w:rPr>
            <w:rStyle w:val="Hyperlink"/>
            <w:sz w:val="20"/>
            <w:szCs w:val="20"/>
          </w:rPr>
          <w:t>0</w:t>
        </w:r>
      </w:hyperlink>
      <w:r w:rsidRPr="0072505E">
        <w:rPr>
          <w:sz w:val="20"/>
        </w:rPr>
        <w:t>)</w:t>
      </w:r>
    </w:p>
    <w:p w:rsidR="00986262" w:rsidRPr="0072505E" w:rsidRDefault="00986262" w:rsidP="00986262">
      <w:pPr>
        <w:widowControl w:val="0"/>
        <w:autoSpaceDE w:val="0"/>
        <w:autoSpaceDN w:val="0"/>
        <w:adjustRightInd w:val="0"/>
        <w:ind w:left="357" w:hanging="357"/>
        <w:rPr>
          <w:sz w:val="20"/>
        </w:rPr>
      </w:pPr>
    </w:p>
    <w:p w:rsidR="00986262" w:rsidRPr="0072505E" w:rsidRDefault="00986262" w:rsidP="00986262">
      <w:pPr>
        <w:pStyle w:val="ListParagraph"/>
        <w:numPr>
          <w:ilvl w:val="0"/>
          <w:numId w:val="10"/>
        </w:numPr>
        <w:ind w:left="357" w:hanging="357"/>
        <w:rPr>
          <w:i/>
          <w:sz w:val="20"/>
        </w:rPr>
      </w:pPr>
      <w:r w:rsidRPr="0072505E">
        <w:rPr>
          <w:i/>
          <w:sz w:val="20"/>
        </w:rPr>
        <w:t xml:space="preserve">Michael Yar Zuk v. Alberta Dental Association and College, </w:t>
      </w:r>
      <w:r w:rsidR="00140F37" w:rsidRPr="0072505E">
        <w:rPr>
          <w:i/>
          <w:sz w:val="20"/>
        </w:rPr>
        <w:t>et al.</w:t>
      </w:r>
      <w:r w:rsidRPr="0072505E">
        <w:rPr>
          <w:i/>
          <w:sz w:val="20"/>
        </w:rPr>
        <w:t xml:space="preserve"> </w:t>
      </w:r>
      <w:r w:rsidRPr="0072505E">
        <w:rPr>
          <w:sz w:val="20"/>
        </w:rPr>
        <w:t>(Alta.) (Civil) (By Leave) (</w:t>
      </w:r>
      <w:hyperlink r:id="rId14" w:history="1">
        <w:r w:rsidRPr="0072505E">
          <w:rPr>
            <w:rStyle w:val="Hyperlink"/>
            <w:sz w:val="20"/>
            <w:szCs w:val="20"/>
          </w:rPr>
          <w:t>3</w:t>
        </w:r>
        <w:r w:rsidR="00140F37" w:rsidRPr="0072505E">
          <w:rPr>
            <w:rStyle w:val="Hyperlink"/>
            <w:sz w:val="20"/>
            <w:szCs w:val="20"/>
          </w:rPr>
          <w:t>9237</w:t>
        </w:r>
      </w:hyperlink>
      <w:r w:rsidRPr="0072505E">
        <w:rPr>
          <w:sz w:val="20"/>
        </w:rPr>
        <w:t>)</w:t>
      </w:r>
    </w:p>
    <w:p w:rsidR="002C5E29" w:rsidRPr="0072505E" w:rsidRDefault="002C5E29" w:rsidP="00986262">
      <w:pPr>
        <w:ind w:left="357" w:hanging="357"/>
        <w:rPr>
          <w:sz w:val="20"/>
        </w:rPr>
      </w:pPr>
    </w:p>
    <w:p w:rsidR="00986262" w:rsidRPr="0072505E" w:rsidRDefault="00986262" w:rsidP="00986262">
      <w:pPr>
        <w:pStyle w:val="ListParagraph"/>
        <w:numPr>
          <w:ilvl w:val="0"/>
          <w:numId w:val="10"/>
        </w:numPr>
        <w:tabs>
          <w:tab w:val="left" w:pos="555"/>
        </w:tabs>
        <w:ind w:left="357" w:hanging="357"/>
        <w:rPr>
          <w:i/>
          <w:sz w:val="20"/>
        </w:rPr>
      </w:pPr>
      <w:r w:rsidRPr="0072505E">
        <w:rPr>
          <w:i/>
          <w:sz w:val="20"/>
          <w:lang w:val="fr-CA"/>
        </w:rPr>
        <w:t xml:space="preserve">Wayfinder Corp. v. Alexis Armin, </w:t>
      </w:r>
      <w:r w:rsidR="00173621" w:rsidRPr="0072505E">
        <w:rPr>
          <w:i/>
          <w:sz w:val="20"/>
          <w:lang w:val="fr-CA"/>
        </w:rPr>
        <w:t>et al.</w:t>
      </w:r>
      <w:r w:rsidRPr="0072505E">
        <w:rPr>
          <w:i/>
          <w:sz w:val="20"/>
          <w:lang w:val="fr-CA"/>
        </w:rPr>
        <w:t xml:space="preserve"> </w:t>
      </w:r>
      <w:r w:rsidRPr="0072505E">
        <w:rPr>
          <w:sz w:val="20"/>
        </w:rPr>
        <w:t>(Alta.) (Civil) (By Leave) (</w:t>
      </w:r>
      <w:hyperlink r:id="rId15" w:history="1">
        <w:r w:rsidRPr="0072505E">
          <w:rPr>
            <w:rStyle w:val="Hyperlink"/>
            <w:sz w:val="20"/>
            <w:szCs w:val="20"/>
          </w:rPr>
          <w:t>3</w:t>
        </w:r>
        <w:r w:rsidR="00173621" w:rsidRPr="0072505E">
          <w:rPr>
            <w:rStyle w:val="Hyperlink"/>
            <w:sz w:val="20"/>
            <w:szCs w:val="20"/>
          </w:rPr>
          <w:t>9265</w:t>
        </w:r>
      </w:hyperlink>
      <w:r w:rsidRPr="0072505E">
        <w:rPr>
          <w:sz w:val="20"/>
        </w:rPr>
        <w:t>)</w:t>
      </w:r>
    </w:p>
    <w:p w:rsidR="00986262" w:rsidRPr="0072505E" w:rsidRDefault="00986262" w:rsidP="00986262">
      <w:pPr>
        <w:widowControl w:val="0"/>
        <w:tabs>
          <w:tab w:val="left" w:pos="567"/>
        </w:tabs>
        <w:autoSpaceDE w:val="0"/>
        <w:autoSpaceDN w:val="0"/>
        <w:adjustRightInd w:val="0"/>
        <w:ind w:left="357" w:hanging="357"/>
        <w:contextualSpacing/>
        <w:rPr>
          <w:sz w:val="20"/>
        </w:rPr>
      </w:pPr>
    </w:p>
    <w:p w:rsidR="002C5E29" w:rsidRPr="0072505E" w:rsidRDefault="00986262" w:rsidP="00986262">
      <w:pPr>
        <w:pStyle w:val="ListParagraph"/>
        <w:numPr>
          <w:ilvl w:val="0"/>
          <w:numId w:val="10"/>
        </w:numPr>
        <w:ind w:left="357" w:hanging="357"/>
        <w:rPr>
          <w:sz w:val="20"/>
        </w:rPr>
      </w:pPr>
      <w:r w:rsidRPr="0072505E">
        <w:rPr>
          <w:i/>
          <w:sz w:val="20"/>
        </w:rPr>
        <w:t>Director, St. Boniface/St. Vital v. Martin Stadler</w:t>
      </w:r>
      <w:r w:rsidRPr="0072505E">
        <w:rPr>
          <w:sz w:val="20"/>
        </w:rPr>
        <w:t xml:space="preserve"> (Man.) (Civil) (By Leave) (</w:t>
      </w:r>
      <w:hyperlink r:id="rId16" w:history="1">
        <w:r w:rsidRPr="0072505E">
          <w:rPr>
            <w:rStyle w:val="Hyperlink"/>
            <w:sz w:val="20"/>
            <w:szCs w:val="20"/>
          </w:rPr>
          <w:t>3</w:t>
        </w:r>
        <w:r w:rsidR="00173621" w:rsidRPr="0072505E">
          <w:rPr>
            <w:rStyle w:val="Hyperlink"/>
            <w:sz w:val="20"/>
            <w:szCs w:val="20"/>
          </w:rPr>
          <w:t>9269</w:t>
        </w:r>
      </w:hyperlink>
      <w:r w:rsidRPr="0072505E">
        <w:rPr>
          <w:sz w:val="20"/>
        </w:rPr>
        <w:t>)</w:t>
      </w:r>
    </w:p>
    <w:p w:rsidR="001B484F" w:rsidRPr="0072505E" w:rsidRDefault="001B484F" w:rsidP="009B14F4">
      <w:pPr>
        <w:widowControl w:val="0"/>
        <w:jc w:val="both"/>
        <w:rPr>
          <w:sz w:val="20"/>
        </w:rPr>
      </w:pPr>
    </w:p>
    <w:p w:rsidR="0057402C" w:rsidRPr="0072505E" w:rsidRDefault="001C78D7" w:rsidP="009B14F4">
      <w:pPr>
        <w:widowControl w:val="0"/>
        <w:jc w:val="both"/>
        <w:rPr>
          <w:sz w:val="20"/>
        </w:rPr>
      </w:pPr>
      <w:r w:rsidRPr="0072505E">
        <w:rPr>
          <w:sz w:val="20"/>
        </w:rPr>
        <w:pict>
          <v:rect id="_x0000_i1026" style="width:2in;height:1pt" o:hrpct="0" o:hralign="center" o:hrstd="t" o:hrnoshade="t" o:hr="t" fillcolor="black [3213]" stroked="f"/>
        </w:pict>
      </w:r>
    </w:p>
    <w:p w:rsidR="0057402C" w:rsidRPr="0072505E" w:rsidRDefault="0057402C" w:rsidP="0087033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39183</w:t>
            </w:r>
          </w:p>
        </w:tc>
        <w:tc>
          <w:tcPr>
            <w:tcW w:w="4457" w:type="pct"/>
            <w:gridSpan w:val="3"/>
          </w:tcPr>
          <w:p w:rsidR="001C78D7" w:rsidRPr="0072505E" w:rsidRDefault="001C78D7" w:rsidP="001C78D7">
            <w:pPr>
              <w:jc w:val="both"/>
              <w:rPr>
                <w:sz w:val="20"/>
              </w:rPr>
            </w:pPr>
            <w:r w:rsidRPr="0072505E">
              <w:rPr>
                <w:b/>
                <w:sz w:val="20"/>
              </w:rPr>
              <w:t>WORKS Gourmet Burger Bistro Inc., WORKS Realty Corp., Fresh Brands Inc., Andrew O’Brien aka Thomas Andrew O’Brien, Sean Bell, David Wilson v. 2352392 Ontario Inc., Brent Shearer, Vusumzi Msi, Vusumzi Msi, Professional Corporation</w:t>
            </w:r>
            <w:r w:rsidRPr="0072505E">
              <w:rPr>
                <w:sz w:val="20"/>
              </w:rPr>
              <w:t xml:space="preserve"> </w:t>
            </w:r>
          </w:p>
          <w:p w:rsidR="001C78D7" w:rsidRPr="0072505E" w:rsidRDefault="001C78D7" w:rsidP="001C78D7">
            <w:pPr>
              <w:jc w:val="both"/>
              <w:rPr>
                <w:sz w:val="20"/>
              </w:rPr>
            </w:pPr>
            <w:r w:rsidRPr="0072505E">
              <w:rPr>
                <w:sz w:val="20"/>
              </w:rPr>
              <w:t>(Ont.) (Civil) (By Leave)</w:t>
            </w:r>
          </w:p>
        </w:tc>
      </w:tr>
      <w:tr w:rsidR="001C78D7" w:rsidRPr="0072505E" w:rsidTr="001C78D7">
        <w:tc>
          <w:tcPr>
            <w:tcW w:w="5000" w:type="pct"/>
            <w:gridSpan w:val="4"/>
          </w:tcPr>
          <w:p w:rsidR="001C78D7" w:rsidRPr="0072505E" w:rsidRDefault="001C78D7" w:rsidP="001C78D7">
            <w:pPr>
              <w:jc w:val="both"/>
              <w:rPr>
                <w:sz w:val="20"/>
              </w:rPr>
            </w:pPr>
            <w:r w:rsidRPr="0072505E">
              <w:rPr>
                <w:sz w:val="20"/>
              </w:rPr>
              <w:t xml:space="preserve">Commercial law — Franchises — Notice of rescission — Whether the interpretation of statutory provisions requiring notice to be given prior to commencing litigation allow notice to be given by means of a pleading — </w:t>
            </w:r>
            <w:r w:rsidRPr="0072505E">
              <w:rPr>
                <w:i/>
                <w:sz w:val="20"/>
              </w:rPr>
              <w:t>Arthur Wishart Act (Franchise Disclosure)</w:t>
            </w:r>
            <w:r w:rsidRPr="0072505E">
              <w:rPr>
                <w:sz w:val="20"/>
              </w:rPr>
              <w:t>, 2000, S.O. 2000, c. 3, s. 6</w:t>
            </w:r>
          </w:p>
        </w:tc>
      </w:tr>
      <w:tr w:rsidR="001C78D7" w:rsidRPr="0072505E" w:rsidTr="001C78D7">
        <w:tc>
          <w:tcPr>
            <w:tcW w:w="5000" w:type="pct"/>
            <w:gridSpan w:val="4"/>
          </w:tcPr>
          <w:p w:rsidR="001C78D7" w:rsidRPr="0072505E" w:rsidRDefault="001C78D7" w:rsidP="001C78D7">
            <w:pPr>
              <w:jc w:val="both"/>
              <w:rPr>
                <w:sz w:val="20"/>
              </w:rPr>
            </w:pPr>
          </w:p>
          <w:p w:rsidR="001C78D7" w:rsidRPr="0072505E" w:rsidRDefault="001C78D7" w:rsidP="001C78D7">
            <w:pPr>
              <w:jc w:val="both"/>
              <w:rPr>
                <w:sz w:val="20"/>
              </w:rPr>
            </w:pPr>
            <w:r w:rsidRPr="0072505E">
              <w:rPr>
                <w:sz w:val="20"/>
              </w:rPr>
              <w:lastRenderedPageBreak/>
              <w:t xml:space="preserve">In the context of proceedings against their former counsel, the respondents Mr. Shearer and 2352392 Ontario Inc. took the position that their third party claim against the applicant WORKS did not constitute a valid notice of rescission of a franchise agreement they had with WORKS. The issue was brought as a motion before the Ontario Superior Court of Justice, who concluded that the third party claim did not count as a notice pursuant to the </w:t>
            </w:r>
            <w:r w:rsidRPr="0072505E">
              <w:rPr>
                <w:i/>
                <w:sz w:val="20"/>
              </w:rPr>
              <w:t>Arthur Wishart Act</w:t>
            </w:r>
            <w:r w:rsidRPr="0072505E">
              <w:rPr>
                <w:sz w:val="20"/>
              </w:rPr>
              <w:t xml:space="preserve">, as a notice under s. 6(3) of the </w:t>
            </w:r>
            <w:r w:rsidRPr="0072505E">
              <w:rPr>
                <w:i/>
                <w:sz w:val="20"/>
              </w:rPr>
              <w:t>Arthur Wishart Act</w:t>
            </w:r>
            <w:r w:rsidRPr="0072505E">
              <w:rPr>
                <w:sz w:val="20"/>
              </w:rPr>
              <w:t xml:space="preserve"> serves a different purpose from a pleading. The Court of Appeal unanimously allowed the appeal. In its view, the purpose of the notice of rescission is not to serve a precondition to litigation, and in this case the pleading served as notice. </w:t>
            </w:r>
          </w:p>
        </w:tc>
      </w:tr>
      <w:tr w:rsidR="001C78D7" w:rsidRPr="0072505E" w:rsidTr="001C78D7">
        <w:tc>
          <w:tcPr>
            <w:tcW w:w="5000" w:type="pct"/>
            <w:gridSpan w:val="4"/>
          </w:tcPr>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July 3, 2019</w:t>
            </w:r>
          </w:p>
          <w:p w:rsidR="001C78D7" w:rsidRPr="0072505E" w:rsidRDefault="001C78D7" w:rsidP="001C78D7">
            <w:pPr>
              <w:jc w:val="both"/>
              <w:rPr>
                <w:sz w:val="20"/>
              </w:rPr>
            </w:pPr>
            <w:r w:rsidRPr="0072505E">
              <w:rPr>
                <w:sz w:val="20"/>
              </w:rPr>
              <w:t>Ontario Superior Court of Justice</w:t>
            </w:r>
          </w:p>
          <w:p w:rsidR="001C78D7" w:rsidRPr="0072505E" w:rsidRDefault="001C78D7" w:rsidP="001C78D7">
            <w:pPr>
              <w:jc w:val="both"/>
              <w:rPr>
                <w:sz w:val="20"/>
              </w:rPr>
            </w:pPr>
            <w:r w:rsidRPr="0072505E">
              <w:rPr>
                <w:sz w:val="20"/>
              </w:rPr>
              <w:t>(</w:t>
            </w:r>
            <w:proofErr w:type="spellStart"/>
            <w:r w:rsidRPr="0072505E">
              <w:rPr>
                <w:sz w:val="20"/>
              </w:rPr>
              <w:t>Nakatsuru</w:t>
            </w:r>
            <w:proofErr w:type="spellEnd"/>
            <w:r w:rsidRPr="0072505E">
              <w:rPr>
                <w:sz w:val="20"/>
              </w:rPr>
              <w:t xml:space="preserve"> J.)</w:t>
            </w:r>
          </w:p>
          <w:p w:rsidR="001C78D7" w:rsidRPr="0072505E" w:rsidRDefault="001C78D7" w:rsidP="001C78D7">
            <w:pPr>
              <w:jc w:val="both"/>
              <w:rPr>
                <w:sz w:val="20"/>
              </w:rPr>
            </w:pPr>
            <w:hyperlink r:id="rId17" w:history="1">
              <w:r w:rsidRPr="0072505E">
                <w:rPr>
                  <w:rStyle w:val="Hyperlink"/>
                  <w:sz w:val="20"/>
                </w:rPr>
                <w:t>2019 ONSC 4055</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Third party claim by respondents 2352392 Ontario Inc. and Brent Shearer does not to constitute proper notice of rescission of franchise agreement, ordered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March 23, 2020</w:t>
            </w:r>
          </w:p>
          <w:p w:rsidR="001C78D7" w:rsidRPr="0072505E" w:rsidRDefault="001C78D7" w:rsidP="001C78D7">
            <w:pPr>
              <w:jc w:val="both"/>
              <w:rPr>
                <w:sz w:val="20"/>
              </w:rPr>
            </w:pPr>
            <w:r w:rsidRPr="0072505E">
              <w:rPr>
                <w:sz w:val="20"/>
              </w:rPr>
              <w:t>Court of Appeal for Ontario</w:t>
            </w:r>
          </w:p>
          <w:p w:rsidR="001C78D7" w:rsidRPr="0072505E" w:rsidRDefault="001C78D7" w:rsidP="001C78D7">
            <w:pPr>
              <w:jc w:val="both"/>
              <w:rPr>
                <w:sz w:val="20"/>
              </w:rPr>
            </w:pPr>
            <w:r w:rsidRPr="0072505E">
              <w:rPr>
                <w:sz w:val="20"/>
              </w:rPr>
              <w:t>(Feldman, Huscroft and Harvison JJ.A.)</w:t>
            </w:r>
          </w:p>
          <w:p w:rsidR="001C78D7" w:rsidRPr="0072505E" w:rsidRDefault="001C78D7" w:rsidP="001C78D7">
            <w:pPr>
              <w:jc w:val="both"/>
              <w:rPr>
                <w:sz w:val="20"/>
              </w:rPr>
            </w:pPr>
            <w:hyperlink r:id="rId18" w:history="1">
              <w:r w:rsidRPr="0072505E">
                <w:rPr>
                  <w:rStyle w:val="Hyperlink"/>
                  <w:sz w:val="20"/>
                </w:rPr>
                <w:t>2020 ONCA 237</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allowed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May 22, 2020</w:t>
            </w:r>
          </w:p>
          <w:p w:rsidR="001C78D7" w:rsidRPr="0072505E" w:rsidRDefault="001C78D7" w:rsidP="001C78D7">
            <w:pPr>
              <w:jc w:val="both"/>
              <w:rPr>
                <w:sz w:val="20"/>
              </w:rPr>
            </w:pPr>
            <w:r w:rsidRPr="0072505E">
              <w:rPr>
                <w:sz w:val="20"/>
              </w:rPr>
              <w:t>Supreme Court of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Application for leave to appeal filed</w:t>
            </w:r>
          </w:p>
          <w:p w:rsidR="001C78D7" w:rsidRPr="0072505E" w:rsidRDefault="001C78D7" w:rsidP="001C78D7">
            <w:pPr>
              <w:jc w:val="both"/>
              <w:rPr>
                <w:sz w:val="20"/>
              </w:rPr>
            </w:pPr>
          </w:p>
        </w:tc>
      </w:tr>
    </w:tbl>
    <w:p w:rsidR="001C78D7" w:rsidRPr="0072505E" w:rsidRDefault="001C78D7" w:rsidP="001C78D7">
      <w:pPr>
        <w:jc w:val="both"/>
        <w:rPr>
          <w:sz w:val="20"/>
        </w:rPr>
      </w:pPr>
    </w:p>
    <w:p w:rsidR="001C78D7" w:rsidRPr="0072505E" w:rsidRDefault="001C78D7" w:rsidP="001C78D7">
      <w:pPr>
        <w:jc w:val="both"/>
        <w:rPr>
          <w:sz w:val="20"/>
        </w:rPr>
      </w:pPr>
      <w:r w:rsidRPr="0072505E">
        <w:rPr>
          <w:sz w:val="20"/>
        </w:rPr>
        <w:pict>
          <v:rect id="_x0000_i1028" style="width:2in;height:1pt" o:hrpct="0" o:hralign="center" o:hrstd="t" o:hrnoshade="t" o:hr="t" fillcolor="black [3213]" stroked="f"/>
        </w:pict>
      </w:r>
    </w:p>
    <w:p w:rsidR="001C78D7" w:rsidRPr="0072505E" w:rsidRDefault="001C78D7" w:rsidP="001C78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lang w:val="fr-CA"/>
              </w:rPr>
            </w:pPr>
            <w:r w:rsidRPr="0072505E">
              <w:rPr>
                <w:rStyle w:val="SCCFileNumberChar"/>
                <w:sz w:val="20"/>
                <w:szCs w:val="20"/>
                <w:lang w:val="fr-CA"/>
              </w:rPr>
              <w:t>39183</w:t>
            </w:r>
          </w:p>
        </w:tc>
        <w:tc>
          <w:tcPr>
            <w:tcW w:w="4457" w:type="pct"/>
            <w:gridSpan w:val="3"/>
          </w:tcPr>
          <w:p w:rsidR="001C78D7" w:rsidRPr="0072505E" w:rsidRDefault="001C78D7" w:rsidP="001C78D7">
            <w:pPr>
              <w:jc w:val="both"/>
              <w:rPr>
                <w:sz w:val="20"/>
              </w:rPr>
            </w:pPr>
            <w:r w:rsidRPr="0072505E">
              <w:rPr>
                <w:b/>
                <w:sz w:val="20"/>
              </w:rPr>
              <w:t>WORKS Gourmet Burger Bistro Inc., WORKS Realty Corp., Fresh Brands Inc., Andrew O’Brien alias Thomas Andrew O’Brien, Sean Bell, David Wilson c. 2352392 Ontario Inc., Brent Shearer, Vusumzi Msi, Vusumzi Msi, Professional Corporation</w:t>
            </w:r>
            <w:r w:rsidRPr="0072505E">
              <w:rPr>
                <w:sz w:val="20"/>
              </w:rPr>
              <w:t xml:space="preserve"> </w:t>
            </w:r>
          </w:p>
          <w:p w:rsidR="001C78D7" w:rsidRPr="0072505E" w:rsidRDefault="001C78D7" w:rsidP="001C78D7">
            <w:pPr>
              <w:jc w:val="both"/>
              <w:rPr>
                <w:sz w:val="20"/>
                <w:lang w:val="fr-CA"/>
              </w:rPr>
            </w:pPr>
            <w:r w:rsidRPr="0072505E">
              <w:rPr>
                <w:sz w:val="20"/>
                <w:lang w:val="fr-CA"/>
              </w:rPr>
              <w:t>(Ont.) (Civile) (Sur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Droit commercial — Franchises — Avis de résolution — Les dispositions d’une loi exigeant qu’un avis soit donné avant l’introduction d’une poursuite peuvent</w:t>
            </w:r>
            <w:r w:rsidRPr="0072505E">
              <w:rPr>
                <w:sz w:val="20"/>
                <w:lang w:val="fr-CA"/>
              </w:rPr>
              <w:noBreakHyphen/>
              <w:t xml:space="preserve">elles être interprétées de manière à permettre que l’avis soit donné au moyen d’un acte de procédure ? — </w:t>
            </w:r>
            <w:r w:rsidRPr="0072505E">
              <w:rPr>
                <w:i/>
                <w:iCs/>
                <w:sz w:val="20"/>
                <w:lang w:val="fr-CA"/>
              </w:rPr>
              <w:t>Loi Arthur Wishart de 2000 sur la divulgation relative aux franchises</w:t>
            </w:r>
            <w:r w:rsidRPr="0072505E">
              <w:rPr>
                <w:sz w:val="20"/>
                <w:lang w:val="fr-CA"/>
              </w:rPr>
              <w:t>, L.O. 2000, ch. 3, art. 6</w:t>
            </w:r>
          </w:p>
        </w:tc>
      </w:tr>
      <w:tr w:rsidR="001C78D7" w:rsidRPr="0072505E" w:rsidTr="001C78D7">
        <w:tc>
          <w:tcPr>
            <w:tcW w:w="5000" w:type="pct"/>
            <w:gridSpan w:val="4"/>
          </w:tcPr>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Dans le contexte d’une instance à l’encontre de leur ancien avocat, les intimés M. </w:t>
            </w:r>
            <w:proofErr w:type="spellStart"/>
            <w:r w:rsidRPr="0072505E">
              <w:rPr>
                <w:sz w:val="20"/>
                <w:lang w:val="fr-CA"/>
              </w:rPr>
              <w:t>Shearer</w:t>
            </w:r>
            <w:proofErr w:type="spellEnd"/>
            <w:r w:rsidRPr="0072505E">
              <w:rPr>
                <w:sz w:val="20"/>
                <w:lang w:val="fr-CA"/>
              </w:rPr>
              <w:t xml:space="preserve"> et 2352392 Ontario Inc. étaient d’avis que leur mise en cause du demandeur WORKS ne constituait pas un avis de résolution valide du contrat de franchisage qu’ils avaient conclu avec WORKS. La question a été présentée sous forme de motion devant la Cour supérieure de justice de l’Ontario, qui a conclu que la mise en cause ne constituait pas un avis aux termes de la </w:t>
            </w:r>
            <w:r w:rsidRPr="0072505E">
              <w:rPr>
                <w:i/>
                <w:iCs/>
                <w:sz w:val="20"/>
                <w:lang w:val="fr-CA"/>
              </w:rPr>
              <w:t>Loi Arthur Wishart</w:t>
            </w:r>
            <w:r w:rsidRPr="0072505E">
              <w:rPr>
                <w:sz w:val="20"/>
                <w:lang w:val="fr-CA"/>
              </w:rPr>
              <w:t xml:space="preserve">, car l’avis prévu au </w:t>
            </w:r>
            <w:proofErr w:type="spellStart"/>
            <w:r w:rsidRPr="0072505E">
              <w:rPr>
                <w:sz w:val="20"/>
                <w:lang w:val="fr-CA"/>
              </w:rPr>
              <w:t>par</w:t>
            </w:r>
            <w:proofErr w:type="spellEnd"/>
            <w:r w:rsidRPr="0072505E">
              <w:rPr>
                <w:sz w:val="20"/>
                <w:lang w:val="fr-CA"/>
              </w:rPr>
              <w:t xml:space="preserve">. 6(3) de la </w:t>
            </w:r>
            <w:r w:rsidRPr="0072505E">
              <w:rPr>
                <w:i/>
                <w:iCs/>
                <w:sz w:val="20"/>
                <w:lang w:val="fr-CA"/>
              </w:rPr>
              <w:t>Loi Arthur Wishart</w:t>
            </w:r>
            <w:r w:rsidRPr="0072505E">
              <w:rPr>
                <w:sz w:val="20"/>
                <w:lang w:val="fr-CA"/>
              </w:rPr>
              <w:t xml:space="preserve"> vise un objectif différent d’un acte de procédure. La Cour d’appel a accueilli l’appel à l’unanimité. À son avis, l’objectif de l’avis de résolution n’est pas de servir de condition préalable à une poursuite, et en l’espèce l’acte de procédure a servi d’avis. </w:t>
            </w:r>
          </w:p>
        </w:tc>
      </w:tr>
      <w:tr w:rsidR="001C78D7" w:rsidRPr="0072505E" w:rsidTr="001C78D7">
        <w:tc>
          <w:tcPr>
            <w:tcW w:w="5000" w:type="pct"/>
            <w:gridSpan w:val="4"/>
          </w:tcPr>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3 juillet 2019</w:t>
            </w:r>
          </w:p>
          <w:p w:rsidR="001C78D7" w:rsidRPr="0072505E" w:rsidRDefault="001C78D7" w:rsidP="001C78D7">
            <w:pPr>
              <w:jc w:val="both"/>
              <w:rPr>
                <w:sz w:val="20"/>
                <w:lang w:val="fr-CA"/>
              </w:rPr>
            </w:pPr>
            <w:r w:rsidRPr="0072505E">
              <w:rPr>
                <w:sz w:val="20"/>
                <w:lang w:val="fr-CA"/>
              </w:rPr>
              <w:t xml:space="preserve">Cour supérieure de justice de l’Ontario </w:t>
            </w:r>
          </w:p>
          <w:p w:rsidR="001C78D7" w:rsidRPr="0072505E" w:rsidRDefault="001C78D7" w:rsidP="001C78D7">
            <w:pPr>
              <w:jc w:val="both"/>
              <w:rPr>
                <w:sz w:val="20"/>
                <w:lang w:val="fr-CA"/>
              </w:rPr>
            </w:pPr>
            <w:r w:rsidRPr="0072505E">
              <w:rPr>
                <w:sz w:val="20"/>
                <w:lang w:val="fr-CA"/>
              </w:rPr>
              <w:t xml:space="preserve">(Juge </w:t>
            </w:r>
            <w:proofErr w:type="spellStart"/>
            <w:r w:rsidRPr="0072505E">
              <w:rPr>
                <w:sz w:val="20"/>
                <w:lang w:val="fr-CA"/>
              </w:rPr>
              <w:t>Nakatsuru</w:t>
            </w:r>
            <w:proofErr w:type="spellEnd"/>
            <w:r w:rsidRPr="0072505E">
              <w:rPr>
                <w:sz w:val="20"/>
                <w:lang w:val="fr-CA"/>
              </w:rPr>
              <w:t>)</w:t>
            </w:r>
          </w:p>
          <w:p w:rsidR="001C78D7" w:rsidRPr="0072505E" w:rsidRDefault="001C78D7" w:rsidP="001C78D7">
            <w:pPr>
              <w:jc w:val="both"/>
              <w:rPr>
                <w:sz w:val="20"/>
                <w:lang w:val="fr-CA"/>
              </w:rPr>
            </w:pPr>
            <w:hyperlink r:id="rId19" w:history="1">
              <w:r w:rsidRPr="0072505E">
                <w:rPr>
                  <w:rStyle w:val="Hyperlink"/>
                  <w:sz w:val="20"/>
                  <w:lang w:val="fr-CA"/>
                </w:rPr>
                <w:t>2019 ONSC 4055</w:t>
              </w:r>
            </w:hyperlink>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 xml:space="preserve">Ordonnance portant que la mise en cause présentée par les intimés 2352392 Ontario Inc. et Brent </w:t>
            </w:r>
            <w:proofErr w:type="spellStart"/>
            <w:r w:rsidRPr="0072505E">
              <w:rPr>
                <w:sz w:val="20"/>
                <w:lang w:val="fr-CA"/>
              </w:rPr>
              <w:t>Shearer</w:t>
            </w:r>
            <w:proofErr w:type="spellEnd"/>
            <w:r w:rsidRPr="0072505E">
              <w:rPr>
                <w:sz w:val="20"/>
                <w:lang w:val="fr-CA"/>
              </w:rPr>
              <w:t xml:space="preserve"> ne constitue pas un avis en bonne et due forme de la résolution du contrat de franchisage. </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23 mars 2020</w:t>
            </w:r>
          </w:p>
          <w:p w:rsidR="001C78D7" w:rsidRPr="0072505E" w:rsidRDefault="001C78D7" w:rsidP="001C78D7">
            <w:pPr>
              <w:jc w:val="both"/>
              <w:rPr>
                <w:sz w:val="20"/>
                <w:lang w:val="fr-CA"/>
              </w:rPr>
            </w:pPr>
            <w:r w:rsidRPr="0072505E">
              <w:rPr>
                <w:sz w:val="20"/>
                <w:lang w:val="fr-CA"/>
              </w:rPr>
              <w:t>Cour d’appel de l’Ontario</w:t>
            </w:r>
          </w:p>
          <w:p w:rsidR="001C78D7" w:rsidRPr="0072505E" w:rsidRDefault="001C78D7" w:rsidP="001C78D7">
            <w:pPr>
              <w:jc w:val="both"/>
              <w:rPr>
                <w:sz w:val="20"/>
                <w:lang w:val="fr-CA"/>
              </w:rPr>
            </w:pPr>
            <w:r w:rsidRPr="0072505E">
              <w:rPr>
                <w:sz w:val="20"/>
                <w:lang w:val="fr-CA"/>
              </w:rPr>
              <w:t xml:space="preserve">(Juges Feldman, Huscroft et </w:t>
            </w:r>
            <w:proofErr w:type="spellStart"/>
            <w:r w:rsidRPr="0072505E">
              <w:rPr>
                <w:sz w:val="20"/>
                <w:lang w:val="fr-CA"/>
              </w:rPr>
              <w:t>Harvison</w:t>
            </w:r>
            <w:proofErr w:type="spellEnd"/>
            <w:r w:rsidRPr="0072505E">
              <w:rPr>
                <w:sz w:val="20"/>
                <w:lang w:val="fr-CA"/>
              </w:rPr>
              <w:t>)</w:t>
            </w:r>
          </w:p>
          <w:p w:rsidR="001C78D7" w:rsidRPr="0072505E" w:rsidRDefault="001C78D7" w:rsidP="001C78D7">
            <w:pPr>
              <w:jc w:val="both"/>
              <w:rPr>
                <w:sz w:val="20"/>
                <w:lang w:val="fr-CA"/>
              </w:rPr>
            </w:pPr>
            <w:hyperlink r:id="rId20" w:history="1">
              <w:r w:rsidRPr="0072505E">
                <w:rPr>
                  <w:rStyle w:val="Hyperlink"/>
                  <w:sz w:val="20"/>
                  <w:lang w:val="fr-CA"/>
                </w:rPr>
                <w:t>2020 ONCA 237</w:t>
              </w:r>
            </w:hyperlink>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Appel accueilli.</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22 mai 2020</w:t>
            </w:r>
          </w:p>
          <w:p w:rsidR="001C78D7" w:rsidRPr="0072505E" w:rsidRDefault="001C78D7" w:rsidP="001C78D7">
            <w:pPr>
              <w:jc w:val="both"/>
              <w:rPr>
                <w:sz w:val="20"/>
                <w:lang w:val="fr-CA"/>
              </w:rPr>
            </w:pPr>
            <w:r w:rsidRPr="0072505E">
              <w:rPr>
                <w:sz w:val="20"/>
                <w:lang w:val="fr-CA"/>
              </w:rPr>
              <w:t>Cour suprême du Canada</w:t>
            </w: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 xml:space="preserve">Demande d’autorisation d’appel présentée. </w:t>
            </w:r>
          </w:p>
          <w:p w:rsidR="001C78D7" w:rsidRPr="0072505E" w:rsidRDefault="001C78D7" w:rsidP="001C78D7">
            <w:pPr>
              <w:jc w:val="both"/>
              <w:rPr>
                <w:sz w:val="20"/>
                <w:lang w:val="fr-CA"/>
              </w:rPr>
            </w:pPr>
          </w:p>
        </w:tc>
      </w:tr>
    </w:tbl>
    <w:p w:rsidR="001C78D7" w:rsidRPr="0072505E" w:rsidRDefault="001C78D7" w:rsidP="001C78D7">
      <w:pPr>
        <w:jc w:val="both"/>
        <w:rPr>
          <w:sz w:val="20"/>
          <w:lang w:val="fr-CA"/>
        </w:rPr>
      </w:pPr>
    </w:p>
    <w:p w:rsidR="002C5E29" w:rsidRPr="0072505E" w:rsidRDefault="001C78D7" w:rsidP="001C78D7">
      <w:pPr>
        <w:widowControl w:val="0"/>
        <w:jc w:val="both"/>
        <w:rPr>
          <w:sz w:val="20"/>
        </w:rPr>
      </w:pPr>
      <w:r w:rsidRPr="0072505E">
        <w:rPr>
          <w:sz w:val="20"/>
        </w:rPr>
        <w:pict>
          <v:rect id="_x0000_i1029" style="width:2in;height:1pt" o:hrpct="0" o:hralign="center" o:hrstd="t" o:hrnoshade="t" o:hr="t" fillcolor="black [3213]" stroked="f"/>
        </w:pict>
      </w:r>
    </w:p>
    <w:p w:rsidR="001C78D7" w:rsidRPr="0072505E" w:rsidRDefault="001C78D7" w:rsidP="001C78D7">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lang w:val="en-CA"/>
              </w:rPr>
            </w:pPr>
            <w:r w:rsidRPr="0072505E">
              <w:rPr>
                <w:rStyle w:val="SCCFileNumberChar"/>
                <w:sz w:val="20"/>
                <w:szCs w:val="20"/>
              </w:rPr>
              <w:lastRenderedPageBreak/>
              <w:t>39255</w:t>
            </w:r>
          </w:p>
        </w:tc>
        <w:tc>
          <w:tcPr>
            <w:tcW w:w="4457" w:type="pct"/>
            <w:gridSpan w:val="3"/>
          </w:tcPr>
          <w:p w:rsidR="001C78D7" w:rsidRPr="0072505E" w:rsidRDefault="001C78D7" w:rsidP="001C78D7">
            <w:pPr>
              <w:pStyle w:val="SCCLsocParty"/>
              <w:jc w:val="both"/>
              <w:rPr>
                <w:b/>
                <w:sz w:val="20"/>
                <w:szCs w:val="20"/>
                <w:lang w:val="en-CA"/>
              </w:rPr>
            </w:pPr>
            <w:r w:rsidRPr="0072505E">
              <w:rPr>
                <w:b/>
                <w:sz w:val="20"/>
                <w:szCs w:val="20"/>
                <w:lang w:val="en-CA"/>
              </w:rPr>
              <w:t>Lyne Bélanger v. Her Majesty the Queen</w:t>
            </w:r>
          </w:p>
          <w:p w:rsidR="001C78D7" w:rsidRPr="0072505E" w:rsidRDefault="001C78D7" w:rsidP="001C78D7">
            <w:pPr>
              <w:jc w:val="both"/>
              <w:rPr>
                <w:sz w:val="20"/>
                <w:lang w:val="en-CA"/>
              </w:rPr>
            </w:pPr>
            <w:r w:rsidRPr="0072505E">
              <w:rPr>
                <w:sz w:val="20"/>
                <w:lang w:val="en-CA"/>
              </w:rPr>
              <w:t>(Que.) (Criminal) (By Leave)</w:t>
            </w:r>
          </w:p>
        </w:tc>
      </w:tr>
      <w:tr w:rsidR="001C78D7" w:rsidRPr="0072505E" w:rsidTr="001C78D7">
        <w:tc>
          <w:tcPr>
            <w:tcW w:w="5000" w:type="pct"/>
            <w:gridSpan w:val="4"/>
          </w:tcPr>
          <w:p w:rsidR="001C78D7" w:rsidRPr="0072505E" w:rsidRDefault="001C78D7" w:rsidP="001C78D7">
            <w:pPr>
              <w:jc w:val="both"/>
              <w:rPr>
                <w:sz w:val="20"/>
                <w:lang w:val="en-CA"/>
              </w:rPr>
            </w:pPr>
            <w:r w:rsidRPr="0072505E">
              <w:rPr>
                <w:sz w:val="20"/>
                <w:lang w:val="en-CA"/>
              </w:rPr>
              <w:t>Criminal law — Evidence — Whether Court of Appeal erred in upholding conviction based solely on incomplete circumstantial evidence even though judgment rendered by trial court ordered disclosure of evidence by Crown, thereby undermining fundamental principles of our criminal law system, namely presumption of innocence, right to make full answer and defence, and search for truth.</w:t>
            </w:r>
          </w:p>
        </w:tc>
      </w:tr>
      <w:tr w:rsidR="001C78D7" w:rsidRPr="0072505E" w:rsidTr="001C78D7">
        <w:tc>
          <w:tcPr>
            <w:tcW w:w="5000" w:type="pct"/>
            <w:gridSpan w:val="4"/>
          </w:tcPr>
          <w:p w:rsidR="001C78D7" w:rsidRPr="0072505E" w:rsidRDefault="001C78D7" w:rsidP="001C78D7">
            <w:pPr>
              <w:jc w:val="both"/>
              <w:rPr>
                <w:sz w:val="20"/>
                <w:lang w:val="en-CA"/>
              </w:rPr>
            </w:pPr>
          </w:p>
          <w:p w:rsidR="001C78D7" w:rsidRPr="0072505E" w:rsidRDefault="001C78D7" w:rsidP="001C78D7">
            <w:pPr>
              <w:jc w:val="both"/>
              <w:rPr>
                <w:sz w:val="20"/>
                <w:lang w:val="en-CA"/>
              </w:rPr>
            </w:pPr>
            <w:r w:rsidRPr="0072505E">
              <w:rPr>
                <w:sz w:val="20"/>
                <w:lang w:val="en-CA"/>
              </w:rPr>
              <w:t xml:space="preserve">The applicant, Ms. Bélanger, </w:t>
            </w:r>
            <w:proofErr w:type="gramStart"/>
            <w:r w:rsidRPr="0072505E">
              <w:rPr>
                <w:sz w:val="20"/>
                <w:lang w:val="en-CA"/>
              </w:rPr>
              <w:t>was tried</w:t>
            </w:r>
            <w:proofErr w:type="gramEnd"/>
            <w:r w:rsidRPr="0072505E">
              <w:rPr>
                <w:sz w:val="20"/>
                <w:lang w:val="en-CA"/>
              </w:rPr>
              <w:t xml:space="preserve"> on charges of fraud and theft of a sum of money over $5,000.</w:t>
            </w:r>
          </w:p>
          <w:p w:rsidR="001C78D7" w:rsidRPr="0072505E" w:rsidRDefault="001C78D7" w:rsidP="001C78D7">
            <w:pPr>
              <w:jc w:val="both"/>
              <w:rPr>
                <w:sz w:val="20"/>
                <w:lang w:val="en-CA"/>
              </w:rPr>
            </w:pPr>
          </w:p>
          <w:p w:rsidR="001C78D7" w:rsidRPr="0072505E" w:rsidRDefault="001C78D7" w:rsidP="001C78D7">
            <w:pPr>
              <w:jc w:val="both"/>
              <w:rPr>
                <w:sz w:val="20"/>
                <w:lang w:val="en-CA"/>
              </w:rPr>
            </w:pPr>
            <w:r w:rsidRPr="0072505E">
              <w:rPr>
                <w:sz w:val="20"/>
                <w:lang w:val="en-CA"/>
              </w:rPr>
              <w:t xml:space="preserve">The Court of Québec found that the circumstantial evidence presented by the prosecution excluded any logical possibility other than Ms. Bélanger’s guilt. It convicted her of the fraud charges. The Court of Appeal unanimously dismissed the appeal. In its view, the trial judge had not failed to consider relevant evidence that was favourable to Ms. Bélanger, and there was no reviewable error in the judge’s analysis of the circumstantial evidence. </w:t>
            </w:r>
          </w:p>
        </w:tc>
      </w:tr>
      <w:tr w:rsidR="001C78D7" w:rsidRPr="0072505E" w:rsidTr="001C78D7">
        <w:tc>
          <w:tcPr>
            <w:tcW w:w="5000" w:type="pct"/>
            <w:gridSpan w:val="4"/>
          </w:tcPr>
          <w:p w:rsidR="001C78D7" w:rsidRPr="0072505E" w:rsidRDefault="001C78D7" w:rsidP="001C78D7">
            <w:pPr>
              <w:jc w:val="both"/>
              <w:rPr>
                <w:sz w:val="20"/>
                <w:lang w:val="en-CA"/>
              </w:rPr>
            </w:pPr>
          </w:p>
        </w:tc>
      </w:tr>
      <w:tr w:rsidR="001C78D7" w:rsidRPr="0072505E" w:rsidTr="001C78D7">
        <w:tc>
          <w:tcPr>
            <w:tcW w:w="2427" w:type="pct"/>
            <w:gridSpan w:val="2"/>
          </w:tcPr>
          <w:p w:rsidR="001C78D7" w:rsidRPr="0072505E" w:rsidRDefault="001C78D7" w:rsidP="001C78D7">
            <w:pPr>
              <w:jc w:val="both"/>
              <w:rPr>
                <w:sz w:val="20"/>
                <w:lang w:val="en-CA"/>
              </w:rPr>
            </w:pPr>
            <w:r w:rsidRPr="0072505E">
              <w:rPr>
                <w:sz w:val="20"/>
                <w:lang w:val="en-CA"/>
              </w:rPr>
              <w:t>February 16, 2018</w:t>
            </w:r>
          </w:p>
          <w:p w:rsidR="001C78D7" w:rsidRPr="0072505E" w:rsidRDefault="001C78D7" w:rsidP="001C78D7">
            <w:pPr>
              <w:jc w:val="both"/>
              <w:rPr>
                <w:sz w:val="20"/>
                <w:lang w:val="en-CA"/>
              </w:rPr>
            </w:pPr>
            <w:r w:rsidRPr="0072505E">
              <w:rPr>
                <w:sz w:val="20"/>
                <w:lang w:val="en-CA"/>
              </w:rPr>
              <w:t>Court of Québec</w:t>
            </w:r>
          </w:p>
          <w:p w:rsidR="001C78D7" w:rsidRPr="0072505E" w:rsidRDefault="001C78D7" w:rsidP="001C78D7">
            <w:pPr>
              <w:jc w:val="both"/>
              <w:rPr>
                <w:sz w:val="20"/>
                <w:lang w:val="en-CA"/>
              </w:rPr>
            </w:pPr>
            <w:r w:rsidRPr="0072505E">
              <w:rPr>
                <w:sz w:val="20"/>
                <w:lang w:val="en-CA"/>
              </w:rPr>
              <w:t>(Judge St-Cyr)</w:t>
            </w:r>
          </w:p>
          <w:p w:rsidR="001C78D7" w:rsidRPr="0072505E" w:rsidRDefault="001C78D7" w:rsidP="001C78D7">
            <w:pPr>
              <w:jc w:val="both"/>
              <w:rPr>
                <w:sz w:val="20"/>
                <w:lang w:val="en-CA"/>
              </w:rPr>
            </w:pPr>
            <w:r w:rsidRPr="0072505E">
              <w:rPr>
                <w:sz w:val="20"/>
                <w:lang w:val="en-CA"/>
              </w:rPr>
              <w:t>300</w:t>
            </w:r>
            <w:r w:rsidRPr="0072505E">
              <w:rPr>
                <w:sz w:val="20"/>
                <w:lang w:val="en-CA"/>
              </w:rPr>
              <w:noBreakHyphen/>
              <w:t>01</w:t>
            </w:r>
            <w:r w:rsidRPr="0072505E">
              <w:rPr>
                <w:sz w:val="20"/>
                <w:lang w:val="en-CA"/>
              </w:rPr>
              <w:noBreakHyphen/>
              <w:t>013895</w:t>
            </w:r>
            <w:r w:rsidRPr="0072505E">
              <w:rPr>
                <w:sz w:val="20"/>
                <w:lang w:val="en-CA"/>
              </w:rPr>
              <w:noBreakHyphen/>
              <w:t>133</w:t>
            </w:r>
          </w:p>
          <w:p w:rsidR="001C78D7" w:rsidRPr="0072505E" w:rsidRDefault="001C78D7" w:rsidP="001C78D7">
            <w:pPr>
              <w:jc w:val="both"/>
              <w:rPr>
                <w:sz w:val="20"/>
                <w:lang w:val="en-CA"/>
              </w:rPr>
            </w:pPr>
          </w:p>
        </w:tc>
        <w:tc>
          <w:tcPr>
            <w:tcW w:w="243" w:type="pct"/>
          </w:tcPr>
          <w:p w:rsidR="001C78D7" w:rsidRPr="0072505E" w:rsidRDefault="001C78D7" w:rsidP="001C78D7">
            <w:pPr>
              <w:jc w:val="both"/>
              <w:rPr>
                <w:sz w:val="20"/>
                <w:lang w:val="en-CA"/>
              </w:rPr>
            </w:pPr>
          </w:p>
        </w:tc>
        <w:tc>
          <w:tcPr>
            <w:tcW w:w="2330" w:type="pct"/>
          </w:tcPr>
          <w:p w:rsidR="001C78D7" w:rsidRPr="0072505E" w:rsidRDefault="001C78D7" w:rsidP="001C78D7">
            <w:pPr>
              <w:jc w:val="both"/>
              <w:rPr>
                <w:sz w:val="20"/>
                <w:lang w:val="en-CA"/>
              </w:rPr>
            </w:pPr>
            <w:r w:rsidRPr="0072505E">
              <w:rPr>
                <w:sz w:val="20"/>
                <w:lang w:val="en-CA"/>
              </w:rPr>
              <w:t>Applicant convicted of fraud</w:t>
            </w:r>
          </w:p>
          <w:p w:rsidR="001C78D7" w:rsidRPr="0072505E" w:rsidRDefault="001C78D7" w:rsidP="001C78D7">
            <w:pPr>
              <w:jc w:val="both"/>
              <w:rPr>
                <w:sz w:val="20"/>
                <w:lang w:val="en-CA"/>
              </w:rPr>
            </w:pPr>
          </w:p>
        </w:tc>
      </w:tr>
      <w:tr w:rsidR="001C78D7" w:rsidRPr="0072505E" w:rsidTr="001C78D7">
        <w:tc>
          <w:tcPr>
            <w:tcW w:w="2427" w:type="pct"/>
            <w:gridSpan w:val="2"/>
          </w:tcPr>
          <w:p w:rsidR="001C78D7" w:rsidRPr="0072505E" w:rsidRDefault="001C78D7" w:rsidP="001C78D7">
            <w:pPr>
              <w:jc w:val="both"/>
              <w:rPr>
                <w:sz w:val="20"/>
                <w:lang w:val="en-CA"/>
              </w:rPr>
            </w:pPr>
            <w:r w:rsidRPr="0072505E">
              <w:rPr>
                <w:sz w:val="20"/>
                <w:lang w:val="en-CA"/>
              </w:rPr>
              <w:t>March 16, 2020</w:t>
            </w:r>
          </w:p>
          <w:p w:rsidR="001C78D7" w:rsidRPr="0072505E" w:rsidRDefault="001C78D7" w:rsidP="001C78D7">
            <w:pPr>
              <w:jc w:val="both"/>
              <w:rPr>
                <w:sz w:val="20"/>
                <w:lang w:val="en-CA"/>
              </w:rPr>
            </w:pPr>
            <w:r w:rsidRPr="0072505E">
              <w:rPr>
                <w:sz w:val="20"/>
                <w:lang w:val="en-CA"/>
              </w:rPr>
              <w:t>Quebec Court of Appeal (Québec)</w:t>
            </w:r>
          </w:p>
          <w:p w:rsidR="001C78D7" w:rsidRPr="0072505E" w:rsidRDefault="001C78D7" w:rsidP="001C78D7">
            <w:pPr>
              <w:jc w:val="both"/>
              <w:rPr>
                <w:sz w:val="20"/>
                <w:lang w:val="en-CA"/>
              </w:rPr>
            </w:pPr>
            <w:r w:rsidRPr="0072505E">
              <w:rPr>
                <w:sz w:val="20"/>
                <w:lang w:val="en-CA"/>
              </w:rPr>
              <w:t>(Rancourt, Beaupré and Moore JJ.A.)</w:t>
            </w:r>
          </w:p>
          <w:p w:rsidR="001C78D7" w:rsidRPr="0072505E" w:rsidRDefault="001C78D7" w:rsidP="001C78D7">
            <w:pPr>
              <w:jc w:val="both"/>
              <w:rPr>
                <w:sz w:val="20"/>
                <w:lang w:val="en-CA"/>
              </w:rPr>
            </w:pPr>
            <w:hyperlink r:id="rId21" w:history="1">
              <w:r w:rsidRPr="0072505E">
                <w:rPr>
                  <w:rStyle w:val="Hyperlink"/>
                  <w:sz w:val="20"/>
                  <w:lang w:val="en-CA"/>
                </w:rPr>
                <w:t>2020 QCCA 431</w:t>
              </w:r>
            </w:hyperlink>
            <w:r w:rsidRPr="0072505E">
              <w:rPr>
                <w:sz w:val="20"/>
                <w:lang w:val="en-CA"/>
              </w:rPr>
              <w:t xml:space="preserve"> </w:t>
            </w:r>
          </w:p>
          <w:p w:rsidR="001C78D7" w:rsidRPr="0072505E" w:rsidRDefault="001C78D7" w:rsidP="001C78D7">
            <w:pPr>
              <w:jc w:val="both"/>
              <w:rPr>
                <w:sz w:val="20"/>
                <w:lang w:val="en-CA"/>
              </w:rPr>
            </w:pPr>
          </w:p>
        </w:tc>
        <w:tc>
          <w:tcPr>
            <w:tcW w:w="243" w:type="pct"/>
          </w:tcPr>
          <w:p w:rsidR="001C78D7" w:rsidRPr="0072505E" w:rsidRDefault="001C78D7" w:rsidP="001C78D7">
            <w:pPr>
              <w:jc w:val="both"/>
              <w:rPr>
                <w:sz w:val="20"/>
                <w:lang w:val="en-CA"/>
              </w:rPr>
            </w:pPr>
          </w:p>
        </w:tc>
        <w:tc>
          <w:tcPr>
            <w:tcW w:w="2330" w:type="pct"/>
          </w:tcPr>
          <w:p w:rsidR="001C78D7" w:rsidRPr="0072505E" w:rsidRDefault="001C78D7" w:rsidP="001C78D7">
            <w:pPr>
              <w:jc w:val="both"/>
              <w:rPr>
                <w:sz w:val="20"/>
                <w:lang w:val="en-CA"/>
              </w:rPr>
            </w:pPr>
            <w:r w:rsidRPr="0072505E">
              <w:rPr>
                <w:sz w:val="20"/>
                <w:lang w:val="en-CA"/>
              </w:rPr>
              <w:t>Appeal dismissed</w:t>
            </w:r>
          </w:p>
          <w:p w:rsidR="001C78D7" w:rsidRPr="0072505E" w:rsidRDefault="001C78D7" w:rsidP="001C78D7">
            <w:pPr>
              <w:jc w:val="both"/>
              <w:rPr>
                <w:sz w:val="20"/>
                <w:lang w:val="en-CA"/>
              </w:rPr>
            </w:pPr>
          </w:p>
        </w:tc>
      </w:tr>
      <w:tr w:rsidR="001C78D7" w:rsidRPr="0072505E" w:rsidTr="001C78D7">
        <w:tc>
          <w:tcPr>
            <w:tcW w:w="2427" w:type="pct"/>
            <w:gridSpan w:val="2"/>
          </w:tcPr>
          <w:p w:rsidR="001C78D7" w:rsidRPr="0072505E" w:rsidRDefault="001C78D7" w:rsidP="001C78D7">
            <w:pPr>
              <w:jc w:val="both"/>
              <w:rPr>
                <w:sz w:val="20"/>
                <w:lang w:val="en-CA"/>
              </w:rPr>
            </w:pPr>
            <w:r w:rsidRPr="0072505E">
              <w:rPr>
                <w:sz w:val="20"/>
                <w:lang w:val="en-CA"/>
              </w:rPr>
              <w:t>July 13, 2020</w:t>
            </w:r>
          </w:p>
          <w:p w:rsidR="001C78D7" w:rsidRPr="0072505E" w:rsidRDefault="001C78D7" w:rsidP="001C78D7">
            <w:pPr>
              <w:jc w:val="both"/>
              <w:rPr>
                <w:sz w:val="20"/>
                <w:lang w:val="en-CA"/>
              </w:rPr>
            </w:pPr>
            <w:r w:rsidRPr="0072505E">
              <w:rPr>
                <w:sz w:val="20"/>
                <w:lang w:val="en-CA"/>
              </w:rPr>
              <w:t>Supreme Court of Canada</w:t>
            </w:r>
          </w:p>
        </w:tc>
        <w:tc>
          <w:tcPr>
            <w:tcW w:w="243" w:type="pct"/>
          </w:tcPr>
          <w:p w:rsidR="001C78D7" w:rsidRPr="0072505E" w:rsidRDefault="001C78D7" w:rsidP="001C78D7">
            <w:pPr>
              <w:jc w:val="both"/>
              <w:rPr>
                <w:sz w:val="20"/>
                <w:lang w:val="en-CA"/>
              </w:rPr>
            </w:pPr>
          </w:p>
        </w:tc>
        <w:tc>
          <w:tcPr>
            <w:tcW w:w="2330" w:type="pct"/>
          </w:tcPr>
          <w:p w:rsidR="001C78D7" w:rsidRPr="0072505E" w:rsidRDefault="001C78D7" w:rsidP="001C78D7">
            <w:pPr>
              <w:jc w:val="both"/>
              <w:rPr>
                <w:sz w:val="20"/>
                <w:lang w:val="en-CA"/>
              </w:rPr>
            </w:pPr>
            <w:r w:rsidRPr="0072505E">
              <w:rPr>
                <w:sz w:val="20"/>
                <w:lang w:val="en-CA"/>
              </w:rPr>
              <w:t>Application for leave to appeal filed</w:t>
            </w:r>
          </w:p>
          <w:p w:rsidR="001C78D7" w:rsidRPr="0072505E" w:rsidRDefault="001C78D7" w:rsidP="001C78D7">
            <w:pPr>
              <w:jc w:val="both"/>
              <w:rPr>
                <w:sz w:val="20"/>
                <w:lang w:val="en-CA"/>
              </w:rPr>
            </w:pPr>
          </w:p>
        </w:tc>
      </w:tr>
    </w:tbl>
    <w:p w:rsidR="001C78D7" w:rsidRPr="0072505E" w:rsidRDefault="001C78D7" w:rsidP="001C78D7">
      <w:pPr>
        <w:jc w:val="both"/>
        <w:rPr>
          <w:sz w:val="20"/>
          <w:lang w:val="en-CA"/>
        </w:rPr>
      </w:pPr>
    </w:p>
    <w:p w:rsidR="001C78D7" w:rsidRPr="0072505E" w:rsidRDefault="001C78D7" w:rsidP="001C78D7">
      <w:pPr>
        <w:jc w:val="both"/>
        <w:rPr>
          <w:sz w:val="20"/>
          <w:lang w:val="en-CA"/>
        </w:rPr>
      </w:pPr>
      <w:r w:rsidRPr="0072505E">
        <w:rPr>
          <w:sz w:val="20"/>
        </w:rPr>
        <w:pict>
          <v:rect id="_x0000_i1030" style="width:2in;height:1pt" o:hrpct="0" o:hralign="center" o:hrstd="t" o:hrnoshade="t" o:hr="t" fillcolor="black [3213]" stroked="f"/>
        </w:pict>
      </w:r>
    </w:p>
    <w:p w:rsidR="001C78D7" w:rsidRPr="0072505E" w:rsidRDefault="001C78D7" w:rsidP="001C78D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39255</w:t>
            </w:r>
          </w:p>
        </w:tc>
        <w:tc>
          <w:tcPr>
            <w:tcW w:w="4457" w:type="pct"/>
            <w:gridSpan w:val="3"/>
          </w:tcPr>
          <w:p w:rsidR="001C78D7" w:rsidRPr="0072505E" w:rsidRDefault="001C78D7" w:rsidP="001C78D7">
            <w:pPr>
              <w:pStyle w:val="SCCLsocParty"/>
              <w:jc w:val="both"/>
              <w:rPr>
                <w:b/>
                <w:sz w:val="20"/>
                <w:szCs w:val="20"/>
              </w:rPr>
            </w:pPr>
            <w:r w:rsidRPr="0072505E">
              <w:rPr>
                <w:b/>
                <w:sz w:val="20"/>
                <w:szCs w:val="20"/>
              </w:rPr>
              <w:t>Lyne Bélanger c. Sa Majesté la Reine</w:t>
            </w:r>
          </w:p>
          <w:p w:rsidR="001C78D7" w:rsidRPr="0072505E" w:rsidRDefault="001C78D7" w:rsidP="001C78D7">
            <w:pPr>
              <w:jc w:val="both"/>
              <w:rPr>
                <w:sz w:val="20"/>
              </w:rPr>
            </w:pPr>
            <w:r w:rsidRPr="0072505E">
              <w:rPr>
                <w:sz w:val="20"/>
              </w:rPr>
              <w:t>(Qc) (Criminelle)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Droit criminel — Preuve — La Cour d’appel a</w:t>
            </w:r>
            <w:r w:rsidRPr="0072505E">
              <w:rPr>
                <w:sz w:val="20"/>
                <w:lang w:val="fr-CA"/>
              </w:rPr>
              <w:noBreakHyphen/>
              <w:t>t</w:t>
            </w:r>
            <w:r w:rsidRPr="0072505E">
              <w:rPr>
                <w:sz w:val="20"/>
                <w:lang w:val="fr-CA"/>
              </w:rPr>
              <w:noBreakHyphen/>
              <w:t>elle erré en avalisant une déclaration de culpabilité reposant sur la seule base d’une preuve circonstancielle incomplète, alors même qu’un jugement rendu par le tribunal d’instance ordonnait la divulgation d’éléments de preuve par le ministère public, mettant ainsi à mal des principes fondamentaux de notre système juridique criminel, à savoir la présomption d’innocence, le droit à une défense pleine et entière et la recherche de la vérité?</w:t>
            </w:r>
          </w:p>
        </w:tc>
      </w:tr>
      <w:tr w:rsidR="001C78D7" w:rsidRPr="0072505E" w:rsidTr="001C78D7">
        <w:tc>
          <w:tcPr>
            <w:tcW w:w="5000" w:type="pct"/>
            <w:gridSpan w:val="4"/>
          </w:tcPr>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La demanderesse Mme Bélanger a subi son procès sous des accusations de fraude et de vol d’une somme d’argent dépassant 5000$.</w:t>
            </w:r>
          </w:p>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 xml:space="preserve">La Cour du Québec estime que la preuve circonstancielle présentée par la poursuite exclut toute autre possibilité logique que celle de la culpabilité de Mme Bélanger. Le tribunal déclare Mme Bélanger coupable des accusations de fraude. La Cour d’appel rejette l’appel de façon unanime. Elle est d’avis que le juge de première instance n’a pas omis de tenir compte d’éléments de preuve pertinents et favorables à Mme Bélanger, et que l’analyse du juge de la preuve circonstancielle ne comporte aucune erreur révisable. </w:t>
            </w:r>
          </w:p>
        </w:tc>
      </w:tr>
      <w:tr w:rsidR="001C78D7" w:rsidRPr="0072505E" w:rsidTr="001C78D7">
        <w:tc>
          <w:tcPr>
            <w:tcW w:w="5000" w:type="pct"/>
            <w:gridSpan w:val="4"/>
          </w:tcPr>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Le 16 février 2018</w:t>
            </w:r>
          </w:p>
          <w:p w:rsidR="001C78D7" w:rsidRPr="0072505E" w:rsidRDefault="001C78D7" w:rsidP="001C78D7">
            <w:pPr>
              <w:jc w:val="both"/>
              <w:rPr>
                <w:sz w:val="20"/>
                <w:lang w:val="fr-CA"/>
              </w:rPr>
            </w:pPr>
            <w:r w:rsidRPr="0072505E">
              <w:rPr>
                <w:sz w:val="20"/>
                <w:lang w:val="fr-CA"/>
              </w:rPr>
              <w:t>Cour du Québec</w:t>
            </w:r>
          </w:p>
          <w:p w:rsidR="001C78D7" w:rsidRPr="0072505E" w:rsidRDefault="001C78D7" w:rsidP="001C78D7">
            <w:pPr>
              <w:jc w:val="both"/>
              <w:rPr>
                <w:sz w:val="20"/>
                <w:lang w:val="fr-CA"/>
              </w:rPr>
            </w:pPr>
            <w:r w:rsidRPr="0072505E">
              <w:rPr>
                <w:sz w:val="20"/>
                <w:lang w:val="fr-CA"/>
              </w:rPr>
              <w:t>(le juge St-Cyr)</w:t>
            </w:r>
          </w:p>
          <w:p w:rsidR="001C78D7" w:rsidRPr="0072505E" w:rsidRDefault="001C78D7" w:rsidP="001C78D7">
            <w:pPr>
              <w:jc w:val="both"/>
              <w:rPr>
                <w:sz w:val="20"/>
              </w:rPr>
            </w:pPr>
            <w:r w:rsidRPr="0072505E">
              <w:rPr>
                <w:sz w:val="20"/>
              </w:rPr>
              <w:t>300</w:t>
            </w:r>
            <w:r w:rsidRPr="0072505E">
              <w:rPr>
                <w:sz w:val="20"/>
              </w:rPr>
              <w:noBreakHyphen/>
              <w:t>01</w:t>
            </w:r>
            <w:r w:rsidRPr="0072505E">
              <w:rPr>
                <w:sz w:val="20"/>
              </w:rPr>
              <w:noBreakHyphen/>
              <w:t>013895</w:t>
            </w:r>
            <w:r w:rsidRPr="0072505E">
              <w:rPr>
                <w:sz w:val="20"/>
              </w:rPr>
              <w:noBreakHyphen/>
              <w:t>133</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Demanderesse déclarée coupable de fraude</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Le 16 mars 2020</w:t>
            </w:r>
          </w:p>
          <w:p w:rsidR="001C78D7" w:rsidRPr="0072505E" w:rsidRDefault="001C78D7" w:rsidP="001C78D7">
            <w:pPr>
              <w:jc w:val="both"/>
              <w:rPr>
                <w:sz w:val="20"/>
                <w:lang w:val="fr-CA"/>
              </w:rPr>
            </w:pPr>
            <w:r w:rsidRPr="0072505E">
              <w:rPr>
                <w:sz w:val="20"/>
                <w:lang w:val="fr-CA"/>
              </w:rPr>
              <w:t>Cour d’appel du Québec (Québec)</w:t>
            </w:r>
          </w:p>
          <w:p w:rsidR="001C78D7" w:rsidRPr="0072505E" w:rsidRDefault="001C78D7" w:rsidP="001C78D7">
            <w:pPr>
              <w:jc w:val="both"/>
              <w:rPr>
                <w:sz w:val="20"/>
                <w:lang w:val="fr-CA"/>
              </w:rPr>
            </w:pPr>
            <w:r w:rsidRPr="0072505E">
              <w:rPr>
                <w:sz w:val="20"/>
                <w:lang w:val="fr-CA"/>
              </w:rPr>
              <w:t>(les juges Rancourt, Beaupré et Moore)</w:t>
            </w:r>
          </w:p>
          <w:p w:rsidR="001C78D7" w:rsidRPr="0072505E" w:rsidRDefault="001C78D7" w:rsidP="001C78D7">
            <w:pPr>
              <w:jc w:val="both"/>
              <w:rPr>
                <w:sz w:val="20"/>
              </w:rPr>
            </w:pPr>
            <w:hyperlink r:id="rId22" w:history="1">
              <w:r w:rsidRPr="0072505E">
                <w:rPr>
                  <w:rStyle w:val="Hyperlink"/>
                  <w:sz w:val="20"/>
                </w:rPr>
                <w:t>2020 QCCA 431</w:t>
              </w:r>
            </w:hyperlink>
            <w:r w:rsidRPr="0072505E">
              <w:rPr>
                <w:sz w:val="20"/>
              </w:rPr>
              <w:t xml:space="preserve"> </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Appel rejeté</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lastRenderedPageBreak/>
              <w:t>Le 13 juillet 2020</w:t>
            </w:r>
          </w:p>
          <w:p w:rsidR="001C78D7" w:rsidRPr="0072505E" w:rsidRDefault="001C78D7" w:rsidP="001C78D7">
            <w:pPr>
              <w:jc w:val="both"/>
              <w:rPr>
                <w:sz w:val="20"/>
                <w:lang w:val="fr-CA"/>
              </w:rPr>
            </w:pPr>
            <w:r w:rsidRPr="0072505E">
              <w:rPr>
                <w:sz w:val="20"/>
                <w:lang w:val="fr-CA"/>
              </w:rPr>
              <w:t>Cour suprême du Canada</w:t>
            </w: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rPr>
            </w:pPr>
            <w:r w:rsidRPr="0072505E">
              <w:rPr>
                <w:sz w:val="20"/>
              </w:rPr>
              <w:t>Demande d'autorisation d'appel déposée</w:t>
            </w:r>
          </w:p>
          <w:p w:rsidR="001C78D7" w:rsidRPr="0072505E" w:rsidRDefault="001C78D7" w:rsidP="001C78D7">
            <w:pPr>
              <w:jc w:val="both"/>
              <w:rPr>
                <w:sz w:val="20"/>
              </w:rPr>
            </w:pPr>
          </w:p>
        </w:tc>
      </w:tr>
    </w:tbl>
    <w:p w:rsidR="001C78D7" w:rsidRPr="0072505E" w:rsidRDefault="001C78D7" w:rsidP="001C78D7">
      <w:pPr>
        <w:jc w:val="both"/>
        <w:rPr>
          <w:sz w:val="20"/>
        </w:rPr>
      </w:pPr>
    </w:p>
    <w:p w:rsidR="001C78D7" w:rsidRPr="0072505E" w:rsidRDefault="001C78D7" w:rsidP="001C78D7">
      <w:pPr>
        <w:jc w:val="both"/>
        <w:rPr>
          <w:sz w:val="20"/>
        </w:rPr>
      </w:pPr>
      <w:r w:rsidRPr="0072505E">
        <w:rPr>
          <w:sz w:val="20"/>
        </w:rPr>
        <w:pict>
          <v:rect id="_x0000_i1031" style="width:2in;height:1pt" o:hrpct="0" o:hralign="center" o:hrstd="t" o:hrnoshade="t" o:hr="t" fillcolor="black [3213]" stroked="f"/>
        </w:pict>
      </w:r>
    </w:p>
    <w:p w:rsidR="001C78D7" w:rsidRPr="0072505E" w:rsidRDefault="001C78D7" w:rsidP="001C78D7">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95"/>
        <w:gridCol w:w="431"/>
        <w:gridCol w:w="4339"/>
        <w:gridCol w:w="90"/>
      </w:tblGrid>
      <w:tr w:rsidR="001C78D7" w:rsidRPr="0072505E" w:rsidTr="001C78D7">
        <w:trPr>
          <w:gridAfter w:val="1"/>
          <w:wAfter w:w="48" w:type="pct"/>
        </w:trPr>
        <w:tc>
          <w:tcPr>
            <w:tcW w:w="537" w:type="pct"/>
          </w:tcPr>
          <w:p w:rsidR="001C78D7" w:rsidRPr="0072505E" w:rsidRDefault="001C78D7" w:rsidP="001C78D7">
            <w:pPr>
              <w:jc w:val="both"/>
              <w:rPr>
                <w:sz w:val="20"/>
                <w:lang w:val="en-CA"/>
              </w:rPr>
            </w:pPr>
            <w:r w:rsidRPr="0072505E">
              <w:rPr>
                <w:rStyle w:val="SCCFileNumberChar"/>
                <w:sz w:val="20"/>
                <w:szCs w:val="20"/>
              </w:rPr>
              <w:t>39210</w:t>
            </w:r>
          </w:p>
        </w:tc>
        <w:tc>
          <w:tcPr>
            <w:tcW w:w="4415" w:type="pct"/>
            <w:gridSpan w:val="3"/>
          </w:tcPr>
          <w:p w:rsidR="001C78D7" w:rsidRPr="0072505E" w:rsidRDefault="001C78D7" w:rsidP="001C78D7">
            <w:pPr>
              <w:pStyle w:val="SCCLsocParty"/>
              <w:jc w:val="both"/>
              <w:rPr>
                <w:b/>
                <w:sz w:val="20"/>
                <w:szCs w:val="20"/>
                <w:lang w:val="en-CA"/>
              </w:rPr>
            </w:pPr>
            <w:r w:rsidRPr="0072505E">
              <w:rPr>
                <w:b/>
                <w:sz w:val="20"/>
                <w:szCs w:val="20"/>
                <w:lang w:val="en-CA"/>
              </w:rPr>
              <w:t>Attorney General of Quebec v. Sylvain Picard, RBA Financial Group</w:t>
            </w:r>
          </w:p>
          <w:p w:rsidR="001C78D7" w:rsidRPr="0072505E" w:rsidRDefault="001C78D7" w:rsidP="001C78D7">
            <w:pPr>
              <w:pStyle w:val="SCCLsocOtherPartySeparator"/>
              <w:rPr>
                <w:sz w:val="20"/>
                <w:szCs w:val="20"/>
                <w:lang w:val="en-CA"/>
              </w:rPr>
            </w:pPr>
            <w:r w:rsidRPr="0072505E">
              <w:rPr>
                <w:sz w:val="20"/>
                <w:szCs w:val="20"/>
                <w:lang w:val="en-CA"/>
              </w:rPr>
              <w:t>- and -</w:t>
            </w:r>
          </w:p>
          <w:p w:rsidR="001C78D7" w:rsidRPr="0072505E" w:rsidRDefault="001C78D7" w:rsidP="001C78D7">
            <w:pPr>
              <w:pStyle w:val="SCCLsocParty"/>
              <w:jc w:val="both"/>
              <w:rPr>
                <w:b/>
                <w:sz w:val="20"/>
                <w:szCs w:val="20"/>
                <w:lang w:val="en-CA"/>
              </w:rPr>
            </w:pPr>
            <w:r w:rsidRPr="0072505E">
              <w:rPr>
                <w:b/>
                <w:sz w:val="20"/>
                <w:szCs w:val="20"/>
                <w:lang w:val="en-CA"/>
              </w:rPr>
              <w:t>Attorney General of Canada, Assembly of First Nations, Assembly of First Nations Quebec-Labrador</w:t>
            </w:r>
          </w:p>
          <w:p w:rsidR="001C78D7" w:rsidRPr="0072505E" w:rsidRDefault="001C78D7" w:rsidP="001C78D7">
            <w:pPr>
              <w:jc w:val="both"/>
              <w:rPr>
                <w:sz w:val="20"/>
                <w:lang w:val="en-CA"/>
              </w:rPr>
            </w:pPr>
            <w:r w:rsidRPr="0072505E">
              <w:rPr>
                <w:sz w:val="20"/>
                <w:lang w:val="en-CA"/>
              </w:rPr>
              <w:t>(F.C.) (Civil) (By Leave)</w:t>
            </w:r>
          </w:p>
        </w:tc>
      </w:tr>
      <w:tr w:rsidR="001C78D7" w:rsidRPr="0072505E" w:rsidTr="001C78D7">
        <w:trPr>
          <w:gridAfter w:val="1"/>
          <w:wAfter w:w="48" w:type="pct"/>
        </w:trPr>
        <w:tc>
          <w:tcPr>
            <w:tcW w:w="4952" w:type="pct"/>
            <w:gridSpan w:val="4"/>
          </w:tcPr>
          <w:p w:rsidR="001C78D7" w:rsidRPr="0072505E" w:rsidRDefault="001C78D7" w:rsidP="001C78D7">
            <w:pPr>
              <w:jc w:val="both"/>
              <w:rPr>
                <w:sz w:val="20"/>
                <w:lang w:val="en-CA"/>
              </w:rPr>
            </w:pPr>
            <w:proofErr w:type="gramStart"/>
            <w:r w:rsidRPr="0072505E">
              <w:rPr>
                <w:sz w:val="20"/>
                <w:lang w:val="en-CA"/>
              </w:rPr>
              <w:t xml:space="preserve">Constitutional law — Division of powers — Labour relations — Aboriginal peoples — Functional test — Tripartite agreement on provision of police services — Regulation and oversight of First Nations Public Security Pension Plan — Police officers and special constables hired and remunerated by band councils that are members of plan — Whether Federal Court of Appeal erred in law in concluding that police officers, who are employed by band councils that are members of plan, are </w:t>
            </w:r>
            <w:r w:rsidRPr="0072505E">
              <w:rPr>
                <w:color w:val="000000"/>
                <w:sz w:val="20"/>
                <w:lang w:val="en-CA"/>
              </w:rPr>
              <w:t xml:space="preserve">employed in connection with operation of work, undertaking or business that is within federal legislative authority within meaning of </w:t>
            </w:r>
            <w:r w:rsidRPr="0072505E">
              <w:rPr>
                <w:i/>
                <w:color w:val="000000"/>
                <w:sz w:val="20"/>
                <w:lang w:val="en-CA"/>
              </w:rPr>
              <w:t xml:space="preserve">Pension Benefits Standards Act, 1985 </w:t>
            </w:r>
            <w:r w:rsidRPr="0072505E">
              <w:rPr>
                <w:color w:val="000000"/>
                <w:sz w:val="20"/>
                <w:lang w:val="en-CA"/>
              </w:rPr>
              <w:t xml:space="preserve">— </w:t>
            </w:r>
            <w:r w:rsidRPr="0072505E">
              <w:rPr>
                <w:i/>
                <w:color w:val="000000"/>
                <w:sz w:val="20"/>
                <w:lang w:val="en-CA"/>
              </w:rPr>
              <w:t>Constitution Act, 1867</w:t>
            </w:r>
            <w:r w:rsidRPr="0072505E">
              <w:rPr>
                <w:color w:val="000000"/>
                <w:sz w:val="20"/>
                <w:lang w:val="en-CA"/>
              </w:rPr>
              <w:t xml:space="preserve">, ss. 91(24), 92(13) and 92(16) — </w:t>
            </w:r>
            <w:r w:rsidRPr="0072505E">
              <w:rPr>
                <w:i/>
                <w:color w:val="000000"/>
                <w:sz w:val="20"/>
                <w:lang w:val="en-CA"/>
              </w:rPr>
              <w:t>Pension Benefits Standards Act, 1985</w:t>
            </w:r>
            <w:r w:rsidRPr="0072505E">
              <w:rPr>
                <w:color w:val="000000"/>
                <w:sz w:val="20"/>
                <w:lang w:val="en-CA"/>
              </w:rPr>
              <w:t xml:space="preserve">, R.S.C. 1985, c. 32 (2nd Supp.), s. 4, “included employment” — </w:t>
            </w:r>
            <w:r w:rsidRPr="0072505E">
              <w:rPr>
                <w:i/>
                <w:color w:val="000000"/>
                <w:sz w:val="20"/>
                <w:lang w:val="en-CA"/>
              </w:rPr>
              <w:t>Police Act</w:t>
            </w:r>
            <w:r w:rsidRPr="0072505E">
              <w:rPr>
                <w:color w:val="000000"/>
                <w:sz w:val="20"/>
                <w:lang w:val="en-CA"/>
              </w:rPr>
              <w:t>, CQLR, c. P</w:t>
            </w:r>
            <w:r w:rsidRPr="0072505E">
              <w:rPr>
                <w:color w:val="000000"/>
                <w:sz w:val="20"/>
                <w:lang w:val="en-CA"/>
              </w:rPr>
              <w:noBreakHyphen/>
              <w:t>13.1, ss. 90</w:t>
            </w:r>
            <w:r w:rsidRPr="0072505E">
              <w:rPr>
                <w:color w:val="000000"/>
                <w:sz w:val="20"/>
                <w:lang w:val="en-CA"/>
              </w:rPr>
              <w:noBreakHyphen/>
              <w:t>93.</w:t>
            </w:r>
            <w:proofErr w:type="gramEnd"/>
          </w:p>
        </w:tc>
      </w:tr>
      <w:tr w:rsidR="001C78D7" w:rsidRPr="0072505E" w:rsidTr="001C78D7">
        <w:trPr>
          <w:gridAfter w:val="1"/>
          <w:wAfter w:w="48" w:type="pct"/>
        </w:trPr>
        <w:tc>
          <w:tcPr>
            <w:tcW w:w="4952" w:type="pct"/>
            <w:gridSpan w:val="4"/>
          </w:tcPr>
          <w:p w:rsidR="001C78D7" w:rsidRPr="0072505E" w:rsidRDefault="001C78D7" w:rsidP="001C78D7">
            <w:pPr>
              <w:jc w:val="both"/>
              <w:rPr>
                <w:sz w:val="20"/>
                <w:lang w:val="en-CA"/>
              </w:rPr>
            </w:pPr>
          </w:p>
          <w:p w:rsidR="001C78D7" w:rsidRPr="0072505E" w:rsidRDefault="001C78D7" w:rsidP="001C78D7">
            <w:pPr>
              <w:jc w:val="both"/>
              <w:rPr>
                <w:sz w:val="20"/>
                <w:lang w:val="en-CA"/>
              </w:rPr>
            </w:pPr>
            <w:r w:rsidRPr="0072505E">
              <w:rPr>
                <w:sz w:val="20"/>
                <w:lang w:val="en-CA"/>
              </w:rPr>
              <w:t xml:space="preserve">In July 2016, the Office of the Superintendent of Financial Institutions (“OSFI”) ruled that the First Nations Public Security Pension Plan (“Plan”), which was originally registered under the federal pension benefits standards legislation, had </w:t>
            </w:r>
            <w:proofErr w:type="gramStart"/>
            <w:r w:rsidRPr="0072505E">
              <w:rPr>
                <w:sz w:val="20"/>
                <w:lang w:val="en-CA"/>
              </w:rPr>
              <w:t>to instead be</w:t>
            </w:r>
            <w:proofErr w:type="gramEnd"/>
            <w:r w:rsidRPr="0072505E">
              <w:rPr>
                <w:sz w:val="20"/>
                <w:lang w:val="en-CA"/>
              </w:rPr>
              <w:t xml:space="preserve"> subject to Quebec legislation and therefore had to be transferred to the competent authority, Retraite Québec. The OSFI’s decision was based on </w:t>
            </w:r>
            <w:r w:rsidRPr="0072505E">
              <w:rPr>
                <w:i/>
                <w:sz w:val="20"/>
                <w:lang w:val="en-CA"/>
              </w:rPr>
              <w:t>Nishnawbe</w:t>
            </w:r>
            <w:r w:rsidRPr="0072505E">
              <w:rPr>
                <w:i/>
                <w:sz w:val="20"/>
                <w:lang w:val="en-CA"/>
              </w:rPr>
              <w:noBreakHyphen/>
              <w:t>Aski Police Services Board v. Public Service Alliance of Canada</w:t>
            </w:r>
            <w:r w:rsidRPr="0072505E">
              <w:rPr>
                <w:sz w:val="20"/>
                <w:lang w:val="en-CA"/>
              </w:rPr>
              <w:t xml:space="preserve">, 2015 FCA 211, in which the Federal Court of Appeal had held, applying the functional test to determine whether the regulation of labour relations was a matter for the federal government, that the </w:t>
            </w:r>
            <w:r w:rsidRPr="0072505E">
              <w:rPr>
                <w:color w:val="000000"/>
                <w:sz w:val="20"/>
                <w:shd w:val="clear" w:color="auto" w:fill="FFFFFF"/>
                <w:lang w:val="en-CA"/>
              </w:rPr>
              <w:t>Nishnawbe</w:t>
            </w:r>
            <w:r w:rsidRPr="0072505E">
              <w:rPr>
                <w:color w:val="000000"/>
                <w:sz w:val="20"/>
                <w:shd w:val="clear" w:color="auto" w:fill="FFFFFF"/>
                <w:lang w:val="en-CA"/>
              </w:rPr>
              <w:noBreakHyphen/>
              <w:t xml:space="preserve">Aski police force’s </w:t>
            </w:r>
            <w:r w:rsidRPr="0072505E">
              <w:rPr>
                <w:sz w:val="20"/>
                <w:lang w:val="en-CA"/>
              </w:rPr>
              <w:t xml:space="preserve">labour relations </w:t>
            </w:r>
            <w:r w:rsidRPr="0072505E">
              <w:rPr>
                <w:color w:val="000000"/>
                <w:sz w:val="20"/>
                <w:shd w:val="clear" w:color="auto" w:fill="FFFFFF"/>
                <w:lang w:val="en-CA"/>
              </w:rPr>
              <w:t xml:space="preserve">fell under provincial jurisdiction. The court had reached that conclusion in </w:t>
            </w:r>
            <w:r w:rsidRPr="0072505E">
              <w:rPr>
                <w:i/>
                <w:color w:val="000000"/>
                <w:sz w:val="20"/>
                <w:shd w:val="clear" w:color="auto" w:fill="FFFFFF"/>
                <w:lang w:val="en-CA"/>
              </w:rPr>
              <w:t>Nishnawbe</w:t>
            </w:r>
            <w:r w:rsidRPr="0072505E">
              <w:rPr>
                <w:i/>
                <w:color w:val="000000"/>
                <w:sz w:val="20"/>
                <w:shd w:val="clear" w:color="auto" w:fill="FFFFFF"/>
                <w:lang w:val="en-CA"/>
              </w:rPr>
              <w:noBreakHyphen/>
              <w:t>Aski</w:t>
            </w:r>
            <w:r w:rsidRPr="0072505E">
              <w:rPr>
                <w:color w:val="000000"/>
                <w:sz w:val="20"/>
                <w:shd w:val="clear" w:color="auto" w:fill="FFFFFF"/>
                <w:lang w:val="en-CA"/>
              </w:rPr>
              <w:t xml:space="preserve"> because the essential nature and functions of the community’s police force involved the provision of services in the same way as other provincial and municipal police forces. The respondent Sylvain Picard was the Plan’s administrator under the federal legislation, and the respondent RBA Financial Group was its manager. They applied for judicial review of the OSFI’s decision in order to have the Plan remain under that body’s supervision. The Federal Court allowed the respondents’ application for judicial review, concluding that police officers and special constables hired and remunerated by band councils that are members of the Plan </w:t>
            </w:r>
            <w:proofErr w:type="gramStart"/>
            <w:r w:rsidRPr="0072505E">
              <w:rPr>
                <w:color w:val="000000"/>
                <w:sz w:val="20"/>
                <w:shd w:val="clear" w:color="auto" w:fill="FFFFFF"/>
                <w:lang w:val="en-CA"/>
              </w:rPr>
              <w:t>are employed</w:t>
            </w:r>
            <w:proofErr w:type="gramEnd"/>
            <w:r w:rsidRPr="0072505E">
              <w:rPr>
                <w:color w:val="000000"/>
                <w:sz w:val="20"/>
                <w:shd w:val="clear" w:color="auto" w:fill="FFFFFF"/>
                <w:lang w:val="en-CA"/>
              </w:rPr>
              <w:t xml:space="preserve"> in a work, undertaking or business that is within federal legislative authority, and that the federal legislation therefore applied to the Plan. The Federal Court of Appeal dismissed the appeal of the applicant, the Attorney General of Quebec, who had joined the proceedings as an intervener in the Federal Court. The Court of Appeal held that the fact that the employer of the police officers and special constables was a band council and </w:t>
            </w:r>
            <w:proofErr w:type="gramStart"/>
            <w:r w:rsidRPr="0072505E">
              <w:rPr>
                <w:color w:val="000000"/>
                <w:sz w:val="20"/>
                <w:shd w:val="clear" w:color="auto" w:fill="FFFFFF"/>
                <w:lang w:val="en-CA"/>
              </w:rPr>
              <w:t>not an independent</w:t>
            </w:r>
            <w:proofErr w:type="gramEnd"/>
            <w:r w:rsidRPr="0072505E">
              <w:rPr>
                <w:color w:val="000000"/>
                <w:sz w:val="20"/>
                <w:shd w:val="clear" w:color="auto" w:fill="FFFFFF"/>
                <w:lang w:val="en-CA"/>
              </w:rPr>
              <w:t xml:space="preserve"> entity sufficed to distinguish this case from </w:t>
            </w:r>
            <w:r w:rsidRPr="0072505E">
              <w:rPr>
                <w:i/>
                <w:sz w:val="20"/>
                <w:lang w:val="en-CA"/>
              </w:rPr>
              <w:t>Nishnawbe</w:t>
            </w:r>
            <w:r w:rsidRPr="0072505E">
              <w:rPr>
                <w:i/>
                <w:sz w:val="20"/>
                <w:lang w:val="en-CA"/>
              </w:rPr>
              <w:noBreakHyphen/>
              <w:t xml:space="preserve">Aski </w:t>
            </w:r>
            <w:r w:rsidRPr="0072505E">
              <w:rPr>
                <w:sz w:val="20"/>
                <w:lang w:val="en-CA"/>
              </w:rPr>
              <w:t>and thus for it to conclude that the federal government had legislative authority</w:t>
            </w:r>
            <w:r w:rsidRPr="0072505E">
              <w:rPr>
                <w:color w:val="000000"/>
                <w:sz w:val="20"/>
                <w:shd w:val="clear" w:color="auto" w:fill="FFFFFF"/>
                <w:lang w:val="en-CA"/>
              </w:rPr>
              <w:t>.</w:t>
            </w:r>
          </w:p>
        </w:tc>
      </w:tr>
      <w:tr w:rsidR="001C78D7" w:rsidRPr="0072505E" w:rsidTr="001C78D7">
        <w:trPr>
          <w:gridAfter w:val="1"/>
          <w:wAfter w:w="48" w:type="pct"/>
        </w:trPr>
        <w:tc>
          <w:tcPr>
            <w:tcW w:w="4952" w:type="pct"/>
            <w:gridSpan w:val="4"/>
          </w:tcPr>
          <w:p w:rsidR="001C78D7" w:rsidRPr="0072505E" w:rsidRDefault="001C78D7" w:rsidP="001C78D7">
            <w:pPr>
              <w:jc w:val="both"/>
              <w:rPr>
                <w:sz w:val="20"/>
                <w:lang w:val="en-CA"/>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en-CA"/>
              </w:rPr>
            </w:pPr>
            <w:r w:rsidRPr="0072505E">
              <w:rPr>
                <w:sz w:val="20"/>
                <w:lang w:val="en-CA"/>
              </w:rPr>
              <w:t>July 21, 2016</w:t>
            </w:r>
          </w:p>
          <w:p w:rsidR="001C78D7" w:rsidRPr="0072505E" w:rsidRDefault="001C78D7" w:rsidP="001C78D7">
            <w:pPr>
              <w:jc w:val="both"/>
              <w:rPr>
                <w:sz w:val="20"/>
                <w:lang w:val="en-CA"/>
              </w:rPr>
            </w:pPr>
            <w:r w:rsidRPr="0072505E">
              <w:rPr>
                <w:sz w:val="20"/>
                <w:lang w:val="en-CA"/>
              </w:rPr>
              <w:t xml:space="preserve">Office of the Superintendent of Financial Institutions, Private Pension Plans Division </w:t>
            </w:r>
          </w:p>
          <w:p w:rsidR="001C78D7" w:rsidRPr="0072505E" w:rsidRDefault="001C78D7" w:rsidP="001C78D7">
            <w:pPr>
              <w:jc w:val="both"/>
              <w:rPr>
                <w:sz w:val="20"/>
                <w:lang w:val="en-CA"/>
              </w:rPr>
            </w:pPr>
            <w:r w:rsidRPr="0072505E">
              <w:rPr>
                <w:sz w:val="20"/>
                <w:lang w:val="en-CA"/>
              </w:rPr>
              <w:t>(Senior Supervisor Nancy Desormeaux)</w:t>
            </w:r>
          </w:p>
        </w:tc>
        <w:tc>
          <w:tcPr>
            <w:tcW w:w="230" w:type="pct"/>
          </w:tcPr>
          <w:p w:rsidR="001C78D7" w:rsidRPr="0072505E" w:rsidRDefault="001C78D7" w:rsidP="001C78D7">
            <w:pPr>
              <w:jc w:val="both"/>
              <w:rPr>
                <w:sz w:val="20"/>
                <w:lang w:val="en-CA"/>
              </w:rPr>
            </w:pPr>
          </w:p>
        </w:tc>
        <w:tc>
          <w:tcPr>
            <w:tcW w:w="2366" w:type="pct"/>
            <w:gridSpan w:val="2"/>
          </w:tcPr>
          <w:p w:rsidR="001C78D7" w:rsidRPr="0072505E" w:rsidRDefault="001C78D7" w:rsidP="001C78D7">
            <w:pPr>
              <w:jc w:val="both"/>
              <w:rPr>
                <w:sz w:val="20"/>
                <w:lang w:val="en-CA"/>
              </w:rPr>
            </w:pPr>
            <w:r w:rsidRPr="0072505E">
              <w:rPr>
                <w:sz w:val="20"/>
                <w:lang w:val="en-CA"/>
              </w:rPr>
              <w:t>First Nations Public Security Pension Plan transferred to Retraite Québec; employment of Plan’s members found not to be employment in work, undertaking or business within federal legislative authority</w:t>
            </w:r>
          </w:p>
          <w:p w:rsidR="001C78D7" w:rsidRPr="0072505E" w:rsidRDefault="001C78D7" w:rsidP="001C78D7">
            <w:pPr>
              <w:jc w:val="both"/>
              <w:rPr>
                <w:sz w:val="20"/>
                <w:lang w:val="en-CA"/>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en-CA"/>
              </w:rPr>
            </w:pPr>
            <w:r w:rsidRPr="0072505E">
              <w:rPr>
                <w:sz w:val="20"/>
                <w:lang w:val="en-CA"/>
              </w:rPr>
              <w:t>July 18, 2018</w:t>
            </w:r>
          </w:p>
          <w:p w:rsidR="001C78D7" w:rsidRPr="0072505E" w:rsidRDefault="001C78D7" w:rsidP="001C78D7">
            <w:pPr>
              <w:jc w:val="both"/>
              <w:rPr>
                <w:sz w:val="20"/>
                <w:lang w:val="en-CA"/>
              </w:rPr>
            </w:pPr>
            <w:r w:rsidRPr="0072505E">
              <w:rPr>
                <w:sz w:val="20"/>
                <w:lang w:val="en-CA"/>
              </w:rPr>
              <w:t>Federal Court</w:t>
            </w:r>
          </w:p>
          <w:p w:rsidR="001C78D7" w:rsidRPr="0072505E" w:rsidRDefault="001C78D7" w:rsidP="001C78D7">
            <w:pPr>
              <w:jc w:val="both"/>
              <w:rPr>
                <w:sz w:val="20"/>
                <w:lang w:val="en-CA"/>
              </w:rPr>
            </w:pPr>
            <w:r w:rsidRPr="0072505E">
              <w:rPr>
                <w:sz w:val="20"/>
                <w:lang w:val="en-CA"/>
              </w:rPr>
              <w:t>(Martineau J.)</w:t>
            </w:r>
          </w:p>
          <w:p w:rsidR="001C78D7" w:rsidRPr="0072505E" w:rsidRDefault="001C78D7" w:rsidP="001C78D7">
            <w:pPr>
              <w:jc w:val="both"/>
              <w:rPr>
                <w:sz w:val="20"/>
                <w:lang w:val="en-CA"/>
              </w:rPr>
            </w:pPr>
            <w:hyperlink r:id="rId23" w:history="1">
              <w:r w:rsidRPr="0072505E">
                <w:rPr>
                  <w:rStyle w:val="Hyperlink"/>
                  <w:sz w:val="20"/>
                  <w:lang w:val="en-CA"/>
                </w:rPr>
                <w:t>2018 FC 747</w:t>
              </w:r>
            </w:hyperlink>
          </w:p>
          <w:p w:rsidR="001C78D7" w:rsidRPr="0072505E" w:rsidRDefault="001C78D7" w:rsidP="001C78D7">
            <w:pPr>
              <w:jc w:val="both"/>
              <w:rPr>
                <w:sz w:val="20"/>
                <w:lang w:val="en-CA"/>
              </w:rPr>
            </w:pPr>
          </w:p>
        </w:tc>
        <w:tc>
          <w:tcPr>
            <w:tcW w:w="230" w:type="pct"/>
          </w:tcPr>
          <w:p w:rsidR="001C78D7" w:rsidRPr="0072505E" w:rsidRDefault="001C78D7" w:rsidP="001C78D7">
            <w:pPr>
              <w:jc w:val="both"/>
              <w:rPr>
                <w:sz w:val="20"/>
                <w:lang w:val="en-CA"/>
              </w:rPr>
            </w:pPr>
          </w:p>
        </w:tc>
        <w:tc>
          <w:tcPr>
            <w:tcW w:w="2366" w:type="pct"/>
            <w:gridSpan w:val="2"/>
          </w:tcPr>
          <w:p w:rsidR="001C78D7" w:rsidRPr="0072505E" w:rsidRDefault="001C78D7" w:rsidP="001C78D7">
            <w:pPr>
              <w:jc w:val="both"/>
              <w:rPr>
                <w:sz w:val="20"/>
                <w:lang w:val="en-CA"/>
              </w:rPr>
            </w:pPr>
            <w:r w:rsidRPr="0072505E">
              <w:rPr>
                <w:sz w:val="20"/>
                <w:lang w:val="en-CA"/>
              </w:rPr>
              <w:t xml:space="preserve">Application for judicial review allowed; decision of Office of Superintendent of Financial Institutions of Canada set aside; police officers and special constables hired and remunerated by band councils that are members of First Nations Public Security Pension Plan declared to be employed in work, undertaking or business that is within federal legislative authority; </w:t>
            </w:r>
            <w:r w:rsidRPr="0072505E">
              <w:rPr>
                <w:i/>
                <w:sz w:val="20"/>
                <w:lang w:val="en-CA"/>
              </w:rPr>
              <w:t>Pension Benefits Standards Act, 1985</w:t>
            </w:r>
            <w:r w:rsidRPr="0072505E">
              <w:rPr>
                <w:sz w:val="20"/>
                <w:lang w:val="en-CA"/>
              </w:rPr>
              <w:t xml:space="preserve">, R.S.C. 1985, c. 32 (2nd Supp.), and its regulations declared to be applicable to Plan, and employee members therefore </w:t>
            </w:r>
            <w:r w:rsidRPr="0072505E">
              <w:rPr>
                <w:sz w:val="20"/>
                <w:lang w:val="en-CA"/>
              </w:rPr>
              <w:lastRenderedPageBreak/>
              <w:t xml:space="preserve">hold “included employment” within meaning of that Act </w:t>
            </w:r>
          </w:p>
          <w:p w:rsidR="001C78D7" w:rsidRPr="0072505E" w:rsidRDefault="001C78D7" w:rsidP="001C78D7">
            <w:pPr>
              <w:jc w:val="both"/>
              <w:rPr>
                <w:sz w:val="20"/>
                <w:lang w:val="en-CA"/>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en-CA"/>
              </w:rPr>
            </w:pPr>
            <w:r w:rsidRPr="0072505E">
              <w:rPr>
                <w:sz w:val="20"/>
                <w:lang w:val="en-CA"/>
              </w:rPr>
              <w:lastRenderedPageBreak/>
              <w:t>April 15, 2020</w:t>
            </w:r>
          </w:p>
          <w:p w:rsidR="001C78D7" w:rsidRPr="0072505E" w:rsidRDefault="001C78D7" w:rsidP="001C78D7">
            <w:pPr>
              <w:jc w:val="both"/>
              <w:rPr>
                <w:sz w:val="20"/>
                <w:lang w:val="en-CA"/>
              </w:rPr>
            </w:pPr>
            <w:r w:rsidRPr="0072505E">
              <w:rPr>
                <w:sz w:val="20"/>
                <w:lang w:val="en-CA"/>
              </w:rPr>
              <w:t>Federal Court of Appeal</w:t>
            </w:r>
          </w:p>
          <w:p w:rsidR="001C78D7" w:rsidRPr="0072505E" w:rsidRDefault="001C78D7" w:rsidP="001C78D7">
            <w:pPr>
              <w:jc w:val="both"/>
              <w:rPr>
                <w:sz w:val="20"/>
                <w:lang w:val="en-CA"/>
              </w:rPr>
            </w:pPr>
            <w:r w:rsidRPr="0072505E">
              <w:rPr>
                <w:sz w:val="20"/>
                <w:lang w:val="en-CA"/>
              </w:rPr>
              <w:t>(Nadon, Locke and de Montigny JJ.A.)</w:t>
            </w:r>
          </w:p>
          <w:p w:rsidR="001C78D7" w:rsidRPr="0072505E" w:rsidRDefault="001C78D7" w:rsidP="001C78D7">
            <w:pPr>
              <w:jc w:val="both"/>
              <w:rPr>
                <w:sz w:val="20"/>
                <w:lang w:val="en-CA"/>
              </w:rPr>
            </w:pPr>
            <w:r w:rsidRPr="0072505E">
              <w:rPr>
                <w:sz w:val="20"/>
                <w:lang w:val="en-CA"/>
              </w:rPr>
              <w:t>File No. A</w:t>
            </w:r>
            <w:r w:rsidRPr="0072505E">
              <w:rPr>
                <w:sz w:val="20"/>
                <w:lang w:val="en-CA"/>
              </w:rPr>
              <w:noBreakHyphen/>
              <w:t>293</w:t>
            </w:r>
            <w:r w:rsidRPr="0072505E">
              <w:rPr>
                <w:sz w:val="20"/>
                <w:lang w:val="en-CA"/>
              </w:rPr>
              <w:noBreakHyphen/>
              <w:t>18</w:t>
            </w:r>
          </w:p>
          <w:p w:rsidR="001C78D7" w:rsidRPr="0072505E" w:rsidRDefault="001C78D7" w:rsidP="001C78D7">
            <w:pPr>
              <w:jc w:val="both"/>
              <w:rPr>
                <w:sz w:val="20"/>
                <w:lang w:val="en-CA"/>
              </w:rPr>
            </w:pPr>
            <w:hyperlink r:id="rId24" w:history="1">
              <w:r w:rsidRPr="0072505E">
                <w:rPr>
                  <w:rStyle w:val="Hyperlink"/>
                  <w:sz w:val="20"/>
                  <w:lang w:val="en-CA"/>
                </w:rPr>
                <w:t>2020 FCA 74</w:t>
              </w:r>
            </w:hyperlink>
          </w:p>
          <w:p w:rsidR="001C78D7" w:rsidRPr="0072505E" w:rsidRDefault="001C78D7" w:rsidP="001C78D7">
            <w:pPr>
              <w:jc w:val="both"/>
              <w:rPr>
                <w:sz w:val="20"/>
                <w:lang w:val="en-CA"/>
              </w:rPr>
            </w:pPr>
          </w:p>
        </w:tc>
        <w:tc>
          <w:tcPr>
            <w:tcW w:w="230" w:type="pct"/>
          </w:tcPr>
          <w:p w:rsidR="001C78D7" w:rsidRPr="0072505E" w:rsidRDefault="001C78D7" w:rsidP="001C78D7">
            <w:pPr>
              <w:jc w:val="both"/>
              <w:rPr>
                <w:sz w:val="20"/>
                <w:lang w:val="en-CA"/>
              </w:rPr>
            </w:pPr>
          </w:p>
        </w:tc>
        <w:tc>
          <w:tcPr>
            <w:tcW w:w="2366" w:type="pct"/>
            <w:gridSpan w:val="2"/>
          </w:tcPr>
          <w:p w:rsidR="001C78D7" w:rsidRPr="0072505E" w:rsidRDefault="001C78D7" w:rsidP="001C78D7">
            <w:pPr>
              <w:jc w:val="both"/>
              <w:rPr>
                <w:sz w:val="20"/>
                <w:lang w:val="en-CA"/>
              </w:rPr>
            </w:pPr>
            <w:r w:rsidRPr="0072505E">
              <w:rPr>
                <w:sz w:val="20"/>
                <w:lang w:val="en-CA"/>
              </w:rPr>
              <w:t>Appeal dismissed</w:t>
            </w:r>
          </w:p>
          <w:p w:rsidR="001C78D7" w:rsidRPr="0072505E" w:rsidRDefault="001C78D7" w:rsidP="001C78D7">
            <w:pPr>
              <w:jc w:val="both"/>
              <w:rPr>
                <w:sz w:val="20"/>
                <w:lang w:val="en-CA"/>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en-CA"/>
              </w:rPr>
            </w:pPr>
            <w:r w:rsidRPr="0072505E">
              <w:rPr>
                <w:sz w:val="20"/>
                <w:lang w:val="en-CA"/>
              </w:rPr>
              <w:t>June 12, 2020</w:t>
            </w:r>
          </w:p>
          <w:p w:rsidR="001C78D7" w:rsidRPr="0072505E" w:rsidRDefault="001C78D7" w:rsidP="001C78D7">
            <w:pPr>
              <w:jc w:val="both"/>
              <w:rPr>
                <w:sz w:val="20"/>
                <w:lang w:val="en-CA"/>
              </w:rPr>
            </w:pPr>
            <w:r w:rsidRPr="0072505E">
              <w:rPr>
                <w:sz w:val="20"/>
                <w:lang w:val="en-CA"/>
              </w:rPr>
              <w:t>Supreme Court of Canada</w:t>
            </w:r>
          </w:p>
        </w:tc>
        <w:tc>
          <w:tcPr>
            <w:tcW w:w="230" w:type="pct"/>
          </w:tcPr>
          <w:p w:rsidR="001C78D7" w:rsidRPr="0072505E" w:rsidRDefault="001C78D7" w:rsidP="001C78D7">
            <w:pPr>
              <w:jc w:val="both"/>
              <w:rPr>
                <w:sz w:val="20"/>
                <w:lang w:val="en-CA"/>
              </w:rPr>
            </w:pPr>
          </w:p>
        </w:tc>
        <w:tc>
          <w:tcPr>
            <w:tcW w:w="2366" w:type="pct"/>
            <w:gridSpan w:val="2"/>
          </w:tcPr>
          <w:p w:rsidR="001C78D7" w:rsidRPr="0072505E" w:rsidRDefault="001C78D7" w:rsidP="001C78D7">
            <w:pPr>
              <w:jc w:val="both"/>
              <w:rPr>
                <w:sz w:val="20"/>
                <w:lang w:val="en-CA"/>
              </w:rPr>
            </w:pPr>
            <w:r w:rsidRPr="0072505E">
              <w:rPr>
                <w:sz w:val="20"/>
                <w:lang w:val="en-CA"/>
              </w:rPr>
              <w:t>Application for leave to appeal filed</w:t>
            </w:r>
          </w:p>
          <w:p w:rsidR="001C78D7" w:rsidRPr="0072505E" w:rsidRDefault="001C78D7" w:rsidP="001C78D7">
            <w:pPr>
              <w:jc w:val="both"/>
              <w:rPr>
                <w:sz w:val="20"/>
                <w:lang w:val="en-CA"/>
              </w:rPr>
            </w:pPr>
          </w:p>
        </w:tc>
      </w:tr>
    </w:tbl>
    <w:p w:rsidR="001C78D7" w:rsidRPr="0072505E" w:rsidRDefault="001C78D7" w:rsidP="001C78D7">
      <w:pPr>
        <w:jc w:val="both"/>
        <w:rPr>
          <w:sz w:val="20"/>
          <w:lang w:val="en-CA"/>
        </w:rPr>
      </w:pPr>
    </w:p>
    <w:p w:rsidR="001C78D7" w:rsidRPr="0072505E" w:rsidRDefault="001C78D7" w:rsidP="001C78D7">
      <w:pPr>
        <w:jc w:val="both"/>
        <w:rPr>
          <w:sz w:val="20"/>
          <w:lang w:val="en-CA"/>
        </w:rPr>
      </w:pPr>
      <w:r w:rsidRPr="0072505E">
        <w:rPr>
          <w:sz w:val="20"/>
        </w:rPr>
        <w:pict>
          <v:rect id="_x0000_i1032" style="width:2in;height:1pt" o:hrpct="0" o:hralign="center" o:hrstd="t" o:hrnoshade="t" o:hr="t" fillcolor="black [3213]" stroked="f"/>
        </w:pict>
      </w:r>
    </w:p>
    <w:p w:rsidR="001C78D7" w:rsidRPr="0072505E" w:rsidRDefault="001C78D7" w:rsidP="001C78D7">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95"/>
        <w:gridCol w:w="431"/>
        <w:gridCol w:w="4339"/>
        <w:gridCol w:w="90"/>
      </w:tblGrid>
      <w:tr w:rsidR="001C78D7" w:rsidRPr="0072505E" w:rsidTr="001C78D7">
        <w:trPr>
          <w:gridAfter w:val="1"/>
          <w:wAfter w:w="48" w:type="pct"/>
        </w:trPr>
        <w:tc>
          <w:tcPr>
            <w:tcW w:w="537" w:type="pct"/>
          </w:tcPr>
          <w:p w:rsidR="001C78D7" w:rsidRPr="0072505E" w:rsidRDefault="001C78D7" w:rsidP="001C78D7">
            <w:pPr>
              <w:jc w:val="both"/>
              <w:rPr>
                <w:sz w:val="20"/>
              </w:rPr>
            </w:pPr>
            <w:r w:rsidRPr="0072505E">
              <w:rPr>
                <w:rStyle w:val="SCCFileNumberChar"/>
                <w:sz w:val="20"/>
                <w:szCs w:val="20"/>
              </w:rPr>
              <w:t>39210</w:t>
            </w:r>
          </w:p>
        </w:tc>
        <w:tc>
          <w:tcPr>
            <w:tcW w:w="4415" w:type="pct"/>
            <w:gridSpan w:val="3"/>
          </w:tcPr>
          <w:p w:rsidR="001C78D7" w:rsidRPr="0072505E" w:rsidRDefault="001C78D7" w:rsidP="001C78D7">
            <w:pPr>
              <w:pStyle w:val="SCCLsocParty"/>
              <w:jc w:val="both"/>
              <w:rPr>
                <w:b/>
                <w:sz w:val="20"/>
                <w:szCs w:val="20"/>
              </w:rPr>
            </w:pPr>
            <w:r w:rsidRPr="0072505E">
              <w:rPr>
                <w:b/>
                <w:sz w:val="20"/>
                <w:szCs w:val="20"/>
              </w:rPr>
              <w:t>Procureur général du Québec c. Sylvain Picard, RBA, Groupe Financier</w:t>
            </w:r>
          </w:p>
          <w:p w:rsidR="001C78D7" w:rsidRPr="0072505E" w:rsidRDefault="001C78D7" w:rsidP="001C78D7">
            <w:pPr>
              <w:pStyle w:val="SCCLsocOtherPartySeparator"/>
              <w:rPr>
                <w:sz w:val="20"/>
                <w:szCs w:val="20"/>
              </w:rPr>
            </w:pPr>
            <w:r w:rsidRPr="0072505E">
              <w:rPr>
                <w:sz w:val="20"/>
                <w:szCs w:val="20"/>
              </w:rPr>
              <w:t>- et -</w:t>
            </w:r>
          </w:p>
          <w:p w:rsidR="001C78D7" w:rsidRPr="0072505E" w:rsidRDefault="001C78D7" w:rsidP="001C78D7">
            <w:pPr>
              <w:pStyle w:val="SCCLsocParty"/>
              <w:jc w:val="both"/>
              <w:rPr>
                <w:b/>
                <w:sz w:val="20"/>
                <w:szCs w:val="20"/>
              </w:rPr>
            </w:pPr>
            <w:r w:rsidRPr="0072505E">
              <w:rPr>
                <w:b/>
                <w:sz w:val="20"/>
                <w:szCs w:val="20"/>
              </w:rPr>
              <w:t>Procureur général du Canada, Assemblée des Premières Nations, Assemblée des Premières Nations Québec-Labrador</w:t>
            </w:r>
          </w:p>
          <w:p w:rsidR="001C78D7" w:rsidRPr="0072505E" w:rsidRDefault="001C78D7" w:rsidP="001C78D7">
            <w:pPr>
              <w:jc w:val="both"/>
              <w:rPr>
                <w:sz w:val="20"/>
                <w:lang w:val="fr-CA"/>
              </w:rPr>
            </w:pPr>
            <w:r w:rsidRPr="0072505E">
              <w:rPr>
                <w:sz w:val="20"/>
                <w:lang w:val="fr-CA"/>
              </w:rPr>
              <w:t>(C.F.) (Civile) (Autorisation)</w:t>
            </w:r>
          </w:p>
        </w:tc>
      </w:tr>
      <w:tr w:rsidR="001C78D7" w:rsidRPr="0072505E" w:rsidTr="001C78D7">
        <w:trPr>
          <w:gridAfter w:val="1"/>
          <w:wAfter w:w="48" w:type="pct"/>
        </w:trPr>
        <w:tc>
          <w:tcPr>
            <w:tcW w:w="4952" w:type="pct"/>
            <w:gridSpan w:val="4"/>
          </w:tcPr>
          <w:p w:rsidR="001C78D7" w:rsidRPr="0072505E" w:rsidRDefault="001C78D7" w:rsidP="001C78D7">
            <w:pPr>
              <w:jc w:val="both"/>
              <w:rPr>
                <w:sz w:val="20"/>
              </w:rPr>
            </w:pPr>
            <w:r w:rsidRPr="0072505E">
              <w:rPr>
                <w:sz w:val="20"/>
                <w:lang w:val="fr-CA"/>
              </w:rPr>
              <w:t xml:space="preserve">Droit constitutionnel — Partage des compétences — Relations de travail — Autochtones — Critère fonctionnel — Entente tripartite sur la prestation des services policiers — Réglementation et surveillance du Régime des rentes de la sécurité publique des Premières Nations — Policiers et constables spéciaux embauchés et rémunérés par les conseils de bande membres du régime — </w:t>
            </w:r>
            <w:r w:rsidRPr="0072505E">
              <w:rPr>
                <w:color w:val="000000"/>
                <w:sz w:val="20"/>
                <w:lang w:val="fr-CA"/>
              </w:rPr>
              <w:t>La Cour d’appel fédérale a</w:t>
            </w:r>
            <w:r w:rsidRPr="0072505E">
              <w:rPr>
                <w:color w:val="000000"/>
                <w:sz w:val="20"/>
                <w:lang w:val="fr-CA"/>
              </w:rPr>
              <w:noBreakHyphen/>
              <w:t>t</w:t>
            </w:r>
            <w:r w:rsidRPr="0072505E">
              <w:rPr>
                <w:color w:val="000000"/>
                <w:sz w:val="20"/>
                <w:lang w:val="fr-CA"/>
              </w:rPr>
              <w:noBreakHyphen/>
              <w:t xml:space="preserve">elle erré en droit en concluant que les policiers, à l’emploi des conseils de bande membres du régime, occupent un emploi rattaché à la mise en service d’un ouvrage, d’une entreprise ou d’une activité fédérale au sens de la </w:t>
            </w:r>
            <w:r w:rsidRPr="0072505E">
              <w:rPr>
                <w:i/>
                <w:color w:val="000000"/>
                <w:sz w:val="20"/>
                <w:lang w:val="fr-CA"/>
              </w:rPr>
              <w:t>Loi de 1985 sur les normes de prestation de pension</w:t>
            </w:r>
            <w:r w:rsidRPr="0072505E">
              <w:rPr>
                <w:color w:val="000000"/>
                <w:sz w:val="20"/>
                <w:lang w:val="fr-CA"/>
              </w:rPr>
              <w:t xml:space="preserve">? — </w:t>
            </w:r>
            <w:r w:rsidRPr="0072505E">
              <w:rPr>
                <w:i/>
                <w:color w:val="000000"/>
                <w:sz w:val="20"/>
                <w:lang w:val="fr-CA"/>
              </w:rPr>
              <w:t>Loi constitutionnelle de 1867</w:t>
            </w:r>
            <w:r w:rsidRPr="0072505E">
              <w:rPr>
                <w:color w:val="000000"/>
                <w:sz w:val="20"/>
                <w:lang w:val="fr-CA"/>
              </w:rPr>
              <w:t xml:space="preserve">, arts. 91(24), 92(13) et 92(16) — </w:t>
            </w:r>
            <w:r w:rsidRPr="0072505E">
              <w:rPr>
                <w:i/>
                <w:color w:val="000000"/>
                <w:sz w:val="20"/>
                <w:lang w:val="fr-CA"/>
              </w:rPr>
              <w:t>Loi de 1985 sur les normes de prestation de pension</w:t>
            </w:r>
            <w:r w:rsidRPr="0072505E">
              <w:rPr>
                <w:color w:val="000000"/>
                <w:sz w:val="20"/>
                <w:lang w:val="fr-CA"/>
              </w:rPr>
              <w:t xml:space="preserve">, L.R.C. 1985, c. 32 (2e suppl.), art. 4, « emploi inclus » — </w:t>
            </w:r>
            <w:r w:rsidRPr="0072505E">
              <w:rPr>
                <w:i/>
                <w:color w:val="000000"/>
                <w:sz w:val="20"/>
                <w:lang w:val="fr-CA"/>
              </w:rPr>
              <w:t>Loi sur la police</w:t>
            </w:r>
            <w:r w:rsidRPr="0072505E">
              <w:rPr>
                <w:color w:val="000000"/>
                <w:sz w:val="20"/>
                <w:lang w:val="fr-CA"/>
              </w:rPr>
              <w:t>, R.L.R.Q. c. P</w:t>
            </w:r>
            <w:r w:rsidRPr="0072505E">
              <w:rPr>
                <w:color w:val="000000"/>
                <w:sz w:val="20"/>
                <w:lang w:val="fr-CA"/>
              </w:rPr>
              <w:noBreakHyphen/>
              <w:t>13.1, arts. </w:t>
            </w:r>
            <w:r w:rsidRPr="0072505E">
              <w:rPr>
                <w:color w:val="000000"/>
                <w:sz w:val="20"/>
              </w:rPr>
              <w:t>90</w:t>
            </w:r>
            <w:r w:rsidRPr="0072505E">
              <w:rPr>
                <w:color w:val="000000"/>
                <w:sz w:val="20"/>
              </w:rPr>
              <w:noBreakHyphen/>
              <w:t>93.</w:t>
            </w:r>
          </w:p>
        </w:tc>
      </w:tr>
      <w:tr w:rsidR="001C78D7" w:rsidRPr="0072505E" w:rsidTr="001C78D7">
        <w:trPr>
          <w:gridAfter w:val="1"/>
          <w:wAfter w:w="48" w:type="pct"/>
        </w:trPr>
        <w:tc>
          <w:tcPr>
            <w:tcW w:w="4952" w:type="pct"/>
            <w:gridSpan w:val="4"/>
          </w:tcPr>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 xml:space="preserve">En juillet 2016, le Bureau du surintendant des institutions financières (« BSIF ») a statué que le Régime des rentes de la sécurité publique des Premières Nations (« Régime »), à l’origine agréé en vertu de la loi fédérale sur les normes de prestation de pension, devait plutôt être assujetti à la législation québécoise et que conséquemment, il devait être transféré à l’autorité compétente, soit Retraite Québec. La décision du BSIF a été motivée par l’arrêt </w:t>
            </w:r>
            <w:r w:rsidRPr="0072505E">
              <w:rPr>
                <w:i/>
                <w:sz w:val="20"/>
                <w:lang w:val="fr-CA"/>
              </w:rPr>
              <w:t>Commission des services policiers de Nishnawbe</w:t>
            </w:r>
            <w:r w:rsidRPr="0072505E">
              <w:rPr>
                <w:i/>
                <w:sz w:val="20"/>
                <w:lang w:val="fr-CA"/>
              </w:rPr>
              <w:noBreakHyphen/>
              <w:t>Aski c. Alliance de la fonction publique du Canada</w:t>
            </w:r>
            <w:r w:rsidRPr="0072505E">
              <w:rPr>
                <w:sz w:val="20"/>
                <w:lang w:val="fr-CA"/>
              </w:rPr>
              <w:t xml:space="preserve">, 2015 CAF 211, de la Cour d’appel fédérale. Dans cette dernière affaire, il a été jugé, en application du critère fonctionnel </w:t>
            </w:r>
            <w:r w:rsidRPr="0072505E">
              <w:rPr>
                <w:color w:val="000000"/>
                <w:sz w:val="20"/>
                <w:shd w:val="clear" w:color="auto" w:fill="FFFFFF"/>
                <w:lang w:val="fr-CA"/>
              </w:rPr>
              <w:t>pour déterminer si la réglementation des relations de travail relève du gouvernement fédéral</w:t>
            </w:r>
            <w:r w:rsidRPr="0072505E">
              <w:rPr>
                <w:color w:val="000000"/>
                <w:sz w:val="20"/>
                <w:lang w:val="fr-CA"/>
              </w:rPr>
              <w:t xml:space="preserve">, </w:t>
            </w:r>
            <w:r w:rsidRPr="0072505E">
              <w:rPr>
                <w:sz w:val="20"/>
                <w:lang w:val="fr-CA"/>
              </w:rPr>
              <w:t xml:space="preserve">que </w:t>
            </w:r>
            <w:r w:rsidRPr="0072505E">
              <w:rPr>
                <w:color w:val="000000"/>
                <w:sz w:val="20"/>
                <w:shd w:val="clear" w:color="auto" w:fill="FFFFFF"/>
                <w:lang w:val="fr-CA"/>
              </w:rPr>
              <w:t>les relations de travail des services policiers de Nishnawbe</w:t>
            </w:r>
            <w:r w:rsidRPr="0072505E">
              <w:rPr>
                <w:color w:val="000000"/>
                <w:sz w:val="20"/>
                <w:shd w:val="clear" w:color="auto" w:fill="FFFFFF"/>
                <w:lang w:val="fr-CA"/>
              </w:rPr>
              <w:noBreakHyphen/>
              <w:t xml:space="preserve">Aski tombent sous la juridiction provinciale. La cour en est arrivée à cette conclusion dans </w:t>
            </w:r>
            <w:r w:rsidRPr="0072505E">
              <w:rPr>
                <w:i/>
                <w:color w:val="000000"/>
                <w:sz w:val="20"/>
                <w:shd w:val="clear" w:color="auto" w:fill="FFFFFF"/>
                <w:lang w:val="fr-CA"/>
              </w:rPr>
              <w:t>Nishnawbe</w:t>
            </w:r>
            <w:r w:rsidRPr="0072505E">
              <w:rPr>
                <w:i/>
                <w:color w:val="000000"/>
                <w:sz w:val="20"/>
                <w:shd w:val="clear" w:color="auto" w:fill="FFFFFF"/>
                <w:lang w:val="fr-CA"/>
              </w:rPr>
              <w:noBreakHyphen/>
              <w:t>Aski</w:t>
            </w:r>
            <w:r w:rsidRPr="0072505E">
              <w:rPr>
                <w:color w:val="000000"/>
                <w:sz w:val="20"/>
                <w:shd w:val="clear" w:color="auto" w:fill="FFFFFF"/>
                <w:lang w:val="fr-CA"/>
              </w:rPr>
              <w:t xml:space="preserve"> puisque la nature et les fonctions essentielles des forces policières de la communauté consistaient à fournir des services au même titre que les autres forces policières provinciales et municipales. L’intimé Sylvain Picard est administrateur du Régime aux termes de la loi fédérale et l’intimé RBA, Groupe financier, en est le gestionnaire. Ceux</w:t>
            </w:r>
            <w:r w:rsidRPr="0072505E">
              <w:rPr>
                <w:color w:val="000000"/>
                <w:sz w:val="20"/>
                <w:shd w:val="clear" w:color="auto" w:fill="FFFFFF"/>
                <w:lang w:val="fr-CA"/>
              </w:rPr>
              <w:noBreakHyphen/>
              <w:t xml:space="preserve">ci ont présenté une demande de contrôle judiciaire de la décision du BSIF afin que le Régime demeure sous la supervision de ce dernier. La Cour fédérale a accueilli la demande de contrôle judiciaire des intimés et a conclu que les policiers et constables spéciaux embauchés et rémunérés par les conseils de bande membres du Régime occupent un emploi dans un ouvrage, une entreprise ou une activité de compétence fédérale de telle sorte que la loi fédérale s’applique au Régime. La Cour d’appel fédérale a rejeté l’appel du demandeur, le Procureur général du Québec, qui s’est joint aux procédures à titre d’intervenant devant la Cour fédérale. Pour la Cour d’appel, le fait que l’employeur des policiers et constables spéciaux est un conseil de bande, et non pas une entité indépendante, suffisait pour distinguer cette affaire de l’arrêt </w:t>
            </w:r>
            <w:r w:rsidRPr="0072505E">
              <w:rPr>
                <w:i/>
                <w:sz w:val="20"/>
                <w:lang w:val="fr-CA"/>
              </w:rPr>
              <w:t>Nishnawbe</w:t>
            </w:r>
            <w:r w:rsidRPr="0072505E">
              <w:rPr>
                <w:i/>
                <w:sz w:val="20"/>
                <w:lang w:val="fr-CA"/>
              </w:rPr>
              <w:noBreakHyphen/>
              <w:t xml:space="preserve">Aski </w:t>
            </w:r>
            <w:r w:rsidRPr="0072505E">
              <w:rPr>
                <w:sz w:val="20"/>
                <w:lang w:val="fr-CA"/>
              </w:rPr>
              <w:t>et ainsi en venir à une conclusion de compétence législative fédérale</w:t>
            </w:r>
            <w:r w:rsidRPr="0072505E">
              <w:rPr>
                <w:color w:val="000000"/>
                <w:sz w:val="20"/>
                <w:shd w:val="clear" w:color="auto" w:fill="FFFFFF"/>
                <w:lang w:val="fr-CA"/>
              </w:rPr>
              <w:t>.</w:t>
            </w:r>
          </w:p>
        </w:tc>
      </w:tr>
      <w:tr w:rsidR="001C78D7" w:rsidRPr="0072505E" w:rsidTr="001C78D7">
        <w:trPr>
          <w:gridAfter w:val="1"/>
          <w:wAfter w:w="48" w:type="pct"/>
        </w:trPr>
        <w:tc>
          <w:tcPr>
            <w:tcW w:w="4952" w:type="pct"/>
            <w:gridSpan w:val="4"/>
          </w:tcPr>
          <w:p w:rsidR="001C78D7" w:rsidRPr="0072505E" w:rsidRDefault="001C78D7" w:rsidP="001C78D7">
            <w:pPr>
              <w:jc w:val="both"/>
              <w:rPr>
                <w:sz w:val="20"/>
                <w:lang w:val="fr-CA"/>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fr-CA"/>
              </w:rPr>
            </w:pPr>
            <w:r w:rsidRPr="0072505E">
              <w:rPr>
                <w:sz w:val="20"/>
                <w:lang w:val="fr-CA"/>
              </w:rPr>
              <w:t>Le 21 juillet 2016</w:t>
            </w:r>
          </w:p>
          <w:p w:rsidR="001C78D7" w:rsidRPr="0072505E" w:rsidRDefault="001C78D7" w:rsidP="001C78D7">
            <w:pPr>
              <w:jc w:val="both"/>
              <w:rPr>
                <w:sz w:val="20"/>
                <w:lang w:val="fr-CA"/>
              </w:rPr>
            </w:pPr>
            <w:r w:rsidRPr="0072505E">
              <w:rPr>
                <w:sz w:val="20"/>
                <w:lang w:val="fr-CA"/>
              </w:rPr>
              <w:t xml:space="preserve">Bureau du surintendant des institutions </w:t>
            </w:r>
          </w:p>
          <w:p w:rsidR="001C78D7" w:rsidRPr="0072505E" w:rsidRDefault="001C78D7" w:rsidP="001C78D7">
            <w:pPr>
              <w:jc w:val="both"/>
              <w:rPr>
                <w:sz w:val="20"/>
                <w:lang w:val="fr-CA"/>
              </w:rPr>
            </w:pPr>
            <w:r w:rsidRPr="0072505E">
              <w:rPr>
                <w:sz w:val="20"/>
                <w:lang w:val="fr-CA"/>
              </w:rPr>
              <w:t xml:space="preserve">financières, Division des régimes de retraite </w:t>
            </w:r>
          </w:p>
          <w:p w:rsidR="001C78D7" w:rsidRPr="0072505E" w:rsidRDefault="001C78D7" w:rsidP="001C78D7">
            <w:pPr>
              <w:jc w:val="both"/>
              <w:rPr>
                <w:sz w:val="20"/>
                <w:lang w:val="fr-CA"/>
              </w:rPr>
            </w:pPr>
            <w:r w:rsidRPr="0072505E">
              <w:rPr>
                <w:sz w:val="20"/>
                <w:lang w:val="fr-CA"/>
              </w:rPr>
              <w:t>privés</w:t>
            </w:r>
          </w:p>
          <w:p w:rsidR="001C78D7" w:rsidRPr="0072505E" w:rsidRDefault="001C78D7" w:rsidP="001C78D7">
            <w:pPr>
              <w:jc w:val="both"/>
              <w:rPr>
                <w:sz w:val="20"/>
                <w:lang w:val="fr-CA"/>
              </w:rPr>
            </w:pPr>
            <w:r w:rsidRPr="0072505E">
              <w:rPr>
                <w:sz w:val="20"/>
                <w:lang w:val="fr-CA"/>
              </w:rPr>
              <w:t>(la surveillante principale Nancy Desormeaux)</w:t>
            </w:r>
          </w:p>
        </w:tc>
        <w:tc>
          <w:tcPr>
            <w:tcW w:w="230" w:type="pct"/>
          </w:tcPr>
          <w:p w:rsidR="001C78D7" w:rsidRPr="0072505E" w:rsidRDefault="001C78D7" w:rsidP="001C78D7">
            <w:pPr>
              <w:jc w:val="both"/>
              <w:rPr>
                <w:sz w:val="20"/>
                <w:lang w:val="fr-CA"/>
              </w:rPr>
            </w:pPr>
          </w:p>
        </w:tc>
        <w:tc>
          <w:tcPr>
            <w:tcW w:w="2366" w:type="pct"/>
            <w:gridSpan w:val="2"/>
          </w:tcPr>
          <w:p w:rsidR="001C78D7" w:rsidRPr="0072505E" w:rsidRDefault="001C78D7" w:rsidP="001C78D7">
            <w:pPr>
              <w:jc w:val="both"/>
              <w:rPr>
                <w:sz w:val="20"/>
                <w:lang w:val="fr-CA"/>
              </w:rPr>
            </w:pPr>
            <w:r w:rsidRPr="0072505E">
              <w:rPr>
                <w:sz w:val="20"/>
                <w:lang w:val="fr-CA"/>
              </w:rPr>
              <w:t>Régime des rentes de la sécurité publique des Premières Nations transféré à Retraite Québec; emploi effectué par participants au Régime considéré ne pas viser un emploi dans un ouvrage, une entreprise ou une activité de compétence législative fédérale</w:t>
            </w:r>
          </w:p>
          <w:p w:rsidR="001C78D7" w:rsidRPr="0072505E" w:rsidRDefault="001C78D7" w:rsidP="001C78D7">
            <w:pPr>
              <w:jc w:val="both"/>
              <w:rPr>
                <w:sz w:val="20"/>
                <w:lang w:val="fr-CA"/>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fr-CA"/>
              </w:rPr>
            </w:pPr>
            <w:r w:rsidRPr="0072505E">
              <w:rPr>
                <w:sz w:val="20"/>
                <w:lang w:val="fr-CA"/>
              </w:rPr>
              <w:t>Le 18 juillet 2018</w:t>
            </w:r>
          </w:p>
          <w:p w:rsidR="001C78D7" w:rsidRPr="0072505E" w:rsidRDefault="001C78D7" w:rsidP="001C78D7">
            <w:pPr>
              <w:jc w:val="both"/>
              <w:rPr>
                <w:sz w:val="20"/>
                <w:lang w:val="fr-CA"/>
              </w:rPr>
            </w:pPr>
            <w:r w:rsidRPr="0072505E">
              <w:rPr>
                <w:sz w:val="20"/>
                <w:lang w:val="fr-CA"/>
              </w:rPr>
              <w:t>Cour fédérale</w:t>
            </w:r>
          </w:p>
          <w:p w:rsidR="001C78D7" w:rsidRPr="0072505E" w:rsidRDefault="001C78D7" w:rsidP="001C78D7">
            <w:pPr>
              <w:jc w:val="both"/>
              <w:rPr>
                <w:sz w:val="20"/>
                <w:lang w:val="fr-CA"/>
              </w:rPr>
            </w:pPr>
            <w:r w:rsidRPr="0072505E">
              <w:rPr>
                <w:sz w:val="20"/>
                <w:lang w:val="fr-CA"/>
              </w:rPr>
              <w:t>(le juge Martineau)</w:t>
            </w:r>
          </w:p>
          <w:p w:rsidR="001C78D7" w:rsidRPr="0072505E" w:rsidRDefault="001C78D7" w:rsidP="001C78D7">
            <w:pPr>
              <w:jc w:val="both"/>
              <w:rPr>
                <w:sz w:val="20"/>
              </w:rPr>
            </w:pPr>
            <w:hyperlink r:id="rId25" w:history="1">
              <w:r w:rsidRPr="0072505E">
                <w:rPr>
                  <w:rStyle w:val="Hyperlink"/>
                  <w:sz w:val="20"/>
                </w:rPr>
                <w:t>2018 CF 747</w:t>
              </w:r>
            </w:hyperlink>
          </w:p>
          <w:p w:rsidR="001C78D7" w:rsidRPr="0072505E" w:rsidRDefault="001C78D7" w:rsidP="001C78D7">
            <w:pPr>
              <w:jc w:val="both"/>
              <w:rPr>
                <w:sz w:val="20"/>
              </w:rPr>
            </w:pPr>
          </w:p>
        </w:tc>
        <w:tc>
          <w:tcPr>
            <w:tcW w:w="230" w:type="pct"/>
          </w:tcPr>
          <w:p w:rsidR="001C78D7" w:rsidRPr="0072505E" w:rsidRDefault="001C78D7" w:rsidP="001C78D7">
            <w:pPr>
              <w:jc w:val="both"/>
              <w:rPr>
                <w:sz w:val="20"/>
              </w:rPr>
            </w:pPr>
          </w:p>
        </w:tc>
        <w:tc>
          <w:tcPr>
            <w:tcW w:w="2366" w:type="pct"/>
            <w:gridSpan w:val="2"/>
          </w:tcPr>
          <w:p w:rsidR="001C78D7" w:rsidRPr="0072505E" w:rsidRDefault="001C78D7" w:rsidP="001C78D7">
            <w:pPr>
              <w:jc w:val="both"/>
              <w:rPr>
                <w:sz w:val="20"/>
                <w:lang w:val="fr-CA"/>
              </w:rPr>
            </w:pPr>
            <w:r w:rsidRPr="0072505E">
              <w:rPr>
                <w:sz w:val="20"/>
                <w:lang w:val="fr-CA"/>
              </w:rPr>
              <w:t xml:space="preserve">Demande de contrôle judiciaire accueillie; décision rendue par le Bureau des institutions financières du Canada annulée; policiers et constables spéciaux </w:t>
            </w:r>
            <w:r w:rsidRPr="0072505E">
              <w:rPr>
                <w:sz w:val="20"/>
                <w:lang w:val="fr-CA"/>
              </w:rPr>
              <w:lastRenderedPageBreak/>
              <w:t xml:space="preserve">embauchés et rémunérés par les conseils de bande membres du Régime des rentes de la sécurité publique des Premières Nations déclarés occuper un emploi dans un ouvrage, une entreprise ou une activité de compétence fédérale; </w:t>
            </w:r>
            <w:r w:rsidRPr="0072505E">
              <w:rPr>
                <w:i/>
                <w:sz w:val="20"/>
                <w:lang w:val="fr-CA"/>
              </w:rPr>
              <w:t>Loi de 1985 sur les normes de prestation de pension</w:t>
            </w:r>
            <w:r w:rsidRPr="0072505E">
              <w:rPr>
                <w:sz w:val="20"/>
                <w:lang w:val="fr-CA"/>
              </w:rPr>
              <w:t xml:space="preserve">, L.R.C. 1985, c. 32 (2e </w:t>
            </w:r>
            <w:proofErr w:type="spellStart"/>
            <w:r w:rsidRPr="0072505E">
              <w:rPr>
                <w:sz w:val="20"/>
                <w:lang w:val="fr-CA"/>
              </w:rPr>
              <w:t>supp</w:t>
            </w:r>
            <w:proofErr w:type="spellEnd"/>
            <w:r w:rsidRPr="0072505E">
              <w:rPr>
                <w:sz w:val="20"/>
                <w:lang w:val="fr-CA"/>
              </w:rPr>
              <w:t>.), et son règlement d’application, déclarés applicables au Régime, les salariés participants occupant donc un « emploi inclus » au sens de cette même loi</w:t>
            </w:r>
          </w:p>
          <w:p w:rsidR="001C78D7" w:rsidRPr="0072505E" w:rsidRDefault="001C78D7" w:rsidP="001C78D7">
            <w:pPr>
              <w:jc w:val="both"/>
              <w:rPr>
                <w:sz w:val="20"/>
                <w:lang w:val="fr-CA"/>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fr-CA"/>
              </w:rPr>
            </w:pPr>
            <w:r w:rsidRPr="0072505E">
              <w:rPr>
                <w:sz w:val="20"/>
                <w:lang w:val="fr-CA"/>
              </w:rPr>
              <w:lastRenderedPageBreak/>
              <w:t>Le 15 avril 2020</w:t>
            </w:r>
          </w:p>
          <w:p w:rsidR="001C78D7" w:rsidRPr="0072505E" w:rsidRDefault="001C78D7" w:rsidP="001C78D7">
            <w:pPr>
              <w:jc w:val="both"/>
              <w:rPr>
                <w:sz w:val="20"/>
                <w:lang w:val="fr-CA"/>
              </w:rPr>
            </w:pPr>
            <w:r w:rsidRPr="0072505E">
              <w:rPr>
                <w:sz w:val="20"/>
                <w:lang w:val="fr-CA"/>
              </w:rPr>
              <w:t>Cour d’appel fédérale</w:t>
            </w:r>
          </w:p>
          <w:p w:rsidR="001C78D7" w:rsidRPr="0072505E" w:rsidRDefault="001C78D7" w:rsidP="001C78D7">
            <w:pPr>
              <w:jc w:val="both"/>
              <w:rPr>
                <w:sz w:val="20"/>
                <w:lang w:val="fr-CA"/>
              </w:rPr>
            </w:pPr>
            <w:r w:rsidRPr="0072505E">
              <w:rPr>
                <w:sz w:val="20"/>
                <w:lang w:val="fr-CA"/>
              </w:rPr>
              <w:t>(les juges Nadon, Locke et de Montigny)</w:t>
            </w:r>
          </w:p>
          <w:p w:rsidR="001C78D7" w:rsidRPr="0072505E" w:rsidRDefault="001C78D7" w:rsidP="001C78D7">
            <w:pPr>
              <w:jc w:val="both"/>
              <w:rPr>
                <w:sz w:val="20"/>
              </w:rPr>
            </w:pPr>
            <w:r w:rsidRPr="0072505E">
              <w:rPr>
                <w:sz w:val="20"/>
              </w:rPr>
              <w:t>No. dossier A</w:t>
            </w:r>
            <w:r w:rsidRPr="0072505E">
              <w:rPr>
                <w:sz w:val="20"/>
              </w:rPr>
              <w:noBreakHyphen/>
              <w:t>293</w:t>
            </w:r>
            <w:r w:rsidRPr="0072505E">
              <w:rPr>
                <w:sz w:val="20"/>
              </w:rPr>
              <w:noBreakHyphen/>
              <w:t>18</w:t>
            </w:r>
          </w:p>
          <w:p w:rsidR="001C78D7" w:rsidRPr="0072505E" w:rsidRDefault="001C78D7" w:rsidP="001C78D7">
            <w:pPr>
              <w:jc w:val="both"/>
              <w:rPr>
                <w:sz w:val="20"/>
              </w:rPr>
            </w:pPr>
            <w:hyperlink r:id="rId26" w:history="1">
              <w:r w:rsidRPr="0072505E">
                <w:rPr>
                  <w:rStyle w:val="Hyperlink"/>
                  <w:sz w:val="20"/>
                </w:rPr>
                <w:t>2020 CAF 74</w:t>
              </w:r>
            </w:hyperlink>
          </w:p>
          <w:p w:rsidR="001C78D7" w:rsidRPr="0072505E" w:rsidRDefault="001C78D7" w:rsidP="001C78D7">
            <w:pPr>
              <w:jc w:val="both"/>
              <w:rPr>
                <w:sz w:val="20"/>
              </w:rPr>
            </w:pPr>
          </w:p>
        </w:tc>
        <w:tc>
          <w:tcPr>
            <w:tcW w:w="230" w:type="pct"/>
          </w:tcPr>
          <w:p w:rsidR="001C78D7" w:rsidRPr="0072505E" w:rsidRDefault="001C78D7" w:rsidP="001C78D7">
            <w:pPr>
              <w:jc w:val="both"/>
              <w:rPr>
                <w:sz w:val="20"/>
              </w:rPr>
            </w:pPr>
          </w:p>
        </w:tc>
        <w:tc>
          <w:tcPr>
            <w:tcW w:w="2366" w:type="pct"/>
            <w:gridSpan w:val="2"/>
          </w:tcPr>
          <w:p w:rsidR="001C78D7" w:rsidRPr="0072505E" w:rsidRDefault="001C78D7" w:rsidP="001C78D7">
            <w:pPr>
              <w:jc w:val="both"/>
              <w:rPr>
                <w:sz w:val="20"/>
              </w:rPr>
            </w:pPr>
            <w:r w:rsidRPr="0072505E">
              <w:rPr>
                <w:sz w:val="20"/>
              </w:rPr>
              <w:t>Appel rejeté</w:t>
            </w:r>
          </w:p>
          <w:p w:rsidR="001C78D7" w:rsidRPr="0072505E" w:rsidRDefault="001C78D7" w:rsidP="001C78D7">
            <w:pPr>
              <w:jc w:val="both"/>
              <w:rPr>
                <w:sz w:val="20"/>
              </w:rPr>
            </w:pPr>
          </w:p>
        </w:tc>
      </w:tr>
      <w:tr w:rsidR="001C78D7" w:rsidRPr="0072505E" w:rsidTr="001C78D7">
        <w:tblPrEx>
          <w:tblCellMar>
            <w:bottom w:w="0" w:type="dxa"/>
          </w:tblCellMar>
        </w:tblPrEx>
        <w:tc>
          <w:tcPr>
            <w:tcW w:w="2404" w:type="pct"/>
            <w:gridSpan w:val="2"/>
          </w:tcPr>
          <w:p w:rsidR="001C78D7" w:rsidRPr="0072505E" w:rsidRDefault="001C78D7" w:rsidP="001C78D7">
            <w:pPr>
              <w:jc w:val="both"/>
              <w:rPr>
                <w:sz w:val="20"/>
                <w:lang w:val="fr-CA"/>
              </w:rPr>
            </w:pPr>
            <w:r w:rsidRPr="0072505E">
              <w:rPr>
                <w:sz w:val="20"/>
                <w:lang w:val="fr-CA"/>
              </w:rPr>
              <w:t>Le 12 juin 2020</w:t>
            </w:r>
          </w:p>
          <w:p w:rsidR="001C78D7" w:rsidRPr="0072505E" w:rsidRDefault="001C78D7" w:rsidP="001C78D7">
            <w:pPr>
              <w:jc w:val="both"/>
              <w:rPr>
                <w:sz w:val="20"/>
                <w:lang w:val="fr-CA"/>
              </w:rPr>
            </w:pPr>
            <w:r w:rsidRPr="0072505E">
              <w:rPr>
                <w:sz w:val="20"/>
                <w:lang w:val="fr-CA"/>
              </w:rPr>
              <w:t>Cour suprême du Canada</w:t>
            </w:r>
          </w:p>
        </w:tc>
        <w:tc>
          <w:tcPr>
            <w:tcW w:w="230" w:type="pct"/>
          </w:tcPr>
          <w:p w:rsidR="001C78D7" w:rsidRPr="0072505E" w:rsidRDefault="001C78D7" w:rsidP="001C78D7">
            <w:pPr>
              <w:jc w:val="both"/>
              <w:rPr>
                <w:sz w:val="20"/>
                <w:lang w:val="fr-CA"/>
              </w:rPr>
            </w:pPr>
          </w:p>
        </w:tc>
        <w:tc>
          <w:tcPr>
            <w:tcW w:w="2366" w:type="pct"/>
            <w:gridSpan w:val="2"/>
          </w:tcPr>
          <w:p w:rsidR="001C78D7" w:rsidRPr="0072505E" w:rsidRDefault="001C78D7" w:rsidP="001C78D7">
            <w:pPr>
              <w:jc w:val="both"/>
              <w:rPr>
                <w:sz w:val="20"/>
              </w:rPr>
            </w:pPr>
            <w:r w:rsidRPr="0072505E">
              <w:rPr>
                <w:sz w:val="20"/>
              </w:rPr>
              <w:t>Demande d’autorisation d’appel déposée</w:t>
            </w:r>
          </w:p>
          <w:p w:rsidR="001C78D7" w:rsidRPr="0072505E" w:rsidRDefault="001C78D7" w:rsidP="001C78D7">
            <w:pPr>
              <w:jc w:val="both"/>
              <w:rPr>
                <w:sz w:val="20"/>
              </w:rPr>
            </w:pPr>
          </w:p>
        </w:tc>
      </w:tr>
    </w:tbl>
    <w:p w:rsidR="001C78D7" w:rsidRPr="0072505E" w:rsidRDefault="001C78D7" w:rsidP="001C78D7">
      <w:pPr>
        <w:jc w:val="both"/>
        <w:rPr>
          <w:sz w:val="20"/>
        </w:rPr>
      </w:pPr>
    </w:p>
    <w:p w:rsidR="001C78D7" w:rsidRPr="0072505E" w:rsidRDefault="001C78D7" w:rsidP="001C78D7">
      <w:pPr>
        <w:widowControl w:val="0"/>
        <w:jc w:val="both"/>
        <w:rPr>
          <w:sz w:val="20"/>
        </w:rPr>
      </w:pPr>
      <w:r w:rsidRPr="0072505E">
        <w:rPr>
          <w:sz w:val="20"/>
        </w:rPr>
        <w:pict>
          <v:rect id="_x0000_i1033" style="width:2in;height:1pt" o:hrpct="0" o:hralign="center" o:hrstd="t" o:hrnoshade="t" o:hr="t" fillcolor="black [3213]" stroked="f"/>
        </w:pict>
      </w:r>
    </w:p>
    <w:p w:rsidR="001C78D7" w:rsidRPr="0072505E" w:rsidRDefault="001C78D7" w:rsidP="001C78D7">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39268</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Karen Stirrett v. Bradley Strauss</w:t>
            </w:r>
          </w:p>
          <w:p w:rsidR="001C78D7" w:rsidRPr="0072505E" w:rsidRDefault="001C78D7" w:rsidP="001C78D7">
            <w:pPr>
              <w:jc w:val="both"/>
              <w:rPr>
                <w:sz w:val="20"/>
              </w:rPr>
            </w:pPr>
            <w:r w:rsidRPr="0072505E">
              <w:rPr>
                <w:sz w:val="20"/>
              </w:rPr>
              <w:t>(Ont.) (Civil) (By Leave)</w:t>
            </w:r>
          </w:p>
        </w:tc>
      </w:tr>
      <w:tr w:rsidR="001C78D7" w:rsidRPr="0072505E" w:rsidTr="001C78D7">
        <w:tc>
          <w:tcPr>
            <w:tcW w:w="5000" w:type="pct"/>
            <w:gridSpan w:val="4"/>
          </w:tcPr>
          <w:p w:rsidR="001C78D7" w:rsidRPr="0072505E" w:rsidRDefault="001C78D7" w:rsidP="001C78D7">
            <w:pPr>
              <w:jc w:val="both"/>
              <w:rPr>
                <w:sz w:val="20"/>
              </w:rPr>
            </w:pPr>
            <w:r w:rsidRPr="0072505E">
              <w:rPr>
                <w:sz w:val="20"/>
              </w:rPr>
              <w:t xml:space="preserve">Fiduciary duty — Causation — Patient dying while participating in clinical research trial — Claim for breach of fiduciary duty and damages set aside by Court of Appeal — To what extent should common law concepts limit the right to equitable remedies in Canada — What is role of causation in claim for breach of fiduciary duty — Whether “but for” test should apply to analysis in equitable cause of action — Following  Court of Appeal’s inclusion of “but for” causation as part of proof of fiduciary relationship, have tests established in </w:t>
            </w:r>
            <w:r w:rsidRPr="0072505E">
              <w:rPr>
                <w:i/>
                <w:sz w:val="20"/>
              </w:rPr>
              <w:t>Galambos v. Perez</w:t>
            </w:r>
            <w:r w:rsidRPr="0072505E">
              <w:rPr>
                <w:sz w:val="20"/>
              </w:rPr>
              <w:t xml:space="preserve">, 2009 SCC 48, [2009] 3 S.C.R. 247and </w:t>
            </w:r>
            <w:r w:rsidRPr="0072505E">
              <w:rPr>
                <w:i/>
                <w:iCs/>
                <w:sz w:val="20"/>
                <w:lang w:val="en"/>
              </w:rPr>
              <w:t>Alberta v. Elder Advocates of Alberta Society</w:t>
            </w:r>
            <w:r w:rsidRPr="0072505E">
              <w:rPr>
                <w:sz w:val="20"/>
                <w:lang w:val="en"/>
              </w:rPr>
              <w:t xml:space="preserve">, 2011 SCC 24, [2011] 2 S.C.R. 261 </w:t>
            </w:r>
            <w:r w:rsidRPr="0072505E">
              <w:rPr>
                <w:sz w:val="20"/>
              </w:rPr>
              <w:t>been changed.</w:t>
            </w:r>
          </w:p>
        </w:tc>
      </w:tr>
      <w:tr w:rsidR="001C78D7" w:rsidRPr="0072505E" w:rsidTr="001C78D7">
        <w:tc>
          <w:tcPr>
            <w:tcW w:w="5000" w:type="pct"/>
            <w:gridSpan w:val="4"/>
          </w:tcPr>
          <w:p w:rsidR="001C78D7" w:rsidRPr="0072505E" w:rsidRDefault="001C78D7" w:rsidP="001C78D7">
            <w:pPr>
              <w:jc w:val="both"/>
              <w:rPr>
                <w:sz w:val="20"/>
              </w:rPr>
            </w:pPr>
          </w:p>
        </w:tc>
      </w:tr>
      <w:tr w:rsidR="001C78D7" w:rsidRPr="0072505E" w:rsidTr="001C78D7">
        <w:tc>
          <w:tcPr>
            <w:tcW w:w="5000" w:type="pct"/>
            <w:gridSpan w:val="4"/>
          </w:tcPr>
          <w:p w:rsidR="001C78D7" w:rsidRPr="0072505E" w:rsidRDefault="001C78D7" w:rsidP="001C78D7">
            <w:pPr>
              <w:jc w:val="both"/>
              <w:rPr>
                <w:sz w:val="20"/>
                <w:lang w:val="en"/>
              </w:rPr>
            </w:pPr>
            <w:r w:rsidRPr="0072505E">
              <w:rPr>
                <w:sz w:val="20"/>
                <w:lang w:val="en"/>
              </w:rPr>
              <w:t>David Stirrett died as a result of complications that arose during an angiogram he underwent as part of his participation in a clinical research trial.  His wife, the applicant Karen Stirrett, sued the two doctors who performed the follow-up angiogram on her husband. She also sued the respondent, Dr. Bradley Strauss, the medical researcher who headed up the clinical research trial at the hospital where the angiogram was performed.</w:t>
            </w:r>
            <w:bookmarkStart w:id="0" w:name="_ftnref1"/>
            <w:bookmarkEnd w:id="0"/>
            <w:r w:rsidRPr="0072505E">
              <w:rPr>
                <w:sz w:val="20"/>
                <w:lang w:val="en"/>
              </w:rPr>
              <w:t xml:space="preserve"> She brought claims both in negligence and for breach of fiduciary duty. </w:t>
            </w:r>
          </w:p>
          <w:p w:rsidR="001C78D7" w:rsidRPr="0072505E" w:rsidRDefault="001C78D7" w:rsidP="001C78D7">
            <w:pPr>
              <w:jc w:val="both"/>
              <w:rPr>
                <w:sz w:val="20"/>
                <w:lang w:val="en"/>
              </w:rPr>
            </w:pPr>
          </w:p>
          <w:p w:rsidR="001C78D7" w:rsidRPr="0072505E" w:rsidRDefault="001C78D7" w:rsidP="001C78D7">
            <w:pPr>
              <w:jc w:val="both"/>
              <w:rPr>
                <w:sz w:val="20"/>
                <w:lang w:val="en"/>
              </w:rPr>
            </w:pPr>
            <w:r w:rsidRPr="0072505E">
              <w:rPr>
                <w:sz w:val="20"/>
                <w:lang w:val="en"/>
              </w:rPr>
              <w:t>The negligence claims proceeded to trial before a jury and were dismissed. The findings of the jury were not appealed. The trial judge dismissed the fiduciary claims against the other doctors but found Dr. Strauss had breached his fiduciary duty and granted judgment against him in the agreed amount of damages. At the Court of Appeal, the appeal was granted and the case against Dr. Strauss was dismissed.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August 9, 2019</w:t>
            </w:r>
          </w:p>
          <w:p w:rsidR="001C78D7" w:rsidRPr="0072505E" w:rsidRDefault="001C78D7" w:rsidP="001C78D7">
            <w:pPr>
              <w:jc w:val="both"/>
              <w:rPr>
                <w:sz w:val="20"/>
              </w:rPr>
            </w:pPr>
            <w:r w:rsidRPr="0072505E">
              <w:rPr>
                <w:sz w:val="20"/>
              </w:rPr>
              <w:t>Ontario Superior Court of Justice</w:t>
            </w:r>
          </w:p>
          <w:p w:rsidR="001C78D7" w:rsidRPr="0072505E" w:rsidRDefault="001C78D7" w:rsidP="001C78D7">
            <w:pPr>
              <w:jc w:val="both"/>
              <w:rPr>
                <w:sz w:val="20"/>
              </w:rPr>
            </w:pPr>
            <w:r w:rsidRPr="0072505E">
              <w:rPr>
                <w:sz w:val="20"/>
              </w:rPr>
              <w:t>(Dow J.)</w:t>
            </w:r>
          </w:p>
          <w:p w:rsidR="001C78D7" w:rsidRPr="0072505E" w:rsidRDefault="001C78D7" w:rsidP="001C78D7">
            <w:pPr>
              <w:jc w:val="both"/>
              <w:rPr>
                <w:sz w:val="20"/>
              </w:rPr>
            </w:pPr>
            <w:hyperlink r:id="rId27" w:history="1">
              <w:r w:rsidRPr="0072505E">
                <w:rPr>
                  <w:rStyle w:val="Hyperlink"/>
                  <w:sz w:val="20"/>
                </w:rPr>
                <w:t>2018 ONSC 2595</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Claims in negligence dismissed in accordance with jury’s verdict; claims for breach of fiduciary duty dismissed except against Dr. Strauss. Judgment against Dr. Strauss in the amount of $387, 000.</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May 6, 2020</w:t>
            </w:r>
          </w:p>
          <w:p w:rsidR="001C78D7" w:rsidRPr="0072505E" w:rsidRDefault="001C78D7" w:rsidP="001C78D7">
            <w:pPr>
              <w:jc w:val="both"/>
              <w:rPr>
                <w:sz w:val="20"/>
              </w:rPr>
            </w:pPr>
            <w:r w:rsidRPr="0072505E">
              <w:rPr>
                <w:sz w:val="20"/>
              </w:rPr>
              <w:t>Court of Appeal for Ontario</w:t>
            </w:r>
          </w:p>
          <w:p w:rsidR="001C78D7" w:rsidRPr="0072505E" w:rsidRDefault="001C78D7" w:rsidP="001C78D7">
            <w:pPr>
              <w:jc w:val="both"/>
              <w:rPr>
                <w:sz w:val="20"/>
              </w:rPr>
            </w:pPr>
            <w:r w:rsidRPr="0072505E">
              <w:rPr>
                <w:sz w:val="20"/>
              </w:rPr>
              <w:t>(Hoy A.C.J.O. and van Rensburg and Roberts JJ.)</w:t>
            </w:r>
          </w:p>
          <w:p w:rsidR="001C78D7" w:rsidRPr="0072505E" w:rsidRDefault="001C78D7" w:rsidP="001C78D7">
            <w:pPr>
              <w:jc w:val="both"/>
              <w:rPr>
                <w:sz w:val="20"/>
              </w:rPr>
            </w:pPr>
            <w:hyperlink r:id="rId28" w:history="1">
              <w:r w:rsidRPr="0072505E">
                <w:rPr>
                  <w:rStyle w:val="Hyperlink"/>
                  <w:sz w:val="20"/>
                </w:rPr>
                <w:t>2020 ONCA 288</w:t>
              </w:r>
            </w:hyperlink>
          </w:p>
          <w:p w:rsidR="001C78D7" w:rsidRPr="0072505E" w:rsidRDefault="001C78D7" w:rsidP="001C78D7">
            <w:pPr>
              <w:jc w:val="both"/>
              <w:rPr>
                <w:sz w:val="20"/>
              </w:rPr>
            </w:pPr>
            <w:r w:rsidRPr="0072505E">
              <w:rPr>
                <w:sz w:val="20"/>
              </w:rPr>
              <w:t>File No.: C65848</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granted and case against Dr. Strauss dismissed.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August 4, 2020</w:t>
            </w:r>
          </w:p>
          <w:p w:rsidR="001C78D7" w:rsidRPr="0072505E" w:rsidRDefault="001C78D7" w:rsidP="001C78D7">
            <w:pPr>
              <w:jc w:val="both"/>
              <w:rPr>
                <w:sz w:val="20"/>
              </w:rPr>
            </w:pPr>
            <w:r w:rsidRPr="0072505E">
              <w:rPr>
                <w:sz w:val="20"/>
              </w:rPr>
              <w:t>Supreme Court of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Application for leave to appeal filed.</w:t>
            </w:r>
          </w:p>
          <w:p w:rsidR="001C78D7" w:rsidRPr="0072505E" w:rsidRDefault="001C78D7" w:rsidP="001C78D7">
            <w:pPr>
              <w:jc w:val="both"/>
              <w:rPr>
                <w:sz w:val="20"/>
              </w:rPr>
            </w:pPr>
          </w:p>
        </w:tc>
      </w:tr>
    </w:tbl>
    <w:p w:rsidR="001C78D7" w:rsidRPr="0072505E" w:rsidRDefault="001C78D7" w:rsidP="001C78D7">
      <w:pPr>
        <w:jc w:val="both"/>
        <w:rPr>
          <w:sz w:val="20"/>
        </w:rPr>
      </w:pPr>
    </w:p>
    <w:p w:rsidR="001C78D7" w:rsidRPr="0072505E" w:rsidRDefault="001C78D7" w:rsidP="001C78D7">
      <w:pPr>
        <w:jc w:val="both"/>
        <w:rPr>
          <w:sz w:val="20"/>
        </w:rPr>
      </w:pPr>
      <w:r w:rsidRPr="0072505E">
        <w:rPr>
          <w:sz w:val="20"/>
        </w:rPr>
        <w:pict>
          <v:rect id="_x0000_i1034" style="width:2in;height:1pt" o:hrpct="0" o:hralign="center" o:hrstd="t" o:hrnoshade="t" o:hr="t" fillcolor="black [3213]" stroked="f"/>
        </w:pict>
      </w:r>
    </w:p>
    <w:p w:rsidR="001C78D7" w:rsidRPr="0072505E" w:rsidRDefault="001C78D7" w:rsidP="001C78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39268</w:t>
            </w:r>
          </w:p>
        </w:tc>
        <w:tc>
          <w:tcPr>
            <w:tcW w:w="4457" w:type="pct"/>
            <w:gridSpan w:val="3"/>
          </w:tcPr>
          <w:p w:rsidR="001C78D7" w:rsidRPr="0072505E" w:rsidRDefault="001C78D7" w:rsidP="001C78D7">
            <w:pPr>
              <w:pStyle w:val="SCCLsocParty"/>
              <w:jc w:val="both"/>
              <w:rPr>
                <w:b/>
                <w:sz w:val="20"/>
                <w:szCs w:val="20"/>
              </w:rPr>
            </w:pPr>
            <w:r w:rsidRPr="0072505E">
              <w:rPr>
                <w:b/>
                <w:sz w:val="20"/>
                <w:szCs w:val="20"/>
              </w:rPr>
              <w:t>Karen Stirrett c. Bradley Strauss</w:t>
            </w:r>
          </w:p>
          <w:p w:rsidR="001C78D7" w:rsidRPr="0072505E" w:rsidRDefault="001C78D7" w:rsidP="001C78D7">
            <w:pPr>
              <w:jc w:val="both"/>
              <w:rPr>
                <w:sz w:val="20"/>
              </w:rPr>
            </w:pPr>
            <w:r w:rsidRPr="0072505E">
              <w:rPr>
                <w:sz w:val="20"/>
              </w:rPr>
              <w:t>(Ont.) (Civile)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Obligation fiduciaire — Causalité — Patient décédé pendant qu’il participait à un essai clinique — Réclamations pour manquement à une obligation fiduciaire et dommages</w:t>
            </w:r>
            <w:r w:rsidRPr="0072505E">
              <w:rPr>
                <w:sz w:val="20"/>
                <w:lang w:val="fr-CA"/>
              </w:rPr>
              <w:noBreakHyphen/>
              <w:t>intérêts annulées par la Cour d’appel — À quel point les principes de common law devraient</w:t>
            </w:r>
            <w:r w:rsidRPr="0072505E">
              <w:rPr>
                <w:sz w:val="20"/>
                <w:lang w:val="fr-CA"/>
              </w:rPr>
              <w:noBreakHyphen/>
              <w:t>ils limiter le droit à réparation reconnu en equity au Canada? — Quel est le rôle du lien de causalité dans une réclamation pour manquement à une obligation fiduciaire? — Le critère du lien de causalité « n’eut été » devrait</w:t>
            </w:r>
            <w:r w:rsidRPr="0072505E">
              <w:rPr>
                <w:sz w:val="20"/>
                <w:lang w:val="fr-CA"/>
              </w:rPr>
              <w:noBreakHyphen/>
              <w:t xml:space="preserve">il s’appliquer à l’analyse d’une cause d’action en equity? — La Cour d’appel ayant inclus le lien de causalité « n’eut été » comme partie de la preuve du lien fiduciaire, les critères établis dans les arrêts </w:t>
            </w:r>
            <w:proofErr w:type="spellStart"/>
            <w:r w:rsidRPr="0072505E">
              <w:rPr>
                <w:i/>
                <w:sz w:val="20"/>
                <w:lang w:val="fr-CA"/>
              </w:rPr>
              <w:t>Galambos</w:t>
            </w:r>
            <w:proofErr w:type="spellEnd"/>
            <w:r w:rsidRPr="0072505E">
              <w:rPr>
                <w:i/>
                <w:sz w:val="20"/>
                <w:lang w:val="fr-CA"/>
              </w:rPr>
              <w:t xml:space="preserve"> v. Perez</w:t>
            </w:r>
            <w:r w:rsidRPr="0072505E">
              <w:rPr>
                <w:sz w:val="20"/>
                <w:lang w:val="fr-CA"/>
              </w:rPr>
              <w:t xml:space="preserve">, 2009 CSC 48, [2009] 3 R.C.S. 247 et </w:t>
            </w:r>
            <w:r w:rsidRPr="0072505E">
              <w:rPr>
                <w:i/>
                <w:iCs/>
                <w:sz w:val="20"/>
                <w:lang w:val="fr-CA"/>
              </w:rPr>
              <w:t>Alberta c. Elder Advocates of Alberta Society</w:t>
            </w:r>
            <w:r w:rsidRPr="0072505E">
              <w:rPr>
                <w:sz w:val="20"/>
                <w:lang w:val="fr-CA"/>
              </w:rPr>
              <w:t>, 2011 CSC 24, [2011] 2 R.C.S. 261 ont</w:t>
            </w:r>
            <w:r w:rsidRPr="0072505E">
              <w:rPr>
                <w:sz w:val="20"/>
                <w:lang w:val="fr-CA"/>
              </w:rPr>
              <w:noBreakHyphen/>
              <w:t>ils été modifiés?</w:t>
            </w:r>
          </w:p>
        </w:tc>
      </w:tr>
      <w:tr w:rsidR="001C78D7" w:rsidRPr="0072505E" w:rsidTr="001C78D7">
        <w:tc>
          <w:tcPr>
            <w:tcW w:w="5000" w:type="pct"/>
            <w:gridSpan w:val="4"/>
          </w:tcPr>
          <w:p w:rsidR="001C78D7" w:rsidRPr="0072505E" w:rsidRDefault="001C78D7" w:rsidP="001C78D7">
            <w:pPr>
              <w:jc w:val="both"/>
              <w:rPr>
                <w:sz w:val="20"/>
                <w:lang w:val="fr-CA"/>
              </w:rPr>
            </w:pP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David Stirrett est décédé des suites de complications survenues pendant un angiogramme qu’il a subi dans le cadre de sa participation à un essai clinique. Son épouse, Karen Stirrett, la demanderesse, a poursuivi les deux docteurs qui ont effectué l’angiogramme de suivi sur son époux. Elle a aussi poursuivi le défendeur, D</w:t>
            </w:r>
            <w:r w:rsidRPr="0072505E">
              <w:rPr>
                <w:sz w:val="20"/>
                <w:vertAlign w:val="superscript"/>
                <w:lang w:val="fr-CA"/>
              </w:rPr>
              <w:t>r</w:t>
            </w:r>
            <w:r w:rsidRPr="0072505E">
              <w:rPr>
                <w:sz w:val="20"/>
                <w:lang w:val="fr-CA"/>
              </w:rPr>
              <w:t> Bradley Strauss, le chercheur médical qui dirigeait l’essai clinique à l’hôpital où l’angiogramme a été effectué. Elle a présenté des réclamations à la fois pour négligence et pour manquement à une obligation fiduciaire.</w:t>
            </w:r>
          </w:p>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Les demandes pour négligence ont été instruites devant un jury et ont été rejetées. Les conclusions du jury n’ont pas fait l’objet d’appel. Le juge du procès a rejeté les demandes fiduciaires présentées à l’encontre des autres docteurs, mais a conclu que le D</w:t>
            </w:r>
            <w:r w:rsidRPr="0072505E">
              <w:rPr>
                <w:sz w:val="20"/>
                <w:vertAlign w:val="superscript"/>
                <w:lang w:val="fr-CA"/>
              </w:rPr>
              <w:t>r</w:t>
            </w:r>
            <w:r w:rsidRPr="0072505E">
              <w:rPr>
                <w:sz w:val="20"/>
                <w:lang w:val="fr-CA"/>
              </w:rPr>
              <w:t> Strauss avait manqué à son obligation fiduciaire et a rendu un jugement contre ce dernier pour le montant convenu de dommages</w:t>
            </w:r>
            <w:r w:rsidRPr="0072505E">
              <w:rPr>
                <w:sz w:val="20"/>
                <w:lang w:val="fr-CA"/>
              </w:rPr>
              <w:noBreakHyphen/>
              <w:t>intérêts. La Cour d’appel a accueilli l’appel, et la cause contre le D</w:t>
            </w:r>
            <w:r w:rsidRPr="0072505E">
              <w:rPr>
                <w:sz w:val="20"/>
                <w:vertAlign w:val="superscript"/>
                <w:lang w:val="fr-CA"/>
              </w:rPr>
              <w:t>r</w:t>
            </w:r>
            <w:r w:rsidRPr="0072505E">
              <w:rPr>
                <w:sz w:val="20"/>
                <w:lang w:val="fr-CA"/>
              </w:rPr>
              <w:t> Strauss a été rejetée.</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9 août 2019</w:t>
            </w:r>
          </w:p>
          <w:p w:rsidR="001C78D7" w:rsidRPr="0072505E" w:rsidRDefault="001C78D7" w:rsidP="001C78D7">
            <w:pPr>
              <w:jc w:val="both"/>
              <w:rPr>
                <w:sz w:val="20"/>
                <w:lang w:val="fr-CA"/>
              </w:rPr>
            </w:pPr>
            <w:r w:rsidRPr="0072505E">
              <w:rPr>
                <w:sz w:val="20"/>
                <w:lang w:val="fr-CA"/>
              </w:rPr>
              <w:t>Cour supérieure de justice de l’Ontario</w:t>
            </w:r>
          </w:p>
          <w:p w:rsidR="001C78D7" w:rsidRPr="0072505E" w:rsidRDefault="001C78D7" w:rsidP="001C78D7">
            <w:pPr>
              <w:jc w:val="both"/>
              <w:rPr>
                <w:sz w:val="20"/>
              </w:rPr>
            </w:pPr>
            <w:r w:rsidRPr="0072505E">
              <w:rPr>
                <w:sz w:val="20"/>
              </w:rPr>
              <w:t>(juge Dow)</w:t>
            </w:r>
          </w:p>
          <w:p w:rsidR="001C78D7" w:rsidRPr="0072505E" w:rsidRDefault="001C78D7" w:rsidP="001C78D7">
            <w:pPr>
              <w:jc w:val="both"/>
              <w:rPr>
                <w:sz w:val="20"/>
              </w:rPr>
            </w:pPr>
            <w:hyperlink r:id="rId29" w:history="1">
              <w:r w:rsidRPr="0072505E">
                <w:rPr>
                  <w:rStyle w:val="Hyperlink"/>
                  <w:sz w:val="20"/>
                </w:rPr>
                <w:t>2018 ONSC 2595</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lang w:val="fr-CA"/>
              </w:rPr>
            </w:pPr>
            <w:r w:rsidRPr="0072505E">
              <w:rPr>
                <w:sz w:val="20"/>
                <w:lang w:val="fr-CA"/>
              </w:rPr>
              <w:t>Réclamations pour négligence rejetées, conformément au verdict du jury; réclamations pour manquement à l’obligation fiduciaire rejetées, à l’exception de celle contre le D</w:t>
            </w:r>
            <w:r w:rsidRPr="0072505E">
              <w:rPr>
                <w:sz w:val="20"/>
                <w:vertAlign w:val="superscript"/>
                <w:lang w:val="fr-CA"/>
              </w:rPr>
              <w:t>r</w:t>
            </w:r>
            <w:r w:rsidRPr="0072505E">
              <w:rPr>
                <w:sz w:val="20"/>
                <w:lang w:val="fr-CA"/>
              </w:rPr>
              <w:t> Strauss. Décision rendue contre le D</w:t>
            </w:r>
            <w:r w:rsidRPr="0072505E">
              <w:rPr>
                <w:sz w:val="20"/>
                <w:vertAlign w:val="superscript"/>
                <w:lang w:val="fr-CA"/>
              </w:rPr>
              <w:t>r</w:t>
            </w:r>
            <w:r w:rsidRPr="0072505E">
              <w:rPr>
                <w:sz w:val="20"/>
                <w:lang w:val="fr-CA"/>
              </w:rPr>
              <w:t> Strauss pour un montant de 387 000 $.</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6 mai 2020</w:t>
            </w:r>
          </w:p>
          <w:p w:rsidR="001C78D7" w:rsidRPr="0072505E" w:rsidRDefault="001C78D7" w:rsidP="001C78D7">
            <w:pPr>
              <w:jc w:val="both"/>
              <w:rPr>
                <w:sz w:val="20"/>
                <w:lang w:val="fr-CA"/>
              </w:rPr>
            </w:pPr>
            <w:r w:rsidRPr="0072505E">
              <w:rPr>
                <w:sz w:val="20"/>
                <w:lang w:val="fr-CA"/>
              </w:rPr>
              <w:t>Cour d’appel de l’Ontario</w:t>
            </w:r>
          </w:p>
          <w:p w:rsidR="001C78D7" w:rsidRPr="0072505E" w:rsidRDefault="001C78D7" w:rsidP="001C78D7">
            <w:pPr>
              <w:jc w:val="both"/>
              <w:rPr>
                <w:sz w:val="20"/>
                <w:lang w:val="fr-CA"/>
              </w:rPr>
            </w:pPr>
            <w:r w:rsidRPr="0072505E">
              <w:rPr>
                <w:sz w:val="20"/>
                <w:lang w:val="fr-CA"/>
              </w:rPr>
              <w:t xml:space="preserve">(juge en chef adjoint Hoy, juges van </w:t>
            </w:r>
            <w:proofErr w:type="spellStart"/>
            <w:r w:rsidRPr="0072505E">
              <w:rPr>
                <w:sz w:val="20"/>
                <w:lang w:val="fr-CA"/>
              </w:rPr>
              <w:t>Rensburg</w:t>
            </w:r>
            <w:proofErr w:type="spellEnd"/>
            <w:r w:rsidRPr="0072505E">
              <w:rPr>
                <w:sz w:val="20"/>
                <w:lang w:val="fr-CA"/>
              </w:rPr>
              <w:t xml:space="preserve"> et Roberts)</w:t>
            </w:r>
          </w:p>
          <w:p w:rsidR="001C78D7" w:rsidRPr="0072505E" w:rsidRDefault="001C78D7" w:rsidP="001C78D7">
            <w:pPr>
              <w:jc w:val="both"/>
              <w:rPr>
                <w:sz w:val="20"/>
                <w:lang w:val="fr-CA"/>
              </w:rPr>
            </w:pPr>
            <w:hyperlink r:id="rId30" w:history="1">
              <w:r w:rsidRPr="0072505E">
                <w:rPr>
                  <w:rStyle w:val="Hyperlink"/>
                  <w:sz w:val="20"/>
                  <w:lang w:val="fr-CA"/>
                </w:rPr>
                <w:t>2020 ONCA 288</w:t>
              </w:r>
            </w:hyperlink>
          </w:p>
          <w:p w:rsidR="001C78D7" w:rsidRPr="0072505E" w:rsidRDefault="001C78D7" w:rsidP="001C78D7">
            <w:pPr>
              <w:jc w:val="both"/>
              <w:rPr>
                <w:sz w:val="20"/>
                <w:lang w:val="fr-CA"/>
              </w:rPr>
            </w:pPr>
            <w:r w:rsidRPr="0072505E">
              <w:rPr>
                <w:sz w:val="20"/>
                <w:lang w:val="fr-CA"/>
              </w:rPr>
              <w:t>N° de dossier : C65848</w:t>
            </w:r>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Accueil de l’appel et rejet de la cause contre le D</w:t>
            </w:r>
            <w:r w:rsidRPr="0072505E">
              <w:rPr>
                <w:sz w:val="20"/>
                <w:vertAlign w:val="superscript"/>
                <w:lang w:val="fr-CA"/>
              </w:rPr>
              <w:t>r</w:t>
            </w:r>
            <w:r w:rsidRPr="0072505E">
              <w:rPr>
                <w:sz w:val="20"/>
                <w:lang w:val="fr-CA"/>
              </w:rPr>
              <w:t> Strauss.</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4 août 2020</w:t>
            </w:r>
          </w:p>
          <w:p w:rsidR="001C78D7" w:rsidRPr="0072505E" w:rsidRDefault="001C78D7" w:rsidP="001C78D7">
            <w:pPr>
              <w:jc w:val="both"/>
              <w:rPr>
                <w:sz w:val="20"/>
                <w:lang w:val="fr-CA"/>
              </w:rPr>
            </w:pPr>
            <w:r w:rsidRPr="0072505E">
              <w:rPr>
                <w:sz w:val="20"/>
                <w:lang w:val="fr-CA"/>
              </w:rPr>
              <w:t>Cour suprême du Canada</w:t>
            </w: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Dépôt de la demande d’autorisation d’appel.</w:t>
            </w:r>
          </w:p>
          <w:p w:rsidR="001C78D7" w:rsidRPr="0072505E" w:rsidRDefault="001C78D7" w:rsidP="001C78D7">
            <w:pPr>
              <w:jc w:val="both"/>
              <w:rPr>
                <w:sz w:val="20"/>
                <w:lang w:val="fr-CA"/>
              </w:rPr>
            </w:pPr>
          </w:p>
        </w:tc>
      </w:tr>
    </w:tbl>
    <w:p w:rsidR="001C78D7" w:rsidRPr="0072505E" w:rsidRDefault="001C78D7" w:rsidP="001C78D7">
      <w:pPr>
        <w:jc w:val="both"/>
        <w:rPr>
          <w:sz w:val="20"/>
          <w:lang w:val="fr-CA"/>
        </w:rPr>
      </w:pPr>
    </w:p>
    <w:p w:rsidR="001C78D7" w:rsidRPr="0072505E" w:rsidRDefault="001C78D7" w:rsidP="001C78D7">
      <w:pPr>
        <w:widowControl w:val="0"/>
        <w:jc w:val="both"/>
        <w:rPr>
          <w:sz w:val="20"/>
          <w:lang w:val="fr-CA"/>
        </w:rPr>
      </w:pPr>
      <w:r w:rsidRPr="0072505E">
        <w:rPr>
          <w:sz w:val="20"/>
        </w:rPr>
        <w:pict>
          <v:rect id="_x0000_i1035" style="width:2in;height:1pt" o:hrpct="0" o:hralign="center" o:hrstd="t" o:hrnoshade="t" o:hr="t" fillcolor="black [3213]" stroked="f"/>
        </w:pict>
      </w:r>
    </w:p>
    <w:p w:rsidR="001C78D7" w:rsidRPr="0072505E" w:rsidRDefault="001C78D7" w:rsidP="001C78D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39262</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Johnny Wilfred Troy Awasis v. Her Majesty the Queen</w:t>
            </w:r>
          </w:p>
          <w:p w:rsidR="001C78D7" w:rsidRPr="0072505E" w:rsidRDefault="001C78D7" w:rsidP="001C78D7">
            <w:pPr>
              <w:jc w:val="both"/>
              <w:rPr>
                <w:sz w:val="20"/>
              </w:rPr>
            </w:pPr>
            <w:r w:rsidRPr="0072505E">
              <w:rPr>
                <w:sz w:val="20"/>
              </w:rPr>
              <w:t>(B.C.) (Criminal) (By Leave)</w:t>
            </w:r>
          </w:p>
        </w:tc>
      </w:tr>
      <w:tr w:rsidR="001C78D7" w:rsidRPr="0072505E" w:rsidTr="001C78D7">
        <w:tc>
          <w:tcPr>
            <w:tcW w:w="5000" w:type="pct"/>
            <w:gridSpan w:val="4"/>
          </w:tcPr>
          <w:p w:rsidR="001C78D7" w:rsidRPr="0072505E" w:rsidRDefault="001C78D7" w:rsidP="001C78D7">
            <w:pPr>
              <w:jc w:val="both"/>
              <w:rPr>
                <w:sz w:val="20"/>
              </w:rPr>
            </w:pPr>
            <w:r w:rsidRPr="0072505E">
              <w:rPr>
                <w:i/>
                <w:sz w:val="20"/>
              </w:rPr>
              <w:t>Charter of Rights and Freedoms</w:t>
            </w:r>
            <w:r w:rsidRPr="0072505E">
              <w:rPr>
                <w:sz w:val="20"/>
              </w:rPr>
              <w:t xml:space="preserve"> — Right to equality — Criminal law — Sentencing — Dangerous offenders </w:t>
            </w:r>
            <w:r w:rsidRPr="0072505E">
              <w:rPr>
                <w:bCs/>
                <w:color w:val="373739"/>
                <w:sz w:val="20"/>
              </w:rPr>
              <w:t>and long</w:t>
            </w:r>
            <w:r w:rsidRPr="0072505E">
              <w:rPr>
                <w:bCs/>
                <w:color w:val="373739"/>
                <w:sz w:val="20"/>
              </w:rPr>
              <w:noBreakHyphen/>
              <w:t xml:space="preserve">term offenders — Protection of the public </w:t>
            </w:r>
            <w:r w:rsidRPr="0072505E">
              <w:rPr>
                <w:sz w:val="20"/>
              </w:rPr>
              <w:t>— Have Canadian courts created a two</w:t>
            </w:r>
            <w:r w:rsidRPr="0072505E">
              <w:rPr>
                <w:sz w:val="20"/>
              </w:rPr>
              <w:noBreakHyphen/>
              <w:t xml:space="preserve">tiered sentencing regime for indigenous offenders whereby </w:t>
            </w:r>
            <w:r w:rsidRPr="0072505E">
              <w:rPr>
                <w:i/>
                <w:sz w:val="20"/>
              </w:rPr>
              <w:t xml:space="preserve">Gladue </w:t>
            </w:r>
            <w:r w:rsidRPr="0072505E">
              <w:rPr>
                <w:sz w:val="20"/>
              </w:rPr>
              <w:t xml:space="preserve">principles and s. 718.2(e) of the </w:t>
            </w:r>
            <w:r w:rsidRPr="0072505E">
              <w:rPr>
                <w:i/>
                <w:sz w:val="20"/>
              </w:rPr>
              <w:t>Criminal Code</w:t>
            </w:r>
            <w:r w:rsidRPr="0072505E">
              <w:rPr>
                <w:sz w:val="20"/>
              </w:rPr>
              <w:t xml:space="preserve"> will be applied to reduce or eliminate the use of incarceration for nonviolent or less serious offences, whereas they will be disregarded and have no impact on the use or length of incarceration for violent or serious offences — How do the courts resolve the tension between the need to emphasize protection of the public and the requirement to apply and give effect to </w:t>
            </w:r>
            <w:r w:rsidRPr="0072505E">
              <w:rPr>
                <w:i/>
                <w:sz w:val="20"/>
              </w:rPr>
              <w:t xml:space="preserve">Gladue </w:t>
            </w:r>
            <w:r w:rsidRPr="0072505E">
              <w:rPr>
                <w:sz w:val="20"/>
              </w:rPr>
              <w:t xml:space="preserve">principles and s. 718.2(e) of the </w:t>
            </w:r>
            <w:r w:rsidRPr="0072505E">
              <w:rPr>
                <w:i/>
                <w:sz w:val="20"/>
              </w:rPr>
              <w:t>Criminal Code</w:t>
            </w:r>
            <w:r w:rsidRPr="0072505E">
              <w:rPr>
                <w:sz w:val="20"/>
              </w:rPr>
              <w:t xml:space="preserve"> in dangerous offender proceedings?</w:t>
            </w:r>
          </w:p>
        </w:tc>
      </w:tr>
      <w:tr w:rsidR="001C78D7" w:rsidRPr="0072505E" w:rsidTr="001C78D7">
        <w:tc>
          <w:tcPr>
            <w:tcW w:w="5000" w:type="pct"/>
            <w:gridSpan w:val="4"/>
          </w:tcPr>
          <w:p w:rsidR="001C78D7" w:rsidRPr="0072505E" w:rsidRDefault="001C78D7" w:rsidP="001C78D7">
            <w:pPr>
              <w:jc w:val="both"/>
              <w:rPr>
                <w:sz w:val="20"/>
              </w:rPr>
            </w:pPr>
          </w:p>
          <w:p w:rsidR="001C78D7" w:rsidRPr="0072505E" w:rsidRDefault="001C78D7" w:rsidP="001C78D7">
            <w:pPr>
              <w:widowControl w:val="0"/>
              <w:jc w:val="both"/>
              <w:rPr>
                <w:sz w:val="20"/>
              </w:rPr>
            </w:pPr>
            <w:r w:rsidRPr="0072505E">
              <w:rPr>
                <w:sz w:val="20"/>
              </w:rPr>
              <w:t xml:space="preserve">Mr. Awasis, an Indigenous man, was convicted of sexual assault and sexual assault with a weapon. </w:t>
            </w:r>
            <w:r w:rsidRPr="0072505E">
              <w:rPr>
                <w:color w:val="000000"/>
                <w:spacing w:val="-3"/>
                <w:sz w:val="20"/>
              </w:rPr>
              <w:t xml:space="preserve">The Crown applied for a dangerous offender designation. </w:t>
            </w:r>
            <w:r w:rsidRPr="0072505E">
              <w:rPr>
                <w:sz w:val="20"/>
              </w:rPr>
              <w:t xml:space="preserve">The sentencing judge granted the application and ordered an indeterminate sentence. The Court of Appeal dismissed a motion to adduce fresh evidence and an appeal.  </w:t>
            </w:r>
          </w:p>
        </w:tc>
      </w:tr>
      <w:tr w:rsidR="001C78D7" w:rsidRPr="0072505E" w:rsidTr="001C78D7">
        <w:tc>
          <w:tcPr>
            <w:tcW w:w="5000" w:type="pct"/>
            <w:gridSpan w:val="4"/>
          </w:tcPr>
          <w:p w:rsidR="001C78D7" w:rsidRPr="0072505E" w:rsidRDefault="001C78D7" w:rsidP="001C78D7">
            <w:pPr>
              <w:widowControl w:val="0"/>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June 30, 2016</w:t>
            </w:r>
          </w:p>
          <w:p w:rsidR="001C78D7" w:rsidRPr="0072505E" w:rsidRDefault="001C78D7" w:rsidP="001C78D7">
            <w:pPr>
              <w:jc w:val="both"/>
              <w:rPr>
                <w:sz w:val="20"/>
              </w:rPr>
            </w:pPr>
            <w:r w:rsidRPr="0072505E">
              <w:rPr>
                <w:sz w:val="20"/>
              </w:rPr>
              <w:t>Provincial Court of British Columbia</w:t>
            </w:r>
          </w:p>
          <w:p w:rsidR="001C78D7" w:rsidRPr="0072505E" w:rsidRDefault="001C78D7" w:rsidP="001C78D7">
            <w:pPr>
              <w:jc w:val="both"/>
              <w:rPr>
                <w:sz w:val="20"/>
              </w:rPr>
            </w:pPr>
            <w:r w:rsidRPr="0072505E">
              <w:rPr>
                <w:sz w:val="20"/>
              </w:rPr>
              <w:t>(Bagnall J.)</w:t>
            </w:r>
          </w:p>
          <w:p w:rsidR="001C78D7" w:rsidRPr="0072505E" w:rsidRDefault="001C78D7" w:rsidP="001C78D7">
            <w:pPr>
              <w:jc w:val="both"/>
              <w:rPr>
                <w:sz w:val="20"/>
              </w:rPr>
            </w:pPr>
            <w:hyperlink r:id="rId31" w:history="1">
              <w:r w:rsidRPr="0072505E">
                <w:rPr>
                  <w:rStyle w:val="Hyperlink"/>
                  <w:sz w:val="20"/>
                </w:rPr>
                <w:t>2016 BCPC 219</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Application for dangerous offender designation granted and indeterminate sentence ordered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January 24, 2020</w:t>
            </w:r>
          </w:p>
          <w:p w:rsidR="001C78D7" w:rsidRPr="0072505E" w:rsidRDefault="001C78D7" w:rsidP="001C78D7">
            <w:pPr>
              <w:jc w:val="both"/>
              <w:rPr>
                <w:sz w:val="20"/>
              </w:rPr>
            </w:pPr>
            <w:r w:rsidRPr="0072505E">
              <w:rPr>
                <w:sz w:val="20"/>
              </w:rPr>
              <w:t xml:space="preserve">Court of Appeal for British Columbia </w:t>
            </w:r>
          </w:p>
          <w:p w:rsidR="001C78D7" w:rsidRPr="0072505E" w:rsidRDefault="001C78D7" w:rsidP="001C78D7">
            <w:pPr>
              <w:jc w:val="both"/>
              <w:rPr>
                <w:sz w:val="20"/>
              </w:rPr>
            </w:pPr>
            <w:r w:rsidRPr="0072505E">
              <w:rPr>
                <w:sz w:val="20"/>
              </w:rPr>
              <w:t>(Vancouver)</w:t>
            </w:r>
          </w:p>
          <w:p w:rsidR="001C78D7" w:rsidRPr="0072505E" w:rsidRDefault="001C78D7" w:rsidP="001C78D7">
            <w:pPr>
              <w:jc w:val="both"/>
              <w:rPr>
                <w:sz w:val="20"/>
              </w:rPr>
            </w:pPr>
            <w:r w:rsidRPr="0072505E">
              <w:rPr>
                <w:sz w:val="20"/>
              </w:rPr>
              <w:t>(</w:t>
            </w:r>
            <w:proofErr w:type="spellStart"/>
            <w:r w:rsidRPr="0072505E">
              <w:rPr>
                <w:sz w:val="20"/>
              </w:rPr>
              <w:t>Groberman</w:t>
            </w:r>
            <w:proofErr w:type="spellEnd"/>
            <w:r w:rsidRPr="0072505E">
              <w:rPr>
                <w:sz w:val="20"/>
              </w:rPr>
              <w:t xml:space="preserve"> Harvey, Fisher, </w:t>
            </w:r>
            <w:proofErr w:type="spellStart"/>
            <w:r w:rsidRPr="0072505E">
              <w:rPr>
                <w:sz w:val="20"/>
              </w:rPr>
              <w:t>Abrioux</w:t>
            </w:r>
            <w:proofErr w:type="spellEnd"/>
            <w:r w:rsidRPr="0072505E">
              <w:rPr>
                <w:sz w:val="20"/>
              </w:rPr>
              <w:t>)</w:t>
            </w:r>
          </w:p>
          <w:p w:rsidR="001C78D7" w:rsidRPr="0072505E" w:rsidRDefault="001C78D7" w:rsidP="001C78D7">
            <w:pPr>
              <w:jc w:val="both"/>
              <w:rPr>
                <w:sz w:val="20"/>
              </w:rPr>
            </w:pPr>
            <w:hyperlink r:id="rId32" w:history="1">
              <w:r w:rsidRPr="0072505E">
                <w:rPr>
                  <w:rStyle w:val="Hyperlink"/>
                  <w:sz w:val="20"/>
                </w:rPr>
                <w:t>2020 BCCA 23</w:t>
              </w:r>
            </w:hyperlink>
            <w:r w:rsidRPr="0072505E">
              <w:rPr>
                <w:sz w:val="20"/>
              </w:rPr>
              <w:t>; CA44011</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dismissed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July 24, 2020</w:t>
            </w:r>
          </w:p>
          <w:p w:rsidR="001C78D7" w:rsidRPr="0072505E" w:rsidRDefault="001C78D7" w:rsidP="001C78D7">
            <w:pPr>
              <w:jc w:val="both"/>
              <w:rPr>
                <w:sz w:val="20"/>
              </w:rPr>
            </w:pPr>
            <w:r w:rsidRPr="0072505E">
              <w:rPr>
                <w:sz w:val="20"/>
              </w:rPr>
              <w:t>Supreme Court of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Motion to extend time to file and serve application for leave to appeal and Application for leave to appeal filed</w:t>
            </w:r>
          </w:p>
        </w:tc>
      </w:tr>
    </w:tbl>
    <w:p w:rsidR="001C78D7" w:rsidRPr="0072505E" w:rsidRDefault="001C78D7" w:rsidP="001C78D7">
      <w:pPr>
        <w:jc w:val="both"/>
        <w:rPr>
          <w:sz w:val="20"/>
        </w:rPr>
      </w:pPr>
    </w:p>
    <w:p w:rsidR="001C78D7" w:rsidRPr="0072505E" w:rsidRDefault="001C78D7" w:rsidP="001C78D7">
      <w:pPr>
        <w:jc w:val="both"/>
        <w:rPr>
          <w:sz w:val="20"/>
        </w:rPr>
      </w:pPr>
      <w:r w:rsidRPr="0072505E">
        <w:rPr>
          <w:sz w:val="20"/>
        </w:rPr>
        <w:pict>
          <v:rect id="_x0000_i1036" style="width:2in;height:1pt" o:hrpct="0" o:hralign="center" o:hrstd="t" o:hrnoshade="t" o:hr="t" fillcolor="black [3213]" stroked="f"/>
        </w:pict>
      </w:r>
    </w:p>
    <w:p w:rsidR="001C78D7" w:rsidRPr="0072505E" w:rsidRDefault="001C78D7" w:rsidP="001C78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39262</w:t>
            </w:r>
          </w:p>
        </w:tc>
        <w:tc>
          <w:tcPr>
            <w:tcW w:w="4457" w:type="pct"/>
            <w:gridSpan w:val="3"/>
          </w:tcPr>
          <w:p w:rsidR="001C78D7" w:rsidRPr="0072505E" w:rsidRDefault="001C78D7" w:rsidP="001C78D7">
            <w:pPr>
              <w:pStyle w:val="SCCLsocParty"/>
              <w:jc w:val="both"/>
              <w:rPr>
                <w:b/>
                <w:sz w:val="20"/>
                <w:szCs w:val="20"/>
              </w:rPr>
            </w:pPr>
            <w:r w:rsidRPr="0072505E">
              <w:rPr>
                <w:b/>
                <w:sz w:val="20"/>
                <w:szCs w:val="20"/>
              </w:rPr>
              <w:t>Johnny Wilfred Troy Awasis c. Sa Majesté la Reine</w:t>
            </w:r>
          </w:p>
          <w:p w:rsidR="001C78D7" w:rsidRPr="0072505E" w:rsidRDefault="001C78D7" w:rsidP="001C78D7">
            <w:pPr>
              <w:jc w:val="both"/>
              <w:rPr>
                <w:sz w:val="20"/>
                <w:lang w:val="fr-CA"/>
              </w:rPr>
            </w:pPr>
            <w:r w:rsidRPr="0072505E">
              <w:rPr>
                <w:sz w:val="20"/>
                <w:lang w:val="fr-CA"/>
              </w:rPr>
              <w:t>(C.</w:t>
            </w:r>
            <w:r w:rsidRPr="0072505E">
              <w:rPr>
                <w:sz w:val="20"/>
                <w:lang w:val="fr-CA"/>
              </w:rPr>
              <w:noBreakHyphen/>
              <w:t>B.) (Criminelle)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i/>
                <w:sz w:val="20"/>
                <w:lang w:val="fr-CA"/>
              </w:rPr>
              <w:t xml:space="preserve">Chartres des droits et libertés </w:t>
            </w:r>
            <w:r w:rsidRPr="0072505E">
              <w:rPr>
                <w:sz w:val="20"/>
                <w:lang w:val="fr-CA"/>
              </w:rPr>
              <w:t xml:space="preserve">— Droit à l’égalité — Droit criminel — Détermination de la peine — Délinquants dangereux et délinquants à contrôler </w:t>
            </w:r>
            <w:r w:rsidRPr="0072505E">
              <w:rPr>
                <w:bCs/>
                <w:color w:val="373739"/>
                <w:sz w:val="20"/>
                <w:lang w:val="fr-CA"/>
              </w:rPr>
              <w:t xml:space="preserve">— Protection du public </w:t>
            </w:r>
            <w:r w:rsidRPr="0072505E">
              <w:rPr>
                <w:sz w:val="20"/>
                <w:lang w:val="fr-CA"/>
              </w:rPr>
              <w:t>— Les tribunaux canadiens ont</w:t>
            </w:r>
            <w:r w:rsidRPr="0072505E">
              <w:rPr>
                <w:sz w:val="20"/>
                <w:lang w:val="fr-CA"/>
              </w:rPr>
              <w:noBreakHyphen/>
              <w:t>ils créé un régime de détermination de la peine à deux niveaux dans lequel les principes de l’arrêt</w:t>
            </w:r>
            <w:r w:rsidRPr="0072505E">
              <w:rPr>
                <w:i/>
                <w:sz w:val="20"/>
                <w:lang w:val="fr-CA"/>
              </w:rPr>
              <w:t xml:space="preserve"> Gladue</w:t>
            </w:r>
            <w:r w:rsidRPr="0072505E">
              <w:rPr>
                <w:sz w:val="20"/>
                <w:lang w:val="fr-CA"/>
              </w:rPr>
              <w:t xml:space="preserve"> et ceux de l’al. 718.2e) du </w:t>
            </w:r>
            <w:r w:rsidRPr="0072505E">
              <w:rPr>
                <w:i/>
                <w:sz w:val="20"/>
                <w:lang w:val="fr-CA"/>
              </w:rPr>
              <w:t>Code criminel</w:t>
            </w:r>
            <w:r w:rsidRPr="0072505E">
              <w:rPr>
                <w:sz w:val="20"/>
                <w:lang w:val="fr-CA"/>
              </w:rPr>
              <w:t xml:space="preserve"> seraient appliqués afin de réduire la durée de la détention ou d’éliminer cette dernière pour les infractions sans violence ou de moindre gravité, tandis que ces principes seraient méconnus et n’auraient aucune incidence sur la durée de la détention pour les infractions graves ou violentes? </w:t>
            </w:r>
            <w:r w:rsidRPr="0072505E">
              <w:rPr>
                <w:bCs/>
                <w:color w:val="373739"/>
                <w:sz w:val="20"/>
                <w:lang w:val="fr-CA"/>
              </w:rPr>
              <w:t>— Comment les tribunaux allient</w:t>
            </w:r>
            <w:r w:rsidRPr="0072505E">
              <w:rPr>
                <w:bCs/>
                <w:color w:val="373739"/>
                <w:sz w:val="20"/>
                <w:lang w:val="fr-CA"/>
              </w:rPr>
              <w:noBreakHyphen/>
              <w:t xml:space="preserve">ils la tension entre la nécessité d’accroître la protection du public et l’exigence d’appliquer et de donner effet aux principes de l’arrêt </w:t>
            </w:r>
            <w:r w:rsidRPr="0072505E">
              <w:rPr>
                <w:bCs/>
                <w:i/>
                <w:color w:val="373739"/>
                <w:sz w:val="20"/>
                <w:lang w:val="fr-CA"/>
              </w:rPr>
              <w:t>Gladue</w:t>
            </w:r>
            <w:r w:rsidRPr="0072505E">
              <w:rPr>
                <w:bCs/>
                <w:color w:val="373739"/>
                <w:sz w:val="20"/>
                <w:lang w:val="fr-CA"/>
              </w:rPr>
              <w:t xml:space="preserve"> et à ceux de l’al. 718.2e) du </w:t>
            </w:r>
            <w:r w:rsidRPr="0072505E">
              <w:rPr>
                <w:bCs/>
                <w:i/>
                <w:color w:val="373739"/>
                <w:sz w:val="20"/>
                <w:lang w:val="fr-CA"/>
              </w:rPr>
              <w:t xml:space="preserve">Code criminel </w:t>
            </w:r>
            <w:r w:rsidRPr="0072505E">
              <w:rPr>
                <w:bCs/>
                <w:color w:val="373739"/>
                <w:sz w:val="20"/>
                <w:lang w:val="fr-CA"/>
              </w:rPr>
              <w:t>dans les procédures concernant les délinquants dangereux?</w:t>
            </w:r>
          </w:p>
        </w:tc>
      </w:tr>
      <w:tr w:rsidR="001C78D7" w:rsidRPr="0072505E" w:rsidTr="001C78D7">
        <w:tc>
          <w:tcPr>
            <w:tcW w:w="5000" w:type="pct"/>
            <w:gridSpan w:val="4"/>
          </w:tcPr>
          <w:p w:rsidR="001C78D7" w:rsidRPr="0072505E" w:rsidRDefault="001C78D7" w:rsidP="001C78D7">
            <w:pPr>
              <w:jc w:val="both"/>
              <w:rPr>
                <w:sz w:val="20"/>
                <w:lang w:val="fr-CA"/>
              </w:rPr>
            </w:pPr>
          </w:p>
          <w:p w:rsidR="001C78D7" w:rsidRPr="0072505E" w:rsidRDefault="001C78D7" w:rsidP="001C78D7">
            <w:pPr>
              <w:widowControl w:val="0"/>
              <w:jc w:val="both"/>
              <w:rPr>
                <w:sz w:val="20"/>
                <w:lang w:val="fr-CA"/>
              </w:rPr>
            </w:pPr>
            <w:r w:rsidRPr="0072505E">
              <w:rPr>
                <w:sz w:val="20"/>
                <w:lang w:val="fr-CA"/>
              </w:rPr>
              <w:t>M. Awasis, un Autochtone, a été déclaré coupable d’agression sexuelle et d’agression sexuelle armée. La Couronne a présenté une demande afin qu’il soit déclaré délinquant dangereux. Le juge de la peine a fait droit à la demande et ordonné une peine de détention pour une durée indéterminée. La Cour d’appel a rejeté une requête en vue de la production de nouveaux éléments de preuve et d’un appel.</w:t>
            </w:r>
          </w:p>
        </w:tc>
      </w:tr>
      <w:tr w:rsidR="001C78D7" w:rsidRPr="0072505E" w:rsidTr="001C78D7">
        <w:tc>
          <w:tcPr>
            <w:tcW w:w="5000" w:type="pct"/>
            <w:gridSpan w:val="4"/>
          </w:tcPr>
          <w:p w:rsidR="001C78D7" w:rsidRPr="0072505E" w:rsidRDefault="001C78D7" w:rsidP="001C78D7">
            <w:pPr>
              <w:widowControl w:val="0"/>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30 juin 2016</w:t>
            </w:r>
          </w:p>
          <w:p w:rsidR="001C78D7" w:rsidRPr="0072505E" w:rsidRDefault="001C78D7" w:rsidP="001C78D7">
            <w:pPr>
              <w:jc w:val="both"/>
              <w:rPr>
                <w:sz w:val="20"/>
                <w:lang w:val="fr-CA"/>
              </w:rPr>
            </w:pPr>
            <w:r w:rsidRPr="0072505E">
              <w:rPr>
                <w:sz w:val="20"/>
                <w:lang w:val="fr-CA"/>
              </w:rPr>
              <w:t>Cour provinciale de la Colombie</w:t>
            </w:r>
            <w:r w:rsidRPr="0072505E">
              <w:rPr>
                <w:sz w:val="20"/>
                <w:lang w:val="fr-CA"/>
              </w:rPr>
              <w:noBreakHyphen/>
              <w:t>Britannique</w:t>
            </w:r>
          </w:p>
          <w:p w:rsidR="001C78D7" w:rsidRPr="0072505E" w:rsidRDefault="001C78D7" w:rsidP="001C78D7">
            <w:pPr>
              <w:jc w:val="both"/>
              <w:rPr>
                <w:sz w:val="20"/>
              </w:rPr>
            </w:pPr>
            <w:r w:rsidRPr="0072505E">
              <w:rPr>
                <w:sz w:val="20"/>
              </w:rPr>
              <w:t>(Juge Bagnall)</w:t>
            </w:r>
          </w:p>
          <w:p w:rsidR="001C78D7" w:rsidRPr="0072505E" w:rsidRDefault="001C78D7" w:rsidP="001C78D7">
            <w:pPr>
              <w:jc w:val="both"/>
              <w:rPr>
                <w:sz w:val="20"/>
              </w:rPr>
            </w:pPr>
            <w:hyperlink r:id="rId33" w:history="1">
              <w:r w:rsidRPr="0072505E">
                <w:rPr>
                  <w:rStyle w:val="Hyperlink"/>
                  <w:sz w:val="20"/>
                </w:rPr>
                <w:t>2016 BCPC 219</w:t>
              </w:r>
            </w:hyperlink>
          </w:p>
          <w:p w:rsidR="001C78D7" w:rsidRPr="0072505E" w:rsidRDefault="001C78D7" w:rsidP="001C78D7">
            <w:pPr>
              <w:jc w:val="both"/>
              <w:rPr>
                <w:sz w:val="20"/>
              </w:rPr>
            </w:pPr>
          </w:p>
        </w:tc>
        <w:tc>
          <w:tcPr>
            <w:tcW w:w="243" w:type="pct"/>
          </w:tcPr>
          <w:p w:rsidR="001C78D7" w:rsidRPr="0072505E" w:rsidRDefault="001C78D7" w:rsidP="001C78D7">
            <w:pPr>
              <w:tabs>
                <w:tab w:val="left" w:pos="409"/>
              </w:tabs>
              <w:jc w:val="both"/>
              <w:rPr>
                <w:sz w:val="20"/>
              </w:rPr>
            </w:pPr>
            <w:r w:rsidRPr="0072505E">
              <w:rPr>
                <w:sz w:val="20"/>
              </w:rPr>
              <w:tab/>
            </w:r>
          </w:p>
        </w:tc>
        <w:tc>
          <w:tcPr>
            <w:tcW w:w="2330" w:type="pct"/>
          </w:tcPr>
          <w:p w:rsidR="001C78D7" w:rsidRPr="0072505E" w:rsidRDefault="001C78D7" w:rsidP="001C78D7">
            <w:pPr>
              <w:jc w:val="both"/>
              <w:rPr>
                <w:sz w:val="20"/>
                <w:lang w:val="fr-CA"/>
              </w:rPr>
            </w:pPr>
            <w:r w:rsidRPr="0072505E">
              <w:rPr>
                <w:sz w:val="20"/>
                <w:lang w:val="fr-CA"/>
              </w:rPr>
              <w:t xml:space="preserve">Accueil de la demande en vue de la déclaration de délinquant dangereux et ordonnance de la peine de détention pour une durée indéterminée. </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24 janvier 2020</w:t>
            </w:r>
          </w:p>
          <w:p w:rsidR="001C78D7" w:rsidRPr="0072505E" w:rsidRDefault="001C78D7" w:rsidP="001C78D7">
            <w:pPr>
              <w:jc w:val="both"/>
              <w:rPr>
                <w:sz w:val="20"/>
                <w:lang w:val="fr-CA"/>
              </w:rPr>
            </w:pPr>
            <w:r w:rsidRPr="0072505E">
              <w:rPr>
                <w:sz w:val="20"/>
                <w:lang w:val="fr-CA"/>
              </w:rPr>
              <w:t>Cour d’appel de la Colombie</w:t>
            </w:r>
            <w:r w:rsidRPr="0072505E">
              <w:rPr>
                <w:sz w:val="20"/>
                <w:lang w:val="fr-CA"/>
              </w:rPr>
              <w:noBreakHyphen/>
              <w:t>Britannique</w:t>
            </w:r>
          </w:p>
          <w:p w:rsidR="001C78D7" w:rsidRPr="0072505E" w:rsidRDefault="001C78D7" w:rsidP="001C78D7">
            <w:pPr>
              <w:jc w:val="both"/>
              <w:rPr>
                <w:sz w:val="20"/>
              </w:rPr>
            </w:pPr>
            <w:r w:rsidRPr="0072505E">
              <w:rPr>
                <w:sz w:val="20"/>
              </w:rPr>
              <w:t>(Vancouver)</w:t>
            </w:r>
          </w:p>
          <w:p w:rsidR="001C78D7" w:rsidRPr="0072505E" w:rsidRDefault="001C78D7" w:rsidP="001C78D7">
            <w:pPr>
              <w:jc w:val="both"/>
              <w:rPr>
                <w:sz w:val="20"/>
              </w:rPr>
            </w:pPr>
            <w:r w:rsidRPr="0072505E">
              <w:rPr>
                <w:sz w:val="20"/>
              </w:rPr>
              <w:t>(</w:t>
            </w:r>
            <w:proofErr w:type="spellStart"/>
            <w:r w:rsidRPr="0072505E">
              <w:rPr>
                <w:sz w:val="20"/>
              </w:rPr>
              <w:t>Groberman</w:t>
            </w:r>
            <w:proofErr w:type="spellEnd"/>
            <w:r w:rsidRPr="0072505E">
              <w:rPr>
                <w:sz w:val="20"/>
              </w:rPr>
              <w:t xml:space="preserve"> Harvey, Fisher, </w:t>
            </w:r>
            <w:proofErr w:type="spellStart"/>
            <w:r w:rsidRPr="0072505E">
              <w:rPr>
                <w:sz w:val="20"/>
              </w:rPr>
              <w:t>Abrioux</w:t>
            </w:r>
            <w:proofErr w:type="spellEnd"/>
            <w:r w:rsidRPr="0072505E">
              <w:rPr>
                <w:sz w:val="20"/>
              </w:rPr>
              <w:t>)</w:t>
            </w:r>
          </w:p>
          <w:p w:rsidR="001C78D7" w:rsidRPr="0072505E" w:rsidRDefault="001C78D7" w:rsidP="001C78D7">
            <w:pPr>
              <w:jc w:val="both"/>
              <w:rPr>
                <w:sz w:val="20"/>
              </w:rPr>
            </w:pPr>
            <w:hyperlink r:id="rId34" w:history="1">
              <w:r w:rsidRPr="0072505E">
                <w:rPr>
                  <w:rStyle w:val="Hyperlink"/>
                  <w:sz w:val="20"/>
                </w:rPr>
                <w:t>2020 BCCA 23</w:t>
              </w:r>
            </w:hyperlink>
            <w:r w:rsidRPr="0072505E">
              <w:rPr>
                <w:sz w:val="20"/>
              </w:rPr>
              <w:t>; CA44011</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Appel rejeté.</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24 juillet 2020</w:t>
            </w:r>
          </w:p>
          <w:p w:rsidR="001C78D7" w:rsidRPr="0072505E" w:rsidRDefault="001C78D7" w:rsidP="001C78D7">
            <w:pPr>
              <w:jc w:val="both"/>
              <w:rPr>
                <w:sz w:val="20"/>
                <w:lang w:val="fr-CA"/>
              </w:rPr>
            </w:pPr>
            <w:r w:rsidRPr="0072505E">
              <w:rPr>
                <w:sz w:val="20"/>
                <w:lang w:val="fr-CA"/>
              </w:rPr>
              <w:t>Cour suprême du Canada</w:t>
            </w: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Dépôt de la requête en vue de la prorogation du délai pour déposer et signifier une demande d’autorisation d’appel et demande d’autorisation d’appel.</w:t>
            </w:r>
          </w:p>
        </w:tc>
      </w:tr>
    </w:tbl>
    <w:p w:rsidR="001C78D7" w:rsidRPr="0072505E" w:rsidRDefault="001C78D7" w:rsidP="001C78D7">
      <w:pPr>
        <w:jc w:val="both"/>
        <w:rPr>
          <w:sz w:val="20"/>
          <w:lang w:val="fr-CA"/>
        </w:rPr>
      </w:pPr>
    </w:p>
    <w:p w:rsidR="001C78D7" w:rsidRPr="0072505E" w:rsidRDefault="001C78D7" w:rsidP="001C78D7">
      <w:pPr>
        <w:widowControl w:val="0"/>
        <w:jc w:val="both"/>
        <w:rPr>
          <w:sz w:val="20"/>
          <w:lang w:val="fr-CA"/>
        </w:rPr>
      </w:pPr>
      <w:r w:rsidRPr="0072505E">
        <w:rPr>
          <w:sz w:val="20"/>
        </w:rPr>
        <w:pict>
          <v:rect id="_x0000_i1037" style="width:2in;height:1pt" o:hrpct="0" o:hralign="center" o:hrstd="t" o:hrnoshade="t" o:hr="t" fillcolor="black [3213]" stroked="f"/>
        </w:pict>
      </w:r>
    </w:p>
    <w:p w:rsidR="001C78D7" w:rsidRPr="0072505E" w:rsidRDefault="001C78D7" w:rsidP="001C78D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39230</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Dustin Blue Moir v. Her Majesty the Queen</w:t>
            </w:r>
          </w:p>
          <w:p w:rsidR="001C78D7" w:rsidRPr="0072505E" w:rsidRDefault="001C78D7" w:rsidP="001C78D7">
            <w:pPr>
              <w:jc w:val="both"/>
              <w:rPr>
                <w:sz w:val="20"/>
              </w:rPr>
            </w:pPr>
            <w:r w:rsidRPr="0072505E">
              <w:rPr>
                <w:sz w:val="20"/>
              </w:rPr>
              <w:t>(B.C.) (Criminal) (By Leave)</w:t>
            </w:r>
          </w:p>
        </w:tc>
      </w:tr>
      <w:tr w:rsidR="001C78D7" w:rsidRPr="0072505E" w:rsidTr="001C78D7">
        <w:tc>
          <w:tcPr>
            <w:tcW w:w="5000" w:type="pct"/>
            <w:gridSpan w:val="4"/>
          </w:tcPr>
          <w:p w:rsidR="001C78D7" w:rsidRPr="0072505E" w:rsidRDefault="001C78D7" w:rsidP="001C78D7">
            <w:pPr>
              <w:jc w:val="both"/>
              <w:rPr>
                <w:sz w:val="20"/>
              </w:rPr>
            </w:pPr>
            <w:r w:rsidRPr="0072505E">
              <w:rPr>
                <w:sz w:val="20"/>
              </w:rPr>
              <w:lastRenderedPageBreak/>
              <w:t xml:space="preserve">Criminal law — Evidence — Admissibility — Undercover officers elicited confession from accused in Mr. Big operation — Does approach to confirmatory evidence articulated in </w:t>
            </w:r>
            <w:r w:rsidRPr="0072505E">
              <w:rPr>
                <w:i/>
                <w:sz w:val="20"/>
              </w:rPr>
              <w:t>R</w:t>
            </w:r>
            <w:r w:rsidRPr="0072505E">
              <w:rPr>
                <w:sz w:val="20"/>
              </w:rPr>
              <w:t xml:space="preserve">. </w:t>
            </w:r>
            <w:r w:rsidRPr="0072505E">
              <w:rPr>
                <w:i/>
                <w:sz w:val="20"/>
              </w:rPr>
              <w:t>v</w:t>
            </w:r>
            <w:r w:rsidRPr="0072505E">
              <w:rPr>
                <w:sz w:val="20"/>
              </w:rPr>
              <w:t>.</w:t>
            </w:r>
            <w:r w:rsidRPr="0072505E">
              <w:rPr>
                <w:i/>
                <w:sz w:val="20"/>
              </w:rPr>
              <w:t xml:space="preserve"> Bradshaw</w:t>
            </w:r>
            <w:r w:rsidRPr="0072505E">
              <w:rPr>
                <w:sz w:val="20"/>
              </w:rPr>
              <w:t>, 2017 SCC 35, apply to the assessment of the admissibility of a Mr. Big confession?</w:t>
            </w:r>
          </w:p>
        </w:tc>
      </w:tr>
      <w:tr w:rsidR="001C78D7" w:rsidRPr="0072505E" w:rsidTr="001C78D7">
        <w:tc>
          <w:tcPr>
            <w:tcW w:w="5000" w:type="pct"/>
            <w:gridSpan w:val="4"/>
          </w:tcPr>
          <w:p w:rsidR="001C78D7" w:rsidRPr="0072505E" w:rsidRDefault="001C78D7" w:rsidP="001C78D7">
            <w:pPr>
              <w:jc w:val="both"/>
              <w:rPr>
                <w:sz w:val="20"/>
              </w:rPr>
            </w:pPr>
          </w:p>
        </w:tc>
      </w:tr>
      <w:tr w:rsidR="001C78D7" w:rsidRPr="0072505E" w:rsidTr="001C78D7">
        <w:tc>
          <w:tcPr>
            <w:tcW w:w="5000" w:type="pct"/>
            <w:gridSpan w:val="4"/>
          </w:tcPr>
          <w:p w:rsidR="001C78D7" w:rsidRPr="0072505E" w:rsidRDefault="001C78D7" w:rsidP="001C78D7">
            <w:pPr>
              <w:jc w:val="both"/>
              <w:rPr>
                <w:sz w:val="20"/>
              </w:rPr>
            </w:pPr>
            <w:r w:rsidRPr="0072505E">
              <w:rPr>
                <w:sz w:val="20"/>
              </w:rPr>
              <w:t>The body of a murdered 14</w:t>
            </w:r>
            <w:r w:rsidRPr="0072505E">
              <w:rPr>
                <w:sz w:val="20"/>
              </w:rPr>
              <w:noBreakHyphen/>
              <w:t xml:space="preserve">year old girl was found in a shallow grave. The police mounted a Mr. Big undercover operation against Mr. Moir. They elicited confessions from Mr. Moir that reveal Mr. Moir’s knowledge of the murder and the crime scene. Mr. Moir testified that he exaggerated his involvement to Mr. Big in order to stay in the fictitious criminal organization. He testified that he was present when his father committed the murder and he only assisted in carrying the deceased to the grave, burying the body and disposing of her personal belongings. The trial judge applied </w:t>
            </w:r>
            <w:r w:rsidRPr="0072505E">
              <w:rPr>
                <w:i/>
                <w:sz w:val="20"/>
              </w:rPr>
              <w:t>R. v. Hart</w:t>
            </w:r>
            <w:r w:rsidRPr="0072505E">
              <w:rPr>
                <w:sz w:val="20"/>
              </w:rPr>
              <w:t xml:space="preserve">, </w:t>
            </w:r>
            <w:hyperlink r:id="rId35" w:history="1">
              <w:r w:rsidRPr="0072505E">
                <w:rPr>
                  <w:sz w:val="20"/>
                </w:rPr>
                <w:t>2014 SCC 52</w:t>
              </w:r>
            </w:hyperlink>
            <w:r w:rsidRPr="0072505E">
              <w:rPr>
                <w:sz w:val="20"/>
              </w:rPr>
              <w:t xml:space="preserve">, and admitted the Mr. Big evidence. A jury convicted Mr. Moir of first degree murder. The Court of Appeal dismissed an appeal. </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March 3, 2016</w:t>
            </w:r>
          </w:p>
          <w:p w:rsidR="001C78D7" w:rsidRPr="0072505E" w:rsidRDefault="001C78D7" w:rsidP="001C78D7">
            <w:pPr>
              <w:jc w:val="both"/>
              <w:rPr>
                <w:sz w:val="20"/>
              </w:rPr>
            </w:pPr>
            <w:r w:rsidRPr="0072505E">
              <w:rPr>
                <w:sz w:val="20"/>
              </w:rPr>
              <w:t>Supreme Court of British Columbia</w:t>
            </w:r>
          </w:p>
          <w:p w:rsidR="001C78D7" w:rsidRPr="0072505E" w:rsidRDefault="001C78D7" w:rsidP="001C78D7">
            <w:pPr>
              <w:jc w:val="both"/>
              <w:rPr>
                <w:sz w:val="20"/>
              </w:rPr>
            </w:pPr>
            <w:r w:rsidRPr="0072505E">
              <w:rPr>
                <w:sz w:val="20"/>
              </w:rPr>
              <w:t>(Griffin J.) (Unreported)</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Evidence ruled admissible</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March 6, 2017</w:t>
            </w:r>
          </w:p>
          <w:p w:rsidR="001C78D7" w:rsidRPr="0072505E" w:rsidRDefault="001C78D7" w:rsidP="001C78D7">
            <w:pPr>
              <w:jc w:val="both"/>
              <w:rPr>
                <w:sz w:val="20"/>
              </w:rPr>
            </w:pPr>
            <w:r w:rsidRPr="0072505E">
              <w:rPr>
                <w:sz w:val="20"/>
              </w:rPr>
              <w:t>Supreme Court of British Columbia</w:t>
            </w:r>
          </w:p>
          <w:p w:rsidR="001C78D7" w:rsidRPr="0072505E" w:rsidRDefault="001C78D7" w:rsidP="001C78D7">
            <w:pPr>
              <w:jc w:val="both"/>
              <w:rPr>
                <w:sz w:val="20"/>
              </w:rPr>
            </w:pPr>
            <w:r w:rsidRPr="0072505E">
              <w:rPr>
                <w:sz w:val="20"/>
              </w:rPr>
              <w:t>(Griffin J.) (Unreported)</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Conviction by jury for first degree murder</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April 23, 2020</w:t>
            </w:r>
          </w:p>
          <w:p w:rsidR="001C78D7" w:rsidRPr="0072505E" w:rsidRDefault="001C78D7" w:rsidP="001C78D7">
            <w:pPr>
              <w:jc w:val="both"/>
              <w:rPr>
                <w:sz w:val="20"/>
              </w:rPr>
            </w:pPr>
            <w:r w:rsidRPr="0072505E">
              <w:rPr>
                <w:sz w:val="20"/>
              </w:rPr>
              <w:t>Court of Appeal for British Columbia (Vancouver)</w:t>
            </w:r>
          </w:p>
          <w:p w:rsidR="001C78D7" w:rsidRPr="0072505E" w:rsidRDefault="001C78D7" w:rsidP="001C78D7">
            <w:pPr>
              <w:jc w:val="both"/>
              <w:rPr>
                <w:sz w:val="20"/>
              </w:rPr>
            </w:pPr>
            <w:r w:rsidRPr="0072505E">
              <w:rPr>
                <w:sz w:val="20"/>
              </w:rPr>
              <w:t xml:space="preserve">(Newbury, </w:t>
            </w:r>
            <w:proofErr w:type="spellStart"/>
            <w:r w:rsidRPr="0072505E">
              <w:rPr>
                <w:sz w:val="20"/>
              </w:rPr>
              <w:t>Goepel</w:t>
            </w:r>
            <w:proofErr w:type="spellEnd"/>
            <w:r w:rsidRPr="0072505E">
              <w:rPr>
                <w:sz w:val="20"/>
              </w:rPr>
              <w:t>, Butler JJ.A.)</w:t>
            </w:r>
          </w:p>
          <w:p w:rsidR="001C78D7" w:rsidRPr="0072505E" w:rsidRDefault="001C78D7" w:rsidP="001C78D7">
            <w:pPr>
              <w:jc w:val="both"/>
              <w:rPr>
                <w:color w:val="000000"/>
                <w:sz w:val="20"/>
              </w:rPr>
            </w:pPr>
            <w:hyperlink r:id="rId36" w:history="1">
              <w:r w:rsidRPr="0072505E">
                <w:rPr>
                  <w:rStyle w:val="Hyperlink"/>
                  <w:sz w:val="20"/>
                </w:rPr>
                <w:t>2020 BCCA 116</w:t>
              </w:r>
            </w:hyperlink>
            <w:r w:rsidRPr="0072505E">
              <w:rPr>
                <w:color w:val="000000"/>
                <w:sz w:val="20"/>
              </w:rPr>
              <w:t>; CA44328</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dismissed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June 22, 2020</w:t>
            </w:r>
          </w:p>
          <w:p w:rsidR="001C78D7" w:rsidRPr="0072505E" w:rsidRDefault="001C78D7" w:rsidP="001C78D7">
            <w:pPr>
              <w:jc w:val="both"/>
              <w:rPr>
                <w:sz w:val="20"/>
              </w:rPr>
            </w:pPr>
            <w:r w:rsidRPr="0072505E">
              <w:rPr>
                <w:sz w:val="20"/>
              </w:rPr>
              <w:t>Supreme Court of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Application for leave to appeal filed</w:t>
            </w:r>
          </w:p>
          <w:p w:rsidR="001C78D7" w:rsidRPr="0072505E" w:rsidRDefault="001C78D7" w:rsidP="001C78D7">
            <w:pPr>
              <w:jc w:val="both"/>
              <w:rPr>
                <w:sz w:val="20"/>
              </w:rPr>
            </w:pPr>
          </w:p>
        </w:tc>
      </w:tr>
    </w:tbl>
    <w:p w:rsidR="001C78D7" w:rsidRPr="0072505E" w:rsidRDefault="001C78D7" w:rsidP="001C78D7">
      <w:pPr>
        <w:jc w:val="both"/>
        <w:rPr>
          <w:sz w:val="20"/>
        </w:rPr>
      </w:pPr>
    </w:p>
    <w:p w:rsidR="001C78D7" w:rsidRPr="0072505E" w:rsidRDefault="001C78D7" w:rsidP="001C78D7">
      <w:pPr>
        <w:jc w:val="both"/>
        <w:rPr>
          <w:sz w:val="20"/>
        </w:rPr>
      </w:pPr>
      <w:r w:rsidRPr="0072505E">
        <w:rPr>
          <w:sz w:val="20"/>
        </w:rPr>
        <w:pict>
          <v:rect id="_x0000_i1038" style="width:2in;height:1pt" o:hrpct="0" o:hralign="center" o:hrstd="t" o:hrnoshade="t" o:hr="t" fillcolor="black [3213]" stroked="f"/>
        </w:pict>
      </w:r>
    </w:p>
    <w:p w:rsidR="001C78D7" w:rsidRPr="0072505E" w:rsidRDefault="001C78D7" w:rsidP="001C78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39230</w:t>
            </w:r>
          </w:p>
        </w:tc>
        <w:tc>
          <w:tcPr>
            <w:tcW w:w="4457" w:type="pct"/>
            <w:gridSpan w:val="3"/>
          </w:tcPr>
          <w:p w:rsidR="001C78D7" w:rsidRPr="0072505E" w:rsidRDefault="001C78D7" w:rsidP="001C78D7">
            <w:pPr>
              <w:pStyle w:val="SCCLsocParty"/>
              <w:jc w:val="both"/>
              <w:rPr>
                <w:b/>
                <w:sz w:val="20"/>
                <w:szCs w:val="20"/>
              </w:rPr>
            </w:pPr>
            <w:r w:rsidRPr="0072505E">
              <w:rPr>
                <w:b/>
                <w:sz w:val="20"/>
                <w:szCs w:val="20"/>
              </w:rPr>
              <w:t>Dustin Blue Moir c. Sa Majesté la Reine</w:t>
            </w:r>
          </w:p>
          <w:p w:rsidR="001C78D7" w:rsidRPr="0072505E" w:rsidRDefault="001C78D7" w:rsidP="001C78D7">
            <w:pPr>
              <w:jc w:val="both"/>
              <w:rPr>
                <w:sz w:val="20"/>
                <w:lang w:val="fr-CA"/>
              </w:rPr>
            </w:pPr>
            <w:r w:rsidRPr="0072505E">
              <w:rPr>
                <w:sz w:val="20"/>
                <w:lang w:val="fr-CA"/>
              </w:rPr>
              <w:t>(C.</w:t>
            </w:r>
            <w:r w:rsidRPr="0072505E">
              <w:rPr>
                <w:sz w:val="20"/>
                <w:lang w:val="fr-CA"/>
              </w:rPr>
              <w:noBreakHyphen/>
              <w:t>B.) (Criminelle) (Sur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 xml:space="preserve">Droit criminel — Preuve — Admissibilité — Aveux soutirés à l’accusé par des agents banalisés lors d’une opération Monsieur </w:t>
            </w:r>
            <w:proofErr w:type="spellStart"/>
            <w:r w:rsidRPr="0072505E">
              <w:rPr>
                <w:sz w:val="20"/>
                <w:lang w:val="fr-CA"/>
              </w:rPr>
              <w:t>Big</w:t>
            </w:r>
            <w:proofErr w:type="spellEnd"/>
            <w:r w:rsidRPr="0072505E">
              <w:rPr>
                <w:sz w:val="20"/>
                <w:lang w:val="fr-CA"/>
              </w:rPr>
              <w:t xml:space="preserve"> — Faut</w:t>
            </w:r>
            <w:r w:rsidRPr="0072505E">
              <w:rPr>
                <w:sz w:val="20"/>
                <w:lang w:val="fr-CA"/>
              </w:rPr>
              <w:noBreakHyphen/>
              <w:t xml:space="preserve">il utiliser la méthode d’analyse de la preuve corroborante énoncée dans l’arrêt </w:t>
            </w:r>
            <w:r w:rsidRPr="0072505E">
              <w:rPr>
                <w:i/>
                <w:sz w:val="20"/>
                <w:lang w:val="fr-CA"/>
              </w:rPr>
              <w:t>R</w:t>
            </w:r>
            <w:r w:rsidRPr="0072505E">
              <w:rPr>
                <w:sz w:val="20"/>
                <w:lang w:val="fr-CA"/>
              </w:rPr>
              <w:t xml:space="preserve">. </w:t>
            </w:r>
            <w:r w:rsidRPr="0072505E">
              <w:rPr>
                <w:i/>
                <w:sz w:val="20"/>
                <w:lang w:val="fr-CA"/>
              </w:rPr>
              <w:t>c</w:t>
            </w:r>
            <w:r w:rsidRPr="0072505E">
              <w:rPr>
                <w:sz w:val="20"/>
                <w:lang w:val="fr-CA"/>
              </w:rPr>
              <w:t>.</w:t>
            </w:r>
            <w:r w:rsidRPr="0072505E">
              <w:rPr>
                <w:i/>
                <w:sz w:val="20"/>
                <w:lang w:val="fr-CA"/>
              </w:rPr>
              <w:t xml:space="preserve"> Bradshaw</w:t>
            </w:r>
            <w:r w:rsidRPr="0072505E">
              <w:rPr>
                <w:sz w:val="20"/>
                <w:lang w:val="fr-CA"/>
              </w:rPr>
              <w:t>, 2017 CSC 35, pour évaluer l’admissibilité d’aveux issus d’une opération Monsieur Big?</w:t>
            </w:r>
          </w:p>
        </w:tc>
      </w:tr>
      <w:tr w:rsidR="001C78D7" w:rsidRPr="0072505E" w:rsidTr="001C78D7">
        <w:tc>
          <w:tcPr>
            <w:tcW w:w="5000" w:type="pct"/>
            <w:gridSpan w:val="4"/>
          </w:tcPr>
          <w:p w:rsidR="001C78D7" w:rsidRPr="0072505E" w:rsidRDefault="001C78D7" w:rsidP="001C78D7">
            <w:pPr>
              <w:jc w:val="both"/>
              <w:rPr>
                <w:sz w:val="20"/>
                <w:lang w:val="fr-CA"/>
              </w:rPr>
            </w:pP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Le corps d’une fille tuée de 14 ans a été retrouvé dans une fosse peu profonde. Les policiers ont  entrepris une opération d’infiltration Monsieur Big à l’encontre de M. </w:t>
            </w:r>
            <w:proofErr w:type="spellStart"/>
            <w:r w:rsidRPr="0072505E">
              <w:rPr>
                <w:sz w:val="20"/>
                <w:lang w:val="fr-CA"/>
              </w:rPr>
              <w:t>Moir</w:t>
            </w:r>
            <w:proofErr w:type="spellEnd"/>
            <w:r w:rsidRPr="0072505E">
              <w:rPr>
                <w:sz w:val="20"/>
                <w:lang w:val="fr-CA"/>
              </w:rPr>
              <w:t xml:space="preserve">. Ils lui ont soutiré des aveux révélant qu’il avait connaissance du meurtre et du lieu du crime. M. Moir a dit avoir exagéré sa participation en parlant avec Monsieur Big afin de rester au sein de l’organisation criminelle fictive. Selon son témoignage, il était sur les lieux quand son père a commis le meurtre et il l’a seulement aidé à déposer la défunte dans la fosse, à enterrer le corps et à se débarrasser de ses effets personnels. Le juge du procès a appliqué l’arrêt </w:t>
            </w:r>
            <w:r w:rsidRPr="0072505E">
              <w:rPr>
                <w:i/>
                <w:sz w:val="20"/>
                <w:lang w:val="fr-CA"/>
              </w:rPr>
              <w:t>R. c. Hart</w:t>
            </w:r>
            <w:r w:rsidRPr="0072505E">
              <w:rPr>
                <w:sz w:val="20"/>
                <w:lang w:val="fr-CA"/>
              </w:rPr>
              <w:t xml:space="preserve">, </w:t>
            </w:r>
            <w:hyperlink r:id="rId37" w:history="1">
              <w:r w:rsidRPr="0072505E">
                <w:rPr>
                  <w:sz w:val="20"/>
                  <w:lang w:val="fr-CA"/>
                </w:rPr>
                <w:t>2014 CSC 52</w:t>
              </w:r>
            </w:hyperlink>
            <w:r w:rsidRPr="0072505E">
              <w:rPr>
                <w:sz w:val="20"/>
                <w:lang w:val="fr-CA"/>
              </w:rPr>
              <w:t>, et admis la preuve recueillie durant l’opération Monsieur Big. Un jury a reconnu M. </w:t>
            </w:r>
            <w:proofErr w:type="spellStart"/>
            <w:r w:rsidRPr="0072505E">
              <w:rPr>
                <w:sz w:val="20"/>
                <w:lang w:val="fr-CA"/>
              </w:rPr>
              <w:t>Moir</w:t>
            </w:r>
            <w:proofErr w:type="spellEnd"/>
            <w:r w:rsidRPr="0072505E">
              <w:rPr>
                <w:sz w:val="20"/>
                <w:lang w:val="fr-CA"/>
              </w:rPr>
              <w:t xml:space="preserve"> coupable de meurtre au premier degré. La Cour d’appel a rejeté un appel.</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3 mars 2016</w:t>
            </w:r>
          </w:p>
          <w:p w:rsidR="001C78D7" w:rsidRPr="0072505E" w:rsidRDefault="001C78D7" w:rsidP="001C78D7">
            <w:pPr>
              <w:jc w:val="both"/>
              <w:rPr>
                <w:sz w:val="20"/>
                <w:lang w:val="fr-CA"/>
              </w:rPr>
            </w:pPr>
            <w:r w:rsidRPr="0072505E">
              <w:rPr>
                <w:sz w:val="20"/>
                <w:lang w:val="fr-CA"/>
              </w:rPr>
              <w:t>Cour suprême de la Colombie</w:t>
            </w:r>
            <w:r w:rsidRPr="0072505E">
              <w:rPr>
                <w:sz w:val="20"/>
                <w:lang w:val="fr-CA"/>
              </w:rPr>
              <w:noBreakHyphen/>
              <w:t xml:space="preserve">Britannique </w:t>
            </w:r>
          </w:p>
          <w:p w:rsidR="001C78D7" w:rsidRPr="0072505E" w:rsidRDefault="001C78D7" w:rsidP="001C78D7">
            <w:pPr>
              <w:jc w:val="both"/>
              <w:rPr>
                <w:sz w:val="20"/>
                <w:lang w:val="fr-CA"/>
              </w:rPr>
            </w:pPr>
            <w:r w:rsidRPr="0072505E">
              <w:rPr>
                <w:sz w:val="20"/>
                <w:lang w:val="fr-CA"/>
              </w:rPr>
              <w:t>(Juge Griffin) (Non publiée)</w:t>
            </w:r>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rPr>
            </w:pPr>
            <w:r w:rsidRPr="0072505E">
              <w:rPr>
                <w:sz w:val="20"/>
                <w:lang w:val="fr-CA"/>
              </w:rPr>
              <w:t>Preuve jugée admissibl</w:t>
            </w:r>
            <w:r w:rsidRPr="0072505E">
              <w:rPr>
                <w:sz w:val="20"/>
              </w:rPr>
              <w:t>e</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6 mars 2017</w:t>
            </w:r>
          </w:p>
          <w:p w:rsidR="001C78D7" w:rsidRPr="0072505E" w:rsidRDefault="001C78D7" w:rsidP="001C78D7">
            <w:pPr>
              <w:jc w:val="both"/>
              <w:rPr>
                <w:sz w:val="20"/>
                <w:lang w:val="fr-CA"/>
              </w:rPr>
            </w:pPr>
            <w:r w:rsidRPr="0072505E">
              <w:rPr>
                <w:sz w:val="20"/>
                <w:lang w:val="fr-CA"/>
              </w:rPr>
              <w:t>Cour suprême de la Colombie</w:t>
            </w:r>
            <w:r w:rsidRPr="0072505E">
              <w:rPr>
                <w:sz w:val="20"/>
                <w:lang w:val="fr-CA"/>
              </w:rPr>
              <w:noBreakHyphen/>
              <w:t>Britannique</w:t>
            </w:r>
          </w:p>
          <w:p w:rsidR="001C78D7" w:rsidRPr="0072505E" w:rsidRDefault="001C78D7" w:rsidP="001C78D7">
            <w:pPr>
              <w:jc w:val="both"/>
              <w:rPr>
                <w:sz w:val="20"/>
              </w:rPr>
            </w:pPr>
            <w:r w:rsidRPr="0072505E">
              <w:rPr>
                <w:sz w:val="20"/>
              </w:rPr>
              <w:t>(Juge Griffin) (Non publiée)</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lang w:val="fr-CA"/>
              </w:rPr>
            </w:pPr>
            <w:r w:rsidRPr="0072505E">
              <w:rPr>
                <w:sz w:val="20"/>
                <w:lang w:val="fr-CA"/>
              </w:rPr>
              <w:t xml:space="preserve">Déclaration de culpabilité pour meurtre au premier degré prononcée par le jury </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23 avril 2020</w:t>
            </w:r>
          </w:p>
          <w:p w:rsidR="001C78D7" w:rsidRPr="0072505E" w:rsidRDefault="001C78D7" w:rsidP="001C78D7">
            <w:pPr>
              <w:jc w:val="both"/>
              <w:rPr>
                <w:sz w:val="20"/>
                <w:lang w:val="fr-CA"/>
              </w:rPr>
            </w:pPr>
            <w:r w:rsidRPr="0072505E">
              <w:rPr>
                <w:sz w:val="20"/>
                <w:lang w:val="fr-CA"/>
              </w:rPr>
              <w:lastRenderedPageBreak/>
              <w:t>Cour d’appel de la Colombie</w:t>
            </w:r>
            <w:r w:rsidRPr="0072505E">
              <w:rPr>
                <w:sz w:val="20"/>
                <w:lang w:val="fr-CA"/>
              </w:rPr>
              <w:noBreakHyphen/>
              <w:t>Britannique (Vancouver)</w:t>
            </w:r>
          </w:p>
          <w:p w:rsidR="001C78D7" w:rsidRPr="0072505E" w:rsidRDefault="001C78D7" w:rsidP="001C78D7">
            <w:pPr>
              <w:jc w:val="both"/>
              <w:rPr>
                <w:sz w:val="20"/>
                <w:lang w:val="fr-CA"/>
              </w:rPr>
            </w:pPr>
            <w:r w:rsidRPr="0072505E">
              <w:rPr>
                <w:sz w:val="20"/>
                <w:lang w:val="fr-CA"/>
              </w:rPr>
              <w:t>(Juges Newbury, Goepel et Butler)</w:t>
            </w:r>
          </w:p>
          <w:p w:rsidR="001C78D7" w:rsidRPr="0072505E" w:rsidRDefault="001C78D7" w:rsidP="001C78D7">
            <w:pPr>
              <w:jc w:val="both"/>
              <w:rPr>
                <w:color w:val="000000"/>
                <w:sz w:val="20"/>
              </w:rPr>
            </w:pPr>
            <w:hyperlink r:id="rId38" w:history="1">
              <w:r w:rsidRPr="0072505E">
                <w:rPr>
                  <w:rStyle w:val="Hyperlink"/>
                  <w:sz w:val="20"/>
                </w:rPr>
                <w:t>2020 BCCA 116</w:t>
              </w:r>
            </w:hyperlink>
            <w:r w:rsidRPr="0072505E">
              <w:rPr>
                <w:color w:val="000000"/>
                <w:sz w:val="20"/>
              </w:rPr>
              <w:t>; CA44328</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Rejet de l’appel</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lastRenderedPageBreak/>
              <w:t>22 juin 2020</w:t>
            </w:r>
          </w:p>
          <w:p w:rsidR="001C78D7" w:rsidRPr="0072505E" w:rsidRDefault="001C78D7" w:rsidP="001C78D7">
            <w:pPr>
              <w:jc w:val="both"/>
              <w:rPr>
                <w:sz w:val="20"/>
                <w:lang w:val="fr-CA"/>
              </w:rPr>
            </w:pPr>
            <w:r w:rsidRPr="0072505E">
              <w:rPr>
                <w:sz w:val="20"/>
                <w:lang w:val="fr-CA"/>
              </w:rPr>
              <w:t>Cour suprême du Canada</w:t>
            </w: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 xml:space="preserve">Dépôt de la demande d’autorisation d’appel </w:t>
            </w:r>
          </w:p>
          <w:p w:rsidR="001C78D7" w:rsidRPr="0072505E" w:rsidRDefault="001C78D7" w:rsidP="001C78D7">
            <w:pPr>
              <w:jc w:val="both"/>
              <w:rPr>
                <w:sz w:val="20"/>
                <w:lang w:val="fr-CA"/>
              </w:rPr>
            </w:pPr>
          </w:p>
        </w:tc>
      </w:tr>
    </w:tbl>
    <w:p w:rsidR="001C78D7" w:rsidRPr="0072505E" w:rsidRDefault="001C78D7" w:rsidP="001C78D7">
      <w:pPr>
        <w:jc w:val="both"/>
        <w:rPr>
          <w:sz w:val="20"/>
          <w:lang w:val="fr-CA"/>
        </w:rPr>
      </w:pPr>
    </w:p>
    <w:p w:rsidR="001C78D7" w:rsidRPr="0072505E" w:rsidRDefault="0072505E" w:rsidP="001C78D7">
      <w:pPr>
        <w:widowControl w:val="0"/>
        <w:jc w:val="both"/>
        <w:rPr>
          <w:sz w:val="20"/>
          <w:lang w:val="fr-CA"/>
        </w:rPr>
      </w:pPr>
      <w:r w:rsidRPr="0072505E">
        <w:rPr>
          <w:sz w:val="20"/>
        </w:rPr>
        <w:pict>
          <v:rect id="_x0000_i1039" style="width:2in;height:1pt" o:hrpct="0" o:hralign="center" o:hrstd="t" o:hrnoshade="t" o:hr="t" fillcolor="black [3213]" stroked="f"/>
        </w:pict>
      </w:r>
    </w:p>
    <w:p w:rsidR="001C78D7" w:rsidRPr="0072505E" w:rsidRDefault="001C78D7" w:rsidP="001C78D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39237</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Michael Yar Zuk v. Alberta Dental Association and College, Appeal Panel of the Council of the Alberta Dental Association and College</w:t>
            </w:r>
          </w:p>
          <w:p w:rsidR="001C78D7" w:rsidRPr="0072505E" w:rsidRDefault="001C78D7" w:rsidP="001C78D7">
            <w:pPr>
              <w:jc w:val="both"/>
              <w:rPr>
                <w:sz w:val="20"/>
              </w:rPr>
            </w:pPr>
            <w:r w:rsidRPr="0072505E">
              <w:rPr>
                <w:sz w:val="20"/>
              </w:rPr>
              <w:t>(Alta.) (Civil) (By Leave)</w:t>
            </w:r>
          </w:p>
        </w:tc>
      </w:tr>
      <w:tr w:rsidR="001C78D7" w:rsidRPr="0072505E" w:rsidTr="001C78D7">
        <w:tc>
          <w:tcPr>
            <w:tcW w:w="5000" w:type="pct"/>
            <w:gridSpan w:val="4"/>
          </w:tcPr>
          <w:p w:rsidR="001C78D7" w:rsidRPr="0072505E" w:rsidRDefault="001C78D7" w:rsidP="001C78D7">
            <w:pPr>
              <w:jc w:val="both"/>
              <w:rPr>
                <w:sz w:val="20"/>
              </w:rPr>
            </w:pPr>
            <w:r w:rsidRPr="0072505E">
              <w:rPr>
                <w:sz w:val="20"/>
              </w:rPr>
              <w:t>Administrative law — Boards and tribunals — Regulatory boards — Alberta Dental Association and College — Standard of review — Procedural fairness — Reasonable apprehension of bias —Whether the appeal panel erred when it failed to disqualify itself from reconsidering the sanctions and costs imposed — Whether the reconsidered sanction and costs were unreasonable, based on an error in principle?</w:t>
            </w:r>
          </w:p>
        </w:tc>
      </w:tr>
      <w:tr w:rsidR="001C78D7" w:rsidRPr="0072505E" w:rsidTr="001C78D7">
        <w:tc>
          <w:tcPr>
            <w:tcW w:w="5000" w:type="pct"/>
            <w:gridSpan w:val="4"/>
          </w:tcPr>
          <w:p w:rsidR="001C78D7" w:rsidRPr="0072505E" w:rsidRDefault="001C78D7" w:rsidP="001C78D7">
            <w:pPr>
              <w:jc w:val="both"/>
              <w:rPr>
                <w:sz w:val="20"/>
              </w:rPr>
            </w:pPr>
          </w:p>
          <w:p w:rsidR="001C78D7" w:rsidRPr="0072505E" w:rsidRDefault="001C78D7" w:rsidP="001C78D7">
            <w:pPr>
              <w:jc w:val="both"/>
              <w:rPr>
                <w:sz w:val="20"/>
              </w:rPr>
            </w:pPr>
            <w:r w:rsidRPr="0072505E">
              <w:rPr>
                <w:sz w:val="20"/>
              </w:rPr>
              <w:t xml:space="preserve">Dr. Michael Yar Zuk is a dentist who has been involved in protracted disciplinary proceedings with the Alberta Dental Association &amp; College. An appeal panel of the Dental Association upheld a hearing tribunal’s findings against Dr. Zuk with respect to 21 counts of unprofessional conduct under the </w:t>
            </w:r>
            <w:r w:rsidRPr="0072505E">
              <w:rPr>
                <w:i/>
                <w:sz w:val="20"/>
              </w:rPr>
              <w:t>Health Professions Act</w:t>
            </w:r>
            <w:r w:rsidRPr="0072505E">
              <w:rPr>
                <w:sz w:val="20"/>
              </w:rPr>
              <w:t>, RSA 2000, c. H</w:t>
            </w:r>
            <w:r w:rsidRPr="0072505E">
              <w:rPr>
                <w:sz w:val="20"/>
              </w:rPr>
              <w:noBreakHyphen/>
              <w:t>7, imposing both sanctions and costs. On further appeal to the Court of Appeal for Alberta, 2 of the 21 counts were overturned. The Court of Appeal directed the Dental Association reconsider both sanction and costs. The same appeal panel reduced Dr. Zuk’s period of suspension and also reduced the costs awarded against him. Dr. Zuk’s second appeal to the Court of Appeal for Alberta was unanimously dismissed.</w:t>
            </w:r>
          </w:p>
        </w:tc>
      </w:tr>
      <w:tr w:rsidR="001C78D7" w:rsidRPr="0072505E" w:rsidTr="001C78D7">
        <w:tc>
          <w:tcPr>
            <w:tcW w:w="5000" w:type="pct"/>
            <w:gridSpan w:val="4"/>
          </w:tcPr>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February 14, 2017</w:t>
            </w:r>
          </w:p>
          <w:p w:rsidR="001C78D7" w:rsidRPr="0072505E" w:rsidRDefault="001C78D7" w:rsidP="001C78D7">
            <w:pPr>
              <w:jc w:val="both"/>
              <w:rPr>
                <w:sz w:val="20"/>
              </w:rPr>
            </w:pPr>
            <w:r w:rsidRPr="0072505E">
              <w:rPr>
                <w:sz w:val="20"/>
              </w:rPr>
              <w:t xml:space="preserve">Appeal Panel of the Council of the Alberta </w:t>
            </w:r>
          </w:p>
          <w:p w:rsidR="001C78D7" w:rsidRPr="0072505E" w:rsidRDefault="001C78D7" w:rsidP="001C78D7">
            <w:pPr>
              <w:jc w:val="both"/>
              <w:rPr>
                <w:sz w:val="20"/>
              </w:rPr>
            </w:pPr>
            <w:r w:rsidRPr="0072505E">
              <w:rPr>
                <w:sz w:val="20"/>
              </w:rPr>
              <w:t>Dental Association and College</w:t>
            </w:r>
          </w:p>
          <w:p w:rsidR="001C78D7" w:rsidRPr="0072505E" w:rsidRDefault="001C78D7" w:rsidP="001C78D7">
            <w:pPr>
              <w:jc w:val="both"/>
              <w:rPr>
                <w:sz w:val="20"/>
              </w:rPr>
            </w:pPr>
            <w:r w:rsidRPr="0072505E">
              <w:rPr>
                <w:sz w:val="20"/>
              </w:rPr>
              <w:t>Unreported</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Dr. Michael Yar Zuk’s appeal of numerous professional misconduct findings dismissed with costs.</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August 21, 2018</w:t>
            </w:r>
          </w:p>
          <w:p w:rsidR="001C78D7" w:rsidRPr="0072505E" w:rsidRDefault="001C78D7" w:rsidP="001C78D7">
            <w:pPr>
              <w:jc w:val="both"/>
              <w:rPr>
                <w:sz w:val="20"/>
              </w:rPr>
            </w:pPr>
            <w:r w:rsidRPr="0072505E">
              <w:rPr>
                <w:sz w:val="20"/>
              </w:rPr>
              <w:t>Court of Appeal of Alberta (Edmonton)</w:t>
            </w:r>
          </w:p>
          <w:p w:rsidR="001C78D7" w:rsidRPr="0072505E" w:rsidRDefault="001C78D7" w:rsidP="001C78D7">
            <w:pPr>
              <w:jc w:val="both"/>
              <w:rPr>
                <w:sz w:val="20"/>
              </w:rPr>
            </w:pPr>
            <w:r w:rsidRPr="0072505E">
              <w:rPr>
                <w:sz w:val="20"/>
              </w:rPr>
              <w:t xml:space="preserve">(Veldhuis, Wakeling, and </w:t>
            </w:r>
            <w:proofErr w:type="spellStart"/>
            <w:r w:rsidRPr="0072505E">
              <w:rPr>
                <w:sz w:val="20"/>
              </w:rPr>
              <w:t>Greckol</w:t>
            </w:r>
            <w:proofErr w:type="spellEnd"/>
            <w:r w:rsidRPr="0072505E">
              <w:rPr>
                <w:sz w:val="20"/>
              </w:rPr>
              <w:t xml:space="preserve"> JJ.A.)</w:t>
            </w:r>
          </w:p>
          <w:p w:rsidR="001C78D7" w:rsidRPr="0072505E" w:rsidRDefault="001C78D7" w:rsidP="001C78D7">
            <w:pPr>
              <w:jc w:val="both"/>
              <w:rPr>
                <w:sz w:val="20"/>
              </w:rPr>
            </w:pPr>
            <w:hyperlink r:id="rId39" w:history="1">
              <w:r w:rsidRPr="0072505E">
                <w:rPr>
                  <w:rStyle w:val="Hyperlink"/>
                  <w:sz w:val="20"/>
                </w:rPr>
                <w:t>2018 ABCA 270</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allowed; 2 of 21 findings of professional misconduct overturned; costs and sanction remitted back for reconsideration.</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March 5, 2019</w:t>
            </w:r>
          </w:p>
          <w:p w:rsidR="001C78D7" w:rsidRPr="0072505E" w:rsidRDefault="001C78D7" w:rsidP="001C78D7">
            <w:pPr>
              <w:jc w:val="both"/>
              <w:rPr>
                <w:sz w:val="20"/>
              </w:rPr>
            </w:pPr>
            <w:r w:rsidRPr="0072505E">
              <w:rPr>
                <w:sz w:val="20"/>
              </w:rPr>
              <w:t xml:space="preserve">Appeal Panel of the Council of the Alberta </w:t>
            </w:r>
          </w:p>
          <w:p w:rsidR="001C78D7" w:rsidRPr="0072505E" w:rsidRDefault="001C78D7" w:rsidP="001C78D7">
            <w:pPr>
              <w:jc w:val="both"/>
              <w:rPr>
                <w:sz w:val="20"/>
              </w:rPr>
            </w:pPr>
            <w:r w:rsidRPr="0072505E">
              <w:rPr>
                <w:sz w:val="20"/>
              </w:rPr>
              <w:t>Dental Association and College</w:t>
            </w:r>
          </w:p>
          <w:p w:rsidR="001C78D7" w:rsidRPr="0072505E" w:rsidRDefault="001C78D7" w:rsidP="001C78D7">
            <w:pPr>
              <w:jc w:val="both"/>
              <w:rPr>
                <w:sz w:val="20"/>
              </w:rPr>
            </w:pPr>
            <w:r w:rsidRPr="0072505E">
              <w:rPr>
                <w:sz w:val="20"/>
              </w:rPr>
              <w:t>Unreported</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Sanction reduced to 6</w:t>
            </w:r>
            <w:r w:rsidRPr="0072505E">
              <w:rPr>
                <w:sz w:val="20"/>
              </w:rPr>
              <w:noBreakHyphen/>
              <w:t xml:space="preserve">month suspension and costs reduced by $50,000. </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April 29, 2020</w:t>
            </w:r>
          </w:p>
          <w:p w:rsidR="001C78D7" w:rsidRPr="0072505E" w:rsidRDefault="001C78D7" w:rsidP="001C78D7">
            <w:pPr>
              <w:jc w:val="both"/>
              <w:rPr>
                <w:sz w:val="20"/>
              </w:rPr>
            </w:pPr>
            <w:r w:rsidRPr="0072505E">
              <w:rPr>
                <w:sz w:val="20"/>
              </w:rPr>
              <w:t>Court of Appeal of Alberta (Edmonton)</w:t>
            </w:r>
          </w:p>
          <w:p w:rsidR="001C78D7" w:rsidRPr="0072505E" w:rsidRDefault="001C78D7" w:rsidP="001C78D7">
            <w:pPr>
              <w:jc w:val="both"/>
              <w:rPr>
                <w:sz w:val="20"/>
              </w:rPr>
            </w:pPr>
            <w:r w:rsidRPr="0072505E">
              <w:rPr>
                <w:sz w:val="20"/>
              </w:rPr>
              <w:t xml:space="preserve">(O'Ferrall, Schutz, and </w:t>
            </w:r>
            <w:proofErr w:type="spellStart"/>
            <w:r w:rsidRPr="0072505E">
              <w:rPr>
                <w:sz w:val="20"/>
              </w:rPr>
              <w:t>Pentelechuck</w:t>
            </w:r>
            <w:proofErr w:type="spellEnd"/>
            <w:r w:rsidRPr="0072505E">
              <w:rPr>
                <w:sz w:val="20"/>
              </w:rPr>
              <w:t xml:space="preserve"> JJ.A.)</w:t>
            </w:r>
          </w:p>
          <w:p w:rsidR="001C78D7" w:rsidRPr="0072505E" w:rsidRDefault="001C78D7" w:rsidP="001C78D7">
            <w:pPr>
              <w:jc w:val="both"/>
              <w:rPr>
                <w:sz w:val="20"/>
              </w:rPr>
            </w:pPr>
            <w:hyperlink r:id="rId40" w:history="1">
              <w:r w:rsidRPr="0072505E">
                <w:rPr>
                  <w:rStyle w:val="Hyperlink"/>
                  <w:sz w:val="20"/>
                </w:rPr>
                <w:t>2020 ABCA 162</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dismissed.</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June 24, 2020</w:t>
            </w:r>
          </w:p>
          <w:p w:rsidR="001C78D7" w:rsidRPr="0072505E" w:rsidRDefault="001C78D7" w:rsidP="001C78D7">
            <w:pPr>
              <w:jc w:val="both"/>
              <w:rPr>
                <w:sz w:val="20"/>
              </w:rPr>
            </w:pPr>
            <w:r w:rsidRPr="0072505E">
              <w:rPr>
                <w:sz w:val="20"/>
              </w:rPr>
              <w:t>Supreme Court of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Application for leave to appeal filed</w:t>
            </w:r>
          </w:p>
          <w:p w:rsidR="001C78D7" w:rsidRPr="0072505E" w:rsidRDefault="001C78D7" w:rsidP="001C78D7">
            <w:pPr>
              <w:jc w:val="both"/>
              <w:rPr>
                <w:sz w:val="20"/>
              </w:rPr>
            </w:pPr>
          </w:p>
        </w:tc>
      </w:tr>
    </w:tbl>
    <w:p w:rsidR="001C78D7" w:rsidRPr="0072505E" w:rsidRDefault="001C78D7" w:rsidP="001C78D7">
      <w:pPr>
        <w:jc w:val="both"/>
        <w:rPr>
          <w:sz w:val="20"/>
        </w:rPr>
      </w:pPr>
    </w:p>
    <w:p w:rsidR="0072505E" w:rsidRPr="0072505E" w:rsidRDefault="0072505E" w:rsidP="001C78D7">
      <w:pPr>
        <w:jc w:val="both"/>
        <w:rPr>
          <w:sz w:val="20"/>
        </w:rPr>
      </w:pPr>
      <w:r w:rsidRPr="0072505E">
        <w:rPr>
          <w:sz w:val="20"/>
        </w:rPr>
        <w:pict>
          <v:rect id="_x0000_i1040" style="width:2in;height:1pt" o:hrpct="0" o:hralign="center" o:hrstd="t" o:hrnoshade="t" o:hr="t" fillcolor="black [3213]" stroked="f"/>
        </w:pict>
      </w:r>
    </w:p>
    <w:p w:rsidR="0072505E" w:rsidRPr="0072505E" w:rsidRDefault="0072505E" w:rsidP="001C78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39237</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Michael Yar Zuk c. Alberta Dental Association and College, Formation d’appel du Council of the Alberta Dental Association and College</w:t>
            </w:r>
          </w:p>
          <w:p w:rsidR="001C78D7" w:rsidRPr="0072505E" w:rsidRDefault="001C78D7" w:rsidP="001C78D7">
            <w:pPr>
              <w:jc w:val="both"/>
              <w:rPr>
                <w:sz w:val="20"/>
              </w:rPr>
            </w:pPr>
            <w:r w:rsidRPr="0072505E">
              <w:rPr>
                <w:sz w:val="20"/>
              </w:rPr>
              <w:t>(Alb.) (Civile)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lastRenderedPageBreak/>
              <w:t>Droit administratif — Organismes et tribunaux administratifs — Organismes de réglementation — Alberta Dental Association and College — Norme de contrôle — Équité procédurale — Crainte raisonnable de partialité — La formation d’appel a</w:t>
            </w:r>
            <w:r w:rsidRPr="0072505E">
              <w:rPr>
                <w:sz w:val="20"/>
                <w:lang w:val="fr-CA"/>
              </w:rPr>
              <w:noBreakHyphen/>
              <w:t>t</w:t>
            </w:r>
            <w:r w:rsidRPr="0072505E">
              <w:rPr>
                <w:sz w:val="20"/>
                <w:lang w:val="fr-CA"/>
              </w:rPr>
              <w:noBreakHyphen/>
              <w:t>elle commis une erreur en s’abstenant de se désister du réexamen de la sanction et des frais infligés? — Le réexamen de la sanction et des frais était</w:t>
            </w:r>
            <w:r w:rsidRPr="0072505E">
              <w:rPr>
                <w:sz w:val="20"/>
                <w:lang w:val="fr-CA"/>
              </w:rPr>
              <w:noBreakHyphen/>
              <w:t>il raisonnable compte tenu d’une erreur de principe?</w:t>
            </w:r>
          </w:p>
          <w:p w:rsidR="001C78D7" w:rsidRPr="0072505E" w:rsidRDefault="001C78D7" w:rsidP="001C78D7">
            <w:pPr>
              <w:jc w:val="both"/>
              <w:rPr>
                <w:sz w:val="20"/>
                <w:lang w:val="fr-CA"/>
              </w:rPr>
            </w:pPr>
          </w:p>
        </w:tc>
      </w:tr>
      <w:tr w:rsidR="001C78D7" w:rsidRPr="0072505E" w:rsidTr="001C78D7">
        <w:tc>
          <w:tcPr>
            <w:tcW w:w="5000" w:type="pct"/>
            <w:gridSpan w:val="4"/>
          </w:tcPr>
          <w:p w:rsidR="001C78D7" w:rsidRPr="0072505E" w:rsidRDefault="001C78D7" w:rsidP="0072505E">
            <w:pPr>
              <w:jc w:val="both"/>
              <w:rPr>
                <w:sz w:val="20"/>
                <w:lang w:val="fr-CA"/>
              </w:rPr>
            </w:pPr>
            <w:r w:rsidRPr="0072505E">
              <w:rPr>
                <w:sz w:val="20"/>
                <w:lang w:val="fr-CA"/>
              </w:rPr>
              <w:t>Le Dr. Michael Yar Zuk est un dentiste visé par des procédures disciplinaires prolongées auprès de l’Alberta Dental Association &amp; College (l’association dentaire). Une formation d’appel de l’association dentaire a maintenu les conclusions tirées par le tribunal lors d’une audience tenue avec le Dr. Zuk, relativement à 21 chefs d’inconduite professionnelle, au titre du</w:t>
            </w:r>
            <w:r w:rsidRPr="0072505E">
              <w:rPr>
                <w:i/>
                <w:sz w:val="20"/>
                <w:lang w:val="fr-CA"/>
              </w:rPr>
              <w:t xml:space="preserve"> Health Professions Act</w:t>
            </w:r>
            <w:r w:rsidRPr="0072505E">
              <w:rPr>
                <w:sz w:val="20"/>
                <w:lang w:val="fr-CA"/>
              </w:rPr>
              <w:t>, RSA 2000, c. H</w:t>
            </w:r>
            <w:r w:rsidRPr="0072505E">
              <w:rPr>
                <w:sz w:val="20"/>
                <w:lang w:val="fr-CA"/>
              </w:rPr>
              <w:noBreakHyphen/>
              <w:t>7, et lui a infligé tant une sanction que des frais. Lors d’un appel interjeté à la Cour d’appel de l’Alberta, deux des 21 chefs ont été infirmés. La Cour d’appel a donné à l’association dentaire la directive de réexaminer à la fois la sanction et les frais infligés. La même formation d’appel a réduit la période de suspension du Dr. Zuk, et a aussi diminué le montant des frais qui lui avaient été infligés. Le second appel que le Dr. Zuk a interjeté à la Cour d’appel de l’Alberta a été rejeté à l’unanimité.</w:t>
            </w:r>
          </w:p>
        </w:tc>
      </w:tr>
      <w:tr w:rsidR="001C78D7" w:rsidRPr="0072505E" w:rsidTr="001C78D7">
        <w:tc>
          <w:tcPr>
            <w:tcW w:w="5000" w:type="pct"/>
            <w:gridSpan w:val="4"/>
          </w:tcPr>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14 février 2017</w:t>
            </w:r>
          </w:p>
          <w:p w:rsidR="001C78D7" w:rsidRPr="0072505E" w:rsidRDefault="001C78D7" w:rsidP="001C78D7">
            <w:pPr>
              <w:jc w:val="both"/>
              <w:rPr>
                <w:sz w:val="20"/>
              </w:rPr>
            </w:pPr>
            <w:r w:rsidRPr="0072505E">
              <w:rPr>
                <w:sz w:val="20"/>
              </w:rPr>
              <w:t xml:space="preserve">Formation d’appel du Council of the Alberta </w:t>
            </w:r>
          </w:p>
          <w:p w:rsidR="001C78D7" w:rsidRPr="0072505E" w:rsidRDefault="001C78D7" w:rsidP="001C78D7">
            <w:pPr>
              <w:jc w:val="both"/>
              <w:rPr>
                <w:sz w:val="20"/>
              </w:rPr>
            </w:pPr>
            <w:r w:rsidRPr="0072505E">
              <w:rPr>
                <w:sz w:val="20"/>
              </w:rPr>
              <w:t>Dental Association and College</w:t>
            </w:r>
          </w:p>
          <w:p w:rsidR="001C78D7" w:rsidRPr="0072505E" w:rsidRDefault="001C78D7" w:rsidP="001C78D7">
            <w:pPr>
              <w:jc w:val="both"/>
              <w:rPr>
                <w:sz w:val="20"/>
              </w:rPr>
            </w:pPr>
            <w:r w:rsidRPr="0072505E">
              <w:rPr>
                <w:sz w:val="20"/>
              </w:rPr>
              <w:t>Non </w:t>
            </w:r>
            <w:proofErr w:type="spellStart"/>
            <w:r w:rsidRPr="0072505E">
              <w:rPr>
                <w:sz w:val="20"/>
              </w:rPr>
              <w:t>publiée</w:t>
            </w:r>
            <w:proofErr w:type="spellEnd"/>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lang w:val="fr-CA"/>
              </w:rPr>
            </w:pPr>
            <w:r w:rsidRPr="0072505E">
              <w:rPr>
                <w:sz w:val="20"/>
                <w:lang w:val="fr-CA"/>
              </w:rPr>
              <w:t>Rejet avec frais de l’appel du Dr. Michael Yar Zuk interjeté contre de nombreuses conclusions d’inconduite professionnelle.</w:t>
            </w: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21 août 2018</w:t>
            </w:r>
          </w:p>
          <w:p w:rsidR="001C78D7" w:rsidRPr="0072505E" w:rsidRDefault="001C78D7" w:rsidP="001C78D7">
            <w:pPr>
              <w:jc w:val="both"/>
              <w:rPr>
                <w:sz w:val="20"/>
                <w:lang w:val="fr-CA"/>
              </w:rPr>
            </w:pPr>
            <w:r w:rsidRPr="0072505E">
              <w:rPr>
                <w:sz w:val="20"/>
                <w:lang w:val="fr-CA"/>
              </w:rPr>
              <w:t>Cour d’appel de l’Alberta (Edmonton)</w:t>
            </w:r>
          </w:p>
          <w:p w:rsidR="001C78D7" w:rsidRPr="0072505E" w:rsidRDefault="001C78D7" w:rsidP="001C78D7">
            <w:pPr>
              <w:jc w:val="both"/>
              <w:rPr>
                <w:sz w:val="20"/>
                <w:lang w:val="fr-CA"/>
              </w:rPr>
            </w:pPr>
            <w:r w:rsidRPr="0072505E">
              <w:rPr>
                <w:sz w:val="20"/>
                <w:lang w:val="fr-CA"/>
              </w:rPr>
              <w:t xml:space="preserve">(Juges Veldhuis, Wakeling, et </w:t>
            </w:r>
            <w:proofErr w:type="spellStart"/>
            <w:r w:rsidRPr="0072505E">
              <w:rPr>
                <w:sz w:val="20"/>
                <w:lang w:val="fr-CA"/>
              </w:rPr>
              <w:t>Greckol</w:t>
            </w:r>
            <w:proofErr w:type="spellEnd"/>
            <w:r w:rsidRPr="0072505E">
              <w:rPr>
                <w:sz w:val="20"/>
                <w:lang w:val="fr-CA"/>
              </w:rPr>
              <w:t>)</w:t>
            </w:r>
          </w:p>
          <w:p w:rsidR="001C78D7" w:rsidRPr="0072505E" w:rsidRDefault="001C78D7" w:rsidP="001C78D7">
            <w:pPr>
              <w:jc w:val="both"/>
              <w:rPr>
                <w:sz w:val="20"/>
              </w:rPr>
            </w:pPr>
            <w:hyperlink r:id="rId41" w:history="1">
              <w:r w:rsidRPr="0072505E">
                <w:rPr>
                  <w:rStyle w:val="Hyperlink"/>
                  <w:sz w:val="20"/>
                </w:rPr>
                <w:t>2018 ABCA 270</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lang w:val="fr-CA"/>
              </w:rPr>
            </w:pPr>
            <w:r w:rsidRPr="0072505E">
              <w:rPr>
                <w:sz w:val="20"/>
                <w:lang w:val="fr-CA"/>
              </w:rPr>
              <w:t>Accueil de l’appel; infirmation de deux des 21 conclusions d’inconduite professionnelle; renvoi des frais et de la sanction pour nouvel examen.</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5 mars 2019</w:t>
            </w:r>
          </w:p>
          <w:p w:rsidR="001C78D7" w:rsidRPr="0072505E" w:rsidRDefault="001C78D7" w:rsidP="001C78D7">
            <w:pPr>
              <w:jc w:val="both"/>
              <w:rPr>
                <w:sz w:val="20"/>
              </w:rPr>
            </w:pPr>
            <w:r w:rsidRPr="0072505E">
              <w:rPr>
                <w:sz w:val="20"/>
              </w:rPr>
              <w:t xml:space="preserve">Formation d’appel du Council of the Alberta </w:t>
            </w:r>
          </w:p>
          <w:p w:rsidR="001C78D7" w:rsidRPr="0072505E" w:rsidRDefault="001C78D7" w:rsidP="001C78D7">
            <w:pPr>
              <w:jc w:val="both"/>
              <w:rPr>
                <w:sz w:val="20"/>
              </w:rPr>
            </w:pPr>
            <w:r w:rsidRPr="0072505E">
              <w:rPr>
                <w:sz w:val="20"/>
              </w:rPr>
              <w:t>Dental Association and College</w:t>
            </w:r>
          </w:p>
          <w:p w:rsidR="001C78D7" w:rsidRPr="0072505E" w:rsidRDefault="001C78D7" w:rsidP="001C78D7">
            <w:pPr>
              <w:jc w:val="both"/>
              <w:rPr>
                <w:sz w:val="20"/>
              </w:rPr>
            </w:pPr>
            <w:r w:rsidRPr="0072505E">
              <w:rPr>
                <w:sz w:val="20"/>
              </w:rPr>
              <w:t>Non </w:t>
            </w:r>
            <w:proofErr w:type="spellStart"/>
            <w:r w:rsidRPr="0072505E">
              <w:rPr>
                <w:sz w:val="20"/>
              </w:rPr>
              <w:t>publiée</w:t>
            </w:r>
            <w:proofErr w:type="spellEnd"/>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lang w:val="fr-CA"/>
              </w:rPr>
            </w:pPr>
            <w:r w:rsidRPr="0072505E">
              <w:rPr>
                <w:sz w:val="20"/>
                <w:lang w:val="fr-CA"/>
              </w:rPr>
              <w:t xml:space="preserve">Réduction à six mois de la sanction de suspension et diminution de 50 000 $ des frais. </w:t>
            </w: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29 avril 2020</w:t>
            </w:r>
          </w:p>
          <w:p w:rsidR="001C78D7" w:rsidRPr="0072505E" w:rsidRDefault="001C78D7" w:rsidP="001C78D7">
            <w:pPr>
              <w:jc w:val="both"/>
              <w:rPr>
                <w:sz w:val="20"/>
                <w:lang w:val="fr-CA"/>
              </w:rPr>
            </w:pPr>
            <w:r w:rsidRPr="0072505E">
              <w:rPr>
                <w:sz w:val="20"/>
                <w:lang w:val="fr-CA"/>
              </w:rPr>
              <w:t>Cour d’appel de l’Alberta (Edmonton)</w:t>
            </w:r>
          </w:p>
          <w:p w:rsidR="001C78D7" w:rsidRPr="0072505E" w:rsidRDefault="001C78D7" w:rsidP="001C78D7">
            <w:pPr>
              <w:jc w:val="both"/>
              <w:rPr>
                <w:sz w:val="20"/>
              </w:rPr>
            </w:pPr>
            <w:r w:rsidRPr="0072505E">
              <w:rPr>
                <w:sz w:val="20"/>
              </w:rPr>
              <w:t xml:space="preserve">(Juges O'Ferrall, Schutz, et </w:t>
            </w:r>
            <w:proofErr w:type="spellStart"/>
            <w:r w:rsidRPr="0072505E">
              <w:rPr>
                <w:sz w:val="20"/>
              </w:rPr>
              <w:t>Pentelechuck</w:t>
            </w:r>
            <w:proofErr w:type="spellEnd"/>
            <w:r w:rsidRPr="0072505E">
              <w:rPr>
                <w:sz w:val="20"/>
              </w:rPr>
              <w:t>)</w:t>
            </w:r>
          </w:p>
          <w:p w:rsidR="001C78D7" w:rsidRPr="0072505E" w:rsidRDefault="001C78D7" w:rsidP="001C78D7">
            <w:pPr>
              <w:jc w:val="both"/>
              <w:rPr>
                <w:sz w:val="20"/>
              </w:rPr>
            </w:pPr>
            <w:hyperlink r:id="rId42" w:history="1">
              <w:r w:rsidRPr="0072505E">
                <w:rPr>
                  <w:rStyle w:val="Hyperlink"/>
                  <w:sz w:val="20"/>
                </w:rPr>
                <w:t>2020 ABCA 162</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lang w:val="fr-CA"/>
              </w:rPr>
            </w:pPr>
            <w:r w:rsidRPr="0072505E">
              <w:rPr>
                <w:sz w:val="20"/>
                <w:lang w:val="fr-CA"/>
              </w:rPr>
              <w:t>Rejet de l’appel.</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24 juin 2020</w:t>
            </w:r>
          </w:p>
          <w:p w:rsidR="001C78D7" w:rsidRPr="0072505E" w:rsidRDefault="001C78D7" w:rsidP="001C78D7">
            <w:pPr>
              <w:jc w:val="both"/>
              <w:rPr>
                <w:sz w:val="20"/>
              </w:rPr>
            </w:pPr>
            <w:r w:rsidRPr="0072505E">
              <w:rPr>
                <w:sz w:val="20"/>
              </w:rPr>
              <w:t>Cour suprême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lang w:val="fr-CA"/>
              </w:rPr>
            </w:pPr>
            <w:r w:rsidRPr="0072505E">
              <w:rPr>
                <w:sz w:val="20"/>
                <w:lang w:val="fr-CA"/>
              </w:rPr>
              <w:t>Dépôt de la demande d’autorisation d’appel.</w:t>
            </w:r>
          </w:p>
          <w:p w:rsidR="001C78D7" w:rsidRPr="0072505E" w:rsidRDefault="001C78D7" w:rsidP="001C78D7">
            <w:pPr>
              <w:jc w:val="both"/>
              <w:rPr>
                <w:sz w:val="20"/>
                <w:lang w:val="fr-CA"/>
              </w:rPr>
            </w:pPr>
          </w:p>
        </w:tc>
      </w:tr>
    </w:tbl>
    <w:p w:rsidR="001C78D7" w:rsidRPr="0072505E" w:rsidRDefault="001C78D7" w:rsidP="001C78D7">
      <w:pPr>
        <w:jc w:val="both"/>
        <w:rPr>
          <w:sz w:val="20"/>
          <w:lang w:val="fr-CA"/>
        </w:rPr>
      </w:pPr>
    </w:p>
    <w:p w:rsidR="001C78D7" w:rsidRPr="0072505E" w:rsidRDefault="0072505E" w:rsidP="001C78D7">
      <w:pPr>
        <w:jc w:val="both"/>
        <w:rPr>
          <w:sz w:val="20"/>
          <w:lang w:val="fr-CA"/>
        </w:rPr>
      </w:pPr>
      <w:r w:rsidRPr="0072505E">
        <w:rPr>
          <w:sz w:val="20"/>
        </w:rPr>
        <w:pict>
          <v:rect id="_x0000_i1041" style="width:2in;height:1pt" o:hrpct="0" o:hralign="center" o:hrstd="t" o:hrnoshade="t" o:hr="t" fillcolor="black [3213]" stroked="f"/>
        </w:pict>
      </w:r>
    </w:p>
    <w:p w:rsidR="001C78D7" w:rsidRPr="0072505E" w:rsidRDefault="001C78D7" w:rsidP="001C78D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39265</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Wayfinder Corp. v. Alexis Armin, Her Majesty the Queen in Right of the Province of Alberta as represented by the Director (Alberta Environment and Parks) appointed pursuant to the Environmental Protection and Enhancement Act and Alberta Environment and Parks</w:t>
            </w:r>
          </w:p>
          <w:p w:rsidR="001C78D7" w:rsidRPr="0072505E" w:rsidRDefault="001C78D7" w:rsidP="001C78D7">
            <w:pPr>
              <w:jc w:val="both"/>
              <w:rPr>
                <w:sz w:val="20"/>
              </w:rPr>
            </w:pPr>
            <w:r w:rsidRPr="0072505E">
              <w:rPr>
                <w:sz w:val="20"/>
              </w:rPr>
              <w:t>(Alta.) (Civil) (By Leave)</w:t>
            </w:r>
          </w:p>
        </w:tc>
      </w:tr>
      <w:tr w:rsidR="001C78D7" w:rsidRPr="0072505E" w:rsidTr="001C78D7">
        <w:tc>
          <w:tcPr>
            <w:tcW w:w="5000" w:type="pct"/>
            <w:gridSpan w:val="4"/>
          </w:tcPr>
          <w:p w:rsidR="001C78D7" w:rsidRPr="0072505E" w:rsidRDefault="001C78D7" w:rsidP="001C78D7">
            <w:pPr>
              <w:jc w:val="both"/>
              <w:rPr>
                <w:sz w:val="20"/>
              </w:rPr>
            </w:pPr>
            <w:r w:rsidRPr="0072505E">
              <w:rPr>
                <w:sz w:val="20"/>
              </w:rPr>
              <w:t>Environmental law — Environmental assessment — Administrative law — Standard of review — Remedy — Where no reasons for decision are provided by the statutory decision maker, and a reviewing court must engage in statutory interpretation, to what extent should the reviewing court engage in a de novo analysis on judicial review — Where a decision is found to be unreasonable, and no reasons were provided by a statutory decision maker, should a reviewing court remit a decision to the statutory decision maker for reconsideration?</w:t>
            </w:r>
          </w:p>
        </w:tc>
      </w:tr>
      <w:tr w:rsidR="001C78D7" w:rsidRPr="0072505E" w:rsidTr="001C78D7">
        <w:tc>
          <w:tcPr>
            <w:tcW w:w="5000" w:type="pct"/>
            <w:gridSpan w:val="4"/>
          </w:tcPr>
          <w:p w:rsidR="001C78D7" w:rsidRPr="0072505E" w:rsidRDefault="001C78D7" w:rsidP="001C78D7">
            <w:pPr>
              <w:jc w:val="both"/>
              <w:rPr>
                <w:sz w:val="20"/>
              </w:rPr>
            </w:pPr>
          </w:p>
          <w:p w:rsidR="001C78D7" w:rsidRPr="0072505E" w:rsidRDefault="001C78D7" w:rsidP="001C78D7">
            <w:pPr>
              <w:jc w:val="both"/>
              <w:rPr>
                <w:sz w:val="20"/>
              </w:rPr>
            </w:pPr>
            <w:r w:rsidRPr="0072505E">
              <w:rPr>
                <w:sz w:val="20"/>
              </w:rPr>
              <w:t xml:space="preserve">Wayfinder Corp. applied under section 44 of the </w:t>
            </w:r>
            <w:r w:rsidRPr="0072505E">
              <w:rPr>
                <w:i/>
                <w:sz w:val="20"/>
              </w:rPr>
              <w:t>Environmental Protection and Enhancement Act</w:t>
            </w:r>
            <w:r w:rsidRPr="0072505E">
              <w:rPr>
                <w:sz w:val="20"/>
              </w:rPr>
              <w:t>, RSA 2000, c E</w:t>
            </w:r>
            <w:r w:rsidRPr="0072505E">
              <w:rPr>
                <w:sz w:val="20"/>
              </w:rPr>
              <w:noBreakHyphen/>
              <w:t>12 (</w:t>
            </w:r>
            <w:r w:rsidRPr="0072505E">
              <w:rPr>
                <w:i/>
                <w:sz w:val="20"/>
              </w:rPr>
              <w:t>EPEA</w:t>
            </w:r>
            <w:r w:rsidRPr="0072505E">
              <w:rPr>
                <w:sz w:val="20"/>
              </w:rPr>
              <w:t xml:space="preserve">), for a decision on whether its proposed “Big Molly” silica sand extraction project required an environmental impact assessment (EIA). The Director of Environmental Assessments, Alberta Environment and Parks, upon receiving advice from her staff, decided that an EIA was not required, but provided no reasons for her decision. Alexis Armin is a member of the Alexis </w:t>
            </w:r>
            <w:proofErr w:type="spellStart"/>
            <w:r w:rsidRPr="0072505E">
              <w:rPr>
                <w:sz w:val="20"/>
              </w:rPr>
              <w:t>Nakota</w:t>
            </w:r>
            <w:proofErr w:type="spellEnd"/>
            <w:r w:rsidRPr="0072505E">
              <w:rPr>
                <w:sz w:val="20"/>
              </w:rPr>
              <w:t xml:space="preserve"> Sioux Nation, whose lands are near the proposed Big Molly project, and whose traditional activities may be adversely impacted. Mr. Armin sought judicial review of the Director’s </w:t>
            </w:r>
            <w:r w:rsidRPr="0072505E">
              <w:rPr>
                <w:sz w:val="20"/>
              </w:rPr>
              <w:lastRenderedPageBreak/>
              <w:t>decision. The Court of Queen’s Bench for Alberta dismissed the judicial review application on the basis that the Director’s decision was reasonable. Mr. Armin appealed the decision to the Court of Appeal for Alberta, a majority of whom found the Director’s decision was unreasonable, quashed her decision, and ordered an EIA be conducted.</w:t>
            </w:r>
          </w:p>
        </w:tc>
      </w:tr>
      <w:tr w:rsidR="001C78D7" w:rsidRPr="0072505E" w:rsidTr="001C78D7">
        <w:tc>
          <w:tcPr>
            <w:tcW w:w="5000" w:type="pct"/>
            <w:gridSpan w:val="4"/>
          </w:tcPr>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November 22, 2017</w:t>
            </w:r>
          </w:p>
          <w:p w:rsidR="001C78D7" w:rsidRPr="0072505E" w:rsidRDefault="001C78D7" w:rsidP="001C78D7">
            <w:pPr>
              <w:jc w:val="both"/>
              <w:rPr>
                <w:sz w:val="20"/>
              </w:rPr>
            </w:pPr>
            <w:r w:rsidRPr="0072505E">
              <w:rPr>
                <w:sz w:val="20"/>
              </w:rPr>
              <w:t>Alberta Environment and Parks,</w:t>
            </w:r>
          </w:p>
          <w:p w:rsidR="001C78D7" w:rsidRPr="0072505E" w:rsidRDefault="001C78D7" w:rsidP="001C78D7">
            <w:pPr>
              <w:jc w:val="both"/>
              <w:rPr>
                <w:sz w:val="20"/>
              </w:rPr>
            </w:pPr>
            <w:r w:rsidRPr="0072505E">
              <w:rPr>
                <w:sz w:val="20"/>
              </w:rPr>
              <w:t>Director of Environmental Assessments</w:t>
            </w:r>
          </w:p>
          <w:p w:rsidR="001C78D7" w:rsidRPr="0072505E" w:rsidRDefault="001C78D7" w:rsidP="001C78D7">
            <w:pPr>
              <w:jc w:val="both"/>
              <w:rPr>
                <w:sz w:val="20"/>
              </w:rPr>
            </w:pPr>
            <w:r w:rsidRPr="0072505E">
              <w:rPr>
                <w:sz w:val="20"/>
              </w:rPr>
              <w:t>Unreported</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No environmental impact assessment required for Big Molly project.</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November 14, 2018</w:t>
            </w:r>
          </w:p>
          <w:p w:rsidR="001C78D7" w:rsidRPr="0072505E" w:rsidRDefault="001C78D7" w:rsidP="001C78D7">
            <w:pPr>
              <w:jc w:val="both"/>
              <w:rPr>
                <w:sz w:val="20"/>
              </w:rPr>
            </w:pPr>
            <w:r w:rsidRPr="0072505E">
              <w:rPr>
                <w:sz w:val="20"/>
              </w:rPr>
              <w:t>Court of Queen’s Bench of Alberta</w:t>
            </w:r>
          </w:p>
          <w:p w:rsidR="001C78D7" w:rsidRPr="0072505E" w:rsidRDefault="001C78D7" w:rsidP="001C78D7">
            <w:pPr>
              <w:jc w:val="both"/>
              <w:rPr>
                <w:sz w:val="20"/>
              </w:rPr>
            </w:pPr>
            <w:r w:rsidRPr="0072505E">
              <w:rPr>
                <w:sz w:val="20"/>
              </w:rPr>
              <w:t>(Jeffrey J.)</w:t>
            </w:r>
          </w:p>
          <w:p w:rsidR="001C78D7" w:rsidRPr="0072505E" w:rsidRDefault="001C78D7" w:rsidP="001C78D7">
            <w:pPr>
              <w:jc w:val="both"/>
              <w:rPr>
                <w:sz w:val="20"/>
              </w:rPr>
            </w:pPr>
            <w:r w:rsidRPr="0072505E">
              <w:rPr>
                <w:sz w:val="20"/>
              </w:rPr>
              <w:t>Unreported Oral Decision</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Judicial review of Director’s decision dismissed.</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May 6, 2020</w:t>
            </w:r>
          </w:p>
          <w:p w:rsidR="001C78D7" w:rsidRPr="0072505E" w:rsidRDefault="001C78D7" w:rsidP="001C78D7">
            <w:pPr>
              <w:jc w:val="both"/>
              <w:rPr>
                <w:sz w:val="20"/>
              </w:rPr>
            </w:pPr>
            <w:r w:rsidRPr="0072505E">
              <w:rPr>
                <w:sz w:val="20"/>
              </w:rPr>
              <w:t>Court of Appeal of Alberta (Calgary)</w:t>
            </w:r>
          </w:p>
          <w:p w:rsidR="001C78D7" w:rsidRPr="0072505E" w:rsidRDefault="001C78D7" w:rsidP="001C78D7">
            <w:pPr>
              <w:jc w:val="both"/>
              <w:rPr>
                <w:sz w:val="20"/>
              </w:rPr>
            </w:pPr>
            <w:r w:rsidRPr="0072505E">
              <w:rPr>
                <w:sz w:val="20"/>
              </w:rPr>
              <w:t xml:space="preserve">(Wakeling and </w:t>
            </w:r>
            <w:proofErr w:type="spellStart"/>
            <w:r w:rsidRPr="0072505E">
              <w:rPr>
                <w:sz w:val="20"/>
              </w:rPr>
              <w:t>Greckol</w:t>
            </w:r>
            <w:proofErr w:type="spellEnd"/>
            <w:r w:rsidRPr="0072505E">
              <w:rPr>
                <w:sz w:val="20"/>
              </w:rPr>
              <w:t xml:space="preserve"> JJ.A; </w:t>
            </w:r>
            <w:proofErr w:type="spellStart"/>
            <w:r w:rsidRPr="0072505E">
              <w:rPr>
                <w:sz w:val="20"/>
              </w:rPr>
              <w:t>Pentelechuk</w:t>
            </w:r>
            <w:proofErr w:type="spellEnd"/>
            <w:r w:rsidRPr="0072505E">
              <w:rPr>
                <w:sz w:val="20"/>
              </w:rPr>
              <w:t xml:space="preserve"> J.A. dissenting in part)</w:t>
            </w:r>
          </w:p>
          <w:p w:rsidR="001C78D7" w:rsidRPr="0072505E" w:rsidRDefault="001C78D7" w:rsidP="001C78D7">
            <w:pPr>
              <w:jc w:val="both"/>
              <w:rPr>
                <w:sz w:val="20"/>
              </w:rPr>
            </w:pPr>
            <w:hyperlink r:id="rId43" w:history="1">
              <w:r w:rsidRPr="0072505E">
                <w:rPr>
                  <w:rStyle w:val="Hyperlink"/>
                  <w:sz w:val="20"/>
                </w:rPr>
                <w:t>2020 ABCA 188</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granted, Director’s decision quashed, and environmental impact assessment ordered.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July 31, 2020</w:t>
            </w:r>
          </w:p>
          <w:p w:rsidR="001C78D7" w:rsidRPr="0072505E" w:rsidRDefault="001C78D7" w:rsidP="001C78D7">
            <w:pPr>
              <w:jc w:val="both"/>
              <w:rPr>
                <w:sz w:val="20"/>
              </w:rPr>
            </w:pPr>
            <w:r w:rsidRPr="0072505E">
              <w:rPr>
                <w:sz w:val="20"/>
              </w:rPr>
              <w:t>Supreme Court of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Application for leave to appeal filed</w:t>
            </w:r>
          </w:p>
          <w:p w:rsidR="001C78D7" w:rsidRPr="0072505E" w:rsidRDefault="001C78D7" w:rsidP="001C78D7">
            <w:pPr>
              <w:jc w:val="both"/>
              <w:rPr>
                <w:sz w:val="20"/>
              </w:rPr>
            </w:pPr>
          </w:p>
        </w:tc>
      </w:tr>
    </w:tbl>
    <w:p w:rsidR="001C78D7" w:rsidRPr="0072505E" w:rsidRDefault="001C78D7" w:rsidP="001C78D7">
      <w:pPr>
        <w:jc w:val="both"/>
        <w:rPr>
          <w:sz w:val="20"/>
        </w:rPr>
      </w:pPr>
    </w:p>
    <w:p w:rsidR="0072505E" w:rsidRPr="0072505E" w:rsidRDefault="0072505E" w:rsidP="001C78D7">
      <w:pPr>
        <w:jc w:val="both"/>
        <w:rPr>
          <w:sz w:val="20"/>
        </w:rPr>
      </w:pPr>
      <w:r w:rsidRPr="0072505E">
        <w:rPr>
          <w:sz w:val="20"/>
        </w:rPr>
        <w:pict>
          <v:rect id="_x0000_i1042" style="width:2in;height:1pt" o:hrpct="0" o:hralign="center" o:hrstd="t" o:hrnoshade="t" o:hr="t" fillcolor="black [3213]" stroked="f"/>
        </w:pict>
      </w:r>
    </w:p>
    <w:p w:rsidR="0072505E" w:rsidRPr="0072505E" w:rsidRDefault="0072505E" w:rsidP="001C78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lang w:val="fr-CA"/>
              </w:rPr>
            </w:pPr>
            <w:r w:rsidRPr="0072505E">
              <w:rPr>
                <w:rStyle w:val="SCCFileNumberChar"/>
                <w:sz w:val="20"/>
                <w:szCs w:val="20"/>
                <w:lang w:val="fr-CA"/>
              </w:rPr>
              <w:t>39265</w:t>
            </w:r>
          </w:p>
        </w:tc>
        <w:tc>
          <w:tcPr>
            <w:tcW w:w="4457" w:type="pct"/>
            <w:gridSpan w:val="3"/>
          </w:tcPr>
          <w:p w:rsidR="001C78D7" w:rsidRPr="0072505E" w:rsidRDefault="001C78D7" w:rsidP="001C78D7">
            <w:pPr>
              <w:pStyle w:val="SCCLsocParty"/>
              <w:jc w:val="both"/>
              <w:rPr>
                <w:b/>
                <w:sz w:val="20"/>
                <w:szCs w:val="20"/>
              </w:rPr>
            </w:pPr>
            <w:r w:rsidRPr="0072505E">
              <w:rPr>
                <w:b/>
                <w:sz w:val="20"/>
                <w:szCs w:val="20"/>
              </w:rPr>
              <w:t xml:space="preserve">Wayfinder Corp. c. Alexis Armin, Sa Majesté la Reine du chef de la province de l’Alberta représentée </w:t>
            </w:r>
            <w:r w:rsidRPr="0072505E">
              <w:rPr>
                <w:b/>
                <w:sz w:val="20"/>
                <w:szCs w:val="20"/>
                <w:shd w:val="clear" w:color="auto" w:fill="FFFFFF" w:themeFill="background1"/>
              </w:rPr>
              <w:t>par le Directeur</w:t>
            </w:r>
            <w:r w:rsidRPr="0072505E">
              <w:rPr>
                <w:b/>
                <w:sz w:val="20"/>
                <w:szCs w:val="20"/>
              </w:rPr>
              <w:t xml:space="preserve"> (Alberta Environment and Parks) nommé en vertu de la </w:t>
            </w:r>
            <w:r w:rsidRPr="0072505E">
              <w:rPr>
                <w:b/>
                <w:i/>
                <w:sz w:val="20"/>
                <w:szCs w:val="20"/>
              </w:rPr>
              <w:t>Environmental Protection and Enhancement Act</w:t>
            </w:r>
            <w:r w:rsidRPr="0072505E">
              <w:rPr>
                <w:b/>
                <w:sz w:val="20"/>
                <w:szCs w:val="20"/>
              </w:rPr>
              <w:t xml:space="preserve"> et Alberta Environment and Parks</w:t>
            </w:r>
          </w:p>
          <w:p w:rsidR="001C78D7" w:rsidRPr="0072505E" w:rsidRDefault="001C78D7" w:rsidP="001C78D7">
            <w:pPr>
              <w:jc w:val="both"/>
              <w:rPr>
                <w:sz w:val="20"/>
                <w:lang w:val="fr-CA"/>
              </w:rPr>
            </w:pPr>
            <w:r w:rsidRPr="0072505E">
              <w:rPr>
                <w:sz w:val="20"/>
                <w:lang w:val="fr-CA"/>
              </w:rPr>
              <w:t>(Alb.) (Civile (Sur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Droit de l’environnement — Évaluation environnementale — Droit administratif — Norme de contrôle — Réparation — Dans le cas où le décideur désigné par la loi ne motive pas sa décision et le tribunal saisi du contrôle judiciaire doit interpréter des textes législatifs, dans quelle mesure ce dernier devrait</w:t>
            </w:r>
            <w:r w:rsidRPr="0072505E">
              <w:rPr>
                <w:sz w:val="20"/>
                <w:lang w:val="fr-CA"/>
              </w:rPr>
              <w:noBreakHyphen/>
              <w:t xml:space="preserve">il entreprendre une analyse </w:t>
            </w:r>
            <w:r w:rsidRPr="0072505E">
              <w:rPr>
                <w:i/>
                <w:sz w:val="20"/>
                <w:lang w:val="fr-CA"/>
              </w:rPr>
              <w:t xml:space="preserve">de novo </w:t>
            </w:r>
            <w:r w:rsidRPr="0072505E">
              <w:rPr>
                <w:sz w:val="20"/>
                <w:lang w:val="fr-CA"/>
              </w:rPr>
              <w:t>dans le cadre du contrôle de la décision ? — Si la décision est jugée déraisonnable, et que le décideur désigné par la loi n’a pas motivé sa décision, le tribunal saisi du contrôle judiciaire devrait</w:t>
            </w:r>
            <w:r w:rsidRPr="0072505E">
              <w:rPr>
                <w:sz w:val="20"/>
                <w:lang w:val="fr-CA"/>
              </w:rPr>
              <w:noBreakHyphen/>
              <w:t>il renvoyer la décision devant le décideur pour qu’il en fasse le réexamen ?</w:t>
            </w:r>
          </w:p>
        </w:tc>
      </w:tr>
      <w:tr w:rsidR="001C78D7" w:rsidRPr="0072505E" w:rsidTr="001C78D7">
        <w:tc>
          <w:tcPr>
            <w:tcW w:w="5000" w:type="pct"/>
            <w:gridSpan w:val="4"/>
          </w:tcPr>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 xml:space="preserve">Wayfinder Corp. a demandé, aux termes de l’article 44 de la loi intitulée </w:t>
            </w:r>
            <w:r w:rsidRPr="0072505E">
              <w:rPr>
                <w:i/>
                <w:sz w:val="20"/>
                <w:lang w:val="fr-CA"/>
              </w:rPr>
              <w:t>Environmental Protection and Enhancement Act</w:t>
            </w:r>
            <w:r w:rsidRPr="0072505E">
              <w:rPr>
                <w:sz w:val="20"/>
                <w:lang w:val="fr-CA"/>
              </w:rPr>
              <w:t>, RSA 2000, c E</w:t>
            </w:r>
            <w:r w:rsidRPr="0072505E">
              <w:rPr>
                <w:sz w:val="20"/>
                <w:lang w:val="fr-CA"/>
              </w:rPr>
              <w:noBreakHyphen/>
              <w:t>12, qu’une décision soit prise à savoir s’il fallait que son projet d’extraction de sable siliceux nommé « </w:t>
            </w:r>
            <w:proofErr w:type="spellStart"/>
            <w:r w:rsidRPr="0072505E">
              <w:rPr>
                <w:sz w:val="20"/>
                <w:lang w:val="fr-CA"/>
              </w:rPr>
              <w:t>Big</w:t>
            </w:r>
            <w:proofErr w:type="spellEnd"/>
            <w:r w:rsidRPr="0072505E">
              <w:rPr>
                <w:sz w:val="20"/>
                <w:lang w:val="fr-CA"/>
              </w:rPr>
              <w:t xml:space="preserve"> Molly » fasse l’objet d’une évaluation de l’impact sur l’environnement (EIE). La directrice des évaluations environnementales du ministère de l’environnement et des parcs de l’Alberta (« Alberta Environment and Parks »), après avoir reçu les conseils des membres de son personnel, a décidé qu’une EIE n’était pas requise, mais n’a pas motivé sa décision. Alexis Armin est membre de la nation sioux des </w:t>
            </w:r>
            <w:proofErr w:type="spellStart"/>
            <w:r w:rsidRPr="0072505E">
              <w:rPr>
                <w:sz w:val="20"/>
                <w:lang w:val="fr-CA"/>
              </w:rPr>
              <w:t>Nakota</w:t>
            </w:r>
            <w:proofErr w:type="spellEnd"/>
            <w:r w:rsidRPr="0072505E">
              <w:rPr>
                <w:sz w:val="20"/>
                <w:lang w:val="fr-CA"/>
              </w:rPr>
              <w:t xml:space="preserve"> d’Alexis, dont les terres se situent à proximité du projet </w:t>
            </w:r>
            <w:proofErr w:type="spellStart"/>
            <w:r w:rsidRPr="0072505E">
              <w:rPr>
                <w:sz w:val="20"/>
                <w:lang w:val="fr-CA"/>
              </w:rPr>
              <w:t>Big</w:t>
            </w:r>
            <w:proofErr w:type="spellEnd"/>
            <w:r w:rsidRPr="0072505E">
              <w:rPr>
                <w:sz w:val="20"/>
                <w:lang w:val="fr-CA"/>
              </w:rPr>
              <w:t xml:space="preserve"> Molly et dont les activités traditionnelles pourraient être durement touchées par ce projet. M. Armin a demandé le contrôle judiciaire de la décision de la directrice. La Cour du Banc de la Reine de l’Alberta a rejeté la demande de contrôle au motif que la décision de la directrice était raisonnable. M. Armin a fait appel de la décision auprès de la Cour d’appel de l’Alberta; les juges majoritaires, ayant conclu qu’elle était déraisonnable, ont annulé la décision de la directrice et ordonné qu’une EIE soit menée.</w:t>
            </w:r>
          </w:p>
        </w:tc>
      </w:tr>
      <w:tr w:rsidR="001C78D7" w:rsidRPr="0072505E" w:rsidTr="001C78D7">
        <w:tc>
          <w:tcPr>
            <w:tcW w:w="5000" w:type="pct"/>
            <w:gridSpan w:val="4"/>
          </w:tcPr>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22 novembre 2017</w:t>
            </w:r>
          </w:p>
          <w:p w:rsidR="001C78D7" w:rsidRPr="0072505E" w:rsidRDefault="001C78D7" w:rsidP="001C78D7">
            <w:pPr>
              <w:jc w:val="both"/>
              <w:rPr>
                <w:sz w:val="20"/>
                <w:lang w:val="fr-CA"/>
              </w:rPr>
            </w:pPr>
            <w:r w:rsidRPr="0072505E">
              <w:rPr>
                <w:sz w:val="20"/>
                <w:lang w:val="fr-CA"/>
              </w:rPr>
              <w:t>Alberta Environment and Parks,</w:t>
            </w:r>
          </w:p>
          <w:p w:rsidR="001C78D7" w:rsidRPr="0072505E" w:rsidRDefault="001C78D7" w:rsidP="001C78D7">
            <w:pPr>
              <w:jc w:val="both"/>
              <w:rPr>
                <w:sz w:val="20"/>
                <w:lang w:val="fr-CA"/>
              </w:rPr>
            </w:pPr>
            <w:r w:rsidRPr="0072505E">
              <w:rPr>
                <w:sz w:val="20"/>
                <w:lang w:val="fr-CA"/>
              </w:rPr>
              <w:t>Directrice des évaluations environnementales</w:t>
            </w:r>
          </w:p>
          <w:p w:rsidR="001C78D7" w:rsidRPr="0072505E" w:rsidRDefault="001C78D7" w:rsidP="001C78D7">
            <w:pPr>
              <w:jc w:val="both"/>
              <w:rPr>
                <w:sz w:val="20"/>
                <w:lang w:val="fr-CA"/>
              </w:rPr>
            </w:pPr>
            <w:r w:rsidRPr="0072505E">
              <w:rPr>
                <w:sz w:val="20"/>
                <w:lang w:val="fr-CA"/>
              </w:rPr>
              <w:t>Décision non publiée</w:t>
            </w:r>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 xml:space="preserve">Aucune évaluation de l’impact sur l’environnement n’est requise aux fins du projet </w:t>
            </w:r>
            <w:proofErr w:type="spellStart"/>
            <w:r w:rsidRPr="0072505E">
              <w:rPr>
                <w:sz w:val="20"/>
                <w:lang w:val="fr-CA"/>
              </w:rPr>
              <w:t>Big</w:t>
            </w:r>
            <w:proofErr w:type="spellEnd"/>
            <w:r w:rsidRPr="0072505E">
              <w:rPr>
                <w:sz w:val="20"/>
                <w:lang w:val="fr-CA"/>
              </w:rPr>
              <w:t xml:space="preserve"> Molly.</w:t>
            </w: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14 novembre 2018</w:t>
            </w:r>
          </w:p>
          <w:p w:rsidR="001C78D7" w:rsidRPr="0072505E" w:rsidRDefault="001C78D7" w:rsidP="001C78D7">
            <w:pPr>
              <w:jc w:val="both"/>
              <w:rPr>
                <w:sz w:val="20"/>
                <w:lang w:val="fr-CA"/>
              </w:rPr>
            </w:pPr>
            <w:r w:rsidRPr="0072505E">
              <w:rPr>
                <w:sz w:val="20"/>
                <w:lang w:val="fr-CA"/>
              </w:rPr>
              <w:t>Cour du Banc de la Reine de l’Alberta</w:t>
            </w:r>
          </w:p>
          <w:p w:rsidR="001C78D7" w:rsidRPr="0072505E" w:rsidRDefault="001C78D7" w:rsidP="001C78D7">
            <w:pPr>
              <w:jc w:val="both"/>
              <w:rPr>
                <w:sz w:val="20"/>
                <w:lang w:val="fr-CA"/>
              </w:rPr>
            </w:pPr>
            <w:r w:rsidRPr="0072505E">
              <w:rPr>
                <w:sz w:val="20"/>
                <w:lang w:val="fr-CA"/>
              </w:rPr>
              <w:lastRenderedPageBreak/>
              <w:t>(Juge Jeffrey)</w:t>
            </w:r>
          </w:p>
          <w:p w:rsidR="001C78D7" w:rsidRPr="0072505E" w:rsidRDefault="001C78D7" w:rsidP="001C78D7">
            <w:pPr>
              <w:jc w:val="both"/>
              <w:rPr>
                <w:sz w:val="20"/>
                <w:lang w:val="fr-CA"/>
              </w:rPr>
            </w:pPr>
            <w:r w:rsidRPr="0072505E">
              <w:rPr>
                <w:sz w:val="20"/>
                <w:lang w:val="fr-CA"/>
              </w:rPr>
              <w:t>Décision non publiée rendue de vive voix</w:t>
            </w:r>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 xml:space="preserve">Demande de contrôle judiciaire de la décision de la directrice rejetée. </w:t>
            </w: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6 mai 2020</w:t>
            </w:r>
          </w:p>
          <w:p w:rsidR="001C78D7" w:rsidRPr="0072505E" w:rsidRDefault="001C78D7" w:rsidP="001C78D7">
            <w:pPr>
              <w:jc w:val="both"/>
              <w:rPr>
                <w:sz w:val="20"/>
                <w:lang w:val="fr-CA"/>
              </w:rPr>
            </w:pPr>
            <w:r w:rsidRPr="0072505E">
              <w:rPr>
                <w:sz w:val="20"/>
                <w:lang w:val="fr-CA"/>
              </w:rPr>
              <w:t>Cour d’appel de l’Alberta (Calgary)</w:t>
            </w:r>
          </w:p>
          <w:p w:rsidR="001C78D7" w:rsidRPr="0072505E" w:rsidRDefault="001C78D7" w:rsidP="001C78D7">
            <w:pPr>
              <w:jc w:val="both"/>
              <w:rPr>
                <w:sz w:val="20"/>
                <w:lang w:val="fr-CA"/>
              </w:rPr>
            </w:pPr>
            <w:r w:rsidRPr="0072505E">
              <w:rPr>
                <w:sz w:val="20"/>
                <w:lang w:val="fr-CA"/>
              </w:rPr>
              <w:t xml:space="preserve">(Juges Wakeling et </w:t>
            </w:r>
            <w:proofErr w:type="spellStart"/>
            <w:r w:rsidRPr="0072505E">
              <w:rPr>
                <w:sz w:val="20"/>
                <w:lang w:val="fr-CA"/>
              </w:rPr>
              <w:t>Greckol</w:t>
            </w:r>
            <w:proofErr w:type="spellEnd"/>
            <w:r w:rsidRPr="0072505E">
              <w:rPr>
                <w:sz w:val="20"/>
                <w:lang w:val="fr-CA"/>
              </w:rPr>
              <w:t xml:space="preserve">; la juge </w:t>
            </w:r>
            <w:proofErr w:type="spellStart"/>
            <w:r w:rsidRPr="0072505E">
              <w:rPr>
                <w:sz w:val="20"/>
                <w:lang w:val="fr-CA"/>
              </w:rPr>
              <w:t>Pentelechuk</w:t>
            </w:r>
            <w:proofErr w:type="spellEnd"/>
            <w:r w:rsidRPr="0072505E">
              <w:rPr>
                <w:sz w:val="20"/>
                <w:lang w:val="fr-CA"/>
              </w:rPr>
              <w:t xml:space="preserve"> est dissidente en partie)</w:t>
            </w:r>
          </w:p>
          <w:p w:rsidR="001C78D7" w:rsidRPr="0072505E" w:rsidRDefault="001C78D7" w:rsidP="001C78D7">
            <w:pPr>
              <w:jc w:val="both"/>
              <w:rPr>
                <w:sz w:val="20"/>
                <w:lang w:val="fr-CA"/>
              </w:rPr>
            </w:pPr>
            <w:hyperlink r:id="rId44" w:history="1">
              <w:r w:rsidRPr="0072505E">
                <w:rPr>
                  <w:rStyle w:val="Hyperlink"/>
                  <w:sz w:val="20"/>
                  <w:lang w:val="fr-CA"/>
                </w:rPr>
                <w:t>2020 ABCA 188</w:t>
              </w:r>
            </w:hyperlink>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Appel accueilli, décision de la directrice annulée et évaluation de l’impact sur l’environnement ordonnée.</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31 juillet 2020</w:t>
            </w:r>
          </w:p>
          <w:p w:rsidR="001C78D7" w:rsidRPr="0072505E" w:rsidRDefault="001C78D7" w:rsidP="001C78D7">
            <w:pPr>
              <w:jc w:val="both"/>
              <w:rPr>
                <w:sz w:val="20"/>
                <w:lang w:val="fr-CA"/>
              </w:rPr>
            </w:pPr>
            <w:r w:rsidRPr="0072505E">
              <w:rPr>
                <w:sz w:val="20"/>
                <w:lang w:val="fr-CA"/>
              </w:rPr>
              <w:t>Cour suprême du Canada</w:t>
            </w: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 xml:space="preserve">Demande d’autorisation d’appel présentée. </w:t>
            </w:r>
          </w:p>
          <w:p w:rsidR="001C78D7" w:rsidRPr="0072505E" w:rsidRDefault="001C78D7" w:rsidP="001C78D7">
            <w:pPr>
              <w:jc w:val="both"/>
              <w:rPr>
                <w:sz w:val="20"/>
                <w:lang w:val="fr-CA"/>
              </w:rPr>
            </w:pPr>
          </w:p>
        </w:tc>
      </w:tr>
    </w:tbl>
    <w:p w:rsidR="001C78D7" w:rsidRPr="0072505E" w:rsidRDefault="001C78D7" w:rsidP="001C78D7">
      <w:pPr>
        <w:jc w:val="both"/>
        <w:rPr>
          <w:sz w:val="20"/>
          <w:lang w:val="fr-CA"/>
        </w:rPr>
      </w:pPr>
    </w:p>
    <w:p w:rsidR="001C78D7" w:rsidRPr="0072505E" w:rsidRDefault="0072505E" w:rsidP="001C78D7">
      <w:pPr>
        <w:widowControl w:val="0"/>
        <w:jc w:val="both"/>
        <w:rPr>
          <w:sz w:val="20"/>
          <w:lang w:val="fr-CA"/>
        </w:rPr>
      </w:pPr>
      <w:r w:rsidRPr="0072505E">
        <w:rPr>
          <w:sz w:val="20"/>
        </w:rPr>
        <w:pict>
          <v:rect id="_x0000_i1043" style="width:2in;height:1pt" o:hrpct="0" o:hralign="center" o:hrstd="t" o:hrnoshade="t" o:hr="t" fillcolor="black [3213]" stroked="f"/>
        </w:pict>
      </w:r>
    </w:p>
    <w:p w:rsidR="001C78D7" w:rsidRPr="0072505E" w:rsidRDefault="001C78D7" w:rsidP="001C78D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rPr>
            </w:pPr>
            <w:r w:rsidRPr="0072505E">
              <w:rPr>
                <w:rStyle w:val="SCCFileNumberChar"/>
                <w:sz w:val="20"/>
                <w:szCs w:val="20"/>
              </w:rPr>
              <w:t>39269</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Director, St. Boniface/St. Vital v. Martin Stadler</w:t>
            </w:r>
          </w:p>
          <w:p w:rsidR="001C78D7" w:rsidRPr="0072505E" w:rsidRDefault="001C78D7" w:rsidP="001C78D7">
            <w:pPr>
              <w:pStyle w:val="SCCLsocOtherPartySeparator"/>
              <w:rPr>
                <w:sz w:val="20"/>
                <w:szCs w:val="20"/>
                <w:lang w:val="en-US"/>
              </w:rPr>
            </w:pPr>
            <w:r w:rsidRPr="0072505E">
              <w:rPr>
                <w:sz w:val="20"/>
                <w:szCs w:val="20"/>
                <w:lang w:val="en-US"/>
              </w:rPr>
              <w:t>- and -</w:t>
            </w:r>
          </w:p>
          <w:p w:rsidR="001C78D7" w:rsidRPr="0072505E" w:rsidRDefault="001C78D7" w:rsidP="001C78D7">
            <w:pPr>
              <w:pStyle w:val="SCCLsocParty"/>
              <w:jc w:val="both"/>
              <w:rPr>
                <w:b/>
                <w:sz w:val="20"/>
                <w:szCs w:val="20"/>
                <w:lang w:val="en-US"/>
              </w:rPr>
            </w:pPr>
            <w:r w:rsidRPr="0072505E">
              <w:rPr>
                <w:b/>
                <w:sz w:val="20"/>
                <w:szCs w:val="20"/>
                <w:lang w:val="en-US"/>
              </w:rPr>
              <w:t>Social Planning Council of Winnipeg</w:t>
            </w:r>
          </w:p>
          <w:p w:rsidR="001C78D7" w:rsidRPr="0072505E" w:rsidRDefault="001C78D7" w:rsidP="001C78D7">
            <w:pPr>
              <w:jc w:val="both"/>
              <w:rPr>
                <w:sz w:val="20"/>
              </w:rPr>
            </w:pPr>
            <w:r w:rsidRPr="0072505E">
              <w:rPr>
                <w:sz w:val="20"/>
              </w:rPr>
              <w:t>(Man.) (Civil) (By Leave)</w:t>
            </w:r>
          </w:p>
        </w:tc>
      </w:tr>
      <w:tr w:rsidR="001C78D7" w:rsidRPr="0072505E" w:rsidTr="001C78D7">
        <w:tc>
          <w:tcPr>
            <w:tcW w:w="5000" w:type="pct"/>
            <w:gridSpan w:val="4"/>
          </w:tcPr>
          <w:p w:rsidR="001C78D7" w:rsidRPr="0072505E" w:rsidRDefault="001C78D7" w:rsidP="001C78D7">
            <w:pPr>
              <w:jc w:val="both"/>
              <w:rPr>
                <w:sz w:val="20"/>
              </w:rPr>
            </w:pPr>
            <w:r w:rsidRPr="0072505E">
              <w:rPr>
                <w:sz w:val="20"/>
              </w:rPr>
              <w:t xml:space="preserve">Constitutional law — </w:t>
            </w:r>
            <w:r w:rsidRPr="0072505E">
              <w:rPr>
                <w:i/>
                <w:sz w:val="20"/>
              </w:rPr>
              <w:t>Charter of rights</w:t>
            </w:r>
            <w:r w:rsidRPr="0072505E">
              <w:rPr>
                <w:sz w:val="20"/>
              </w:rPr>
              <w:t xml:space="preserve"> — Right to equality — Discrimination based on mental or physical disability — Remedy — Whether the Court of Appeal erred in its approach to s. 15 of the Charter — Whether the Court of Appeal erred in its approach to s. 1 of the Charter — Whether the Court of Appeal erred in choosing a remedy.</w:t>
            </w:r>
          </w:p>
        </w:tc>
      </w:tr>
      <w:tr w:rsidR="001C78D7" w:rsidRPr="0072505E" w:rsidTr="001C78D7">
        <w:tc>
          <w:tcPr>
            <w:tcW w:w="5000" w:type="pct"/>
            <w:gridSpan w:val="4"/>
          </w:tcPr>
          <w:p w:rsidR="001C78D7" w:rsidRPr="0072505E" w:rsidRDefault="001C78D7" w:rsidP="001C78D7">
            <w:pPr>
              <w:jc w:val="both"/>
              <w:rPr>
                <w:sz w:val="20"/>
              </w:rPr>
            </w:pPr>
          </w:p>
          <w:p w:rsidR="001C78D7" w:rsidRPr="0072505E" w:rsidRDefault="001C78D7" w:rsidP="001C78D7">
            <w:pPr>
              <w:jc w:val="both"/>
              <w:rPr>
                <w:sz w:val="20"/>
              </w:rPr>
            </w:pPr>
            <w:r w:rsidRPr="0072505E">
              <w:rPr>
                <w:sz w:val="20"/>
              </w:rPr>
              <w:t xml:space="preserve">The </w:t>
            </w:r>
            <w:r w:rsidRPr="0072505E">
              <w:rPr>
                <w:i/>
                <w:sz w:val="20"/>
              </w:rPr>
              <w:t>Assistance Regulation</w:t>
            </w:r>
            <w:r w:rsidRPr="0072505E">
              <w:rPr>
                <w:sz w:val="20"/>
              </w:rPr>
              <w:t xml:space="preserve">, Man. Reg. 404/88R, s. 12.1(2), made under </w:t>
            </w:r>
            <w:r w:rsidRPr="0072505E">
              <w:rPr>
                <w:i/>
                <w:sz w:val="20"/>
              </w:rPr>
              <w:t>The Manitoba Assistance Act</w:t>
            </w:r>
            <w:r w:rsidRPr="0072505E">
              <w:rPr>
                <w:sz w:val="20"/>
              </w:rPr>
              <w:t>, CCSM, c. A150, requires that applicants for income assistance “obtain the maximum amount of compensation, benefits or contribution to support and maintenance that may be available under another Act or program, including an Act of Canada or a program provided by the Government of Canada”. In practice, this meant that Mr. Stadler, who has been unable to work due to health issues, was required to apply for benefits under the Canada Pension Plan (“CPP”) once he turned 60. CPP benefits are reduced by a certain percentage for each month they are taken before the age of 65, so applying at age 60 would mean that his pension would be permanently reduced by 36 percent. When he indicated that the permanent reduction in those benefits meant that he did not want to apply until he turned 65, he was informed that his benefits would be discontinued unless he made the application. He did not make the application, and his benefits were discontinued.</w:t>
            </w:r>
          </w:p>
          <w:p w:rsidR="001C78D7" w:rsidRPr="0072505E" w:rsidRDefault="001C78D7" w:rsidP="001C78D7">
            <w:pPr>
              <w:jc w:val="both"/>
              <w:rPr>
                <w:sz w:val="20"/>
              </w:rPr>
            </w:pPr>
          </w:p>
          <w:p w:rsidR="001C78D7" w:rsidRPr="0072505E" w:rsidRDefault="001C78D7" w:rsidP="001C78D7">
            <w:pPr>
              <w:jc w:val="both"/>
              <w:rPr>
                <w:sz w:val="20"/>
              </w:rPr>
            </w:pPr>
            <w:r w:rsidRPr="0072505E">
              <w:rPr>
                <w:sz w:val="20"/>
              </w:rPr>
              <w:t xml:space="preserve">Mr. Stadler appealed the discontinuance of his benefits to the Social Services Appeal Board, arguing that the decision violated his rights as a person with a disability under s. 15 of the </w:t>
            </w:r>
            <w:r w:rsidRPr="0072505E">
              <w:rPr>
                <w:i/>
                <w:sz w:val="20"/>
              </w:rPr>
              <w:t>Charter</w:t>
            </w:r>
            <w:r w:rsidRPr="0072505E">
              <w:rPr>
                <w:sz w:val="20"/>
              </w:rPr>
              <w:t xml:space="preserve">. </w:t>
            </w:r>
          </w:p>
          <w:p w:rsidR="001C78D7" w:rsidRPr="0072505E" w:rsidRDefault="001C78D7" w:rsidP="001C78D7">
            <w:pPr>
              <w:jc w:val="both"/>
              <w:rPr>
                <w:sz w:val="20"/>
              </w:rPr>
            </w:pPr>
            <w:r w:rsidRPr="0072505E">
              <w:rPr>
                <w:sz w:val="20"/>
              </w:rPr>
              <w:t xml:space="preserve">The Board initially found, based on </w:t>
            </w:r>
            <w:r w:rsidRPr="0072505E">
              <w:rPr>
                <w:i/>
                <w:iCs/>
                <w:sz w:val="20"/>
              </w:rPr>
              <w:t>Fernandes v. Manitoba (Director of Social Services (Winnipeg Central)</w:t>
            </w:r>
            <w:r w:rsidRPr="0072505E">
              <w:rPr>
                <w:sz w:val="20"/>
              </w:rPr>
              <w:t xml:space="preserve"> (1992), 93 D.L.R. (4th) 402 (Man. C.A.), that it did not have jurisdiction to consider his </w:t>
            </w:r>
            <w:r w:rsidRPr="0072505E">
              <w:rPr>
                <w:i/>
                <w:iCs/>
                <w:sz w:val="20"/>
              </w:rPr>
              <w:t>Charter</w:t>
            </w:r>
            <w:r w:rsidRPr="0072505E">
              <w:rPr>
                <w:sz w:val="20"/>
              </w:rPr>
              <w:t xml:space="preserve"> arguments. That decision was appealed to the Court of Appeal, which overturned </w:t>
            </w:r>
            <w:r w:rsidRPr="0072505E">
              <w:rPr>
                <w:i/>
                <w:iCs/>
                <w:sz w:val="20"/>
              </w:rPr>
              <w:t>Fernandes</w:t>
            </w:r>
            <w:r w:rsidRPr="0072505E">
              <w:rPr>
                <w:sz w:val="20"/>
              </w:rPr>
              <w:t xml:space="preserve"> and referred the matter back to the Board for reconsideration. Upon considering the </w:t>
            </w:r>
            <w:r w:rsidRPr="0072505E">
              <w:rPr>
                <w:i/>
                <w:iCs/>
                <w:sz w:val="20"/>
              </w:rPr>
              <w:t>Charter</w:t>
            </w:r>
            <w:r w:rsidRPr="0072505E">
              <w:rPr>
                <w:sz w:val="20"/>
              </w:rPr>
              <w:t xml:space="preserve"> issue, the Board found no violation of s. 15 of the </w:t>
            </w:r>
            <w:r w:rsidRPr="0072505E">
              <w:rPr>
                <w:i/>
                <w:iCs/>
                <w:sz w:val="20"/>
              </w:rPr>
              <w:t>Charter</w:t>
            </w:r>
            <w:r w:rsidRPr="0072505E">
              <w:rPr>
                <w:sz w:val="20"/>
              </w:rPr>
              <w:t xml:space="preserve"> and confirmed the discontinuation of Mr. Stadler’s benefits. The Court of Appeal allowed Mr. Stadler’s appeal.</w:t>
            </w:r>
          </w:p>
        </w:tc>
      </w:tr>
      <w:tr w:rsidR="001C78D7" w:rsidRPr="0072505E" w:rsidTr="001C78D7">
        <w:tc>
          <w:tcPr>
            <w:tcW w:w="5000" w:type="pct"/>
            <w:gridSpan w:val="4"/>
          </w:tcPr>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May 16, 2018</w:t>
            </w:r>
          </w:p>
          <w:p w:rsidR="001C78D7" w:rsidRPr="0072505E" w:rsidRDefault="001C78D7" w:rsidP="001C78D7">
            <w:pPr>
              <w:jc w:val="both"/>
              <w:rPr>
                <w:sz w:val="20"/>
              </w:rPr>
            </w:pPr>
            <w:r w:rsidRPr="0072505E">
              <w:rPr>
                <w:sz w:val="20"/>
              </w:rPr>
              <w:t>Social Services Appeal Board</w:t>
            </w:r>
          </w:p>
          <w:p w:rsidR="001C78D7" w:rsidRPr="0072505E" w:rsidRDefault="001C78D7" w:rsidP="001C78D7">
            <w:pPr>
              <w:jc w:val="both"/>
              <w:rPr>
                <w:sz w:val="20"/>
              </w:rPr>
            </w:pPr>
            <w:r w:rsidRPr="0072505E">
              <w:rPr>
                <w:sz w:val="20"/>
              </w:rPr>
              <w:t>(McCrae, Berry, Ross)</w:t>
            </w:r>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Decision requiring Stadler to apply for Canada Pension Plan benefits at age 60 upheld</w:t>
            </w:r>
          </w:p>
        </w:tc>
      </w:tr>
      <w:tr w:rsidR="001C78D7" w:rsidRPr="0072505E" w:rsidTr="001C78D7">
        <w:tc>
          <w:tcPr>
            <w:tcW w:w="2427" w:type="pct"/>
            <w:gridSpan w:val="2"/>
          </w:tcPr>
          <w:p w:rsidR="001C78D7" w:rsidRPr="0072505E" w:rsidRDefault="001C78D7" w:rsidP="001C78D7">
            <w:pPr>
              <w:jc w:val="both"/>
              <w:rPr>
                <w:sz w:val="20"/>
              </w:rPr>
            </w:pPr>
            <w:r w:rsidRPr="0072505E">
              <w:rPr>
                <w:sz w:val="20"/>
              </w:rPr>
              <w:t>May 5, 2020</w:t>
            </w:r>
          </w:p>
          <w:p w:rsidR="001C78D7" w:rsidRPr="0072505E" w:rsidRDefault="001C78D7" w:rsidP="001C78D7">
            <w:pPr>
              <w:jc w:val="both"/>
              <w:rPr>
                <w:sz w:val="20"/>
              </w:rPr>
            </w:pPr>
            <w:r w:rsidRPr="0072505E">
              <w:rPr>
                <w:sz w:val="20"/>
              </w:rPr>
              <w:t>Court of Appeal of Manitoba</w:t>
            </w:r>
          </w:p>
          <w:p w:rsidR="001C78D7" w:rsidRPr="0072505E" w:rsidRDefault="001C78D7" w:rsidP="001C78D7">
            <w:pPr>
              <w:jc w:val="both"/>
              <w:rPr>
                <w:sz w:val="20"/>
              </w:rPr>
            </w:pPr>
            <w:r w:rsidRPr="0072505E">
              <w:rPr>
                <w:sz w:val="20"/>
              </w:rPr>
              <w:t>(Chartier C.J., Steel, Hamilton JJ.A.)</w:t>
            </w:r>
          </w:p>
          <w:p w:rsidR="001C78D7" w:rsidRPr="0072505E" w:rsidRDefault="001C78D7" w:rsidP="001C78D7">
            <w:pPr>
              <w:jc w:val="both"/>
              <w:rPr>
                <w:sz w:val="20"/>
              </w:rPr>
            </w:pPr>
            <w:hyperlink r:id="rId45" w:history="1">
              <w:r w:rsidRPr="0072505E">
                <w:rPr>
                  <w:rStyle w:val="Hyperlink"/>
                  <w:sz w:val="20"/>
                </w:rPr>
                <w:t>2020 MBCA 46</w:t>
              </w:r>
            </w:hyperlink>
          </w:p>
          <w:p w:rsidR="001C78D7" w:rsidRPr="0072505E" w:rsidRDefault="001C78D7" w:rsidP="001C78D7">
            <w:pPr>
              <w:jc w:val="both"/>
              <w:rPr>
                <w:sz w:val="20"/>
              </w:rPr>
            </w:pP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Appeal allowed</w:t>
            </w:r>
          </w:p>
          <w:p w:rsidR="001C78D7" w:rsidRPr="0072505E" w:rsidRDefault="001C78D7" w:rsidP="001C78D7">
            <w:pPr>
              <w:jc w:val="both"/>
              <w:rPr>
                <w:sz w:val="20"/>
              </w:rPr>
            </w:pPr>
          </w:p>
        </w:tc>
      </w:tr>
      <w:tr w:rsidR="001C78D7" w:rsidRPr="0072505E" w:rsidTr="001C78D7">
        <w:tc>
          <w:tcPr>
            <w:tcW w:w="2427" w:type="pct"/>
            <w:gridSpan w:val="2"/>
          </w:tcPr>
          <w:p w:rsidR="001C78D7" w:rsidRPr="0072505E" w:rsidRDefault="001C78D7" w:rsidP="001C78D7">
            <w:pPr>
              <w:jc w:val="both"/>
              <w:rPr>
                <w:sz w:val="20"/>
              </w:rPr>
            </w:pPr>
            <w:r w:rsidRPr="0072505E">
              <w:rPr>
                <w:sz w:val="20"/>
              </w:rPr>
              <w:t>August 4, 2020</w:t>
            </w:r>
          </w:p>
          <w:p w:rsidR="001C78D7" w:rsidRPr="0072505E" w:rsidRDefault="001C78D7" w:rsidP="001C78D7">
            <w:pPr>
              <w:jc w:val="both"/>
              <w:rPr>
                <w:sz w:val="20"/>
              </w:rPr>
            </w:pPr>
            <w:r w:rsidRPr="0072505E">
              <w:rPr>
                <w:sz w:val="20"/>
              </w:rPr>
              <w:t>Supreme Court of Canada</w:t>
            </w:r>
          </w:p>
        </w:tc>
        <w:tc>
          <w:tcPr>
            <w:tcW w:w="243" w:type="pct"/>
          </w:tcPr>
          <w:p w:rsidR="001C78D7" w:rsidRPr="0072505E" w:rsidRDefault="001C78D7" w:rsidP="001C78D7">
            <w:pPr>
              <w:jc w:val="both"/>
              <w:rPr>
                <w:sz w:val="20"/>
              </w:rPr>
            </w:pPr>
          </w:p>
        </w:tc>
        <w:tc>
          <w:tcPr>
            <w:tcW w:w="2330" w:type="pct"/>
          </w:tcPr>
          <w:p w:rsidR="001C78D7" w:rsidRPr="0072505E" w:rsidRDefault="001C78D7" w:rsidP="001C78D7">
            <w:pPr>
              <w:jc w:val="both"/>
              <w:rPr>
                <w:sz w:val="20"/>
              </w:rPr>
            </w:pPr>
            <w:r w:rsidRPr="0072505E">
              <w:rPr>
                <w:sz w:val="20"/>
              </w:rPr>
              <w:t>Application for leave to appeal filed</w:t>
            </w:r>
          </w:p>
        </w:tc>
      </w:tr>
    </w:tbl>
    <w:p w:rsidR="001C78D7" w:rsidRPr="0072505E" w:rsidRDefault="001C78D7" w:rsidP="001C78D7">
      <w:pPr>
        <w:jc w:val="both"/>
        <w:rPr>
          <w:sz w:val="20"/>
        </w:rPr>
      </w:pPr>
    </w:p>
    <w:p w:rsidR="0072505E" w:rsidRPr="0072505E" w:rsidRDefault="0072505E" w:rsidP="001C78D7">
      <w:pPr>
        <w:jc w:val="both"/>
        <w:rPr>
          <w:sz w:val="20"/>
        </w:rPr>
      </w:pPr>
      <w:r w:rsidRPr="0072505E">
        <w:rPr>
          <w:sz w:val="20"/>
        </w:rPr>
        <w:pict>
          <v:rect id="_x0000_i1044" style="width:2in;height:1pt" o:hrpct="0" o:hralign="center" o:hrstd="t" o:hrnoshade="t" o:hr="t" fillcolor="black [3213]" stroked="f"/>
        </w:pict>
      </w:r>
    </w:p>
    <w:p w:rsidR="0072505E" w:rsidRPr="0072505E" w:rsidRDefault="0072505E" w:rsidP="001C78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78D7" w:rsidRPr="0072505E" w:rsidTr="001C78D7">
        <w:tc>
          <w:tcPr>
            <w:tcW w:w="543" w:type="pct"/>
          </w:tcPr>
          <w:p w:rsidR="001C78D7" w:rsidRPr="0072505E" w:rsidRDefault="001C78D7" w:rsidP="001C78D7">
            <w:pPr>
              <w:jc w:val="both"/>
              <w:rPr>
                <w:sz w:val="20"/>
                <w:lang w:val="fr-CA"/>
              </w:rPr>
            </w:pPr>
            <w:r w:rsidRPr="0072505E">
              <w:rPr>
                <w:rStyle w:val="SCCFileNumberChar"/>
                <w:sz w:val="20"/>
                <w:szCs w:val="20"/>
                <w:lang w:val="fr-CA"/>
              </w:rPr>
              <w:lastRenderedPageBreak/>
              <w:t>39269</w:t>
            </w:r>
          </w:p>
        </w:tc>
        <w:tc>
          <w:tcPr>
            <w:tcW w:w="4457" w:type="pct"/>
            <w:gridSpan w:val="3"/>
          </w:tcPr>
          <w:p w:rsidR="001C78D7" w:rsidRPr="0072505E" w:rsidRDefault="001C78D7" w:rsidP="001C78D7">
            <w:pPr>
              <w:pStyle w:val="SCCLsocParty"/>
              <w:jc w:val="both"/>
              <w:rPr>
                <w:b/>
                <w:sz w:val="20"/>
                <w:szCs w:val="20"/>
                <w:lang w:val="en-US"/>
              </w:rPr>
            </w:pPr>
            <w:r w:rsidRPr="0072505E">
              <w:rPr>
                <w:b/>
                <w:sz w:val="20"/>
                <w:szCs w:val="20"/>
                <w:lang w:val="en-US"/>
              </w:rPr>
              <w:t>Directeur, St. Boniface/St. Vital c. Martin Stadler</w:t>
            </w:r>
          </w:p>
          <w:p w:rsidR="001C78D7" w:rsidRPr="0072505E" w:rsidRDefault="001C78D7" w:rsidP="001C78D7">
            <w:pPr>
              <w:pStyle w:val="SCCLsocOtherPartySeparator"/>
              <w:rPr>
                <w:sz w:val="20"/>
                <w:szCs w:val="20"/>
                <w:lang w:val="en-US"/>
              </w:rPr>
            </w:pPr>
            <w:r w:rsidRPr="0072505E">
              <w:rPr>
                <w:sz w:val="20"/>
                <w:szCs w:val="20"/>
                <w:lang w:val="en-US"/>
              </w:rPr>
              <w:t>- et -</w:t>
            </w:r>
          </w:p>
          <w:p w:rsidR="001C78D7" w:rsidRPr="0072505E" w:rsidRDefault="001C78D7" w:rsidP="001C78D7">
            <w:pPr>
              <w:pStyle w:val="SCCLsocParty"/>
              <w:jc w:val="both"/>
              <w:rPr>
                <w:b/>
                <w:sz w:val="20"/>
                <w:szCs w:val="20"/>
                <w:lang w:val="en-US"/>
              </w:rPr>
            </w:pPr>
            <w:r w:rsidRPr="0072505E">
              <w:rPr>
                <w:b/>
                <w:sz w:val="20"/>
                <w:szCs w:val="20"/>
                <w:lang w:val="en-US"/>
              </w:rPr>
              <w:t>Social Planning Council of Winnipeg</w:t>
            </w:r>
          </w:p>
          <w:p w:rsidR="001C78D7" w:rsidRPr="0072505E" w:rsidRDefault="001C78D7" w:rsidP="001C78D7">
            <w:pPr>
              <w:jc w:val="both"/>
              <w:rPr>
                <w:sz w:val="20"/>
                <w:lang w:val="fr-CA"/>
              </w:rPr>
            </w:pPr>
            <w:r w:rsidRPr="0072505E">
              <w:rPr>
                <w:sz w:val="20"/>
                <w:lang w:val="fr-CA"/>
              </w:rPr>
              <w:t>(Man.) (Civile) (Sur autorisation)</w:t>
            </w:r>
          </w:p>
        </w:tc>
      </w:tr>
      <w:tr w:rsidR="001C78D7" w:rsidRPr="0072505E" w:rsidTr="001C78D7">
        <w:tc>
          <w:tcPr>
            <w:tcW w:w="5000" w:type="pct"/>
            <w:gridSpan w:val="4"/>
          </w:tcPr>
          <w:p w:rsidR="001C78D7" w:rsidRPr="0072505E" w:rsidRDefault="001C78D7" w:rsidP="001C78D7">
            <w:pPr>
              <w:jc w:val="both"/>
              <w:rPr>
                <w:sz w:val="20"/>
                <w:lang w:val="fr-CA"/>
              </w:rPr>
            </w:pPr>
            <w:r w:rsidRPr="0072505E">
              <w:rPr>
                <w:sz w:val="20"/>
                <w:lang w:val="fr-CA"/>
              </w:rPr>
              <w:t xml:space="preserve">Droit constitutionnel — </w:t>
            </w:r>
            <w:r w:rsidRPr="0072505E">
              <w:rPr>
                <w:i/>
                <w:sz w:val="20"/>
                <w:lang w:val="fr-CA"/>
              </w:rPr>
              <w:t>Charte des droits</w:t>
            </w:r>
            <w:r w:rsidRPr="0072505E">
              <w:rPr>
                <w:sz w:val="20"/>
                <w:lang w:val="fr-CA"/>
              </w:rPr>
              <w:t xml:space="preserve"> — Droit à l’égalité — Discrimination fondée sur une déficience mentale ou physique — Réparation — La Cour d’appel a</w:t>
            </w:r>
            <w:r w:rsidRPr="0072505E">
              <w:rPr>
                <w:sz w:val="20"/>
                <w:lang w:val="fr-CA"/>
              </w:rPr>
              <w:noBreakHyphen/>
              <w:t>t</w:t>
            </w:r>
            <w:r w:rsidRPr="0072505E">
              <w:rPr>
                <w:sz w:val="20"/>
                <w:lang w:val="fr-CA"/>
              </w:rPr>
              <w:noBreakHyphen/>
              <w:t xml:space="preserve">elle commis une erreur dans son analyse de l’art. 15 de la </w:t>
            </w:r>
            <w:r w:rsidRPr="0072505E">
              <w:rPr>
                <w:i/>
                <w:sz w:val="20"/>
                <w:lang w:val="fr-CA"/>
              </w:rPr>
              <w:t>Charte </w:t>
            </w:r>
            <w:r w:rsidRPr="0072505E">
              <w:rPr>
                <w:sz w:val="20"/>
                <w:lang w:val="fr-CA"/>
              </w:rPr>
              <w:t>? — La Cour d’appel a</w:t>
            </w:r>
            <w:r w:rsidRPr="0072505E">
              <w:rPr>
                <w:sz w:val="20"/>
                <w:lang w:val="fr-CA"/>
              </w:rPr>
              <w:noBreakHyphen/>
              <w:t>t</w:t>
            </w:r>
            <w:r w:rsidRPr="0072505E">
              <w:rPr>
                <w:sz w:val="20"/>
                <w:lang w:val="fr-CA"/>
              </w:rPr>
              <w:noBreakHyphen/>
              <w:t xml:space="preserve">elle commis une erreur dans son analyse de l’article premier de la </w:t>
            </w:r>
            <w:r w:rsidRPr="0072505E">
              <w:rPr>
                <w:i/>
                <w:sz w:val="20"/>
                <w:lang w:val="fr-CA"/>
              </w:rPr>
              <w:t>Charte </w:t>
            </w:r>
            <w:r w:rsidRPr="0072505E">
              <w:rPr>
                <w:sz w:val="20"/>
                <w:lang w:val="fr-CA"/>
              </w:rPr>
              <w:t>? — La Cour d’appel a</w:t>
            </w:r>
            <w:r w:rsidRPr="0072505E">
              <w:rPr>
                <w:sz w:val="20"/>
                <w:lang w:val="fr-CA"/>
              </w:rPr>
              <w:noBreakHyphen/>
              <w:t>t</w:t>
            </w:r>
            <w:r w:rsidRPr="0072505E">
              <w:rPr>
                <w:sz w:val="20"/>
                <w:lang w:val="fr-CA"/>
              </w:rPr>
              <w:noBreakHyphen/>
              <w:t>elle commis une erreur dans son choix de réparation accordée ?</w:t>
            </w:r>
          </w:p>
        </w:tc>
      </w:tr>
      <w:tr w:rsidR="001C78D7" w:rsidRPr="0072505E" w:rsidTr="001C78D7">
        <w:tc>
          <w:tcPr>
            <w:tcW w:w="5000" w:type="pct"/>
            <w:gridSpan w:val="4"/>
          </w:tcPr>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 xml:space="preserve">Aux termes du par. 12.1(2) du </w:t>
            </w:r>
            <w:r w:rsidRPr="0072505E">
              <w:rPr>
                <w:i/>
                <w:sz w:val="20"/>
                <w:lang w:val="fr-CA"/>
              </w:rPr>
              <w:t>Règlement sur les allocations d’aide</w:t>
            </w:r>
            <w:r w:rsidRPr="0072505E">
              <w:rPr>
                <w:sz w:val="20"/>
                <w:lang w:val="fr-CA"/>
              </w:rPr>
              <w:t xml:space="preserve">, </w:t>
            </w:r>
            <w:proofErr w:type="spellStart"/>
            <w:r w:rsidRPr="0072505E">
              <w:rPr>
                <w:sz w:val="20"/>
                <w:lang w:val="fr-CA"/>
              </w:rPr>
              <w:t>Règl</w:t>
            </w:r>
            <w:proofErr w:type="spellEnd"/>
            <w:r w:rsidRPr="0072505E">
              <w:rPr>
                <w:sz w:val="20"/>
                <w:lang w:val="fr-CA"/>
              </w:rPr>
              <w:t xml:space="preserve">. du Man. 404/88R, pris en application de la </w:t>
            </w:r>
            <w:r w:rsidRPr="0072505E">
              <w:rPr>
                <w:i/>
                <w:sz w:val="20"/>
                <w:lang w:val="fr-CA"/>
              </w:rPr>
              <w:t>Loi sur les allocations d’aide du Manitoba</w:t>
            </w:r>
            <w:r w:rsidRPr="0072505E">
              <w:rPr>
                <w:sz w:val="20"/>
                <w:lang w:val="fr-CA"/>
              </w:rPr>
              <w:t xml:space="preserve">, c. A150 de la C.P.L.M., les requérants d’aide au revenu doivent « obtenir le montant maximal d’indemnités, de prestations ou de contributions au soutien et à l’entretien qui peut être offert en vertu d’une autre loi ou d’un autre programme, notamment une loi fédérale ou un programme du gouvernement fédéral ». Dans les faits, cela signifiait que M. Stadler, qui ne pouvait travailler à cause de problèmes de santé, devait demander des prestations du Régime de pensions du Canada (« RPC ») dès l’âge de 60 ans. Un certain pourcentage par mois est déduit à partir des prestations du RPC reçues avant l’âge de 65 ans, ainsi, le fait de demander des prestations à l’âge de 60 ans aurait pour effet de réduire sa pension de 36 pour cent, et ce, de manière permanente. Lorsque M. Stadler a indiqué, qu’en raison de cette réduction permanente, il ne voulait pas demander de prestations du RPC avant l’âge de 65 ans, on l’a avisé qu’à moins qu’il en fasse la demande, il serait mis fin à ses prestations d’aide au revenu. Lorsqu’il a refusé de demander les prestations du RPC, on a cessé de lui verser des prestations d’aide au revenu. </w:t>
            </w:r>
          </w:p>
          <w:p w:rsidR="001C78D7" w:rsidRPr="0072505E" w:rsidRDefault="001C78D7" w:rsidP="001C78D7">
            <w:pPr>
              <w:jc w:val="both"/>
              <w:rPr>
                <w:sz w:val="20"/>
                <w:lang w:val="fr-CA"/>
              </w:rPr>
            </w:pPr>
          </w:p>
          <w:p w:rsidR="001C78D7" w:rsidRPr="0072505E" w:rsidRDefault="001C78D7" w:rsidP="001C78D7">
            <w:pPr>
              <w:jc w:val="both"/>
              <w:rPr>
                <w:sz w:val="20"/>
                <w:lang w:val="fr-CA"/>
              </w:rPr>
            </w:pPr>
            <w:r w:rsidRPr="0072505E">
              <w:rPr>
                <w:sz w:val="20"/>
                <w:lang w:val="fr-CA"/>
              </w:rPr>
              <w:t xml:space="preserve">M. Stadler a fait appel de la décision de mettre fin au versement de ses prestations devant la Commission d’appel des services sociaux, faisant valoir que cette décision violait ses droits à titre de personne ayant une déficience, en vertu de l’art. 15 de la </w:t>
            </w:r>
            <w:r w:rsidRPr="0072505E">
              <w:rPr>
                <w:i/>
                <w:sz w:val="20"/>
                <w:lang w:val="fr-CA"/>
              </w:rPr>
              <w:t>Charte</w:t>
            </w:r>
            <w:r w:rsidRPr="0072505E">
              <w:rPr>
                <w:sz w:val="20"/>
                <w:lang w:val="fr-CA"/>
              </w:rPr>
              <w:t xml:space="preserve">. La Commission a d’abord conclu, en se fondant sur l’arrêt </w:t>
            </w:r>
            <w:r w:rsidRPr="0072505E">
              <w:rPr>
                <w:i/>
                <w:iCs/>
                <w:sz w:val="20"/>
                <w:lang w:val="fr-CA"/>
              </w:rPr>
              <w:t>Fernandes v. Manitoba (Director of Social Services (Winnipeg Central)</w:t>
            </w:r>
            <w:r w:rsidRPr="0072505E">
              <w:rPr>
                <w:sz w:val="20"/>
                <w:lang w:val="fr-CA"/>
              </w:rPr>
              <w:t xml:space="preserve"> (1992), 93 D.L.R. (4th) 402 (Man. C.A.), qu’elle n’avait pas compétence pour examiner les arguments fondés sur la </w:t>
            </w:r>
            <w:r w:rsidRPr="0072505E">
              <w:rPr>
                <w:i/>
                <w:iCs/>
                <w:sz w:val="20"/>
                <w:lang w:val="fr-CA"/>
              </w:rPr>
              <w:t>Charte</w:t>
            </w:r>
            <w:r w:rsidRPr="0072505E">
              <w:rPr>
                <w:iCs/>
                <w:sz w:val="20"/>
                <w:lang w:val="fr-CA"/>
              </w:rPr>
              <w:t xml:space="preserve"> mis de l’avant par M. Stadler</w:t>
            </w:r>
            <w:r w:rsidRPr="0072505E">
              <w:rPr>
                <w:sz w:val="20"/>
                <w:lang w:val="fr-CA"/>
              </w:rPr>
              <w:t xml:space="preserve">. Cette décision a été portée en appel devant la Cour d’appel, qui a infirmé l’arrêt </w:t>
            </w:r>
            <w:r w:rsidRPr="0072505E">
              <w:rPr>
                <w:i/>
                <w:iCs/>
                <w:sz w:val="20"/>
                <w:lang w:val="fr-CA"/>
              </w:rPr>
              <w:t>Fernandes</w:t>
            </w:r>
            <w:r w:rsidRPr="0072505E">
              <w:rPr>
                <w:sz w:val="20"/>
                <w:lang w:val="fr-CA"/>
              </w:rPr>
              <w:t xml:space="preserve"> et a renvoyé l’affaire à la Commission pour qu’elle en fasse le réexamen. Après avoir examiné la question fondée sur la </w:t>
            </w:r>
            <w:r w:rsidRPr="0072505E">
              <w:rPr>
                <w:i/>
                <w:iCs/>
                <w:sz w:val="20"/>
                <w:lang w:val="fr-CA"/>
              </w:rPr>
              <w:t>Charte</w:t>
            </w:r>
            <w:r w:rsidRPr="0072505E">
              <w:rPr>
                <w:sz w:val="20"/>
                <w:lang w:val="fr-CA"/>
              </w:rPr>
              <w:t xml:space="preserve">, la Commission a conclu qu’il n’y avait eu aucune violation de l’art. 15 de la </w:t>
            </w:r>
            <w:r w:rsidRPr="0072505E">
              <w:rPr>
                <w:i/>
                <w:iCs/>
                <w:sz w:val="20"/>
                <w:lang w:val="fr-CA"/>
              </w:rPr>
              <w:t xml:space="preserve">Charte </w:t>
            </w:r>
            <w:r w:rsidRPr="0072505E">
              <w:rPr>
                <w:iCs/>
                <w:sz w:val="20"/>
                <w:lang w:val="fr-CA"/>
              </w:rPr>
              <w:t xml:space="preserve">et a confirmé la décision de mettre fin au versement des prestations de </w:t>
            </w:r>
            <w:r w:rsidRPr="0072505E">
              <w:rPr>
                <w:sz w:val="20"/>
                <w:lang w:val="fr-CA"/>
              </w:rPr>
              <w:t>M. Stadler. La Cour d’appel a accueilli l’appel de ce dernier.</w:t>
            </w:r>
          </w:p>
        </w:tc>
      </w:tr>
      <w:tr w:rsidR="001C78D7" w:rsidRPr="0072505E" w:rsidTr="001C78D7">
        <w:tc>
          <w:tcPr>
            <w:tcW w:w="5000" w:type="pct"/>
            <w:gridSpan w:val="4"/>
          </w:tcPr>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16 mai 2018</w:t>
            </w:r>
          </w:p>
          <w:p w:rsidR="001C78D7" w:rsidRPr="0072505E" w:rsidRDefault="001C78D7" w:rsidP="001C78D7">
            <w:pPr>
              <w:jc w:val="both"/>
              <w:rPr>
                <w:sz w:val="20"/>
                <w:lang w:val="fr-CA"/>
              </w:rPr>
            </w:pPr>
            <w:r w:rsidRPr="0072505E">
              <w:rPr>
                <w:sz w:val="20"/>
                <w:lang w:val="fr-CA"/>
              </w:rPr>
              <w:t>Commission d’appel des services sociaux (</w:t>
            </w:r>
            <w:proofErr w:type="spellStart"/>
            <w:r w:rsidRPr="0072505E">
              <w:rPr>
                <w:sz w:val="20"/>
                <w:lang w:val="fr-CA"/>
              </w:rPr>
              <w:t>McCrae</w:t>
            </w:r>
            <w:proofErr w:type="spellEnd"/>
            <w:r w:rsidRPr="0072505E">
              <w:rPr>
                <w:sz w:val="20"/>
                <w:lang w:val="fr-CA"/>
              </w:rPr>
              <w:t>, Berry, Ross)</w:t>
            </w:r>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La décision obligeant M. Stadler à demander des prestations du Régime de pensions du Canada à l’âge de 60 ans est confirmée.</w:t>
            </w: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5 mai 2020</w:t>
            </w:r>
          </w:p>
          <w:p w:rsidR="001C78D7" w:rsidRPr="0072505E" w:rsidRDefault="001C78D7" w:rsidP="001C78D7">
            <w:pPr>
              <w:jc w:val="both"/>
              <w:rPr>
                <w:sz w:val="20"/>
                <w:lang w:val="fr-CA"/>
              </w:rPr>
            </w:pPr>
            <w:r w:rsidRPr="0072505E">
              <w:rPr>
                <w:sz w:val="20"/>
                <w:lang w:val="fr-CA"/>
              </w:rPr>
              <w:t>Cour d’appel du Manitoba</w:t>
            </w:r>
          </w:p>
          <w:p w:rsidR="001C78D7" w:rsidRPr="0072505E" w:rsidRDefault="001C78D7" w:rsidP="001C78D7">
            <w:pPr>
              <w:jc w:val="both"/>
              <w:rPr>
                <w:sz w:val="20"/>
                <w:lang w:val="fr-CA"/>
              </w:rPr>
            </w:pPr>
            <w:r w:rsidRPr="0072505E">
              <w:rPr>
                <w:sz w:val="20"/>
                <w:lang w:val="fr-CA"/>
              </w:rPr>
              <w:t>(Juge en chef Chartier, juges Steel et Hamilton)</w:t>
            </w:r>
          </w:p>
          <w:p w:rsidR="001C78D7" w:rsidRPr="0072505E" w:rsidRDefault="001C78D7" w:rsidP="001C78D7">
            <w:pPr>
              <w:jc w:val="both"/>
              <w:rPr>
                <w:sz w:val="20"/>
                <w:lang w:val="fr-CA"/>
              </w:rPr>
            </w:pPr>
            <w:hyperlink r:id="rId46" w:history="1">
              <w:r w:rsidRPr="0072505E">
                <w:rPr>
                  <w:rStyle w:val="Hyperlink"/>
                  <w:sz w:val="20"/>
                  <w:lang w:val="fr-CA"/>
                </w:rPr>
                <w:t>2020 MBCA 46</w:t>
              </w:r>
            </w:hyperlink>
          </w:p>
          <w:p w:rsidR="001C78D7" w:rsidRPr="0072505E" w:rsidRDefault="001C78D7" w:rsidP="001C78D7">
            <w:pPr>
              <w:jc w:val="both"/>
              <w:rPr>
                <w:sz w:val="20"/>
                <w:lang w:val="fr-CA"/>
              </w:rPr>
            </w:pP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L’appel est accueilli.</w:t>
            </w:r>
          </w:p>
          <w:p w:rsidR="001C78D7" w:rsidRPr="0072505E" w:rsidRDefault="001C78D7" w:rsidP="001C78D7">
            <w:pPr>
              <w:jc w:val="both"/>
              <w:rPr>
                <w:sz w:val="20"/>
                <w:lang w:val="fr-CA"/>
              </w:rPr>
            </w:pPr>
          </w:p>
        </w:tc>
      </w:tr>
      <w:tr w:rsidR="001C78D7" w:rsidRPr="0072505E" w:rsidTr="001C78D7">
        <w:tc>
          <w:tcPr>
            <w:tcW w:w="2427" w:type="pct"/>
            <w:gridSpan w:val="2"/>
          </w:tcPr>
          <w:p w:rsidR="001C78D7" w:rsidRPr="0072505E" w:rsidRDefault="001C78D7" w:rsidP="001C78D7">
            <w:pPr>
              <w:jc w:val="both"/>
              <w:rPr>
                <w:sz w:val="20"/>
                <w:lang w:val="fr-CA"/>
              </w:rPr>
            </w:pPr>
            <w:r w:rsidRPr="0072505E">
              <w:rPr>
                <w:sz w:val="20"/>
                <w:lang w:val="fr-CA"/>
              </w:rPr>
              <w:t>4 août 2020</w:t>
            </w:r>
          </w:p>
          <w:p w:rsidR="001C78D7" w:rsidRPr="0072505E" w:rsidRDefault="001C78D7" w:rsidP="001C78D7">
            <w:pPr>
              <w:jc w:val="both"/>
              <w:rPr>
                <w:sz w:val="20"/>
                <w:lang w:val="fr-CA"/>
              </w:rPr>
            </w:pPr>
            <w:r w:rsidRPr="0072505E">
              <w:rPr>
                <w:sz w:val="20"/>
                <w:lang w:val="fr-CA"/>
              </w:rPr>
              <w:t>Cour suprême du Canada</w:t>
            </w:r>
          </w:p>
        </w:tc>
        <w:tc>
          <w:tcPr>
            <w:tcW w:w="243" w:type="pct"/>
          </w:tcPr>
          <w:p w:rsidR="001C78D7" w:rsidRPr="0072505E" w:rsidRDefault="001C78D7" w:rsidP="001C78D7">
            <w:pPr>
              <w:jc w:val="both"/>
              <w:rPr>
                <w:sz w:val="20"/>
                <w:lang w:val="fr-CA"/>
              </w:rPr>
            </w:pPr>
          </w:p>
        </w:tc>
        <w:tc>
          <w:tcPr>
            <w:tcW w:w="2330" w:type="pct"/>
          </w:tcPr>
          <w:p w:rsidR="001C78D7" w:rsidRPr="0072505E" w:rsidRDefault="001C78D7" w:rsidP="001C78D7">
            <w:pPr>
              <w:jc w:val="both"/>
              <w:rPr>
                <w:sz w:val="20"/>
                <w:lang w:val="fr-CA"/>
              </w:rPr>
            </w:pPr>
            <w:r w:rsidRPr="0072505E">
              <w:rPr>
                <w:sz w:val="20"/>
                <w:lang w:val="fr-CA"/>
              </w:rPr>
              <w:t>La demande d’autorisation d’appel est présentée.</w:t>
            </w:r>
          </w:p>
        </w:tc>
      </w:tr>
    </w:tbl>
    <w:p w:rsidR="002C5E29" w:rsidRPr="0072505E" w:rsidRDefault="002C5E29" w:rsidP="00870335">
      <w:pPr>
        <w:widowControl w:val="0"/>
        <w:jc w:val="both"/>
        <w:rPr>
          <w:sz w:val="20"/>
          <w:lang w:val="fr-CA"/>
        </w:rPr>
      </w:pPr>
    </w:p>
    <w:p w:rsidR="00E85588" w:rsidRPr="0072505E" w:rsidRDefault="001C78D7" w:rsidP="00E85588">
      <w:pPr>
        <w:jc w:val="both"/>
        <w:rPr>
          <w:sz w:val="20"/>
        </w:rPr>
      </w:pPr>
      <w:r w:rsidRPr="0072505E">
        <w:rPr>
          <w:sz w:val="20"/>
        </w:rPr>
        <w:pict>
          <v:rect id="_x0000_i1027" style="width:2in;height:1pt" o:hrpct="0" o:hralign="center" o:hrstd="t" o:hrnoshade="t" o:hr="t" fillcolor="black [3213]" stroked="f"/>
        </w:pict>
      </w:r>
    </w:p>
    <w:p w:rsidR="00E85588" w:rsidRPr="0072505E" w:rsidRDefault="00E85588" w:rsidP="00E85588">
      <w:pPr>
        <w:jc w:val="both"/>
        <w:rPr>
          <w:sz w:val="20"/>
        </w:rPr>
      </w:pPr>
    </w:p>
    <w:p w:rsidR="005C7161" w:rsidRPr="0072505E" w:rsidRDefault="005C7161" w:rsidP="006A22CA">
      <w:pPr>
        <w:ind w:left="142" w:hanging="142"/>
        <w:jc w:val="both"/>
        <w:rPr>
          <w:sz w:val="20"/>
        </w:rPr>
      </w:pPr>
    </w:p>
    <w:p w:rsidR="00FD3FA0" w:rsidRPr="0072505E" w:rsidRDefault="00FD3FA0" w:rsidP="006A22CA">
      <w:pPr>
        <w:ind w:left="142" w:hanging="142"/>
        <w:jc w:val="both"/>
        <w:rPr>
          <w:sz w:val="20"/>
        </w:rPr>
      </w:pPr>
    </w:p>
    <w:p w:rsidR="00D3344A" w:rsidRPr="0072505E" w:rsidRDefault="00D3344A" w:rsidP="00D3344A">
      <w:pPr>
        <w:widowControl w:val="0"/>
        <w:outlineLvl w:val="0"/>
      </w:pPr>
      <w:r w:rsidRPr="0072505E">
        <w:t xml:space="preserve">Supreme Court of Canada / Cour suprême du </w:t>
      </w:r>
      <w:proofErr w:type="gramStart"/>
      <w:r w:rsidRPr="0072505E">
        <w:t>Canad</w:t>
      </w:r>
      <w:r w:rsidR="00EE289F" w:rsidRPr="0072505E">
        <w:t>a</w:t>
      </w:r>
      <w:r w:rsidRPr="0072505E">
        <w:t xml:space="preserve"> :</w:t>
      </w:r>
      <w:proofErr w:type="gramEnd"/>
    </w:p>
    <w:p w:rsidR="00D3344A" w:rsidRPr="0072505E" w:rsidRDefault="001C78D7" w:rsidP="00D3344A">
      <w:pPr>
        <w:widowControl w:val="0"/>
        <w:outlineLvl w:val="0"/>
        <w:rPr>
          <w:u w:val="single"/>
        </w:rPr>
      </w:pPr>
      <w:hyperlink r:id="rId47" w:history="1">
        <w:r w:rsidR="009B7391" w:rsidRPr="0072505E">
          <w:rPr>
            <w:rStyle w:val="Hyperlink"/>
          </w:rPr>
          <w:t>comments-commentaires@scc-csc.ca</w:t>
        </w:r>
      </w:hyperlink>
    </w:p>
    <w:p w:rsidR="00D3344A" w:rsidRPr="0072505E" w:rsidRDefault="0065588C" w:rsidP="00D3344A">
      <w:pPr>
        <w:widowControl w:val="0"/>
        <w:outlineLvl w:val="0"/>
      </w:pPr>
      <w:r w:rsidRPr="0072505E">
        <w:t>613-</w:t>
      </w:r>
      <w:r w:rsidR="00D3344A" w:rsidRPr="0072505E">
        <w:t>995-4330</w:t>
      </w:r>
    </w:p>
    <w:p w:rsidR="00497B5E" w:rsidRPr="0072505E" w:rsidRDefault="00497B5E" w:rsidP="00497B5E">
      <w:pPr>
        <w:widowControl w:val="0"/>
        <w:rPr>
          <w:sz w:val="20"/>
        </w:rPr>
      </w:pPr>
    </w:p>
    <w:p w:rsidR="00F6251B" w:rsidRPr="006E558B" w:rsidRDefault="003F43E6" w:rsidP="00F6251B">
      <w:pPr>
        <w:pStyle w:val="Footer"/>
        <w:jc w:val="center"/>
      </w:pPr>
      <w:r w:rsidRPr="0072505E">
        <w:t>- 30 -</w:t>
      </w:r>
      <w:bookmarkStart w:id="1" w:name="_GoBack"/>
      <w:bookmarkEnd w:id="1"/>
    </w:p>
    <w:sectPr w:rsidR="00F6251B" w:rsidRPr="006E558B" w:rsidSect="00E62F93">
      <w:headerReference w:type="even" r:id="rId48"/>
      <w:headerReference w:type="default" r:id="rId49"/>
      <w:footerReference w:type="even" r:id="rId50"/>
      <w:footerReference w:type="default" r:id="rId51"/>
      <w:headerReference w:type="first" r:id="rId52"/>
      <w:footerReference w:type="first" r:id="rId5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D7" w:rsidRDefault="001C78D7" w:rsidP="0034178A">
      <w:r>
        <w:separator/>
      </w:r>
    </w:p>
  </w:endnote>
  <w:endnote w:type="continuationSeparator" w:id="0">
    <w:p w:rsidR="001C78D7" w:rsidRDefault="001C78D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D7" w:rsidRDefault="001C7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D7" w:rsidRPr="009F77F0" w:rsidRDefault="001C78D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D7" w:rsidRDefault="001C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D7" w:rsidRDefault="001C78D7" w:rsidP="0034178A">
      <w:r>
        <w:separator/>
      </w:r>
    </w:p>
  </w:footnote>
  <w:footnote w:type="continuationSeparator" w:id="0">
    <w:p w:rsidR="001C78D7" w:rsidRDefault="001C78D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D7" w:rsidRDefault="001C7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D7" w:rsidRDefault="001C7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D7" w:rsidRDefault="001C7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6"/>
  </w:num>
  <w:num w:numId="7">
    <w:abstractNumId w:val="4"/>
  </w:num>
  <w:num w:numId="8">
    <w:abstractNumId w:val="8"/>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2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C78D7"/>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05E"/>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2E9"/>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230" TargetMode="External"/><Relationship Id="rId18" Type="http://schemas.openxmlformats.org/officeDocument/2006/relationships/hyperlink" Target="https://www.canlii.org/en/on/onca/doc/2020/2020onca237/2020onca237.html?resultIndex=1" TargetMode="External"/><Relationship Id="rId26" Type="http://schemas.openxmlformats.org/officeDocument/2006/relationships/hyperlink" Target="https://www.canlii.org/fr/ca/caf/doc/2020/2020caf74/2020caf74.html?searchUrlHash=AAAAAQAkU1lMVkFJTiBQSUNBUkQgUkJBLCBHUk9VUEUgRklOQU5DSUVSAAAAAAE&amp;resultIndex=1" TargetMode="External"/><Relationship Id="rId39" Type="http://schemas.openxmlformats.org/officeDocument/2006/relationships/hyperlink" Target="https://www.canlii.org/en/ab/abca/doc/2018/2018abca270/2018abca270.html" TargetMode="External"/><Relationship Id="rId21" Type="http://schemas.openxmlformats.org/officeDocument/2006/relationships/hyperlink" Target="https://www.canlii.org/fr/qc/qcca/doc/2020/2020qcca431/2020qcca431.html?autocompleteStr=200-10-003497-182&amp;autocompletePos=1" TargetMode="External"/><Relationship Id="rId34" Type="http://schemas.openxmlformats.org/officeDocument/2006/relationships/hyperlink" Target="https://www.canlii.org/en/bc/bcca/doc/2020/2020bcca23/2020bcca23.html?resultIndex=1" TargetMode="External"/><Relationship Id="rId42" Type="http://schemas.openxmlformats.org/officeDocument/2006/relationships/hyperlink" Target="https://www.canlii.org/en/ab/abca/doc/2020/2020abca162/2020abca162.html" TargetMode="External"/><Relationship Id="rId47" Type="http://schemas.openxmlformats.org/officeDocument/2006/relationships/hyperlink" Target="mailto:comments-commentaires@scc-cs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262" TargetMode="External"/><Relationship Id="rId17" Type="http://schemas.openxmlformats.org/officeDocument/2006/relationships/hyperlink" Target="https://www.canlii.org/en/on/onsc/doc/2019/2019onsc4055/2019onsc4055.html?autocompleteStr=2019%20ONSC%204055&amp;autocompletePos=1" TargetMode="External"/><Relationship Id="rId25" Type="http://schemas.openxmlformats.org/officeDocument/2006/relationships/hyperlink" Target="https://www.canlii.org/fr/ca/cfpi/doc/2018/2018cf747/2018cf747.html" TargetMode="External"/><Relationship Id="rId33" Type="http://schemas.openxmlformats.org/officeDocument/2006/relationships/hyperlink" Target="https://www.canlii.org/en/bc/bcpc/doc/2016/2016bcpc219/2016bcpc219.html?resultIndex=1" TargetMode="External"/><Relationship Id="rId38" Type="http://schemas.openxmlformats.org/officeDocument/2006/relationships/hyperlink" Target="https://www.canlii.org/en/bc/bcca/doc/2020/2020bcca116/2020bcca116.html?resultIndex=1" TargetMode="External"/><Relationship Id="rId46" Type="http://schemas.openxmlformats.org/officeDocument/2006/relationships/hyperlink" Target="https://www.canlii.org/en/mb/mbca/doc/2020/2020mbca46/2020mbca46.html?autocompleteStr=2020%20MBCA%2046&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269" TargetMode="External"/><Relationship Id="rId20" Type="http://schemas.openxmlformats.org/officeDocument/2006/relationships/hyperlink" Target="https://www.canlii.org/en/on/onca/doc/2020/2020onca237/2020onca237.html?resultIndex=1" TargetMode="External"/><Relationship Id="rId29" Type="http://schemas.openxmlformats.org/officeDocument/2006/relationships/hyperlink" Target="https://www.canlii.org/en/on/onsc/doc/2018/2018onsc2595/2018onsc2595.html?autocompleteStr=2018%20ONSC%202595&amp;autocompletePos=1" TargetMode="External"/><Relationship Id="rId41" Type="http://schemas.openxmlformats.org/officeDocument/2006/relationships/hyperlink" Target="https://www.canlii.org/en/ab/abca/doc/2018/2018abca270/2018abca270.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68" TargetMode="External"/><Relationship Id="rId24" Type="http://schemas.openxmlformats.org/officeDocument/2006/relationships/hyperlink" Target="https://www.canlii.org/en/ca/fca/doc/2020/2020fca74/2020fca74.html" TargetMode="External"/><Relationship Id="rId32" Type="http://schemas.openxmlformats.org/officeDocument/2006/relationships/hyperlink" Target="https://www.canlii.org/en/bc/bcca/doc/2020/2020bcca23/2020bcca23.html?resultIndex=1" TargetMode="External"/><Relationship Id="rId37" Type="http://schemas.openxmlformats.org/officeDocument/2006/relationships/hyperlink" Target="https://www.canlii.org/en/ca/scc/doc/2014/2014scc52/2014scc52.html" TargetMode="External"/><Relationship Id="rId40" Type="http://schemas.openxmlformats.org/officeDocument/2006/relationships/hyperlink" Target="https://www.canlii.org/en/ab/abca/doc/2020/2020abca162/2020abca162.html" TargetMode="External"/><Relationship Id="rId45" Type="http://schemas.openxmlformats.org/officeDocument/2006/relationships/hyperlink" Target="https://www.canlii.org/en/mb/mbca/doc/2020/2020mbca46/2020mbca46.html?autocompleteStr=2020%20MBCA%2046&amp;autocompletePos=1"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265" TargetMode="External"/><Relationship Id="rId23" Type="http://schemas.openxmlformats.org/officeDocument/2006/relationships/hyperlink" Target="https://www.canlii.org/en/ca/fct/doc/2018/2018fc747/2018fc747.html" TargetMode="External"/><Relationship Id="rId28" Type="http://schemas.openxmlformats.org/officeDocument/2006/relationships/hyperlink" Target="https://www.canlii.org/en/on/onca/doc/2020/2020onca288/2020onca288.html?autocompleteStr=2020%20ONCA%20288&amp;autocompletePos=1" TargetMode="External"/><Relationship Id="rId36" Type="http://schemas.openxmlformats.org/officeDocument/2006/relationships/hyperlink" Target="https://www.canlii.org/en/bc/bcca/doc/2020/2020bcca116/2020bcca116.html?resultIndex=1" TargetMode="External"/><Relationship Id="rId49" Type="http://schemas.openxmlformats.org/officeDocument/2006/relationships/header" Target="header2.xml"/><Relationship Id="rId10" Type="http://schemas.openxmlformats.org/officeDocument/2006/relationships/hyperlink" Target="https://www.scc-csc.ca/case-dossier/info/sum-som-fra.aspx?cas=39210" TargetMode="External"/><Relationship Id="rId19" Type="http://schemas.openxmlformats.org/officeDocument/2006/relationships/hyperlink" Target="https://www.canlii.org/en/on/onsc/doc/2019/2019onsc4055/2019onsc4055.html?autocompleteStr=2019%20ONSC%204055&amp;autocompletePos=1" TargetMode="External"/><Relationship Id="rId31" Type="http://schemas.openxmlformats.org/officeDocument/2006/relationships/hyperlink" Target="https://www.canlii.org/en/bc/bcpc/doc/2016/2016bcpc219/2016bcpc219.html?resultIndex=1" TargetMode="External"/><Relationship Id="rId44" Type="http://schemas.openxmlformats.org/officeDocument/2006/relationships/hyperlink" Target="https://www.canlii.org/en/ab/abca/doc/2020/2020abca188/2020abca188.html?autocompleteStr=2020%20abca%20188&amp;autocompletePos=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255" TargetMode="External"/><Relationship Id="rId14" Type="http://schemas.openxmlformats.org/officeDocument/2006/relationships/hyperlink" Target="https://www.scc-csc.ca/case-dossier/info/sum-som-eng.aspx?cas=39237" TargetMode="External"/><Relationship Id="rId22" Type="http://schemas.openxmlformats.org/officeDocument/2006/relationships/hyperlink" Target="https://www.canlii.org/fr/qc/qcca/doc/2020/2020qcca431/2020qcca431.html?autocompleteStr=200-10-003497-182&amp;autocompletePos=1" TargetMode="External"/><Relationship Id="rId27" Type="http://schemas.openxmlformats.org/officeDocument/2006/relationships/hyperlink" Target="https://www.canlii.org/en/on/onsc/doc/2018/2018onsc2595/2018onsc2595.html?autocompleteStr=2018%20ONSC%202595&amp;autocompletePos=1" TargetMode="External"/><Relationship Id="rId30" Type="http://schemas.openxmlformats.org/officeDocument/2006/relationships/hyperlink" Target="https://www.canlii.org/en/on/onca/doc/2020/2020onca288/2020onca288.html?autocompleteStr=2020%20ONCA%20288&amp;autocompletePos=1" TargetMode="External"/><Relationship Id="rId35" Type="http://schemas.openxmlformats.org/officeDocument/2006/relationships/hyperlink" Target="https://www.canlii.org/en/ca/scc/doc/2014/2014scc52/2014scc52.html" TargetMode="External"/><Relationship Id="rId43" Type="http://schemas.openxmlformats.org/officeDocument/2006/relationships/hyperlink" Target="https://www.canlii.org/en/ab/abca/doc/2020/2020abca188/2020abca188.html?autocompleteStr=2020%20abca%20188&amp;autocompletePos=1" TargetMode="External"/><Relationship Id="rId48" Type="http://schemas.openxmlformats.org/officeDocument/2006/relationships/header" Target="header1.xml"/><Relationship Id="rId8" Type="http://schemas.openxmlformats.org/officeDocument/2006/relationships/hyperlink" Target="https://www.scc-csc.ca/case-dossier/info/sum-som-eng.aspx?cas=39183"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EB27-361C-4EBE-A043-836DBE6B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7284</Words>
  <Characters>41523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48710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2020-11-20T19:15:00Z</dcterms:modified>
</cp:coreProperties>
</file>