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996312" w:rsidRDefault="000E391F" w:rsidP="000E391F">
      <w:pPr>
        <w:pStyle w:val="Header"/>
        <w:jc w:val="center"/>
        <w:rPr>
          <w:b/>
          <w:sz w:val="32"/>
        </w:rPr>
      </w:pPr>
      <w:r w:rsidRPr="00996312">
        <w:rPr>
          <w:b/>
          <w:sz w:val="32"/>
        </w:rPr>
        <w:t>Supreme Court of Canada / Cour suprême du Canada</w:t>
      </w:r>
    </w:p>
    <w:p w:rsidR="000E391F" w:rsidRPr="00996312" w:rsidRDefault="000E391F" w:rsidP="000E391F">
      <w:pPr>
        <w:widowControl w:val="0"/>
      </w:pPr>
    </w:p>
    <w:p w:rsidR="000E391F" w:rsidRPr="00996312" w:rsidRDefault="000E391F" w:rsidP="000E391F">
      <w:pPr>
        <w:widowControl w:val="0"/>
        <w:rPr>
          <w:i/>
        </w:rPr>
      </w:pPr>
    </w:p>
    <w:p w:rsidR="006F2579" w:rsidRPr="00996312" w:rsidRDefault="006F2579" w:rsidP="006F2579">
      <w:pPr>
        <w:widowControl w:val="0"/>
        <w:rPr>
          <w:i/>
          <w:sz w:val="20"/>
        </w:rPr>
      </w:pPr>
      <w:r w:rsidRPr="00996312">
        <w:rPr>
          <w:i/>
          <w:sz w:val="20"/>
        </w:rPr>
        <w:t>(</w:t>
      </w:r>
      <w:r w:rsidR="003240B6" w:rsidRPr="00996312">
        <w:rPr>
          <w:i/>
          <w:sz w:val="20"/>
        </w:rPr>
        <w:t>L</w:t>
      </w:r>
      <w:r w:rsidRPr="00996312">
        <w:rPr>
          <w:i/>
          <w:sz w:val="20"/>
        </w:rPr>
        <w:t>e français suit)</w:t>
      </w:r>
    </w:p>
    <w:p w:rsidR="006F2579" w:rsidRPr="00996312" w:rsidRDefault="006F2579" w:rsidP="006F2579">
      <w:pPr>
        <w:widowControl w:val="0"/>
      </w:pPr>
    </w:p>
    <w:p w:rsidR="006F2579" w:rsidRPr="00996312" w:rsidRDefault="00B07908" w:rsidP="006F2579">
      <w:pPr>
        <w:widowControl w:val="0"/>
        <w:jc w:val="center"/>
        <w:rPr>
          <w:b/>
        </w:rPr>
      </w:pPr>
      <w:r w:rsidRPr="00996312">
        <w:fldChar w:fldCharType="begin"/>
      </w:r>
      <w:r w:rsidR="006F2579" w:rsidRPr="00996312">
        <w:instrText xml:space="preserve"> SEQ CHAPTER \h \r 1</w:instrText>
      </w:r>
      <w:r w:rsidRPr="00996312">
        <w:fldChar w:fldCharType="end"/>
      </w:r>
      <w:r w:rsidR="006F2579" w:rsidRPr="00996312">
        <w:rPr>
          <w:b/>
        </w:rPr>
        <w:t>JUDGMENT</w:t>
      </w:r>
      <w:r w:rsidR="00B17AAC" w:rsidRPr="00996312">
        <w:rPr>
          <w:b/>
        </w:rPr>
        <w:t>S</w:t>
      </w:r>
      <w:r w:rsidR="006F2579" w:rsidRPr="00996312">
        <w:rPr>
          <w:b/>
        </w:rPr>
        <w:t xml:space="preserve"> TO B</w:t>
      </w:r>
      <w:r w:rsidR="00001846" w:rsidRPr="00996312">
        <w:rPr>
          <w:b/>
        </w:rPr>
        <w:t>E RENDERED IN LE</w:t>
      </w:r>
      <w:r w:rsidR="00A0288A" w:rsidRPr="00996312">
        <w:rPr>
          <w:b/>
        </w:rPr>
        <w:t>A</w:t>
      </w:r>
      <w:r w:rsidR="00001846" w:rsidRPr="00996312">
        <w:rPr>
          <w:b/>
        </w:rPr>
        <w:t>VE APPLICATION</w:t>
      </w:r>
      <w:r w:rsidR="00511288" w:rsidRPr="00996312">
        <w:rPr>
          <w:b/>
        </w:rPr>
        <w:t>S</w:t>
      </w:r>
    </w:p>
    <w:p w:rsidR="006F2579" w:rsidRPr="00996312" w:rsidRDefault="006F2579" w:rsidP="006F2579">
      <w:pPr>
        <w:widowControl w:val="0"/>
      </w:pPr>
    </w:p>
    <w:p w:rsidR="006F2579" w:rsidRPr="00996312" w:rsidRDefault="00D148E4" w:rsidP="006F2579">
      <w:pPr>
        <w:widowControl w:val="0"/>
      </w:pPr>
      <w:r w:rsidRPr="00996312">
        <w:rPr>
          <w:b/>
        </w:rPr>
        <w:t>December</w:t>
      </w:r>
      <w:r w:rsidR="00A15B66" w:rsidRPr="00996312">
        <w:rPr>
          <w:b/>
        </w:rPr>
        <w:t xml:space="preserve"> </w:t>
      </w:r>
      <w:r w:rsidR="00E23C15" w:rsidRPr="00996312">
        <w:rPr>
          <w:b/>
        </w:rPr>
        <w:t>14</w:t>
      </w:r>
      <w:r w:rsidR="004441C7" w:rsidRPr="00996312">
        <w:rPr>
          <w:b/>
        </w:rPr>
        <w:t>,</w:t>
      </w:r>
      <w:r w:rsidR="006F2579" w:rsidRPr="00996312">
        <w:rPr>
          <w:b/>
        </w:rPr>
        <w:t xml:space="preserve"> </w:t>
      </w:r>
      <w:r w:rsidR="0054689F" w:rsidRPr="00996312">
        <w:rPr>
          <w:b/>
        </w:rPr>
        <w:t>20</w:t>
      </w:r>
      <w:r w:rsidR="00526754" w:rsidRPr="00996312">
        <w:rPr>
          <w:b/>
        </w:rPr>
        <w:t>20</w:t>
      </w:r>
    </w:p>
    <w:p w:rsidR="006F2579" w:rsidRPr="00996312" w:rsidRDefault="00674F39" w:rsidP="006F2579">
      <w:pPr>
        <w:widowControl w:val="0"/>
        <w:rPr>
          <w:b/>
        </w:rPr>
      </w:pPr>
      <w:r w:rsidRPr="00996312">
        <w:rPr>
          <w:b/>
        </w:rPr>
        <w:t>For immediate release</w:t>
      </w:r>
    </w:p>
    <w:p w:rsidR="006F2579" w:rsidRPr="00996312" w:rsidRDefault="006F2579" w:rsidP="006F2579">
      <w:pPr>
        <w:widowControl w:val="0"/>
      </w:pPr>
    </w:p>
    <w:p w:rsidR="006F2579" w:rsidRPr="00996312" w:rsidRDefault="006F2579" w:rsidP="006F2579">
      <w:pPr>
        <w:widowControl w:val="0"/>
        <w:rPr>
          <w:lang w:val="fr-CA"/>
        </w:rPr>
      </w:pPr>
      <w:r w:rsidRPr="00996312">
        <w:rPr>
          <w:b/>
        </w:rPr>
        <w:t>OTTAWA</w:t>
      </w:r>
      <w:r w:rsidRPr="00996312">
        <w:t xml:space="preserve"> – The Supreme Court of Canad</w:t>
      </w:r>
      <w:r w:rsidR="006246E4" w:rsidRPr="00996312">
        <w:t>a</w:t>
      </w:r>
      <w:r w:rsidRPr="00996312">
        <w:t xml:space="preserve"> announced today that judgment in the following </w:t>
      </w:r>
      <w:r w:rsidR="00DB6199" w:rsidRPr="00996312">
        <w:t xml:space="preserve">leave applications </w:t>
      </w:r>
      <w:r w:rsidRPr="00996312">
        <w:t xml:space="preserve">will be delivered at 9:45 a.m. </w:t>
      </w:r>
      <w:r w:rsidR="00E05816" w:rsidRPr="00996312">
        <w:t>E</w:t>
      </w:r>
      <w:r w:rsidR="004C631D" w:rsidRPr="00996312">
        <w:t>S</w:t>
      </w:r>
      <w:r w:rsidR="00E05816" w:rsidRPr="00996312">
        <w:t>T</w:t>
      </w:r>
      <w:r w:rsidRPr="00996312">
        <w:t xml:space="preserve"> on Thursday, </w:t>
      </w:r>
      <w:r w:rsidR="009011A5" w:rsidRPr="00996312">
        <w:t>December</w:t>
      </w:r>
      <w:r w:rsidR="00455912" w:rsidRPr="00996312">
        <w:t xml:space="preserve"> </w:t>
      </w:r>
      <w:r w:rsidR="00D148E4" w:rsidRPr="00996312">
        <w:t>1</w:t>
      </w:r>
      <w:r w:rsidR="00E23C15" w:rsidRPr="00996312">
        <w:t>7</w:t>
      </w:r>
      <w:r w:rsidR="007E112F" w:rsidRPr="00996312">
        <w:t>,</w:t>
      </w:r>
      <w:r w:rsidR="002F38D7" w:rsidRPr="00996312">
        <w:t xml:space="preserve"> </w:t>
      </w:r>
      <w:r w:rsidR="006648D1" w:rsidRPr="00996312">
        <w:t>20</w:t>
      </w:r>
      <w:r w:rsidR="00526754" w:rsidRPr="00996312">
        <w:t>20</w:t>
      </w:r>
      <w:r w:rsidRPr="00996312">
        <w:t xml:space="preserve">. </w:t>
      </w:r>
      <w:r w:rsidRPr="00996312">
        <w:rPr>
          <w:lang w:val="fr-CA"/>
        </w:rPr>
        <w:t>This list is subject to chang</w:t>
      </w:r>
      <w:r w:rsidR="00192F7F" w:rsidRPr="00996312">
        <w:rPr>
          <w:lang w:val="fr-CA"/>
        </w:rPr>
        <w:t>e</w:t>
      </w:r>
      <w:r w:rsidRPr="00996312">
        <w:rPr>
          <w:lang w:val="fr-CA"/>
        </w:rPr>
        <w:t>.</w:t>
      </w:r>
    </w:p>
    <w:p w:rsidR="00FF5AA4" w:rsidRPr="00996312" w:rsidRDefault="00FF5AA4" w:rsidP="006F2579">
      <w:pPr>
        <w:widowControl w:val="0"/>
        <w:rPr>
          <w:lang w:val="fr-CA"/>
        </w:rPr>
      </w:pPr>
    </w:p>
    <w:p w:rsidR="00B43418" w:rsidRPr="00996312" w:rsidRDefault="00B43418" w:rsidP="006F2579">
      <w:pPr>
        <w:widowControl w:val="0"/>
        <w:rPr>
          <w:lang w:val="fr-CA"/>
        </w:rPr>
      </w:pPr>
    </w:p>
    <w:p w:rsidR="006F2579" w:rsidRPr="00996312" w:rsidRDefault="006F2579" w:rsidP="006F2579">
      <w:pPr>
        <w:widowControl w:val="0"/>
        <w:jc w:val="center"/>
        <w:rPr>
          <w:lang w:val="fr-CA"/>
        </w:rPr>
      </w:pPr>
      <w:r w:rsidRPr="00996312">
        <w:rPr>
          <w:b/>
          <w:lang w:val="fr-CA"/>
        </w:rPr>
        <w:t>PROCHAIN</w:t>
      </w:r>
      <w:r w:rsidR="00B17AAC" w:rsidRPr="00996312">
        <w:rPr>
          <w:b/>
          <w:lang w:val="fr-CA"/>
        </w:rPr>
        <w:t>S</w:t>
      </w:r>
      <w:r w:rsidRPr="00996312">
        <w:rPr>
          <w:b/>
          <w:lang w:val="fr-CA"/>
        </w:rPr>
        <w:t xml:space="preserve"> JUGEMENT</w:t>
      </w:r>
      <w:r w:rsidR="00B17AAC" w:rsidRPr="00996312">
        <w:rPr>
          <w:b/>
          <w:lang w:val="fr-CA"/>
        </w:rPr>
        <w:t>S</w:t>
      </w:r>
      <w:r w:rsidR="00001846" w:rsidRPr="00996312">
        <w:rPr>
          <w:b/>
          <w:lang w:val="fr-CA"/>
        </w:rPr>
        <w:t xml:space="preserve"> SUR DEMANDE</w:t>
      </w:r>
      <w:r w:rsidR="00B17AAC" w:rsidRPr="00996312">
        <w:rPr>
          <w:b/>
          <w:lang w:val="fr-CA"/>
        </w:rPr>
        <w:t>S</w:t>
      </w:r>
      <w:r w:rsidRPr="00996312">
        <w:rPr>
          <w:b/>
          <w:lang w:val="fr-CA"/>
        </w:rPr>
        <w:t xml:space="preserve"> D’AUTORISATION</w:t>
      </w:r>
    </w:p>
    <w:p w:rsidR="006F2579" w:rsidRPr="00996312" w:rsidRDefault="006F2579" w:rsidP="006F2579">
      <w:pPr>
        <w:widowControl w:val="0"/>
        <w:rPr>
          <w:lang w:val="fr-CA"/>
        </w:rPr>
      </w:pPr>
    </w:p>
    <w:p w:rsidR="006F2579" w:rsidRPr="00996312" w:rsidRDefault="006F2579" w:rsidP="006F2579">
      <w:pPr>
        <w:widowControl w:val="0"/>
        <w:rPr>
          <w:lang w:val="fr-CA"/>
        </w:rPr>
      </w:pPr>
      <w:r w:rsidRPr="00996312">
        <w:rPr>
          <w:b/>
          <w:lang w:val="fr-CA"/>
        </w:rPr>
        <w:t>Le</w:t>
      </w:r>
      <w:r w:rsidR="00957A76" w:rsidRPr="00996312">
        <w:rPr>
          <w:b/>
          <w:lang w:val="fr-CA"/>
        </w:rPr>
        <w:t xml:space="preserve"> </w:t>
      </w:r>
      <w:r w:rsidR="00E23C15" w:rsidRPr="00996312">
        <w:rPr>
          <w:b/>
          <w:lang w:val="fr-CA"/>
        </w:rPr>
        <w:t>14</w:t>
      </w:r>
      <w:r w:rsidR="007A72CA" w:rsidRPr="00996312">
        <w:rPr>
          <w:b/>
          <w:lang w:val="fr-CA"/>
        </w:rPr>
        <w:t xml:space="preserve"> </w:t>
      </w:r>
      <w:r w:rsidR="00D148E4" w:rsidRPr="00996312">
        <w:rPr>
          <w:b/>
          <w:lang w:val="fr-CA"/>
        </w:rPr>
        <w:t>déc</w:t>
      </w:r>
      <w:r w:rsidR="004C631D" w:rsidRPr="00996312">
        <w:rPr>
          <w:b/>
          <w:lang w:val="fr-CA"/>
        </w:rPr>
        <w:t>embre</w:t>
      </w:r>
      <w:r w:rsidR="00A151D1" w:rsidRPr="00996312">
        <w:rPr>
          <w:b/>
          <w:lang w:val="fr-CA"/>
        </w:rPr>
        <w:t xml:space="preserve"> 20</w:t>
      </w:r>
      <w:r w:rsidR="00526754" w:rsidRPr="00996312">
        <w:rPr>
          <w:b/>
          <w:lang w:val="fr-CA"/>
        </w:rPr>
        <w:t>20</w:t>
      </w:r>
    </w:p>
    <w:p w:rsidR="006F2579" w:rsidRPr="00996312" w:rsidRDefault="006F2579" w:rsidP="006F2579">
      <w:pPr>
        <w:widowControl w:val="0"/>
        <w:rPr>
          <w:b/>
          <w:lang w:val="fr-CA"/>
        </w:rPr>
      </w:pPr>
      <w:r w:rsidRPr="00996312">
        <w:rPr>
          <w:b/>
          <w:lang w:val="fr-CA"/>
        </w:rPr>
        <w:t>Pour diffusion immédiate</w:t>
      </w:r>
    </w:p>
    <w:p w:rsidR="006F2579" w:rsidRPr="00996312" w:rsidRDefault="006F2579" w:rsidP="006F2579">
      <w:pPr>
        <w:widowControl w:val="0"/>
        <w:rPr>
          <w:lang w:val="fr-CA"/>
        </w:rPr>
      </w:pPr>
    </w:p>
    <w:p w:rsidR="006F2579" w:rsidRPr="00996312" w:rsidRDefault="006F2579" w:rsidP="006F2579">
      <w:pPr>
        <w:widowControl w:val="0"/>
        <w:rPr>
          <w:lang w:val="fr-CA"/>
        </w:rPr>
      </w:pPr>
      <w:r w:rsidRPr="00996312">
        <w:rPr>
          <w:b/>
          <w:lang w:val="fr-CA"/>
        </w:rPr>
        <w:t>OTTAWA</w:t>
      </w:r>
      <w:r w:rsidRPr="00996312">
        <w:rPr>
          <w:lang w:val="fr-CA"/>
        </w:rPr>
        <w:t xml:space="preserve"> – La Cour suprême du Canada annonce que jugement ser</w:t>
      </w:r>
      <w:r w:rsidR="004259F9" w:rsidRPr="00996312">
        <w:rPr>
          <w:lang w:val="fr-CA"/>
        </w:rPr>
        <w:t>a</w:t>
      </w:r>
      <w:r w:rsidRPr="00996312">
        <w:rPr>
          <w:lang w:val="fr-CA"/>
        </w:rPr>
        <w:t xml:space="preserve"> rendu dans l</w:t>
      </w:r>
      <w:r w:rsidR="008600ED" w:rsidRPr="00996312">
        <w:rPr>
          <w:lang w:val="fr-CA"/>
        </w:rPr>
        <w:t>es</w:t>
      </w:r>
      <w:r w:rsidRPr="00996312">
        <w:rPr>
          <w:lang w:val="fr-CA"/>
        </w:rPr>
        <w:t xml:space="preserve"> demande</w:t>
      </w:r>
      <w:r w:rsidR="008600ED" w:rsidRPr="00996312">
        <w:rPr>
          <w:lang w:val="fr-CA"/>
        </w:rPr>
        <w:t>s</w:t>
      </w:r>
      <w:r w:rsidRPr="00996312">
        <w:rPr>
          <w:lang w:val="fr-CA"/>
        </w:rPr>
        <w:t xml:space="preserve"> d</w:t>
      </w:r>
      <w:r w:rsidR="00001846" w:rsidRPr="00996312">
        <w:rPr>
          <w:lang w:val="fr-CA"/>
        </w:rPr>
        <w:t>’autorisation suivante</w:t>
      </w:r>
      <w:r w:rsidR="008600ED" w:rsidRPr="00996312">
        <w:rPr>
          <w:lang w:val="fr-CA"/>
        </w:rPr>
        <w:t>s</w:t>
      </w:r>
      <w:r w:rsidRPr="00996312">
        <w:rPr>
          <w:lang w:val="fr-CA"/>
        </w:rPr>
        <w:t xml:space="preserve"> le jeudi </w:t>
      </w:r>
      <w:r w:rsidR="00D148E4" w:rsidRPr="00996312">
        <w:rPr>
          <w:lang w:val="fr-CA"/>
        </w:rPr>
        <w:t>1</w:t>
      </w:r>
      <w:r w:rsidR="00E23C15" w:rsidRPr="00996312">
        <w:rPr>
          <w:lang w:val="fr-CA"/>
        </w:rPr>
        <w:t>7</w:t>
      </w:r>
      <w:r w:rsidR="00466302" w:rsidRPr="00996312">
        <w:rPr>
          <w:lang w:val="fr-CA"/>
        </w:rPr>
        <w:t xml:space="preserve"> </w:t>
      </w:r>
      <w:r w:rsidR="009011A5" w:rsidRPr="00996312">
        <w:rPr>
          <w:lang w:val="fr-CA"/>
        </w:rPr>
        <w:t>déc</w:t>
      </w:r>
      <w:r w:rsidR="004C631D" w:rsidRPr="00996312">
        <w:rPr>
          <w:lang w:val="fr-CA"/>
        </w:rPr>
        <w:t>embre</w:t>
      </w:r>
      <w:r w:rsidR="00694391" w:rsidRPr="00996312">
        <w:rPr>
          <w:lang w:val="fr-CA"/>
        </w:rPr>
        <w:t xml:space="preserve"> 2</w:t>
      </w:r>
      <w:r w:rsidR="006648D1" w:rsidRPr="00996312">
        <w:rPr>
          <w:lang w:val="fr-CA"/>
        </w:rPr>
        <w:t>0</w:t>
      </w:r>
      <w:r w:rsidR="00526754" w:rsidRPr="00996312">
        <w:rPr>
          <w:lang w:val="fr-CA"/>
        </w:rPr>
        <w:t>20</w:t>
      </w:r>
      <w:r w:rsidRPr="00996312">
        <w:rPr>
          <w:lang w:val="fr-CA"/>
        </w:rPr>
        <w:t xml:space="preserve">, à 9 h 45 </w:t>
      </w:r>
      <w:r w:rsidR="000627A2" w:rsidRPr="00996312">
        <w:rPr>
          <w:lang w:val="fr-CA"/>
        </w:rPr>
        <w:t>H</w:t>
      </w:r>
      <w:r w:rsidR="004C631D" w:rsidRPr="00996312">
        <w:rPr>
          <w:lang w:val="fr-CA"/>
        </w:rPr>
        <w:t>N</w:t>
      </w:r>
      <w:r w:rsidRPr="00996312">
        <w:rPr>
          <w:lang w:val="fr-CA"/>
        </w:rPr>
        <w:t>E. Cette liste est sujette à modifications.</w:t>
      </w:r>
    </w:p>
    <w:p w:rsidR="0080556B" w:rsidRPr="00996312" w:rsidRDefault="0080556B" w:rsidP="009B14F4">
      <w:pPr>
        <w:widowControl w:val="0"/>
        <w:jc w:val="both"/>
        <w:rPr>
          <w:sz w:val="20"/>
          <w:lang w:val="fr-CA"/>
        </w:rPr>
      </w:pPr>
    </w:p>
    <w:p w:rsidR="00867C61" w:rsidRPr="00996312" w:rsidRDefault="00EF0929" w:rsidP="009B14F4">
      <w:pPr>
        <w:widowControl w:val="0"/>
        <w:jc w:val="both"/>
        <w:rPr>
          <w:sz w:val="20"/>
        </w:rPr>
      </w:pPr>
      <w:r>
        <w:rPr>
          <w:sz w:val="20"/>
        </w:rPr>
        <w:pict>
          <v:rect id="_x0000_i1025" style="width:2in;height:1pt" o:hrpct="0" o:hralign="center" o:hrstd="t" o:hrnoshade="t" o:hr="t" fillcolor="black [3213]" stroked="f"/>
        </w:pict>
      </w:r>
    </w:p>
    <w:p w:rsidR="0029283C" w:rsidRPr="00996312" w:rsidRDefault="0029283C" w:rsidP="0029283C">
      <w:pPr>
        <w:rPr>
          <w:sz w:val="20"/>
        </w:rPr>
      </w:pPr>
    </w:p>
    <w:p w:rsidR="00E23C15" w:rsidRPr="00996312" w:rsidRDefault="00E23C15" w:rsidP="00E23C15">
      <w:pPr>
        <w:pStyle w:val="ListParagraph"/>
        <w:numPr>
          <w:ilvl w:val="0"/>
          <w:numId w:val="17"/>
        </w:numPr>
        <w:ind w:left="414" w:hanging="414"/>
        <w:rPr>
          <w:sz w:val="20"/>
        </w:rPr>
      </w:pPr>
      <w:r w:rsidRPr="00996312">
        <w:rPr>
          <w:i/>
          <w:sz w:val="20"/>
        </w:rPr>
        <w:t>Zoltan Andrew Simon v. Attorney General of Canada (representing the Minister of National Revenue, both in their representative capacity)</w:t>
      </w:r>
      <w:r w:rsidRPr="00996312">
        <w:rPr>
          <w:sz w:val="20"/>
        </w:rPr>
        <w:t xml:space="preserve"> (F</w:t>
      </w:r>
      <w:r w:rsidR="00691E0A" w:rsidRPr="00996312">
        <w:rPr>
          <w:sz w:val="20"/>
        </w:rPr>
        <w:t>.</w:t>
      </w:r>
      <w:r w:rsidRPr="00996312">
        <w:rPr>
          <w:sz w:val="20"/>
        </w:rPr>
        <w:t>C</w:t>
      </w:r>
      <w:r w:rsidR="00691E0A" w:rsidRPr="00996312">
        <w:rPr>
          <w:sz w:val="20"/>
        </w:rPr>
        <w:t>.</w:t>
      </w:r>
      <w:r w:rsidRPr="00996312">
        <w:rPr>
          <w:sz w:val="20"/>
        </w:rPr>
        <w:t>) (Ci</w:t>
      </w:r>
      <w:r w:rsidR="006C68AD" w:rsidRPr="00996312">
        <w:rPr>
          <w:sz w:val="20"/>
        </w:rPr>
        <w:t>v</w:t>
      </w:r>
      <w:r w:rsidRPr="00996312">
        <w:rPr>
          <w:sz w:val="20"/>
        </w:rPr>
        <w:t>il) (By Leave) (</w:t>
      </w:r>
      <w:hyperlink r:id="rId8" w:history="1">
        <w:r w:rsidRPr="00996312">
          <w:rPr>
            <w:rStyle w:val="Hyperlink"/>
            <w:sz w:val="20"/>
            <w:szCs w:val="20"/>
          </w:rPr>
          <w:t>39</w:t>
        </w:r>
        <w:r w:rsidR="006C68AD" w:rsidRPr="00996312">
          <w:rPr>
            <w:rStyle w:val="Hyperlink"/>
            <w:sz w:val="20"/>
            <w:szCs w:val="20"/>
          </w:rPr>
          <w:t>294</w:t>
        </w:r>
      </w:hyperlink>
      <w:r w:rsidRPr="00996312">
        <w:rPr>
          <w:sz w:val="20"/>
        </w:rPr>
        <w:t>)</w:t>
      </w:r>
    </w:p>
    <w:p w:rsidR="00E23C15" w:rsidRPr="00996312" w:rsidRDefault="00E23C15" w:rsidP="00E23C15">
      <w:pPr>
        <w:ind w:left="414" w:hanging="414"/>
        <w:rPr>
          <w:sz w:val="20"/>
        </w:rPr>
      </w:pPr>
      <w:bookmarkStart w:id="0" w:name="_GoBack"/>
      <w:bookmarkEnd w:id="0"/>
    </w:p>
    <w:p w:rsidR="00E23C15" w:rsidRPr="00996312" w:rsidRDefault="00E23C15" w:rsidP="00E23C15">
      <w:pPr>
        <w:pStyle w:val="ListParagraph"/>
        <w:numPr>
          <w:ilvl w:val="0"/>
          <w:numId w:val="17"/>
        </w:numPr>
        <w:ind w:left="414" w:hanging="414"/>
        <w:rPr>
          <w:sz w:val="20"/>
        </w:rPr>
      </w:pPr>
      <w:r w:rsidRPr="00996312">
        <w:rPr>
          <w:i/>
          <w:sz w:val="20"/>
        </w:rPr>
        <w:t>Zoltan Andrew Simon v. Attorney General of Canada, Representing Her Majesty the Queen in Right of Canada</w:t>
      </w:r>
      <w:r w:rsidRPr="00996312">
        <w:rPr>
          <w:sz w:val="20"/>
        </w:rPr>
        <w:t xml:space="preserve"> (</w:t>
      </w:r>
      <w:r w:rsidR="00961DBA" w:rsidRPr="00996312">
        <w:rPr>
          <w:sz w:val="20"/>
        </w:rPr>
        <w:t>Alta</w:t>
      </w:r>
      <w:r w:rsidRPr="00996312">
        <w:rPr>
          <w:sz w:val="20"/>
        </w:rPr>
        <w:t>.) (Civil) (By Leave) (</w:t>
      </w:r>
      <w:hyperlink r:id="rId9" w:history="1">
        <w:r w:rsidRPr="00996312">
          <w:rPr>
            <w:rStyle w:val="Hyperlink"/>
            <w:sz w:val="20"/>
            <w:szCs w:val="20"/>
          </w:rPr>
          <w:t>39</w:t>
        </w:r>
        <w:r w:rsidR="00060E45" w:rsidRPr="00996312">
          <w:rPr>
            <w:rStyle w:val="Hyperlink"/>
            <w:sz w:val="20"/>
            <w:szCs w:val="20"/>
          </w:rPr>
          <w:t>29</w:t>
        </w:r>
        <w:r w:rsidRPr="00996312">
          <w:rPr>
            <w:rStyle w:val="Hyperlink"/>
            <w:sz w:val="20"/>
            <w:szCs w:val="20"/>
          </w:rPr>
          <w:t>5</w:t>
        </w:r>
      </w:hyperlink>
      <w:r w:rsidRPr="00996312">
        <w:rPr>
          <w:sz w:val="20"/>
        </w:rPr>
        <w:t>)</w:t>
      </w:r>
    </w:p>
    <w:p w:rsidR="00E23C15" w:rsidRPr="00996312" w:rsidRDefault="00E23C15" w:rsidP="00E23C15">
      <w:pPr>
        <w:ind w:left="414" w:hanging="414"/>
        <w:rPr>
          <w:sz w:val="20"/>
        </w:rPr>
      </w:pPr>
    </w:p>
    <w:p w:rsidR="00E23C15" w:rsidRPr="00EF0929" w:rsidRDefault="00E23C15" w:rsidP="00E23C15">
      <w:pPr>
        <w:pStyle w:val="ListParagraph"/>
        <w:numPr>
          <w:ilvl w:val="0"/>
          <w:numId w:val="17"/>
        </w:numPr>
        <w:ind w:left="414" w:hanging="414"/>
        <w:rPr>
          <w:sz w:val="20"/>
        </w:rPr>
      </w:pPr>
      <w:r w:rsidRPr="00996312">
        <w:rPr>
          <w:i/>
          <w:sz w:val="20"/>
        </w:rPr>
        <w:t>Nadeem Ahmad v. Samina Ahmed</w:t>
      </w:r>
      <w:r w:rsidRPr="00996312">
        <w:rPr>
          <w:sz w:val="20"/>
        </w:rPr>
        <w:t xml:space="preserve"> (Ont.) (Civil) (By </w:t>
      </w:r>
      <w:r w:rsidRPr="00EF0929">
        <w:rPr>
          <w:sz w:val="20"/>
        </w:rPr>
        <w:t>Leave) (</w:t>
      </w:r>
      <w:hyperlink r:id="rId10" w:history="1">
        <w:r w:rsidRPr="00EF0929">
          <w:rPr>
            <w:rStyle w:val="Hyperlink"/>
            <w:sz w:val="20"/>
            <w:szCs w:val="20"/>
          </w:rPr>
          <w:t>39</w:t>
        </w:r>
        <w:r w:rsidR="0030739A" w:rsidRPr="00EF0929">
          <w:rPr>
            <w:rStyle w:val="Hyperlink"/>
            <w:sz w:val="20"/>
            <w:szCs w:val="20"/>
          </w:rPr>
          <w:t>2</w:t>
        </w:r>
        <w:r w:rsidRPr="00EF0929">
          <w:rPr>
            <w:rStyle w:val="Hyperlink"/>
            <w:sz w:val="20"/>
            <w:szCs w:val="20"/>
          </w:rPr>
          <w:t>85</w:t>
        </w:r>
      </w:hyperlink>
      <w:r w:rsidRPr="00EF0929">
        <w:rPr>
          <w:sz w:val="20"/>
        </w:rPr>
        <w:t>)</w:t>
      </w:r>
    </w:p>
    <w:p w:rsidR="00E23C15" w:rsidRPr="00EF0929" w:rsidRDefault="00E23C15" w:rsidP="00E23C15">
      <w:pPr>
        <w:ind w:left="414" w:hanging="414"/>
        <w:rPr>
          <w:sz w:val="20"/>
        </w:rPr>
      </w:pPr>
    </w:p>
    <w:p w:rsidR="00E23C15" w:rsidRPr="00996312" w:rsidRDefault="00E23C15" w:rsidP="00E23C15">
      <w:pPr>
        <w:pStyle w:val="ListParagraph"/>
        <w:numPr>
          <w:ilvl w:val="0"/>
          <w:numId w:val="17"/>
        </w:numPr>
        <w:ind w:left="414" w:hanging="414"/>
        <w:rPr>
          <w:sz w:val="20"/>
        </w:rPr>
      </w:pPr>
      <w:r w:rsidRPr="00EF0929">
        <w:rPr>
          <w:i/>
          <w:sz w:val="20"/>
        </w:rPr>
        <w:t>Barry William Watchel v. Her Majesty the Queen in Right of the Province of British</w:t>
      </w:r>
      <w:r w:rsidRPr="00996312">
        <w:rPr>
          <w:i/>
          <w:sz w:val="20"/>
        </w:rPr>
        <w:t xml:space="preserve"> Columbia</w:t>
      </w:r>
      <w:r w:rsidRPr="00996312">
        <w:rPr>
          <w:sz w:val="20"/>
        </w:rPr>
        <w:t xml:space="preserve"> (B.C.) (Civil) (By Leave) (</w:t>
      </w:r>
      <w:hyperlink r:id="rId11" w:history="1">
        <w:r w:rsidRPr="00996312">
          <w:rPr>
            <w:rStyle w:val="Hyperlink"/>
            <w:sz w:val="20"/>
            <w:szCs w:val="20"/>
          </w:rPr>
          <w:t>39</w:t>
        </w:r>
        <w:r w:rsidR="0030739A" w:rsidRPr="00996312">
          <w:rPr>
            <w:rStyle w:val="Hyperlink"/>
            <w:sz w:val="20"/>
            <w:szCs w:val="20"/>
          </w:rPr>
          <w:t>3</w:t>
        </w:r>
        <w:r w:rsidRPr="00996312">
          <w:rPr>
            <w:rStyle w:val="Hyperlink"/>
            <w:sz w:val="20"/>
            <w:szCs w:val="20"/>
          </w:rPr>
          <w:t>1</w:t>
        </w:r>
        <w:r w:rsidR="0030739A" w:rsidRPr="00996312">
          <w:rPr>
            <w:rStyle w:val="Hyperlink"/>
            <w:sz w:val="20"/>
            <w:szCs w:val="20"/>
          </w:rPr>
          <w:t>0</w:t>
        </w:r>
      </w:hyperlink>
      <w:r w:rsidRPr="00996312">
        <w:rPr>
          <w:sz w:val="20"/>
        </w:rPr>
        <w:t>)</w:t>
      </w:r>
    </w:p>
    <w:p w:rsidR="00E23C15" w:rsidRPr="00996312" w:rsidRDefault="00E23C15" w:rsidP="00E23C15">
      <w:pPr>
        <w:ind w:left="414" w:hanging="414"/>
        <w:rPr>
          <w:sz w:val="20"/>
        </w:rPr>
      </w:pPr>
    </w:p>
    <w:p w:rsidR="00E23C15" w:rsidRPr="00996312" w:rsidRDefault="00E23C15" w:rsidP="00E23C15">
      <w:pPr>
        <w:pStyle w:val="ListParagraph"/>
        <w:numPr>
          <w:ilvl w:val="0"/>
          <w:numId w:val="17"/>
        </w:numPr>
        <w:ind w:left="414" w:hanging="414"/>
        <w:rPr>
          <w:sz w:val="20"/>
        </w:rPr>
      </w:pPr>
      <w:r w:rsidRPr="00EF0929">
        <w:rPr>
          <w:i/>
          <w:sz w:val="20"/>
          <w:lang w:val="fr-CA"/>
        </w:rPr>
        <w:t xml:space="preserve">Lilian Lux v. Erwin Albert Lux </w:t>
      </w:r>
      <w:r w:rsidRPr="00EF0929">
        <w:rPr>
          <w:sz w:val="20"/>
          <w:lang w:val="fr-CA"/>
        </w:rPr>
        <w:t xml:space="preserve">(Alta.) </w:t>
      </w:r>
      <w:r w:rsidRPr="00996312">
        <w:rPr>
          <w:sz w:val="20"/>
        </w:rPr>
        <w:t>(Civil) (By Leave) (</w:t>
      </w:r>
      <w:hyperlink r:id="rId12" w:history="1">
        <w:r w:rsidRPr="00996312">
          <w:rPr>
            <w:rStyle w:val="Hyperlink"/>
            <w:sz w:val="20"/>
            <w:szCs w:val="20"/>
          </w:rPr>
          <w:t>39</w:t>
        </w:r>
        <w:r w:rsidR="0030739A" w:rsidRPr="00996312">
          <w:rPr>
            <w:rStyle w:val="Hyperlink"/>
            <w:sz w:val="20"/>
            <w:szCs w:val="20"/>
          </w:rPr>
          <w:t>2</w:t>
        </w:r>
        <w:r w:rsidRPr="00996312">
          <w:rPr>
            <w:rStyle w:val="Hyperlink"/>
            <w:sz w:val="20"/>
            <w:szCs w:val="20"/>
          </w:rPr>
          <w:t>8</w:t>
        </w:r>
        <w:r w:rsidR="0030739A" w:rsidRPr="00996312">
          <w:rPr>
            <w:rStyle w:val="Hyperlink"/>
            <w:sz w:val="20"/>
            <w:szCs w:val="20"/>
          </w:rPr>
          <w:t>6</w:t>
        </w:r>
      </w:hyperlink>
      <w:r w:rsidRPr="00996312">
        <w:rPr>
          <w:sz w:val="20"/>
        </w:rPr>
        <w:t>)</w:t>
      </w:r>
    </w:p>
    <w:p w:rsidR="00E23C15" w:rsidRPr="00996312" w:rsidRDefault="00E23C15" w:rsidP="00E23C15">
      <w:pPr>
        <w:rPr>
          <w:sz w:val="20"/>
        </w:rPr>
      </w:pPr>
    </w:p>
    <w:p w:rsidR="0057402C" w:rsidRPr="00996312" w:rsidRDefault="00EF0929" w:rsidP="009B14F4">
      <w:pPr>
        <w:widowControl w:val="0"/>
        <w:jc w:val="both"/>
        <w:rPr>
          <w:sz w:val="20"/>
        </w:rPr>
      </w:pPr>
      <w:r>
        <w:rPr>
          <w:sz w:val="20"/>
        </w:rPr>
        <w:pict>
          <v:rect id="_x0000_i1026" style="width:2in;height:1pt" o:hrpct="0" o:hralign="center" o:hrstd="t" o:hrnoshade="t" o:hr="t" fillcolor="black [3213]" stroked="f"/>
        </w:pict>
      </w:r>
    </w:p>
    <w:p w:rsidR="0057402C" w:rsidRPr="00996312" w:rsidRDefault="0057402C" w:rsidP="0028611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E95A6A">
        <w:tc>
          <w:tcPr>
            <w:tcW w:w="543" w:type="pct"/>
          </w:tcPr>
          <w:p w:rsidR="00286112" w:rsidRPr="00996312" w:rsidRDefault="00286112" w:rsidP="00286112">
            <w:pPr>
              <w:jc w:val="both"/>
              <w:rPr>
                <w:sz w:val="20"/>
              </w:rPr>
            </w:pPr>
            <w:r w:rsidRPr="00996312">
              <w:rPr>
                <w:rStyle w:val="SCCFileNumberChar"/>
                <w:sz w:val="20"/>
                <w:szCs w:val="20"/>
              </w:rPr>
              <w:t>39294</w:t>
            </w:r>
          </w:p>
        </w:tc>
        <w:tc>
          <w:tcPr>
            <w:tcW w:w="4457" w:type="pct"/>
            <w:gridSpan w:val="3"/>
          </w:tcPr>
          <w:p w:rsidR="00286112" w:rsidRPr="00996312" w:rsidRDefault="00286112" w:rsidP="00286112">
            <w:pPr>
              <w:pStyle w:val="SCCLsocParty"/>
              <w:jc w:val="both"/>
              <w:rPr>
                <w:b/>
                <w:sz w:val="20"/>
                <w:szCs w:val="20"/>
                <w:lang w:val="en-US"/>
              </w:rPr>
            </w:pPr>
            <w:r w:rsidRPr="00996312">
              <w:rPr>
                <w:b/>
                <w:sz w:val="20"/>
                <w:szCs w:val="20"/>
                <w:lang w:val="en-US"/>
              </w:rPr>
              <w:t>Zoltan Andrew Simon v. Attorney General of Canada (representing the Minister of National Revenue, both in their representative capacity)</w:t>
            </w:r>
          </w:p>
          <w:p w:rsidR="00286112" w:rsidRPr="00996312" w:rsidRDefault="00286112" w:rsidP="00286112">
            <w:pPr>
              <w:jc w:val="both"/>
              <w:rPr>
                <w:sz w:val="20"/>
              </w:rPr>
            </w:pPr>
            <w:r w:rsidRPr="00996312">
              <w:rPr>
                <w:sz w:val="20"/>
              </w:rPr>
              <w:t>(F</w:t>
            </w:r>
            <w:r w:rsidR="00996312" w:rsidRPr="00996312">
              <w:rPr>
                <w:sz w:val="20"/>
              </w:rPr>
              <w:t>.</w:t>
            </w:r>
            <w:r w:rsidRPr="00996312">
              <w:rPr>
                <w:sz w:val="20"/>
              </w:rPr>
              <w:t>C</w:t>
            </w:r>
            <w:r w:rsidR="00996312" w:rsidRPr="00996312">
              <w:rPr>
                <w:sz w:val="20"/>
              </w:rPr>
              <w:t>.</w:t>
            </w:r>
            <w:r w:rsidRPr="00996312">
              <w:rPr>
                <w:sz w:val="20"/>
              </w:rPr>
              <w:t>) (Civil) (By Leave)</w:t>
            </w:r>
          </w:p>
        </w:tc>
      </w:tr>
      <w:tr w:rsidR="00286112" w:rsidRPr="00996312" w:rsidTr="00E95A6A">
        <w:tc>
          <w:tcPr>
            <w:tcW w:w="5000" w:type="pct"/>
            <w:gridSpan w:val="4"/>
          </w:tcPr>
          <w:p w:rsidR="00286112" w:rsidRPr="00996312" w:rsidRDefault="00286112" w:rsidP="00286112">
            <w:pPr>
              <w:jc w:val="both"/>
              <w:rPr>
                <w:sz w:val="20"/>
              </w:rPr>
            </w:pPr>
            <w:r w:rsidRPr="00996312">
              <w:rPr>
                <w:sz w:val="20"/>
              </w:rPr>
              <w:t>Taxation — Appeal from reassessment —</w:t>
            </w:r>
            <w:r w:rsidRPr="00996312">
              <w:rPr>
                <w:rFonts w:eastAsia="Arial"/>
                <w:color w:val="000000"/>
                <w:sz w:val="20"/>
              </w:rPr>
              <w:t xml:space="preserve"> Federal Court of Appeal dismissed the applicant’s motion — Whether the Federal Court of Appeal judge committed palpable and overriding errors — Whether a single judge of the Federal Court of Appeal had jurisdiction to decide the appeal and whether that judge failed to properly consider the applicant’s materials — Whether the Federal Court of Appeal judge erred in law or in principle.</w:t>
            </w:r>
          </w:p>
        </w:tc>
      </w:tr>
      <w:tr w:rsidR="00286112" w:rsidRPr="00996312" w:rsidTr="00E95A6A">
        <w:tc>
          <w:tcPr>
            <w:tcW w:w="5000" w:type="pct"/>
            <w:gridSpan w:val="4"/>
          </w:tcPr>
          <w:p w:rsidR="00286112" w:rsidRPr="00996312" w:rsidRDefault="00286112" w:rsidP="00286112">
            <w:pPr>
              <w:jc w:val="both"/>
              <w:rPr>
                <w:rFonts w:eastAsia="Arial"/>
                <w:color w:val="000000"/>
                <w:sz w:val="20"/>
              </w:rPr>
            </w:pPr>
          </w:p>
          <w:p w:rsidR="00286112" w:rsidRPr="00996312" w:rsidRDefault="00286112" w:rsidP="00286112">
            <w:pPr>
              <w:jc w:val="both"/>
              <w:rPr>
                <w:sz w:val="20"/>
              </w:rPr>
            </w:pPr>
            <w:r w:rsidRPr="00996312">
              <w:rPr>
                <w:rFonts w:eastAsia="Arial"/>
                <w:color w:val="000000"/>
                <w:sz w:val="20"/>
              </w:rPr>
              <w:t xml:space="preserve">In 2017, the applicant commenced an appeal in the Tax Court of Canada seeking relief related to an immigration sponsorship debt. The respondent brought a motion to strike the notice of appeal on various grounds, including that it raised no reasonable grounds of appeal, and that the relief sought was outside of the Tax Court’s jurisdiction. The Tax Court judge struck the applicant’s notice of appeal because it raised no reasonable grounds for appeal, and </w:t>
            </w:r>
            <w:r w:rsidRPr="00996312">
              <w:rPr>
                <w:rFonts w:eastAsia="Arial"/>
                <w:color w:val="000000"/>
                <w:sz w:val="20"/>
              </w:rPr>
              <w:lastRenderedPageBreak/>
              <w:t>dismissed the appeal on the basis that the court had no jurisdiction to order any of the relief sought. The Federal Court of Appeal dismissed the applicant’s motion.</w:t>
            </w:r>
          </w:p>
        </w:tc>
      </w:tr>
      <w:tr w:rsidR="00286112" w:rsidRPr="00996312" w:rsidTr="00E95A6A">
        <w:tc>
          <w:tcPr>
            <w:tcW w:w="5000" w:type="pct"/>
            <w:gridSpan w:val="4"/>
          </w:tcPr>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July 12, 2019</w:t>
            </w:r>
          </w:p>
          <w:p w:rsidR="00286112" w:rsidRPr="00996312" w:rsidRDefault="00286112" w:rsidP="00286112">
            <w:pPr>
              <w:jc w:val="both"/>
              <w:rPr>
                <w:sz w:val="20"/>
              </w:rPr>
            </w:pPr>
            <w:r w:rsidRPr="00996312">
              <w:rPr>
                <w:sz w:val="20"/>
              </w:rPr>
              <w:t>Tax Court of Canada</w:t>
            </w:r>
          </w:p>
          <w:p w:rsidR="00286112" w:rsidRPr="00996312" w:rsidRDefault="00286112" w:rsidP="00286112">
            <w:pPr>
              <w:jc w:val="both"/>
              <w:rPr>
                <w:sz w:val="20"/>
              </w:rPr>
            </w:pPr>
            <w:r w:rsidRPr="00996312">
              <w:rPr>
                <w:sz w:val="20"/>
              </w:rPr>
              <w:t>(Visser J.)</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 xml:space="preserve">Applicant’s appeal from reassessment made under the </w:t>
            </w:r>
            <w:r w:rsidRPr="00996312">
              <w:rPr>
                <w:i/>
                <w:sz w:val="20"/>
              </w:rPr>
              <w:t>Income Tax Act</w:t>
            </w:r>
            <w:r w:rsidRPr="00996312">
              <w:rPr>
                <w:sz w:val="20"/>
              </w:rPr>
              <w:t xml:space="preserve"> for the applicant’s 2007 taxation year quashed; notice of appeal struck; appeal dismissed with fixed costs </w:t>
            </w:r>
          </w:p>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December 12, 2019</w:t>
            </w:r>
          </w:p>
          <w:p w:rsidR="00286112" w:rsidRPr="00996312" w:rsidRDefault="00286112" w:rsidP="00286112">
            <w:pPr>
              <w:jc w:val="both"/>
              <w:rPr>
                <w:sz w:val="20"/>
              </w:rPr>
            </w:pPr>
            <w:r w:rsidRPr="00996312">
              <w:rPr>
                <w:sz w:val="20"/>
              </w:rPr>
              <w:t>Federal Court of Appeal</w:t>
            </w:r>
          </w:p>
          <w:p w:rsidR="00286112" w:rsidRPr="00996312" w:rsidRDefault="00286112" w:rsidP="00286112">
            <w:pPr>
              <w:jc w:val="both"/>
              <w:rPr>
                <w:sz w:val="20"/>
              </w:rPr>
            </w:pPr>
            <w:r w:rsidRPr="00996312">
              <w:rPr>
                <w:sz w:val="20"/>
              </w:rPr>
              <w:t>(Gauthier J.A.)</w:t>
            </w:r>
          </w:p>
          <w:p w:rsidR="00286112" w:rsidRPr="00996312" w:rsidRDefault="00286112" w:rsidP="00286112">
            <w:pPr>
              <w:jc w:val="both"/>
              <w:rPr>
                <w:sz w:val="20"/>
              </w:rPr>
            </w:pPr>
            <w:r w:rsidRPr="00996312">
              <w:rPr>
                <w:sz w:val="20"/>
              </w:rPr>
              <w:t>19</w:t>
            </w:r>
            <w:r w:rsidRPr="00996312">
              <w:rPr>
                <w:sz w:val="20"/>
              </w:rPr>
              <w:noBreakHyphen/>
              <w:t>A</w:t>
            </w:r>
            <w:r w:rsidRPr="00996312">
              <w:rPr>
                <w:sz w:val="20"/>
              </w:rPr>
              <w:noBreakHyphen/>
              <w:t>62</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Applicant’s motion dismissed</w:t>
            </w:r>
          </w:p>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January 14, 2020</w:t>
            </w:r>
          </w:p>
          <w:p w:rsidR="00286112" w:rsidRPr="00996312" w:rsidRDefault="00286112" w:rsidP="00286112">
            <w:pPr>
              <w:jc w:val="both"/>
              <w:rPr>
                <w:sz w:val="20"/>
              </w:rPr>
            </w:pPr>
            <w:r w:rsidRPr="00996312">
              <w:rPr>
                <w:sz w:val="20"/>
              </w:rPr>
              <w:t>Supreme Court of Canada</w:t>
            </w: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Application for leave to appeal filed</w:t>
            </w:r>
          </w:p>
          <w:p w:rsidR="00286112" w:rsidRPr="00996312" w:rsidRDefault="00286112" w:rsidP="00286112">
            <w:pPr>
              <w:jc w:val="both"/>
              <w:rPr>
                <w:sz w:val="20"/>
              </w:rPr>
            </w:pPr>
          </w:p>
        </w:tc>
      </w:tr>
    </w:tbl>
    <w:p w:rsidR="00286112" w:rsidRPr="00996312" w:rsidRDefault="00286112" w:rsidP="00286112">
      <w:pPr>
        <w:jc w:val="both"/>
        <w:rPr>
          <w:sz w:val="20"/>
        </w:rPr>
      </w:pPr>
    </w:p>
    <w:p w:rsidR="00996312" w:rsidRPr="00996312" w:rsidRDefault="00EF0929" w:rsidP="00286112">
      <w:pPr>
        <w:jc w:val="both"/>
        <w:rPr>
          <w:sz w:val="20"/>
        </w:rPr>
      </w:pPr>
      <w:r>
        <w:rPr>
          <w:sz w:val="20"/>
        </w:rPr>
        <w:pict>
          <v:rect id="_x0000_i1027" style="width:2in;height:1pt" o:hrpct="0" o:hralign="center" o:hrstd="t" o:hrnoshade="t" o:hr="t" fillcolor="black [3213]" stroked="f"/>
        </w:pict>
      </w:r>
    </w:p>
    <w:p w:rsidR="00996312" w:rsidRPr="00996312" w:rsidRDefault="00996312" w:rsidP="002861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EF0929" w:rsidTr="00E95A6A">
        <w:tc>
          <w:tcPr>
            <w:tcW w:w="543" w:type="pct"/>
          </w:tcPr>
          <w:p w:rsidR="00286112" w:rsidRPr="00996312" w:rsidRDefault="00286112" w:rsidP="00286112">
            <w:pPr>
              <w:jc w:val="both"/>
              <w:rPr>
                <w:sz w:val="20"/>
                <w:lang w:val="fr-CA"/>
              </w:rPr>
            </w:pPr>
            <w:r w:rsidRPr="00996312">
              <w:rPr>
                <w:rStyle w:val="SCCFileNumberChar"/>
                <w:sz w:val="20"/>
                <w:szCs w:val="20"/>
                <w:lang w:val="fr-CA"/>
              </w:rPr>
              <w:t>39294</w:t>
            </w:r>
          </w:p>
        </w:tc>
        <w:tc>
          <w:tcPr>
            <w:tcW w:w="4457" w:type="pct"/>
            <w:gridSpan w:val="3"/>
          </w:tcPr>
          <w:p w:rsidR="00286112" w:rsidRPr="00996312" w:rsidRDefault="00286112" w:rsidP="00286112">
            <w:pPr>
              <w:pStyle w:val="SCCLsocParty"/>
              <w:jc w:val="both"/>
              <w:rPr>
                <w:b/>
                <w:sz w:val="20"/>
                <w:szCs w:val="20"/>
              </w:rPr>
            </w:pPr>
            <w:r w:rsidRPr="00996312">
              <w:rPr>
                <w:b/>
                <w:sz w:val="20"/>
                <w:szCs w:val="20"/>
              </w:rPr>
              <w:t>Zoltan Andrew Simon c. Procureur général du Canada (représentant le ministre du Revenu national, en leur qualité de représentants)</w:t>
            </w:r>
          </w:p>
          <w:p w:rsidR="00286112" w:rsidRPr="00996312" w:rsidRDefault="00286112" w:rsidP="00286112">
            <w:pPr>
              <w:jc w:val="both"/>
              <w:rPr>
                <w:sz w:val="20"/>
                <w:lang w:val="fr-CA"/>
              </w:rPr>
            </w:pPr>
            <w:r w:rsidRPr="00996312">
              <w:rPr>
                <w:sz w:val="20"/>
                <w:lang w:val="fr-CA"/>
              </w:rPr>
              <w:t>(C</w:t>
            </w:r>
            <w:r w:rsidR="00996312" w:rsidRPr="00996312">
              <w:rPr>
                <w:sz w:val="20"/>
                <w:lang w:val="fr-CA"/>
              </w:rPr>
              <w:t>.</w:t>
            </w:r>
            <w:r w:rsidRPr="00996312">
              <w:rPr>
                <w:sz w:val="20"/>
                <w:lang w:val="fr-CA"/>
              </w:rPr>
              <w:t>F</w:t>
            </w:r>
            <w:r w:rsidR="00996312" w:rsidRPr="00996312">
              <w:rPr>
                <w:sz w:val="20"/>
                <w:lang w:val="fr-CA"/>
              </w:rPr>
              <w:t>.</w:t>
            </w:r>
            <w:r w:rsidRPr="00996312">
              <w:rPr>
                <w:sz w:val="20"/>
                <w:lang w:val="fr-CA"/>
              </w:rPr>
              <w:t>) (Civile) (Sur autorisation)</w:t>
            </w:r>
          </w:p>
        </w:tc>
      </w:tr>
      <w:tr w:rsidR="00286112" w:rsidRPr="00EF0929" w:rsidTr="00E95A6A">
        <w:tc>
          <w:tcPr>
            <w:tcW w:w="5000" w:type="pct"/>
            <w:gridSpan w:val="4"/>
          </w:tcPr>
          <w:p w:rsidR="00286112" w:rsidRPr="00996312" w:rsidRDefault="00286112" w:rsidP="00286112">
            <w:pPr>
              <w:jc w:val="both"/>
              <w:rPr>
                <w:sz w:val="20"/>
                <w:lang w:val="fr-CA"/>
              </w:rPr>
            </w:pPr>
            <w:r w:rsidRPr="00996312">
              <w:rPr>
                <w:sz w:val="20"/>
                <w:lang w:val="fr-CA"/>
              </w:rPr>
              <w:t>Fiscalité — Appel de la nouvelle cotisation —</w:t>
            </w:r>
            <w:r w:rsidRPr="00996312">
              <w:rPr>
                <w:rFonts w:eastAsia="Arial"/>
                <w:color w:val="000000"/>
                <w:sz w:val="20"/>
                <w:lang w:val="fr-CA"/>
              </w:rPr>
              <w:t xml:space="preserve"> La Cour d’appel fédérale a rejeté la requête du demandeur — La juge de la Cour d’appel fédérale a</w:t>
            </w:r>
            <w:r w:rsidRPr="00996312">
              <w:rPr>
                <w:rFonts w:eastAsia="Arial"/>
                <w:color w:val="000000"/>
                <w:sz w:val="20"/>
                <w:lang w:val="fr-CA"/>
              </w:rPr>
              <w:noBreakHyphen/>
              <w:t>t</w:t>
            </w:r>
            <w:r w:rsidRPr="00996312">
              <w:rPr>
                <w:rFonts w:eastAsia="Arial"/>
                <w:color w:val="000000"/>
                <w:sz w:val="20"/>
                <w:lang w:val="fr-CA"/>
              </w:rPr>
              <w:noBreakHyphen/>
              <w:t>elle commis des erreurs manifestes et dominantes ? — Une juge de la Cour d’appel fédérale siégeant seule a</w:t>
            </w:r>
            <w:r w:rsidRPr="00996312">
              <w:rPr>
                <w:rFonts w:eastAsia="Arial"/>
                <w:color w:val="000000"/>
                <w:sz w:val="20"/>
                <w:lang w:val="fr-CA"/>
              </w:rPr>
              <w:noBreakHyphen/>
              <w:t>t</w:t>
            </w:r>
            <w:r w:rsidRPr="00996312">
              <w:rPr>
                <w:rFonts w:eastAsia="Arial"/>
                <w:color w:val="000000"/>
                <w:sz w:val="20"/>
                <w:lang w:val="fr-CA"/>
              </w:rPr>
              <w:noBreakHyphen/>
              <w:t>elle compétence pour trancher l’appel, et cette juge a</w:t>
            </w:r>
            <w:r w:rsidRPr="00996312">
              <w:rPr>
                <w:rFonts w:eastAsia="Arial"/>
                <w:color w:val="000000"/>
                <w:sz w:val="20"/>
                <w:lang w:val="fr-CA"/>
              </w:rPr>
              <w:noBreakHyphen/>
              <w:t>t</w:t>
            </w:r>
            <w:r w:rsidRPr="00996312">
              <w:rPr>
                <w:rFonts w:eastAsia="Arial"/>
                <w:color w:val="000000"/>
                <w:sz w:val="20"/>
                <w:lang w:val="fr-CA"/>
              </w:rPr>
              <w:noBreakHyphen/>
              <w:t>elle correctement tenu compte des documents du demandeur ? — La juge de la Cour d’appel fédérale a</w:t>
            </w:r>
            <w:r w:rsidRPr="00996312">
              <w:rPr>
                <w:rFonts w:eastAsia="Arial"/>
                <w:color w:val="000000"/>
                <w:sz w:val="20"/>
                <w:lang w:val="fr-CA"/>
              </w:rPr>
              <w:noBreakHyphen/>
              <w:t>t</w:t>
            </w:r>
            <w:r w:rsidRPr="00996312">
              <w:rPr>
                <w:rFonts w:eastAsia="Arial"/>
                <w:color w:val="000000"/>
                <w:sz w:val="20"/>
                <w:lang w:val="fr-CA"/>
              </w:rPr>
              <w:noBreakHyphen/>
              <w:t>elle commis une erreur de droit ou de principe ?</w:t>
            </w:r>
          </w:p>
        </w:tc>
      </w:tr>
      <w:tr w:rsidR="00286112" w:rsidRPr="00EF0929" w:rsidTr="00E95A6A">
        <w:tc>
          <w:tcPr>
            <w:tcW w:w="5000" w:type="pct"/>
            <w:gridSpan w:val="4"/>
          </w:tcPr>
          <w:p w:rsidR="00286112" w:rsidRPr="00996312" w:rsidRDefault="00286112" w:rsidP="00286112">
            <w:pPr>
              <w:jc w:val="both"/>
              <w:rPr>
                <w:rFonts w:eastAsia="Arial"/>
                <w:color w:val="000000"/>
                <w:sz w:val="20"/>
                <w:lang w:val="fr-CA"/>
              </w:rPr>
            </w:pPr>
          </w:p>
          <w:p w:rsidR="00286112" w:rsidRPr="00996312" w:rsidRDefault="00286112" w:rsidP="00286112">
            <w:pPr>
              <w:jc w:val="both"/>
              <w:rPr>
                <w:sz w:val="20"/>
                <w:lang w:val="fr-CA"/>
              </w:rPr>
            </w:pPr>
            <w:r w:rsidRPr="00996312">
              <w:rPr>
                <w:rFonts w:eastAsia="Arial"/>
                <w:color w:val="000000"/>
                <w:sz w:val="20"/>
                <w:lang w:val="fr-CA"/>
              </w:rPr>
              <w:t>En 2017, le demandeur a interjeté appel devant la Cour canadienne de l’impôt sollicitant une réparation relative à une dette de parrainage en matière d’immigration. L’intimé a présenté une requête en radiation de l’avis d’appel pour divers motifs, notamment, qu’aucun motif raisonnable d’appel n’y était soulevé et que la réparation demandée outrepassait la compétence de la Cour canadienne de l’impôt. Le juge de la Cour canadienne de l’impôt a radié l’avis d’appel du demandeur puisqu’il ne soulevait aucun motif raisonnable d’appel et a rejeté l’appel au motif que cette cour n’avait pas la compétence pour accorder l’une ou l’autre des réparations demandées. La Cour d’appel fédérale a rejeté la requête du demandeur.</w:t>
            </w:r>
          </w:p>
        </w:tc>
      </w:tr>
      <w:tr w:rsidR="00286112" w:rsidRPr="00EF0929" w:rsidTr="00E95A6A">
        <w:tc>
          <w:tcPr>
            <w:tcW w:w="5000" w:type="pct"/>
            <w:gridSpan w:val="4"/>
          </w:tcPr>
          <w:p w:rsidR="00286112" w:rsidRPr="00996312" w:rsidRDefault="00286112" w:rsidP="00286112">
            <w:pPr>
              <w:jc w:val="both"/>
              <w:rPr>
                <w:sz w:val="20"/>
                <w:lang w:val="fr-CA"/>
              </w:rPr>
            </w:pPr>
          </w:p>
        </w:tc>
      </w:tr>
      <w:tr w:rsidR="00286112" w:rsidRPr="00EF0929" w:rsidTr="00E95A6A">
        <w:tc>
          <w:tcPr>
            <w:tcW w:w="2427" w:type="pct"/>
            <w:gridSpan w:val="2"/>
          </w:tcPr>
          <w:p w:rsidR="00286112" w:rsidRPr="00996312" w:rsidRDefault="00286112" w:rsidP="00286112">
            <w:pPr>
              <w:jc w:val="both"/>
              <w:rPr>
                <w:sz w:val="20"/>
                <w:lang w:val="fr-CA"/>
              </w:rPr>
            </w:pPr>
            <w:r w:rsidRPr="00996312">
              <w:rPr>
                <w:sz w:val="20"/>
                <w:lang w:val="fr-CA"/>
              </w:rPr>
              <w:t>12 juillet 2019</w:t>
            </w:r>
          </w:p>
          <w:p w:rsidR="00286112" w:rsidRPr="00996312" w:rsidRDefault="00286112" w:rsidP="00286112">
            <w:pPr>
              <w:jc w:val="both"/>
              <w:rPr>
                <w:rFonts w:eastAsia="Arial"/>
                <w:color w:val="000000"/>
                <w:sz w:val="20"/>
                <w:lang w:val="fr-CA"/>
              </w:rPr>
            </w:pPr>
            <w:r w:rsidRPr="00996312">
              <w:rPr>
                <w:rFonts w:eastAsia="Arial"/>
                <w:color w:val="000000"/>
                <w:sz w:val="20"/>
                <w:lang w:val="fr-CA"/>
              </w:rPr>
              <w:t xml:space="preserve">Cour canadienne de l’impôt </w:t>
            </w:r>
          </w:p>
          <w:p w:rsidR="00286112" w:rsidRPr="00996312" w:rsidRDefault="00286112" w:rsidP="00286112">
            <w:pPr>
              <w:jc w:val="both"/>
              <w:rPr>
                <w:sz w:val="20"/>
                <w:lang w:val="fr-CA"/>
              </w:rPr>
            </w:pPr>
            <w:r w:rsidRPr="00996312">
              <w:rPr>
                <w:sz w:val="20"/>
                <w:lang w:val="fr-CA"/>
              </w:rPr>
              <w:t>(Juge Visser)</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 xml:space="preserve">L’appel du demandeur à l’encontre d’une nouvelle cotisation établie en vertu de la </w:t>
            </w:r>
            <w:r w:rsidRPr="00996312">
              <w:rPr>
                <w:i/>
                <w:sz w:val="20"/>
                <w:lang w:val="fr-CA"/>
              </w:rPr>
              <w:t>Loi de l’impôt sur le revenu</w:t>
            </w:r>
            <w:r w:rsidRPr="00996312">
              <w:rPr>
                <w:sz w:val="20"/>
                <w:lang w:val="fr-CA"/>
              </w:rPr>
              <w:t xml:space="preserve"> pour l’année d’imposition 2007 à son égard est annulé; l’avis d’appel est radié; l’appel est rejeté avec dépens fixes. </w:t>
            </w:r>
          </w:p>
          <w:p w:rsidR="00286112" w:rsidRPr="00996312" w:rsidRDefault="00286112" w:rsidP="00286112">
            <w:pPr>
              <w:jc w:val="both"/>
              <w:rPr>
                <w:sz w:val="20"/>
                <w:lang w:val="fr-CA"/>
              </w:rPr>
            </w:pPr>
          </w:p>
        </w:tc>
      </w:tr>
      <w:tr w:rsidR="00286112" w:rsidRPr="00EF0929" w:rsidTr="00E95A6A">
        <w:tc>
          <w:tcPr>
            <w:tcW w:w="2427" w:type="pct"/>
            <w:gridSpan w:val="2"/>
          </w:tcPr>
          <w:p w:rsidR="00286112" w:rsidRPr="00996312" w:rsidRDefault="00286112" w:rsidP="00286112">
            <w:pPr>
              <w:jc w:val="both"/>
              <w:rPr>
                <w:sz w:val="20"/>
                <w:lang w:val="fr-CA"/>
              </w:rPr>
            </w:pPr>
            <w:r w:rsidRPr="00996312">
              <w:rPr>
                <w:sz w:val="20"/>
                <w:lang w:val="fr-CA"/>
              </w:rPr>
              <w:t>12 décembre 2019</w:t>
            </w:r>
          </w:p>
          <w:p w:rsidR="00286112" w:rsidRPr="00996312" w:rsidRDefault="00286112" w:rsidP="00286112">
            <w:pPr>
              <w:jc w:val="both"/>
              <w:rPr>
                <w:sz w:val="20"/>
                <w:lang w:val="fr-CA"/>
              </w:rPr>
            </w:pPr>
            <w:r w:rsidRPr="00996312">
              <w:rPr>
                <w:sz w:val="20"/>
                <w:lang w:val="fr-CA"/>
              </w:rPr>
              <w:t>Cour d’appel fédérale</w:t>
            </w:r>
          </w:p>
          <w:p w:rsidR="00286112" w:rsidRPr="00996312" w:rsidRDefault="00286112" w:rsidP="00286112">
            <w:pPr>
              <w:jc w:val="both"/>
              <w:rPr>
                <w:sz w:val="20"/>
                <w:lang w:val="fr-CA"/>
              </w:rPr>
            </w:pPr>
            <w:r w:rsidRPr="00996312">
              <w:rPr>
                <w:sz w:val="20"/>
                <w:lang w:val="fr-CA"/>
              </w:rPr>
              <w:t>(Juge Gauthier)</w:t>
            </w:r>
          </w:p>
          <w:p w:rsidR="00286112" w:rsidRPr="00996312" w:rsidRDefault="00286112" w:rsidP="00286112">
            <w:pPr>
              <w:jc w:val="both"/>
              <w:rPr>
                <w:sz w:val="20"/>
                <w:lang w:val="fr-CA"/>
              </w:rPr>
            </w:pPr>
            <w:r w:rsidRPr="00996312">
              <w:rPr>
                <w:sz w:val="20"/>
                <w:lang w:val="fr-CA"/>
              </w:rPr>
              <w:t>19</w:t>
            </w:r>
            <w:r w:rsidRPr="00996312">
              <w:rPr>
                <w:sz w:val="20"/>
                <w:lang w:val="fr-CA"/>
              </w:rPr>
              <w:noBreakHyphen/>
              <w:t>A</w:t>
            </w:r>
            <w:r w:rsidRPr="00996312">
              <w:rPr>
                <w:sz w:val="20"/>
                <w:lang w:val="fr-CA"/>
              </w:rPr>
              <w:noBreakHyphen/>
              <w:t>62</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La requête du demandeur est rejetée.</w:t>
            </w:r>
          </w:p>
          <w:p w:rsidR="00286112" w:rsidRPr="00996312" w:rsidRDefault="00286112" w:rsidP="00286112">
            <w:pPr>
              <w:jc w:val="both"/>
              <w:rPr>
                <w:sz w:val="20"/>
                <w:lang w:val="fr-CA"/>
              </w:rPr>
            </w:pPr>
          </w:p>
        </w:tc>
      </w:tr>
      <w:tr w:rsidR="00286112" w:rsidRPr="00EF0929" w:rsidTr="00E95A6A">
        <w:tc>
          <w:tcPr>
            <w:tcW w:w="2427" w:type="pct"/>
            <w:gridSpan w:val="2"/>
          </w:tcPr>
          <w:p w:rsidR="00286112" w:rsidRPr="00996312" w:rsidRDefault="00286112" w:rsidP="00286112">
            <w:pPr>
              <w:jc w:val="both"/>
              <w:rPr>
                <w:sz w:val="20"/>
                <w:lang w:val="fr-CA"/>
              </w:rPr>
            </w:pPr>
            <w:r w:rsidRPr="00996312">
              <w:rPr>
                <w:sz w:val="20"/>
                <w:lang w:val="fr-CA"/>
              </w:rPr>
              <w:t>14 janvier 2020</w:t>
            </w:r>
          </w:p>
          <w:p w:rsidR="00286112" w:rsidRPr="00996312" w:rsidRDefault="00286112" w:rsidP="00286112">
            <w:pPr>
              <w:jc w:val="both"/>
              <w:rPr>
                <w:sz w:val="20"/>
                <w:lang w:val="fr-CA"/>
              </w:rPr>
            </w:pPr>
            <w:r w:rsidRPr="00996312">
              <w:rPr>
                <w:sz w:val="20"/>
                <w:lang w:val="fr-CA"/>
              </w:rPr>
              <w:t>Cour suprême du Canada</w:t>
            </w: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La demande d’autorisation d’appel est présentée.</w:t>
            </w:r>
          </w:p>
          <w:p w:rsidR="00286112" w:rsidRPr="00996312" w:rsidRDefault="00286112" w:rsidP="00286112">
            <w:pPr>
              <w:jc w:val="both"/>
              <w:rPr>
                <w:sz w:val="20"/>
                <w:lang w:val="fr-CA"/>
              </w:rPr>
            </w:pPr>
          </w:p>
        </w:tc>
      </w:tr>
    </w:tbl>
    <w:p w:rsidR="00286112" w:rsidRPr="00996312" w:rsidRDefault="00286112" w:rsidP="00286112">
      <w:pPr>
        <w:jc w:val="both"/>
        <w:rPr>
          <w:sz w:val="20"/>
          <w:lang w:val="fr-CA"/>
        </w:rPr>
      </w:pPr>
    </w:p>
    <w:p w:rsidR="002C5E29" w:rsidRPr="00996312" w:rsidRDefault="00EF0929" w:rsidP="00286112">
      <w:pPr>
        <w:widowControl w:val="0"/>
        <w:jc w:val="both"/>
        <w:rPr>
          <w:sz w:val="20"/>
          <w:lang w:val="fr-CA"/>
        </w:rPr>
      </w:pPr>
      <w:r>
        <w:rPr>
          <w:sz w:val="20"/>
        </w:rPr>
        <w:pict>
          <v:rect id="_x0000_i1028" style="width:2in;height:1pt" o:hrpct="0" o:hralign="center" o:hrstd="t" o:hrnoshade="t" o:hr="t" fillcolor="black [3213]" stroked="f"/>
        </w:pict>
      </w:r>
    </w:p>
    <w:p w:rsidR="002C5E29" w:rsidRPr="00996312" w:rsidRDefault="002C5E29" w:rsidP="002861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E95A6A">
        <w:tc>
          <w:tcPr>
            <w:tcW w:w="543" w:type="pct"/>
          </w:tcPr>
          <w:p w:rsidR="00286112" w:rsidRPr="00996312" w:rsidRDefault="00286112" w:rsidP="00286112">
            <w:pPr>
              <w:jc w:val="both"/>
              <w:rPr>
                <w:sz w:val="20"/>
              </w:rPr>
            </w:pPr>
            <w:r w:rsidRPr="00996312">
              <w:rPr>
                <w:rStyle w:val="SCCFileNumberChar"/>
                <w:sz w:val="20"/>
                <w:szCs w:val="20"/>
              </w:rPr>
              <w:t>39295</w:t>
            </w:r>
          </w:p>
        </w:tc>
        <w:tc>
          <w:tcPr>
            <w:tcW w:w="4457" w:type="pct"/>
            <w:gridSpan w:val="3"/>
          </w:tcPr>
          <w:p w:rsidR="00286112" w:rsidRPr="00996312" w:rsidRDefault="00286112" w:rsidP="00286112">
            <w:pPr>
              <w:pStyle w:val="SCCLsocParty"/>
              <w:jc w:val="both"/>
              <w:rPr>
                <w:b/>
                <w:sz w:val="20"/>
                <w:szCs w:val="20"/>
                <w:lang w:val="en-US"/>
              </w:rPr>
            </w:pPr>
            <w:r w:rsidRPr="00996312">
              <w:rPr>
                <w:b/>
                <w:sz w:val="20"/>
                <w:szCs w:val="20"/>
                <w:lang w:val="en-US"/>
              </w:rPr>
              <w:t>Zoltan Andrew Simon v. Attorney General of Canada, Representing Her Majesty the Queen in Right of Canada</w:t>
            </w:r>
          </w:p>
          <w:p w:rsidR="00286112" w:rsidRPr="00996312" w:rsidRDefault="00286112" w:rsidP="00286112">
            <w:pPr>
              <w:jc w:val="both"/>
              <w:rPr>
                <w:sz w:val="20"/>
              </w:rPr>
            </w:pPr>
            <w:r w:rsidRPr="00996312">
              <w:rPr>
                <w:sz w:val="20"/>
              </w:rPr>
              <w:t>(Alta.) (Civil) (By Leave)</w:t>
            </w:r>
          </w:p>
        </w:tc>
      </w:tr>
      <w:tr w:rsidR="00286112" w:rsidRPr="00996312" w:rsidTr="00E95A6A">
        <w:tc>
          <w:tcPr>
            <w:tcW w:w="5000" w:type="pct"/>
            <w:gridSpan w:val="4"/>
          </w:tcPr>
          <w:p w:rsidR="00286112" w:rsidRPr="00996312" w:rsidRDefault="00286112" w:rsidP="00286112">
            <w:pPr>
              <w:jc w:val="both"/>
              <w:rPr>
                <w:sz w:val="20"/>
              </w:rPr>
            </w:pPr>
            <w:r w:rsidRPr="00996312">
              <w:rPr>
                <w:sz w:val="20"/>
              </w:rPr>
              <w:lastRenderedPageBreak/>
              <w:t>Civil Procedure — Pleadings — Applicant’s statement of claim struck — Application for permission to appeal dismissed by the Court of Appeal — Whether the Court of Appeal</w:t>
            </w:r>
            <w:r w:rsidRPr="00996312">
              <w:rPr>
                <w:rFonts w:eastAsia="Arial"/>
                <w:color w:val="000000"/>
                <w:sz w:val="20"/>
              </w:rPr>
              <w:t xml:space="preserve"> committed palpable and overriding errors — Whether the single justice of the Court of Appeal did not have jurisdiction to decide the appeal, and failed to properly consider the applicant’s materials — Whether the Court of Appeal justice erred in law or in principle.</w:t>
            </w:r>
          </w:p>
        </w:tc>
      </w:tr>
      <w:tr w:rsidR="00286112" w:rsidRPr="00996312" w:rsidTr="00E95A6A">
        <w:tc>
          <w:tcPr>
            <w:tcW w:w="5000" w:type="pct"/>
            <w:gridSpan w:val="4"/>
          </w:tcPr>
          <w:p w:rsidR="00286112" w:rsidRPr="00996312" w:rsidRDefault="00286112" w:rsidP="00286112">
            <w:pPr>
              <w:jc w:val="both"/>
              <w:rPr>
                <w:rFonts w:eastAsia="Arial"/>
                <w:color w:val="000000"/>
                <w:sz w:val="20"/>
              </w:rPr>
            </w:pPr>
          </w:p>
          <w:p w:rsidR="00286112" w:rsidRPr="00996312" w:rsidRDefault="00286112" w:rsidP="00286112">
            <w:pPr>
              <w:jc w:val="both"/>
              <w:rPr>
                <w:rFonts w:eastAsia="Arial"/>
                <w:color w:val="000000"/>
                <w:sz w:val="20"/>
              </w:rPr>
            </w:pPr>
            <w:r w:rsidRPr="00996312">
              <w:rPr>
                <w:rFonts w:eastAsia="Arial"/>
                <w:color w:val="000000"/>
                <w:sz w:val="20"/>
              </w:rPr>
              <w:t>On August 27, 2019, the applicant commenced an action in the Alberta Court of Queen’s Bench seeking relief related to an immigration sponsorship debt. Nielsen A.C.J. struck the applicant’s statement of claim, and imposed interim court access restrictions on the applicant. The Court of Appeal denied the applicant permission to appeal the Court of Queen’s Bench decision to strike the statement of claim on the basis that the appeal had no chance of success. The Court of Appeal also held that the statement of claim failed to plead a clear cause of action, was replete with argument, and was devoid of materials facts. Further, the statement of claim raised issues already dealt with by other courts.</w:t>
            </w:r>
          </w:p>
        </w:tc>
      </w:tr>
      <w:tr w:rsidR="00286112" w:rsidRPr="00996312" w:rsidTr="00E95A6A">
        <w:tc>
          <w:tcPr>
            <w:tcW w:w="5000" w:type="pct"/>
            <w:gridSpan w:val="4"/>
          </w:tcPr>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September 26, 2019</w:t>
            </w:r>
          </w:p>
          <w:p w:rsidR="00286112" w:rsidRPr="00996312" w:rsidRDefault="00286112" w:rsidP="00286112">
            <w:pPr>
              <w:jc w:val="both"/>
              <w:rPr>
                <w:sz w:val="20"/>
              </w:rPr>
            </w:pPr>
            <w:r w:rsidRPr="00996312">
              <w:rPr>
                <w:sz w:val="20"/>
              </w:rPr>
              <w:t xml:space="preserve">Court of Queen’s Bench of Alberta </w:t>
            </w:r>
          </w:p>
          <w:p w:rsidR="00286112" w:rsidRPr="00996312" w:rsidRDefault="00286112" w:rsidP="00286112">
            <w:pPr>
              <w:jc w:val="both"/>
              <w:rPr>
                <w:sz w:val="20"/>
              </w:rPr>
            </w:pPr>
            <w:r w:rsidRPr="00996312">
              <w:rPr>
                <w:sz w:val="20"/>
              </w:rPr>
              <w:t>(Nielsen A.C.J.)</w:t>
            </w:r>
          </w:p>
          <w:p w:rsidR="00286112" w:rsidRPr="00996312" w:rsidRDefault="00EF0929" w:rsidP="00286112">
            <w:pPr>
              <w:jc w:val="both"/>
              <w:rPr>
                <w:sz w:val="20"/>
              </w:rPr>
            </w:pPr>
            <w:hyperlink r:id="rId13" w:history="1">
              <w:r w:rsidR="00286112" w:rsidRPr="00996312">
                <w:rPr>
                  <w:rStyle w:val="Hyperlink"/>
                  <w:sz w:val="20"/>
                </w:rPr>
                <w:t>2019 ABQB 750</w:t>
              </w:r>
            </w:hyperlink>
            <w:r w:rsidR="00286112" w:rsidRPr="00996312">
              <w:rPr>
                <w:sz w:val="20"/>
              </w:rPr>
              <w:t xml:space="preserve"> </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Interim stay ordered</w:t>
            </w:r>
          </w:p>
        </w:tc>
      </w:tr>
      <w:tr w:rsidR="00286112" w:rsidRPr="00996312" w:rsidTr="00E95A6A">
        <w:tc>
          <w:tcPr>
            <w:tcW w:w="2427" w:type="pct"/>
            <w:gridSpan w:val="2"/>
          </w:tcPr>
          <w:p w:rsidR="00286112" w:rsidRPr="00996312" w:rsidRDefault="00286112" w:rsidP="00286112">
            <w:pPr>
              <w:jc w:val="both"/>
              <w:rPr>
                <w:sz w:val="20"/>
              </w:rPr>
            </w:pPr>
            <w:r w:rsidRPr="00996312">
              <w:rPr>
                <w:sz w:val="20"/>
              </w:rPr>
              <w:t>October 25, 2019</w:t>
            </w:r>
          </w:p>
          <w:p w:rsidR="00286112" w:rsidRPr="00996312" w:rsidRDefault="00286112" w:rsidP="00286112">
            <w:pPr>
              <w:jc w:val="both"/>
              <w:rPr>
                <w:sz w:val="20"/>
              </w:rPr>
            </w:pPr>
            <w:r w:rsidRPr="00996312">
              <w:rPr>
                <w:sz w:val="20"/>
              </w:rPr>
              <w:t xml:space="preserve">Court of Queen’s Bench of Alberta </w:t>
            </w:r>
          </w:p>
          <w:p w:rsidR="00286112" w:rsidRPr="00996312" w:rsidRDefault="00286112" w:rsidP="00286112">
            <w:pPr>
              <w:jc w:val="both"/>
              <w:rPr>
                <w:sz w:val="20"/>
              </w:rPr>
            </w:pPr>
            <w:r w:rsidRPr="00996312">
              <w:rPr>
                <w:sz w:val="20"/>
              </w:rPr>
              <w:t>(Nielsen A.C.J.)</w:t>
            </w:r>
          </w:p>
          <w:p w:rsidR="00286112" w:rsidRPr="00996312" w:rsidRDefault="00EF0929" w:rsidP="00286112">
            <w:pPr>
              <w:jc w:val="both"/>
              <w:rPr>
                <w:sz w:val="20"/>
              </w:rPr>
            </w:pPr>
            <w:hyperlink r:id="rId14" w:history="1">
              <w:r w:rsidR="00286112" w:rsidRPr="00996312">
                <w:rPr>
                  <w:rStyle w:val="Hyperlink"/>
                  <w:sz w:val="20"/>
                </w:rPr>
                <w:t>2019 ABQB 824</w:t>
              </w:r>
            </w:hyperlink>
            <w:r w:rsidR="00286112" w:rsidRPr="00996312">
              <w:rPr>
                <w:sz w:val="20"/>
              </w:rPr>
              <w:t xml:space="preserve"> </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 xml:space="preserve">Applicant’s statement of claim struck; </w:t>
            </w:r>
          </w:p>
          <w:p w:rsidR="00286112" w:rsidRPr="00996312" w:rsidRDefault="00286112" w:rsidP="00286112">
            <w:pPr>
              <w:jc w:val="both"/>
              <w:rPr>
                <w:rFonts w:eastAsia="Arial"/>
                <w:color w:val="000000"/>
                <w:sz w:val="20"/>
              </w:rPr>
            </w:pPr>
            <w:r w:rsidRPr="00996312">
              <w:rPr>
                <w:rFonts w:eastAsia="Arial"/>
                <w:color w:val="000000"/>
                <w:sz w:val="20"/>
              </w:rPr>
              <w:t>interim court access restrictions imposed on the applicant</w:t>
            </w:r>
          </w:p>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December 13, 2019</w:t>
            </w:r>
          </w:p>
          <w:p w:rsidR="00286112" w:rsidRPr="00996312" w:rsidRDefault="00286112" w:rsidP="00286112">
            <w:pPr>
              <w:jc w:val="both"/>
              <w:rPr>
                <w:sz w:val="20"/>
              </w:rPr>
            </w:pPr>
            <w:r w:rsidRPr="00996312">
              <w:rPr>
                <w:sz w:val="20"/>
              </w:rPr>
              <w:t>Court of Appeal of Alberta (Calgary)</w:t>
            </w:r>
          </w:p>
          <w:p w:rsidR="00286112" w:rsidRPr="00996312" w:rsidRDefault="00286112" w:rsidP="00286112">
            <w:pPr>
              <w:jc w:val="both"/>
              <w:rPr>
                <w:sz w:val="20"/>
              </w:rPr>
            </w:pPr>
            <w:r w:rsidRPr="00996312">
              <w:rPr>
                <w:sz w:val="20"/>
              </w:rPr>
              <w:t>(Paperny J.A.)</w:t>
            </w:r>
          </w:p>
          <w:p w:rsidR="00286112" w:rsidRPr="00996312" w:rsidRDefault="00286112" w:rsidP="00286112">
            <w:pPr>
              <w:jc w:val="both"/>
              <w:rPr>
                <w:sz w:val="20"/>
              </w:rPr>
            </w:pPr>
            <w:r w:rsidRPr="00996312">
              <w:rPr>
                <w:sz w:val="20"/>
              </w:rPr>
              <w:t>1901</w:t>
            </w:r>
            <w:r w:rsidRPr="00996312">
              <w:rPr>
                <w:sz w:val="20"/>
              </w:rPr>
              <w:noBreakHyphen/>
              <w:t>0370</w:t>
            </w:r>
            <w:r w:rsidRPr="00996312">
              <w:rPr>
                <w:sz w:val="20"/>
              </w:rPr>
              <w:noBreakHyphen/>
              <w:t xml:space="preserve">AC </w:t>
            </w:r>
          </w:p>
          <w:p w:rsidR="00286112" w:rsidRPr="00996312" w:rsidRDefault="00286112" w:rsidP="00286112">
            <w:pPr>
              <w:jc w:val="both"/>
              <w:rPr>
                <w:sz w:val="20"/>
              </w:rPr>
            </w:pPr>
            <w:r w:rsidRPr="00996312">
              <w:rPr>
                <w:sz w:val="20"/>
              </w:rPr>
              <w:t>2019 ABCA 498 (unreported)</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rFonts w:eastAsia="Arial"/>
                <w:color w:val="000000"/>
                <w:sz w:val="20"/>
              </w:rPr>
              <w:t>Application for permission to appeal dismissed</w:t>
            </w:r>
          </w:p>
        </w:tc>
      </w:tr>
      <w:tr w:rsidR="00286112" w:rsidRPr="00996312" w:rsidTr="00E95A6A">
        <w:tc>
          <w:tcPr>
            <w:tcW w:w="2427" w:type="pct"/>
            <w:gridSpan w:val="2"/>
          </w:tcPr>
          <w:p w:rsidR="00286112" w:rsidRPr="00996312" w:rsidRDefault="00286112" w:rsidP="00286112">
            <w:pPr>
              <w:jc w:val="both"/>
              <w:rPr>
                <w:sz w:val="20"/>
              </w:rPr>
            </w:pPr>
            <w:r w:rsidRPr="00996312">
              <w:rPr>
                <w:sz w:val="20"/>
              </w:rPr>
              <w:t>January 24, 2020</w:t>
            </w:r>
          </w:p>
          <w:p w:rsidR="00286112" w:rsidRPr="00996312" w:rsidRDefault="00286112" w:rsidP="00286112">
            <w:pPr>
              <w:jc w:val="both"/>
              <w:rPr>
                <w:sz w:val="20"/>
              </w:rPr>
            </w:pPr>
            <w:r w:rsidRPr="00996312">
              <w:rPr>
                <w:sz w:val="20"/>
              </w:rPr>
              <w:t>Supreme Court of Canada</w:t>
            </w: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Application for leave to appeal filed</w:t>
            </w:r>
          </w:p>
          <w:p w:rsidR="00286112" w:rsidRPr="00996312" w:rsidRDefault="00286112" w:rsidP="00286112">
            <w:pPr>
              <w:jc w:val="both"/>
              <w:rPr>
                <w:sz w:val="20"/>
              </w:rPr>
            </w:pPr>
          </w:p>
        </w:tc>
      </w:tr>
    </w:tbl>
    <w:p w:rsidR="00286112" w:rsidRPr="00996312" w:rsidRDefault="00286112" w:rsidP="00286112">
      <w:pPr>
        <w:jc w:val="both"/>
        <w:rPr>
          <w:sz w:val="20"/>
        </w:rPr>
      </w:pPr>
    </w:p>
    <w:p w:rsidR="00996312" w:rsidRPr="00996312" w:rsidRDefault="00EF0929" w:rsidP="00286112">
      <w:pPr>
        <w:jc w:val="both"/>
        <w:rPr>
          <w:sz w:val="20"/>
        </w:rPr>
      </w:pPr>
      <w:r>
        <w:rPr>
          <w:sz w:val="20"/>
        </w:rPr>
        <w:pict>
          <v:rect id="_x0000_i1029" style="width:2in;height:1pt" o:hrpct="0" o:hralign="center" o:hrstd="t" o:hrnoshade="t" o:hr="t" fillcolor="black [3213]" stroked="f"/>
        </w:pict>
      </w:r>
    </w:p>
    <w:p w:rsidR="00996312" w:rsidRPr="00996312" w:rsidRDefault="00996312" w:rsidP="002861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E95A6A">
        <w:tc>
          <w:tcPr>
            <w:tcW w:w="543" w:type="pct"/>
          </w:tcPr>
          <w:p w:rsidR="00286112" w:rsidRPr="00996312" w:rsidRDefault="00286112" w:rsidP="00286112">
            <w:pPr>
              <w:jc w:val="both"/>
              <w:rPr>
                <w:sz w:val="20"/>
                <w:lang w:val="fr-CA"/>
              </w:rPr>
            </w:pPr>
            <w:r w:rsidRPr="00996312">
              <w:rPr>
                <w:rStyle w:val="SCCFileNumberChar"/>
                <w:sz w:val="20"/>
                <w:szCs w:val="20"/>
                <w:lang w:val="fr-CA"/>
              </w:rPr>
              <w:t>39295</w:t>
            </w:r>
          </w:p>
        </w:tc>
        <w:tc>
          <w:tcPr>
            <w:tcW w:w="4457" w:type="pct"/>
            <w:gridSpan w:val="3"/>
          </w:tcPr>
          <w:p w:rsidR="00286112" w:rsidRPr="00996312" w:rsidRDefault="00286112" w:rsidP="00286112">
            <w:pPr>
              <w:pStyle w:val="SCCLsocParty"/>
              <w:jc w:val="both"/>
              <w:rPr>
                <w:b/>
                <w:sz w:val="20"/>
                <w:szCs w:val="20"/>
              </w:rPr>
            </w:pPr>
            <w:r w:rsidRPr="00996312">
              <w:rPr>
                <w:b/>
                <w:sz w:val="20"/>
                <w:szCs w:val="20"/>
              </w:rPr>
              <w:t>Zoltan Andrew Simon c. Procureur général du Canada, représentant Sa Majesté la Reine du chef du Canada</w:t>
            </w:r>
          </w:p>
          <w:p w:rsidR="00286112" w:rsidRPr="00996312" w:rsidRDefault="00286112" w:rsidP="00286112">
            <w:pPr>
              <w:jc w:val="both"/>
              <w:rPr>
                <w:sz w:val="20"/>
                <w:lang w:val="fr-CA"/>
              </w:rPr>
            </w:pPr>
            <w:r w:rsidRPr="00996312">
              <w:rPr>
                <w:sz w:val="20"/>
                <w:lang w:val="fr-CA"/>
              </w:rPr>
              <w:t>(Alb.) (Civile) (Sur autorisation)</w:t>
            </w:r>
          </w:p>
        </w:tc>
      </w:tr>
      <w:tr w:rsidR="00286112" w:rsidRPr="00EF0929" w:rsidTr="00E95A6A">
        <w:tc>
          <w:tcPr>
            <w:tcW w:w="5000" w:type="pct"/>
            <w:gridSpan w:val="4"/>
          </w:tcPr>
          <w:p w:rsidR="00286112" w:rsidRPr="00996312" w:rsidRDefault="00286112" w:rsidP="00286112">
            <w:pPr>
              <w:jc w:val="both"/>
              <w:rPr>
                <w:sz w:val="20"/>
                <w:lang w:val="fr-CA"/>
              </w:rPr>
            </w:pPr>
            <w:r w:rsidRPr="00996312">
              <w:rPr>
                <w:sz w:val="20"/>
                <w:lang w:val="fr-CA"/>
              </w:rPr>
              <w:t>Procédure civile — Actes de procédure — Déclaration du demandeur radiée — Demande d’autorisation d’appel rejetée par la Cour d’appel — La Cour d’appel</w:t>
            </w:r>
            <w:r w:rsidRPr="00996312">
              <w:rPr>
                <w:rFonts w:eastAsia="Arial"/>
                <w:color w:val="000000"/>
                <w:sz w:val="20"/>
                <w:lang w:val="fr-CA"/>
              </w:rPr>
              <w:t xml:space="preserve"> a</w:t>
            </w:r>
            <w:r w:rsidRPr="00996312">
              <w:rPr>
                <w:rFonts w:eastAsia="Arial"/>
                <w:color w:val="000000"/>
                <w:sz w:val="20"/>
                <w:lang w:val="fr-CA"/>
              </w:rPr>
              <w:noBreakHyphen/>
              <w:t>t</w:t>
            </w:r>
            <w:r w:rsidRPr="00996312">
              <w:rPr>
                <w:rFonts w:eastAsia="Arial"/>
                <w:color w:val="000000"/>
                <w:sz w:val="20"/>
                <w:lang w:val="fr-CA"/>
              </w:rPr>
              <w:noBreakHyphen/>
              <w:t>elle commis des erreurs manifestes et dominantes ? — La juge de la Cour d’appel fédérale siégeant seule avait</w:t>
            </w:r>
            <w:r w:rsidRPr="00996312">
              <w:rPr>
                <w:rFonts w:eastAsia="Arial"/>
                <w:color w:val="000000"/>
                <w:sz w:val="20"/>
                <w:lang w:val="fr-CA"/>
              </w:rPr>
              <w:noBreakHyphen/>
              <w:t>elle compétence pour trancher l’appel et a</w:t>
            </w:r>
            <w:r w:rsidRPr="00996312">
              <w:rPr>
                <w:rFonts w:eastAsia="Arial"/>
                <w:color w:val="000000"/>
                <w:sz w:val="20"/>
                <w:lang w:val="fr-CA"/>
              </w:rPr>
              <w:noBreakHyphen/>
              <w:t>t</w:t>
            </w:r>
            <w:r w:rsidRPr="00996312">
              <w:rPr>
                <w:rFonts w:eastAsia="Arial"/>
                <w:color w:val="000000"/>
                <w:sz w:val="20"/>
                <w:lang w:val="fr-CA"/>
              </w:rPr>
              <w:noBreakHyphen/>
              <w:t>elle correctement tenu compte des documents du demandeur ? — La juge de la Cour d’appel fédérale a</w:t>
            </w:r>
            <w:r w:rsidRPr="00996312">
              <w:rPr>
                <w:rFonts w:eastAsia="Arial"/>
                <w:color w:val="000000"/>
                <w:sz w:val="20"/>
                <w:lang w:val="fr-CA"/>
              </w:rPr>
              <w:noBreakHyphen/>
              <w:t>t</w:t>
            </w:r>
            <w:r w:rsidRPr="00996312">
              <w:rPr>
                <w:rFonts w:eastAsia="Arial"/>
                <w:color w:val="000000"/>
                <w:sz w:val="20"/>
                <w:lang w:val="fr-CA"/>
              </w:rPr>
              <w:noBreakHyphen/>
              <w:t>elle commis une erreur de droit ou de principe ?</w:t>
            </w:r>
          </w:p>
        </w:tc>
      </w:tr>
      <w:tr w:rsidR="00286112" w:rsidRPr="00EF0929" w:rsidTr="00E95A6A">
        <w:tc>
          <w:tcPr>
            <w:tcW w:w="5000" w:type="pct"/>
            <w:gridSpan w:val="4"/>
          </w:tcPr>
          <w:p w:rsidR="00286112" w:rsidRPr="00996312" w:rsidRDefault="00286112" w:rsidP="00286112">
            <w:pPr>
              <w:jc w:val="both"/>
              <w:rPr>
                <w:rFonts w:eastAsia="Arial"/>
                <w:color w:val="000000"/>
                <w:sz w:val="20"/>
                <w:lang w:val="fr-CA"/>
              </w:rPr>
            </w:pPr>
          </w:p>
          <w:p w:rsidR="00286112" w:rsidRPr="00996312" w:rsidRDefault="00286112" w:rsidP="00286112">
            <w:pPr>
              <w:jc w:val="both"/>
              <w:rPr>
                <w:rFonts w:eastAsia="Arial"/>
                <w:color w:val="000000"/>
                <w:sz w:val="20"/>
                <w:lang w:val="fr-CA"/>
              </w:rPr>
            </w:pPr>
            <w:r w:rsidRPr="00996312">
              <w:rPr>
                <w:rFonts w:eastAsia="Arial"/>
                <w:color w:val="000000"/>
                <w:sz w:val="20"/>
                <w:lang w:val="fr-CA"/>
              </w:rPr>
              <w:t>Le 27 août 2019, le demandeur a intenté une action devant la Cour du Banc de la Reine de l’Alberta pour demander qu’une réparation lui soit accordée relative à une dette de parrainage en matière d’immigration. Le juge en chef Nielsen a radié la déclaration du demandeur et lui a imposé des restrictions provisoires quant à l’accès aux tribunaux. La Cour d’appel a refusé de permettre au demandeur de faire appel de la décision de la Cour du Banc de la Reine qui radiait la déclaration au motif que l’appel n’avait aucune chance de succès. La Cour d’appel a également conclu que la déclaration n’invoquait aucune cause d’action claire, regorgeait d’arguments et était dénuée de faits substantiels. En outre, la déclaration soulevait des questions qui avaient déjà été réglées par d’autres tribunaux.</w:t>
            </w:r>
          </w:p>
        </w:tc>
      </w:tr>
      <w:tr w:rsidR="00286112" w:rsidRPr="00EF0929" w:rsidTr="00E95A6A">
        <w:tc>
          <w:tcPr>
            <w:tcW w:w="5000" w:type="pct"/>
            <w:gridSpan w:val="4"/>
          </w:tcPr>
          <w:p w:rsidR="00286112" w:rsidRPr="00996312" w:rsidRDefault="00286112" w:rsidP="00286112">
            <w:pPr>
              <w:jc w:val="both"/>
              <w:rPr>
                <w:sz w:val="20"/>
                <w:lang w:val="fr-CA"/>
              </w:rPr>
            </w:pPr>
          </w:p>
        </w:tc>
      </w:tr>
      <w:tr w:rsidR="00286112" w:rsidRPr="00996312" w:rsidTr="00E95A6A">
        <w:tc>
          <w:tcPr>
            <w:tcW w:w="2427" w:type="pct"/>
            <w:gridSpan w:val="2"/>
          </w:tcPr>
          <w:p w:rsidR="00286112" w:rsidRPr="00996312" w:rsidRDefault="00286112" w:rsidP="00286112">
            <w:pPr>
              <w:jc w:val="both"/>
              <w:rPr>
                <w:sz w:val="20"/>
                <w:lang w:val="fr-CA"/>
              </w:rPr>
            </w:pPr>
            <w:r w:rsidRPr="00996312">
              <w:rPr>
                <w:sz w:val="20"/>
                <w:lang w:val="fr-CA"/>
              </w:rPr>
              <w:t>26 septembre 2019</w:t>
            </w:r>
          </w:p>
          <w:p w:rsidR="00286112" w:rsidRPr="00996312" w:rsidRDefault="00286112" w:rsidP="00286112">
            <w:pPr>
              <w:jc w:val="both"/>
              <w:rPr>
                <w:sz w:val="20"/>
                <w:lang w:val="fr-CA"/>
              </w:rPr>
            </w:pPr>
            <w:r w:rsidRPr="00996312">
              <w:rPr>
                <w:sz w:val="20"/>
                <w:lang w:val="fr-CA"/>
              </w:rPr>
              <w:t xml:space="preserve">Cour du Banc de la Reine de l’Alberta </w:t>
            </w:r>
          </w:p>
          <w:p w:rsidR="00286112" w:rsidRPr="00996312" w:rsidRDefault="00286112" w:rsidP="00286112">
            <w:pPr>
              <w:jc w:val="both"/>
              <w:rPr>
                <w:sz w:val="20"/>
                <w:lang w:val="fr-CA"/>
              </w:rPr>
            </w:pPr>
            <w:r w:rsidRPr="00996312">
              <w:rPr>
                <w:sz w:val="20"/>
                <w:lang w:val="fr-CA"/>
              </w:rPr>
              <w:t>(Juge en chef Nielsen)</w:t>
            </w:r>
          </w:p>
          <w:p w:rsidR="00286112" w:rsidRPr="00996312" w:rsidRDefault="00EF0929" w:rsidP="00286112">
            <w:pPr>
              <w:jc w:val="both"/>
              <w:rPr>
                <w:sz w:val="20"/>
                <w:lang w:val="fr-CA"/>
              </w:rPr>
            </w:pPr>
            <w:hyperlink r:id="rId15" w:history="1">
              <w:r w:rsidR="00286112" w:rsidRPr="00996312">
                <w:rPr>
                  <w:rStyle w:val="Hyperlink"/>
                  <w:sz w:val="20"/>
                  <w:lang w:val="fr-CA"/>
                </w:rPr>
                <w:t>2019 ABQB 750</w:t>
              </w:r>
            </w:hyperlink>
            <w:r w:rsidR="00286112" w:rsidRPr="00996312">
              <w:rPr>
                <w:sz w:val="20"/>
                <w:lang w:val="fr-CA"/>
              </w:rPr>
              <w:t xml:space="preserve"> </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Sursis provisoire ordonné.</w:t>
            </w:r>
          </w:p>
        </w:tc>
      </w:tr>
      <w:tr w:rsidR="00286112" w:rsidRPr="00EF0929" w:rsidTr="00E95A6A">
        <w:tc>
          <w:tcPr>
            <w:tcW w:w="2427" w:type="pct"/>
            <w:gridSpan w:val="2"/>
          </w:tcPr>
          <w:p w:rsidR="00286112" w:rsidRPr="00996312" w:rsidRDefault="00286112" w:rsidP="00286112">
            <w:pPr>
              <w:jc w:val="both"/>
              <w:rPr>
                <w:sz w:val="20"/>
                <w:lang w:val="fr-CA"/>
              </w:rPr>
            </w:pPr>
            <w:r w:rsidRPr="00996312">
              <w:rPr>
                <w:sz w:val="20"/>
                <w:lang w:val="fr-CA"/>
              </w:rPr>
              <w:lastRenderedPageBreak/>
              <w:t>25 octobre 2019</w:t>
            </w:r>
          </w:p>
          <w:p w:rsidR="00286112" w:rsidRPr="00996312" w:rsidRDefault="00286112" w:rsidP="00286112">
            <w:pPr>
              <w:jc w:val="both"/>
              <w:rPr>
                <w:sz w:val="20"/>
                <w:lang w:val="fr-CA"/>
              </w:rPr>
            </w:pPr>
            <w:r w:rsidRPr="00996312">
              <w:rPr>
                <w:sz w:val="20"/>
                <w:lang w:val="fr-CA"/>
              </w:rPr>
              <w:t xml:space="preserve">Cour du Banc de la Reine de l’Alberta </w:t>
            </w:r>
          </w:p>
          <w:p w:rsidR="00286112" w:rsidRPr="00996312" w:rsidRDefault="00286112" w:rsidP="00286112">
            <w:pPr>
              <w:jc w:val="both"/>
              <w:rPr>
                <w:sz w:val="20"/>
                <w:lang w:val="fr-CA"/>
              </w:rPr>
            </w:pPr>
            <w:r w:rsidRPr="00996312">
              <w:rPr>
                <w:sz w:val="20"/>
                <w:lang w:val="fr-CA"/>
              </w:rPr>
              <w:t>(Juge en chef Nielsen)</w:t>
            </w:r>
          </w:p>
          <w:p w:rsidR="00286112" w:rsidRPr="00996312" w:rsidRDefault="00EF0929" w:rsidP="00286112">
            <w:pPr>
              <w:jc w:val="both"/>
              <w:rPr>
                <w:sz w:val="20"/>
                <w:lang w:val="fr-CA"/>
              </w:rPr>
            </w:pPr>
            <w:hyperlink r:id="rId16" w:history="1">
              <w:r w:rsidR="00286112" w:rsidRPr="00996312">
                <w:rPr>
                  <w:rStyle w:val="Hyperlink"/>
                  <w:sz w:val="20"/>
                  <w:lang w:val="fr-CA"/>
                </w:rPr>
                <w:t>2019 ABQB 824</w:t>
              </w:r>
            </w:hyperlink>
            <w:r w:rsidR="00286112" w:rsidRPr="00996312">
              <w:rPr>
                <w:sz w:val="20"/>
                <w:lang w:val="fr-CA"/>
              </w:rPr>
              <w:t xml:space="preserve"> </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rFonts w:eastAsia="Arial"/>
                <w:color w:val="000000"/>
                <w:sz w:val="20"/>
                <w:lang w:val="fr-CA"/>
              </w:rPr>
            </w:pPr>
            <w:r w:rsidRPr="00996312">
              <w:rPr>
                <w:sz w:val="20"/>
                <w:lang w:val="fr-CA"/>
              </w:rPr>
              <w:t xml:space="preserve">Déclaration du demandeur radiée; </w:t>
            </w:r>
            <w:r w:rsidRPr="00996312">
              <w:rPr>
                <w:rFonts w:eastAsia="Arial"/>
                <w:color w:val="000000"/>
                <w:sz w:val="20"/>
                <w:lang w:val="fr-CA"/>
              </w:rPr>
              <w:t>restrictions provisoires quant à l’accès aux tribunaux imposées au demandeur.</w:t>
            </w:r>
          </w:p>
          <w:p w:rsidR="00286112" w:rsidRPr="00996312" w:rsidRDefault="00286112" w:rsidP="00286112">
            <w:pPr>
              <w:jc w:val="both"/>
              <w:rPr>
                <w:sz w:val="20"/>
                <w:lang w:val="fr-CA"/>
              </w:rPr>
            </w:pPr>
          </w:p>
        </w:tc>
      </w:tr>
      <w:tr w:rsidR="00286112" w:rsidRPr="00996312" w:rsidTr="00E95A6A">
        <w:tc>
          <w:tcPr>
            <w:tcW w:w="2427" w:type="pct"/>
            <w:gridSpan w:val="2"/>
          </w:tcPr>
          <w:p w:rsidR="00286112" w:rsidRPr="00996312" w:rsidRDefault="00286112" w:rsidP="00286112">
            <w:pPr>
              <w:jc w:val="both"/>
              <w:rPr>
                <w:sz w:val="20"/>
                <w:lang w:val="fr-CA"/>
              </w:rPr>
            </w:pPr>
            <w:r w:rsidRPr="00996312">
              <w:rPr>
                <w:sz w:val="20"/>
                <w:lang w:val="fr-CA"/>
              </w:rPr>
              <w:t>13 décembre 2019</w:t>
            </w:r>
          </w:p>
          <w:p w:rsidR="00286112" w:rsidRPr="00996312" w:rsidRDefault="00286112" w:rsidP="00286112">
            <w:pPr>
              <w:jc w:val="both"/>
              <w:rPr>
                <w:sz w:val="20"/>
                <w:lang w:val="fr-CA"/>
              </w:rPr>
            </w:pPr>
            <w:r w:rsidRPr="00996312">
              <w:rPr>
                <w:sz w:val="20"/>
                <w:lang w:val="fr-CA"/>
              </w:rPr>
              <w:t>Cour d’appel de l’Alberta (Calgary)</w:t>
            </w:r>
          </w:p>
          <w:p w:rsidR="00286112" w:rsidRPr="00996312" w:rsidRDefault="00286112" w:rsidP="00286112">
            <w:pPr>
              <w:jc w:val="both"/>
              <w:rPr>
                <w:sz w:val="20"/>
                <w:lang w:val="fr-CA"/>
              </w:rPr>
            </w:pPr>
            <w:r w:rsidRPr="00996312">
              <w:rPr>
                <w:sz w:val="20"/>
                <w:lang w:val="fr-CA"/>
              </w:rPr>
              <w:t>(Juge Paperny)</w:t>
            </w:r>
          </w:p>
          <w:p w:rsidR="00286112" w:rsidRPr="00996312" w:rsidRDefault="00286112" w:rsidP="00286112">
            <w:pPr>
              <w:jc w:val="both"/>
              <w:rPr>
                <w:sz w:val="20"/>
                <w:lang w:val="fr-CA"/>
              </w:rPr>
            </w:pPr>
            <w:r w:rsidRPr="00996312">
              <w:rPr>
                <w:sz w:val="20"/>
                <w:lang w:val="fr-CA"/>
              </w:rPr>
              <w:t>1901</w:t>
            </w:r>
            <w:r w:rsidRPr="00996312">
              <w:rPr>
                <w:sz w:val="20"/>
                <w:lang w:val="fr-CA"/>
              </w:rPr>
              <w:noBreakHyphen/>
              <w:t>0370</w:t>
            </w:r>
            <w:r w:rsidRPr="00996312">
              <w:rPr>
                <w:sz w:val="20"/>
                <w:lang w:val="fr-CA"/>
              </w:rPr>
              <w:noBreakHyphen/>
              <w:t xml:space="preserve">AC </w:t>
            </w:r>
          </w:p>
          <w:p w:rsidR="00286112" w:rsidRPr="00996312" w:rsidRDefault="00286112" w:rsidP="00286112">
            <w:pPr>
              <w:jc w:val="both"/>
              <w:rPr>
                <w:sz w:val="20"/>
                <w:lang w:val="fr-CA"/>
              </w:rPr>
            </w:pPr>
            <w:r w:rsidRPr="00996312">
              <w:rPr>
                <w:sz w:val="20"/>
                <w:lang w:val="fr-CA"/>
              </w:rPr>
              <w:t>2019 ABCA 498 (non publié)</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rFonts w:eastAsia="Arial"/>
                <w:color w:val="000000"/>
                <w:sz w:val="20"/>
                <w:lang w:val="fr-CA"/>
              </w:rPr>
              <w:t>Demande d’autorisation d’appel rejetée.</w:t>
            </w:r>
          </w:p>
        </w:tc>
      </w:tr>
      <w:tr w:rsidR="00286112" w:rsidRPr="00996312" w:rsidTr="00E95A6A">
        <w:tc>
          <w:tcPr>
            <w:tcW w:w="2427" w:type="pct"/>
            <w:gridSpan w:val="2"/>
          </w:tcPr>
          <w:p w:rsidR="00286112" w:rsidRPr="00996312" w:rsidRDefault="00286112" w:rsidP="00286112">
            <w:pPr>
              <w:jc w:val="both"/>
              <w:rPr>
                <w:sz w:val="20"/>
                <w:lang w:val="fr-CA"/>
              </w:rPr>
            </w:pPr>
            <w:r w:rsidRPr="00996312">
              <w:rPr>
                <w:sz w:val="20"/>
                <w:lang w:val="fr-CA"/>
              </w:rPr>
              <w:t>24 janvier 2020</w:t>
            </w:r>
          </w:p>
          <w:p w:rsidR="00286112" w:rsidRPr="00996312" w:rsidRDefault="00286112" w:rsidP="00286112">
            <w:pPr>
              <w:jc w:val="both"/>
              <w:rPr>
                <w:sz w:val="20"/>
                <w:lang w:val="fr-CA"/>
              </w:rPr>
            </w:pPr>
            <w:r w:rsidRPr="00996312">
              <w:rPr>
                <w:sz w:val="20"/>
                <w:lang w:val="fr-CA"/>
              </w:rPr>
              <w:t>Cour suprême du Canada</w:t>
            </w: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Demande d’autorisation d’appel présentée.</w:t>
            </w:r>
          </w:p>
          <w:p w:rsidR="00286112" w:rsidRPr="00996312" w:rsidRDefault="00286112" w:rsidP="00286112">
            <w:pPr>
              <w:jc w:val="both"/>
              <w:rPr>
                <w:sz w:val="20"/>
                <w:lang w:val="fr-CA"/>
              </w:rPr>
            </w:pPr>
          </w:p>
        </w:tc>
      </w:tr>
    </w:tbl>
    <w:p w:rsidR="00286112" w:rsidRPr="00996312" w:rsidRDefault="00286112" w:rsidP="00286112">
      <w:pPr>
        <w:jc w:val="both"/>
        <w:rPr>
          <w:sz w:val="20"/>
          <w:lang w:val="fr-CA"/>
        </w:rPr>
      </w:pPr>
    </w:p>
    <w:p w:rsidR="00996312" w:rsidRPr="00996312" w:rsidRDefault="00EF0929" w:rsidP="00286112">
      <w:pPr>
        <w:jc w:val="both"/>
        <w:rPr>
          <w:sz w:val="20"/>
          <w:lang w:val="fr-CA"/>
        </w:rPr>
      </w:pPr>
      <w:r>
        <w:rPr>
          <w:sz w:val="20"/>
        </w:rPr>
        <w:pict>
          <v:rect id="_x0000_i1030" style="width:2in;height:1pt" o:hrpct="0" o:hralign="center" o:hrstd="t" o:hrnoshade="t" o:hr="t" fillcolor="black [3213]" stroked="f"/>
        </w:pict>
      </w:r>
    </w:p>
    <w:p w:rsidR="002C5E29" w:rsidRPr="00996312" w:rsidRDefault="002C5E29" w:rsidP="002861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E95A6A">
        <w:tc>
          <w:tcPr>
            <w:tcW w:w="543" w:type="pct"/>
          </w:tcPr>
          <w:p w:rsidR="00286112" w:rsidRPr="00996312" w:rsidRDefault="00286112" w:rsidP="00286112">
            <w:pPr>
              <w:jc w:val="both"/>
              <w:rPr>
                <w:sz w:val="20"/>
              </w:rPr>
            </w:pPr>
            <w:r w:rsidRPr="00996312">
              <w:rPr>
                <w:rStyle w:val="SCCFileNumberChar"/>
                <w:sz w:val="20"/>
                <w:szCs w:val="20"/>
              </w:rPr>
              <w:t>39285</w:t>
            </w:r>
          </w:p>
        </w:tc>
        <w:tc>
          <w:tcPr>
            <w:tcW w:w="4457" w:type="pct"/>
            <w:gridSpan w:val="3"/>
          </w:tcPr>
          <w:p w:rsidR="00286112" w:rsidRPr="00996312" w:rsidRDefault="00286112" w:rsidP="00286112">
            <w:pPr>
              <w:pStyle w:val="SCCLsocParty"/>
              <w:jc w:val="both"/>
              <w:rPr>
                <w:b/>
                <w:sz w:val="20"/>
                <w:szCs w:val="20"/>
                <w:lang w:val="en-US"/>
              </w:rPr>
            </w:pPr>
            <w:r w:rsidRPr="00996312">
              <w:rPr>
                <w:b/>
                <w:sz w:val="20"/>
                <w:szCs w:val="20"/>
                <w:lang w:val="en-US"/>
              </w:rPr>
              <w:t>Nadeem Ahmad v. Samina Ahmed</w:t>
            </w:r>
          </w:p>
          <w:p w:rsidR="00286112" w:rsidRPr="00996312" w:rsidRDefault="00286112" w:rsidP="00286112">
            <w:pPr>
              <w:jc w:val="both"/>
              <w:rPr>
                <w:sz w:val="20"/>
              </w:rPr>
            </w:pPr>
            <w:r w:rsidRPr="00996312">
              <w:rPr>
                <w:sz w:val="20"/>
              </w:rPr>
              <w:t>(Ont.) (Civil) (By Leave)</w:t>
            </w:r>
          </w:p>
        </w:tc>
      </w:tr>
      <w:tr w:rsidR="00286112" w:rsidRPr="00996312" w:rsidTr="00E95A6A">
        <w:tc>
          <w:tcPr>
            <w:tcW w:w="5000" w:type="pct"/>
            <w:gridSpan w:val="4"/>
          </w:tcPr>
          <w:p w:rsidR="00286112" w:rsidRPr="00996312" w:rsidRDefault="00286112" w:rsidP="00286112">
            <w:pPr>
              <w:jc w:val="both"/>
              <w:rPr>
                <w:sz w:val="20"/>
              </w:rPr>
            </w:pPr>
            <w:r w:rsidRPr="00996312">
              <w:rPr>
                <w:sz w:val="20"/>
              </w:rPr>
              <w:t>Family law — Support — Child support — Family assets — Income imputed to the applicant for purpose of calculating child support — Equalization payment to respondent ordered — Whether lower courts erred in awarding amount of equalization payment and costs owed to respondent.</w:t>
            </w:r>
          </w:p>
        </w:tc>
      </w:tr>
      <w:tr w:rsidR="00286112" w:rsidRPr="00996312" w:rsidTr="00E95A6A">
        <w:tc>
          <w:tcPr>
            <w:tcW w:w="5000" w:type="pct"/>
            <w:gridSpan w:val="4"/>
          </w:tcPr>
          <w:p w:rsidR="00286112" w:rsidRPr="00996312" w:rsidRDefault="00286112" w:rsidP="00286112">
            <w:pPr>
              <w:jc w:val="both"/>
              <w:rPr>
                <w:sz w:val="20"/>
              </w:rPr>
            </w:pPr>
          </w:p>
          <w:p w:rsidR="00286112" w:rsidRPr="00996312" w:rsidRDefault="00286112" w:rsidP="00286112">
            <w:pPr>
              <w:jc w:val="both"/>
              <w:rPr>
                <w:sz w:val="20"/>
              </w:rPr>
            </w:pPr>
            <w:r w:rsidRPr="00996312">
              <w:rPr>
                <w:sz w:val="20"/>
              </w:rPr>
              <w:t>The parties were married in Pakistan in 2000. There are three children of the marriage who all reside with the respondent wife. The family immigrated to Canada in 2013. A few days later, the applicant husband returned to Pakistan where he stayed for the next two years. The parties did not resume cohabitation. The applicant was ordered to pay child support beginning in 2016. The applicant sought a reduction in child support payments. The wife sought spousal support and an equalization of property. The trial judge imputed additional income to the applicant and increased the amount of child support payable. The applicant was also ordered to pay an equalization payment to the respondent. This decision was upheld on appeal.</w:t>
            </w:r>
          </w:p>
        </w:tc>
      </w:tr>
      <w:tr w:rsidR="00286112" w:rsidRPr="00996312" w:rsidTr="00E95A6A">
        <w:tc>
          <w:tcPr>
            <w:tcW w:w="5000" w:type="pct"/>
            <w:gridSpan w:val="4"/>
          </w:tcPr>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August 24, 2017</w:t>
            </w:r>
          </w:p>
          <w:p w:rsidR="00286112" w:rsidRPr="00996312" w:rsidRDefault="00286112" w:rsidP="00286112">
            <w:pPr>
              <w:jc w:val="both"/>
              <w:rPr>
                <w:sz w:val="20"/>
              </w:rPr>
            </w:pPr>
            <w:r w:rsidRPr="00996312">
              <w:rPr>
                <w:sz w:val="20"/>
              </w:rPr>
              <w:t>Ontario Superior Court of Justice</w:t>
            </w:r>
          </w:p>
          <w:p w:rsidR="00286112" w:rsidRPr="00996312" w:rsidRDefault="00286112" w:rsidP="00286112">
            <w:pPr>
              <w:jc w:val="both"/>
              <w:rPr>
                <w:sz w:val="20"/>
              </w:rPr>
            </w:pPr>
            <w:r w:rsidRPr="00996312">
              <w:rPr>
                <w:sz w:val="20"/>
              </w:rPr>
              <w:t>(Bielby J.)</w:t>
            </w:r>
          </w:p>
          <w:p w:rsidR="00286112" w:rsidRPr="00996312" w:rsidRDefault="00EF0929" w:rsidP="00286112">
            <w:pPr>
              <w:jc w:val="both"/>
              <w:rPr>
                <w:sz w:val="20"/>
              </w:rPr>
            </w:pPr>
            <w:hyperlink r:id="rId17" w:history="1">
              <w:r w:rsidR="00286112" w:rsidRPr="00996312">
                <w:rPr>
                  <w:rStyle w:val="Hyperlink"/>
                  <w:sz w:val="20"/>
                </w:rPr>
                <w:t>2017 ONSC 4952</w:t>
              </w:r>
            </w:hyperlink>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Order requiring applicant to pay increased child support and equalization payment to respondent</w:t>
            </w:r>
          </w:p>
          <w:p w:rsidR="00286112" w:rsidRPr="00996312" w:rsidRDefault="00286112" w:rsidP="00286112">
            <w:pPr>
              <w:jc w:val="both"/>
              <w:rPr>
                <w:sz w:val="20"/>
              </w:rPr>
            </w:pPr>
          </w:p>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June 8, 2018</w:t>
            </w:r>
          </w:p>
          <w:p w:rsidR="00286112" w:rsidRPr="00996312" w:rsidRDefault="00286112" w:rsidP="00286112">
            <w:pPr>
              <w:jc w:val="both"/>
              <w:rPr>
                <w:sz w:val="20"/>
              </w:rPr>
            </w:pPr>
            <w:r w:rsidRPr="00996312">
              <w:rPr>
                <w:sz w:val="20"/>
              </w:rPr>
              <w:t>Court of Appeal for Ontario</w:t>
            </w:r>
          </w:p>
          <w:p w:rsidR="00286112" w:rsidRPr="00996312" w:rsidRDefault="00286112" w:rsidP="00286112">
            <w:pPr>
              <w:jc w:val="both"/>
              <w:rPr>
                <w:sz w:val="20"/>
              </w:rPr>
            </w:pPr>
            <w:r w:rsidRPr="00996312">
              <w:rPr>
                <w:sz w:val="20"/>
              </w:rPr>
              <w:t>(MacPherson, LaForme and Roberts JJ.A.)</w:t>
            </w:r>
          </w:p>
          <w:p w:rsidR="00286112" w:rsidRPr="00996312" w:rsidRDefault="00EF0929" w:rsidP="00286112">
            <w:pPr>
              <w:jc w:val="both"/>
              <w:rPr>
                <w:sz w:val="20"/>
              </w:rPr>
            </w:pPr>
            <w:hyperlink r:id="rId18" w:history="1">
              <w:r w:rsidR="00286112" w:rsidRPr="00996312">
                <w:rPr>
                  <w:rStyle w:val="Hyperlink"/>
                  <w:sz w:val="20"/>
                </w:rPr>
                <w:t>2018 ONCA 536</w:t>
              </w:r>
            </w:hyperlink>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Applicant’s appeal dismissed</w:t>
            </w:r>
          </w:p>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February 6, 2020</w:t>
            </w:r>
          </w:p>
          <w:p w:rsidR="00286112" w:rsidRPr="00996312" w:rsidRDefault="00286112" w:rsidP="00286112">
            <w:pPr>
              <w:jc w:val="both"/>
              <w:rPr>
                <w:sz w:val="20"/>
              </w:rPr>
            </w:pPr>
            <w:r w:rsidRPr="00996312">
              <w:rPr>
                <w:sz w:val="20"/>
              </w:rPr>
              <w:t>Supreme Court of Canada</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Motion for extension of time in which to serve and file application for leave to appeal and application for leave to appeal filed</w:t>
            </w:r>
          </w:p>
        </w:tc>
      </w:tr>
    </w:tbl>
    <w:p w:rsidR="00286112" w:rsidRPr="00996312" w:rsidRDefault="00286112" w:rsidP="00286112">
      <w:pPr>
        <w:jc w:val="both"/>
        <w:rPr>
          <w:sz w:val="20"/>
        </w:rPr>
      </w:pPr>
    </w:p>
    <w:p w:rsidR="00996312" w:rsidRPr="00996312" w:rsidRDefault="00EF0929" w:rsidP="00286112">
      <w:pPr>
        <w:jc w:val="both"/>
        <w:rPr>
          <w:sz w:val="20"/>
        </w:rPr>
      </w:pPr>
      <w:r>
        <w:rPr>
          <w:sz w:val="20"/>
        </w:rPr>
        <w:pict>
          <v:rect id="_x0000_i1031" style="width:2in;height:1pt" o:hrpct="0" o:hralign="center" o:hrstd="t" o:hrnoshade="t" o:hr="t" fillcolor="black [3213]" stroked="f"/>
        </w:pict>
      </w:r>
    </w:p>
    <w:p w:rsidR="00996312" w:rsidRPr="00996312" w:rsidRDefault="00996312" w:rsidP="002861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E95A6A">
        <w:tc>
          <w:tcPr>
            <w:tcW w:w="543" w:type="pct"/>
          </w:tcPr>
          <w:p w:rsidR="00286112" w:rsidRPr="00996312" w:rsidRDefault="00286112" w:rsidP="00286112">
            <w:pPr>
              <w:jc w:val="both"/>
              <w:rPr>
                <w:sz w:val="20"/>
                <w:lang w:val="fr-CA"/>
              </w:rPr>
            </w:pPr>
            <w:r w:rsidRPr="00996312">
              <w:rPr>
                <w:rStyle w:val="SCCFileNumberChar"/>
                <w:sz w:val="20"/>
                <w:szCs w:val="20"/>
                <w:lang w:val="fr-CA"/>
              </w:rPr>
              <w:t>39285</w:t>
            </w:r>
          </w:p>
        </w:tc>
        <w:tc>
          <w:tcPr>
            <w:tcW w:w="4457" w:type="pct"/>
            <w:gridSpan w:val="3"/>
          </w:tcPr>
          <w:p w:rsidR="00286112" w:rsidRPr="00996312" w:rsidRDefault="00286112" w:rsidP="00286112">
            <w:pPr>
              <w:pStyle w:val="SCCLsocParty"/>
              <w:jc w:val="both"/>
              <w:rPr>
                <w:b/>
                <w:sz w:val="20"/>
                <w:szCs w:val="20"/>
              </w:rPr>
            </w:pPr>
            <w:r w:rsidRPr="00996312">
              <w:rPr>
                <w:b/>
                <w:sz w:val="20"/>
                <w:szCs w:val="20"/>
              </w:rPr>
              <w:t>Nadeem Ahmad c. Samina Ahmed</w:t>
            </w:r>
          </w:p>
          <w:p w:rsidR="00286112" w:rsidRPr="00996312" w:rsidRDefault="00286112" w:rsidP="00286112">
            <w:pPr>
              <w:jc w:val="both"/>
              <w:rPr>
                <w:sz w:val="20"/>
                <w:lang w:val="fr-CA"/>
              </w:rPr>
            </w:pPr>
            <w:r w:rsidRPr="00996312">
              <w:rPr>
                <w:sz w:val="20"/>
                <w:lang w:val="fr-CA"/>
              </w:rPr>
              <w:t>(Ont.) (Civile) (Sur autorisation)</w:t>
            </w:r>
          </w:p>
        </w:tc>
      </w:tr>
      <w:tr w:rsidR="00286112" w:rsidRPr="00EF0929" w:rsidTr="00E95A6A">
        <w:tc>
          <w:tcPr>
            <w:tcW w:w="5000" w:type="pct"/>
            <w:gridSpan w:val="4"/>
          </w:tcPr>
          <w:p w:rsidR="00286112" w:rsidRPr="00996312" w:rsidRDefault="00286112" w:rsidP="00286112">
            <w:pPr>
              <w:jc w:val="both"/>
              <w:rPr>
                <w:sz w:val="20"/>
                <w:lang w:val="fr-CA"/>
              </w:rPr>
            </w:pPr>
            <w:r w:rsidRPr="00996312">
              <w:rPr>
                <w:sz w:val="20"/>
                <w:lang w:val="fr-CA"/>
              </w:rPr>
              <w:t xml:space="preserve">Droit de la famille — Aliments — </w:t>
            </w:r>
            <w:r w:rsidRPr="00996312">
              <w:rPr>
                <w:iCs/>
                <w:sz w:val="20"/>
                <w:lang w:val="fr-CA"/>
              </w:rPr>
              <w:t>Pension alimentaire pour enfants</w:t>
            </w:r>
            <w:r w:rsidRPr="00996312">
              <w:rPr>
                <w:sz w:val="20"/>
                <w:lang w:val="fr-CA"/>
              </w:rPr>
              <w:t xml:space="preserve"> — Biens familiaux — Revenu attribué au demandeur aux fins du calcul</w:t>
            </w:r>
            <w:r w:rsidRPr="00996312">
              <w:rPr>
                <w:iCs/>
                <w:sz w:val="20"/>
                <w:lang w:val="fr-CA"/>
              </w:rPr>
              <w:t xml:space="preserve"> de la pension alimentaire pour enfants </w:t>
            </w:r>
            <w:r w:rsidRPr="00996312">
              <w:rPr>
                <w:sz w:val="20"/>
                <w:lang w:val="fr-CA"/>
              </w:rPr>
              <w:t>— Paiement d’égalisation ordonné au profit de l’intimée — Les tribunaux inférieurs ont</w:t>
            </w:r>
            <w:r w:rsidRPr="00996312">
              <w:rPr>
                <w:sz w:val="20"/>
                <w:lang w:val="fr-CA"/>
              </w:rPr>
              <w:noBreakHyphen/>
              <w:t>ils commis une erreur en accordant à l’intimée la somme du paiement d’égalisation et les dépens qui lui revenaient?</w:t>
            </w:r>
          </w:p>
        </w:tc>
      </w:tr>
      <w:tr w:rsidR="00286112" w:rsidRPr="00996312" w:rsidTr="00E95A6A">
        <w:tc>
          <w:tcPr>
            <w:tcW w:w="5000" w:type="pct"/>
            <w:gridSpan w:val="4"/>
          </w:tcPr>
          <w:p w:rsidR="00286112" w:rsidRPr="00996312" w:rsidRDefault="00286112" w:rsidP="00286112">
            <w:pPr>
              <w:jc w:val="both"/>
              <w:rPr>
                <w:sz w:val="20"/>
                <w:lang w:val="fr-CA"/>
              </w:rPr>
            </w:pPr>
          </w:p>
          <w:p w:rsidR="00286112" w:rsidRPr="00996312" w:rsidRDefault="00286112" w:rsidP="00286112">
            <w:pPr>
              <w:jc w:val="both"/>
              <w:rPr>
                <w:sz w:val="20"/>
                <w:lang w:val="fr-CA"/>
              </w:rPr>
            </w:pPr>
            <w:r w:rsidRPr="00996312">
              <w:rPr>
                <w:sz w:val="20"/>
                <w:lang w:val="fr-CA"/>
              </w:rPr>
              <w:lastRenderedPageBreak/>
              <w:t>Les parties se sont mariées au Pakistan en 2000. Les trois enfants issus du mariage résident avec l’épouse intimée. La famille a immigré au Canada en 2013. Quelques années plus tard, l’époux demandeur est retourné au Pakistan, où il est demeuré pendant les deux prochaines années. Les parties n’ont pas repris leur cohabitation. Le demandeur a été condamné à payer une pension alimentaire pour enfants à compter de 2016. Le demandeur a demandé que la valeur de la pension alimentaire pour enfant soit réduite. L’épouse a demandé une pension alimentaire pour conjoint, ainsi que l’égalisation des biens. Le juge de première instance a attribué un revenu additionnel au demandeur et a augmenté le montant de la pension alimentaire pour enfants qui devait être payé. Le juge a en outre ordonné que le demandeur verse à l’intimée un paiement d’égalisation. Cette décision a été confirmée en appel.</w:t>
            </w:r>
          </w:p>
        </w:tc>
      </w:tr>
      <w:tr w:rsidR="00286112" w:rsidRPr="00996312" w:rsidTr="00E95A6A">
        <w:tc>
          <w:tcPr>
            <w:tcW w:w="5000" w:type="pct"/>
            <w:gridSpan w:val="4"/>
          </w:tcPr>
          <w:p w:rsidR="00286112" w:rsidRPr="00996312" w:rsidRDefault="00286112" w:rsidP="00286112">
            <w:pPr>
              <w:jc w:val="both"/>
              <w:rPr>
                <w:sz w:val="20"/>
                <w:lang w:val="fr-CA"/>
              </w:rPr>
            </w:pPr>
          </w:p>
        </w:tc>
      </w:tr>
      <w:tr w:rsidR="00286112" w:rsidRPr="00EF0929" w:rsidTr="00E95A6A">
        <w:tc>
          <w:tcPr>
            <w:tcW w:w="2427" w:type="pct"/>
            <w:gridSpan w:val="2"/>
          </w:tcPr>
          <w:p w:rsidR="00286112" w:rsidRPr="00996312" w:rsidRDefault="00286112" w:rsidP="00286112">
            <w:pPr>
              <w:jc w:val="both"/>
              <w:rPr>
                <w:sz w:val="20"/>
                <w:lang w:val="fr-CA"/>
              </w:rPr>
            </w:pPr>
            <w:r w:rsidRPr="00996312">
              <w:rPr>
                <w:sz w:val="20"/>
                <w:lang w:val="fr-CA"/>
              </w:rPr>
              <w:t>24 août 2017</w:t>
            </w:r>
          </w:p>
          <w:p w:rsidR="00286112" w:rsidRPr="00996312" w:rsidRDefault="00286112" w:rsidP="00286112">
            <w:pPr>
              <w:jc w:val="both"/>
              <w:rPr>
                <w:sz w:val="20"/>
                <w:lang w:val="fr-CA"/>
              </w:rPr>
            </w:pPr>
            <w:r w:rsidRPr="00996312">
              <w:rPr>
                <w:sz w:val="20"/>
                <w:lang w:val="fr-CA"/>
              </w:rPr>
              <w:t>Cour supérieure de justice de l’Ontario</w:t>
            </w:r>
          </w:p>
          <w:p w:rsidR="00286112" w:rsidRPr="00996312" w:rsidRDefault="00286112" w:rsidP="00286112">
            <w:pPr>
              <w:jc w:val="both"/>
              <w:rPr>
                <w:sz w:val="20"/>
                <w:lang w:val="fr-CA"/>
              </w:rPr>
            </w:pPr>
            <w:r w:rsidRPr="00996312">
              <w:rPr>
                <w:sz w:val="20"/>
                <w:lang w:val="fr-CA"/>
              </w:rPr>
              <w:t>(Juge Bielby)</w:t>
            </w:r>
          </w:p>
          <w:p w:rsidR="00286112" w:rsidRPr="00996312" w:rsidRDefault="00EF0929" w:rsidP="00286112">
            <w:pPr>
              <w:jc w:val="both"/>
              <w:rPr>
                <w:sz w:val="20"/>
                <w:lang w:val="fr-CA"/>
              </w:rPr>
            </w:pPr>
            <w:hyperlink r:id="rId19" w:history="1">
              <w:r w:rsidR="00286112" w:rsidRPr="00996312">
                <w:rPr>
                  <w:rStyle w:val="Hyperlink"/>
                  <w:sz w:val="20"/>
                  <w:lang w:val="fr-CA"/>
                </w:rPr>
                <w:t>2017 ONSC 4952</w:t>
              </w:r>
            </w:hyperlink>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Ordonnance intimant au demandeur de verser une pension alimentaire pour enfants accrue et un paiement d’égalisation à l’intimée.</w:t>
            </w:r>
          </w:p>
          <w:p w:rsidR="00286112" w:rsidRPr="00996312" w:rsidRDefault="00286112" w:rsidP="00286112">
            <w:pPr>
              <w:jc w:val="both"/>
              <w:rPr>
                <w:sz w:val="20"/>
                <w:lang w:val="fr-CA"/>
              </w:rPr>
            </w:pPr>
          </w:p>
          <w:p w:rsidR="00286112" w:rsidRPr="00996312" w:rsidRDefault="00286112" w:rsidP="00286112">
            <w:pPr>
              <w:jc w:val="both"/>
              <w:rPr>
                <w:sz w:val="20"/>
                <w:lang w:val="fr-CA"/>
              </w:rPr>
            </w:pPr>
          </w:p>
        </w:tc>
      </w:tr>
      <w:tr w:rsidR="00286112" w:rsidRPr="00996312" w:rsidTr="00E95A6A">
        <w:tc>
          <w:tcPr>
            <w:tcW w:w="2427" w:type="pct"/>
            <w:gridSpan w:val="2"/>
          </w:tcPr>
          <w:p w:rsidR="00286112" w:rsidRPr="00996312" w:rsidRDefault="00286112" w:rsidP="00286112">
            <w:pPr>
              <w:jc w:val="both"/>
              <w:rPr>
                <w:sz w:val="20"/>
                <w:lang w:val="fr-CA"/>
              </w:rPr>
            </w:pPr>
            <w:r w:rsidRPr="00996312">
              <w:rPr>
                <w:sz w:val="20"/>
                <w:lang w:val="fr-CA"/>
              </w:rPr>
              <w:t>8 juin 2018</w:t>
            </w:r>
          </w:p>
          <w:p w:rsidR="00286112" w:rsidRPr="00996312" w:rsidRDefault="00286112" w:rsidP="00286112">
            <w:pPr>
              <w:jc w:val="both"/>
              <w:rPr>
                <w:sz w:val="20"/>
                <w:lang w:val="fr-CA"/>
              </w:rPr>
            </w:pPr>
            <w:r w:rsidRPr="00996312">
              <w:rPr>
                <w:sz w:val="20"/>
                <w:lang w:val="fr-CA"/>
              </w:rPr>
              <w:t>Cour d’appel de l’Ontario</w:t>
            </w:r>
          </w:p>
          <w:p w:rsidR="00286112" w:rsidRPr="00996312" w:rsidRDefault="00286112" w:rsidP="00286112">
            <w:pPr>
              <w:jc w:val="both"/>
              <w:rPr>
                <w:sz w:val="20"/>
                <w:lang w:val="fr-CA"/>
              </w:rPr>
            </w:pPr>
            <w:r w:rsidRPr="00996312">
              <w:rPr>
                <w:sz w:val="20"/>
                <w:lang w:val="fr-CA"/>
              </w:rPr>
              <w:t xml:space="preserve">(Juges </w:t>
            </w:r>
            <w:proofErr w:type="spellStart"/>
            <w:r w:rsidRPr="00996312">
              <w:rPr>
                <w:sz w:val="20"/>
                <w:lang w:val="fr-CA"/>
              </w:rPr>
              <w:t>MacPherson</w:t>
            </w:r>
            <w:proofErr w:type="spellEnd"/>
            <w:r w:rsidRPr="00996312">
              <w:rPr>
                <w:sz w:val="20"/>
                <w:lang w:val="fr-CA"/>
              </w:rPr>
              <w:t xml:space="preserve">, </w:t>
            </w:r>
            <w:proofErr w:type="spellStart"/>
            <w:r w:rsidRPr="00996312">
              <w:rPr>
                <w:sz w:val="20"/>
                <w:lang w:val="fr-CA"/>
              </w:rPr>
              <w:t>LaForme</w:t>
            </w:r>
            <w:proofErr w:type="spellEnd"/>
            <w:r w:rsidRPr="00996312">
              <w:rPr>
                <w:sz w:val="20"/>
                <w:lang w:val="fr-CA"/>
              </w:rPr>
              <w:t xml:space="preserve"> et Roberts)</w:t>
            </w:r>
          </w:p>
          <w:p w:rsidR="00286112" w:rsidRPr="00996312" w:rsidRDefault="00EF0929" w:rsidP="00286112">
            <w:pPr>
              <w:jc w:val="both"/>
              <w:rPr>
                <w:sz w:val="20"/>
                <w:lang w:val="fr-CA"/>
              </w:rPr>
            </w:pPr>
            <w:hyperlink r:id="rId20" w:history="1">
              <w:r w:rsidR="00286112" w:rsidRPr="00996312">
                <w:rPr>
                  <w:rStyle w:val="Hyperlink"/>
                  <w:sz w:val="20"/>
                  <w:lang w:val="fr-CA"/>
                </w:rPr>
                <w:t>2018 ONCA 536</w:t>
              </w:r>
            </w:hyperlink>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Appel du demandeur rejeté.</w:t>
            </w:r>
          </w:p>
          <w:p w:rsidR="00286112" w:rsidRPr="00996312" w:rsidRDefault="00286112" w:rsidP="00286112">
            <w:pPr>
              <w:jc w:val="both"/>
              <w:rPr>
                <w:sz w:val="20"/>
                <w:lang w:val="fr-CA"/>
              </w:rPr>
            </w:pPr>
          </w:p>
        </w:tc>
      </w:tr>
      <w:tr w:rsidR="00286112" w:rsidRPr="00EF0929" w:rsidTr="00996312">
        <w:trPr>
          <w:trHeight w:val="622"/>
        </w:trPr>
        <w:tc>
          <w:tcPr>
            <w:tcW w:w="2427" w:type="pct"/>
            <w:gridSpan w:val="2"/>
          </w:tcPr>
          <w:p w:rsidR="00286112" w:rsidRPr="00996312" w:rsidRDefault="00286112" w:rsidP="00286112">
            <w:pPr>
              <w:jc w:val="both"/>
              <w:rPr>
                <w:sz w:val="20"/>
                <w:lang w:val="fr-CA"/>
              </w:rPr>
            </w:pPr>
            <w:r w:rsidRPr="00996312">
              <w:rPr>
                <w:sz w:val="20"/>
                <w:lang w:val="fr-CA"/>
              </w:rPr>
              <w:t>6 février 2020</w:t>
            </w:r>
          </w:p>
          <w:p w:rsidR="00286112" w:rsidRPr="00996312" w:rsidRDefault="00286112" w:rsidP="00286112">
            <w:pPr>
              <w:jc w:val="both"/>
              <w:rPr>
                <w:sz w:val="20"/>
                <w:lang w:val="fr-CA"/>
              </w:rPr>
            </w:pPr>
            <w:r w:rsidRPr="00996312">
              <w:rPr>
                <w:sz w:val="20"/>
                <w:lang w:val="fr-CA"/>
              </w:rPr>
              <w:t>Cour suprême du Canada</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 xml:space="preserve">Requête en prorogation du délai de signification et de dépôt de la demande d’autorisation d’appel et demande d’autorisation </w:t>
            </w:r>
            <w:proofErr w:type="gramStart"/>
            <w:r w:rsidRPr="00996312">
              <w:rPr>
                <w:sz w:val="20"/>
                <w:lang w:val="fr-CA"/>
              </w:rPr>
              <w:t>d’appel déposées</w:t>
            </w:r>
            <w:proofErr w:type="gramEnd"/>
            <w:r w:rsidRPr="00996312">
              <w:rPr>
                <w:sz w:val="20"/>
                <w:lang w:val="fr-CA"/>
              </w:rPr>
              <w:t>.</w:t>
            </w:r>
          </w:p>
        </w:tc>
      </w:tr>
    </w:tbl>
    <w:p w:rsidR="00286112" w:rsidRPr="00996312" w:rsidRDefault="00286112" w:rsidP="00286112">
      <w:pPr>
        <w:jc w:val="both"/>
        <w:rPr>
          <w:sz w:val="20"/>
          <w:lang w:val="fr-CA"/>
        </w:rPr>
      </w:pPr>
    </w:p>
    <w:p w:rsidR="00996312" w:rsidRPr="00996312" w:rsidRDefault="00EF0929" w:rsidP="00286112">
      <w:pPr>
        <w:jc w:val="both"/>
        <w:rPr>
          <w:sz w:val="20"/>
          <w:lang w:val="fr-CA"/>
        </w:rPr>
      </w:pPr>
      <w:r>
        <w:rPr>
          <w:sz w:val="20"/>
        </w:rPr>
        <w:pict>
          <v:rect id="_x0000_i1032" style="width:2in;height:1pt" o:hrpct="0" o:hralign="center" o:hrstd="t" o:hrnoshade="t" o:hr="t" fillcolor="black [3213]" stroked="f"/>
        </w:pict>
      </w:r>
    </w:p>
    <w:p w:rsidR="009011A5" w:rsidRPr="00996312" w:rsidRDefault="009011A5" w:rsidP="002861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EC7E25">
        <w:tc>
          <w:tcPr>
            <w:tcW w:w="543" w:type="pct"/>
          </w:tcPr>
          <w:p w:rsidR="00286112" w:rsidRPr="00996312" w:rsidRDefault="00286112" w:rsidP="00286112">
            <w:pPr>
              <w:jc w:val="both"/>
              <w:rPr>
                <w:sz w:val="20"/>
              </w:rPr>
            </w:pPr>
            <w:r w:rsidRPr="00996312">
              <w:rPr>
                <w:rStyle w:val="SCCFileNumberChar"/>
                <w:sz w:val="20"/>
                <w:szCs w:val="20"/>
              </w:rPr>
              <w:t>39310</w:t>
            </w:r>
          </w:p>
        </w:tc>
        <w:tc>
          <w:tcPr>
            <w:tcW w:w="4457" w:type="pct"/>
            <w:gridSpan w:val="3"/>
          </w:tcPr>
          <w:p w:rsidR="00286112" w:rsidRPr="00996312" w:rsidRDefault="00286112" w:rsidP="00286112">
            <w:pPr>
              <w:pStyle w:val="SCCLsocParty"/>
              <w:jc w:val="both"/>
              <w:rPr>
                <w:b/>
                <w:sz w:val="20"/>
                <w:szCs w:val="20"/>
                <w:lang w:val="en-US"/>
              </w:rPr>
            </w:pPr>
            <w:r w:rsidRPr="00996312">
              <w:rPr>
                <w:b/>
                <w:sz w:val="20"/>
                <w:szCs w:val="20"/>
                <w:lang w:val="en-US"/>
              </w:rPr>
              <w:t>Barry William Watchel v. Her Majesty the Queen in Right of the Province of British Columbia</w:t>
            </w:r>
          </w:p>
          <w:p w:rsidR="00286112" w:rsidRPr="00996312" w:rsidRDefault="00286112" w:rsidP="00286112">
            <w:pPr>
              <w:jc w:val="both"/>
              <w:rPr>
                <w:sz w:val="20"/>
              </w:rPr>
            </w:pPr>
            <w:r w:rsidRPr="00996312">
              <w:rPr>
                <w:sz w:val="20"/>
              </w:rPr>
              <w:t>(B.C.) (Civil) (By Leave)</w:t>
            </w:r>
          </w:p>
        </w:tc>
      </w:tr>
      <w:tr w:rsidR="00286112" w:rsidRPr="00996312" w:rsidTr="00EC7E25">
        <w:tc>
          <w:tcPr>
            <w:tcW w:w="5000" w:type="pct"/>
            <w:gridSpan w:val="4"/>
          </w:tcPr>
          <w:p w:rsidR="00286112" w:rsidRPr="00996312" w:rsidRDefault="00286112" w:rsidP="00286112">
            <w:pPr>
              <w:jc w:val="both"/>
              <w:rPr>
                <w:sz w:val="20"/>
              </w:rPr>
            </w:pPr>
            <w:r w:rsidRPr="00996312">
              <w:rPr>
                <w:sz w:val="20"/>
              </w:rPr>
              <w:t>Property — Jurisdiction — Damages — What the true common law is in a common law country — The law to show that the reinstatement of one’s property and enjoyment of it is not law —Whether legislation or statutory rules supersede the Charter and pre</w:t>
            </w:r>
            <w:r w:rsidRPr="00996312">
              <w:rPr>
                <w:sz w:val="20"/>
              </w:rPr>
              <w:noBreakHyphen/>
              <w:t>Charter rights</w:t>
            </w:r>
          </w:p>
        </w:tc>
      </w:tr>
      <w:tr w:rsidR="00286112" w:rsidRPr="00996312" w:rsidTr="00EC7E25">
        <w:tc>
          <w:tcPr>
            <w:tcW w:w="5000" w:type="pct"/>
            <w:gridSpan w:val="4"/>
          </w:tcPr>
          <w:p w:rsidR="00286112" w:rsidRPr="00996312" w:rsidRDefault="00286112" w:rsidP="00286112">
            <w:pPr>
              <w:jc w:val="both"/>
              <w:rPr>
                <w:sz w:val="20"/>
              </w:rPr>
            </w:pPr>
          </w:p>
          <w:p w:rsidR="00286112" w:rsidRPr="00996312" w:rsidRDefault="00286112" w:rsidP="00286112">
            <w:pPr>
              <w:jc w:val="both"/>
              <w:rPr>
                <w:sz w:val="20"/>
              </w:rPr>
            </w:pPr>
            <w:r w:rsidRPr="00996312">
              <w:rPr>
                <w:sz w:val="20"/>
              </w:rPr>
              <w:t>In 2017, Mr. Watchel was charged with criminal harassment. The charge was stayed by Crown counsel shortly before the scheduled trial date. Mr. Watchel claimed that he was wrongfully or maliciously prosecuted, and sought damages of approximately $10 million.</w:t>
            </w:r>
          </w:p>
          <w:p w:rsidR="00286112" w:rsidRPr="00996312" w:rsidRDefault="00286112" w:rsidP="00286112">
            <w:pPr>
              <w:jc w:val="both"/>
              <w:rPr>
                <w:sz w:val="20"/>
              </w:rPr>
            </w:pPr>
          </w:p>
          <w:p w:rsidR="00286112" w:rsidRPr="00996312" w:rsidRDefault="00286112" w:rsidP="00286112">
            <w:pPr>
              <w:jc w:val="both"/>
              <w:rPr>
                <w:sz w:val="20"/>
              </w:rPr>
            </w:pPr>
            <w:r w:rsidRPr="00996312">
              <w:rPr>
                <w:sz w:val="20"/>
              </w:rPr>
              <w:t>The Supreme Court of British Columbia found that Mr. Watchel’s claim did not establish a reasonable cause of action and that there was no realistic chance that it might succeed. The action was therefore dismissed. The same court further concluded that it was not persuaded that it had exceeded its jurisdiction, and dismissed Mr. Watchel’s application to this effect. The Court of Appeal unanimously dismissed the appeal. In its view, the judge applied the correct legal tests and made no error warranting its intervention.</w:t>
            </w:r>
          </w:p>
        </w:tc>
      </w:tr>
      <w:tr w:rsidR="00286112" w:rsidRPr="00996312" w:rsidTr="00EC7E25">
        <w:tc>
          <w:tcPr>
            <w:tcW w:w="5000" w:type="pct"/>
            <w:gridSpan w:val="4"/>
          </w:tcPr>
          <w:p w:rsidR="00286112" w:rsidRPr="00996312" w:rsidRDefault="00286112" w:rsidP="00286112">
            <w:pPr>
              <w:jc w:val="both"/>
              <w:rPr>
                <w:sz w:val="20"/>
              </w:rPr>
            </w:pPr>
          </w:p>
        </w:tc>
      </w:tr>
      <w:tr w:rsidR="00286112" w:rsidRPr="00996312" w:rsidTr="00EC7E25">
        <w:tc>
          <w:tcPr>
            <w:tcW w:w="2427" w:type="pct"/>
            <w:gridSpan w:val="2"/>
          </w:tcPr>
          <w:p w:rsidR="00286112" w:rsidRPr="00996312" w:rsidRDefault="00286112" w:rsidP="00286112">
            <w:pPr>
              <w:jc w:val="both"/>
              <w:rPr>
                <w:sz w:val="20"/>
              </w:rPr>
            </w:pPr>
            <w:r w:rsidRPr="00996312">
              <w:rPr>
                <w:sz w:val="20"/>
              </w:rPr>
              <w:t>July 11, 2019</w:t>
            </w:r>
          </w:p>
          <w:p w:rsidR="00286112" w:rsidRPr="00996312" w:rsidRDefault="00286112" w:rsidP="00286112">
            <w:pPr>
              <w:jc w:val="both"/>
              <w:rPr>
                <w:sz w:val="20"/>
              </w:rPr>
            </w:pPr>
            <w:r w:rsidRPr="00996312">
              <w:rPr>
                <w:sz w:val="20"/>
              </w:rPr>
              <w:t>Supreme Court of British Columbia</w:t>
            </w:r>
          </w:p>
          <w:p w:rsidR="00286112" w:rsidRPr="00996312" w:rsidRDefault="00286112" w:rsidP="00286112">
            <w:pPr>
              <w:jc w:val="both"/>
              <w:rPr>
                <w:sz w:val="20"/>
              </w:rPr>
            </w:pPr>
            <w:r w:rsidRPr="00996312">
              <w:rPr>
                <w:sz w:val="20"/>
              </w:rPr>
              <w:t>(</w:t>
            </w:r>
            <w:proofErr w:type="spellStart"/>
            <w:r w:rsidRPr="00996312">
              <w:rPr>
                <w:sz w:val="20"/>
              </w:rPr>
              <w:t>Norell</w:t>
            </w:r>
            <w:proofErr w:type="spellEnd"/>
            <w:r w:rsidRPr="00996312">
              <w:rPr>
                <w:sz w:val="20"/>
              </w:rPr>
              <w:t xml:space="preserve"> J.)</w:t>
            </w:r>
          </w:p>
          <w:p w:rsidR="00286112" w:rsidRPr="00996312" w:rsidRDefault="00EF0929" w:rsidP="00286112">
            <w:pPr>
              <w:jc w:val="both"/>
              <w:rPr>
                <w:sz w:val="20"/>
              </w:rPr>
            </w:pPr>
            <w:hyperlink r:id="rId21" w:history="1">
              <w:r w:rsidR="00286112" w:rsidRPr="00996312">
                <w:rPr>
                  <w:rStyle w:val="Hyperlink"/>
                  <w:sz w:val="20"/>
                </w:rPr>
                <w:t>2019 BCSC 1087</w:t>
              </w:r>
            </w:hyperlink>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 xml:space="preserve">Applicant’s action in damages dismissed </w:t>
            </w:r>
          </w:p>
          <w:p w:rsidR="00286112" w:rsidRPr="00996312" w:rsidRDefault="00286112" w:rsidP="00286112">
            <w:pPr>
              <w:jc w:val="both"/>
              <w:rPr>
                <w:sz w:val="20"/>
              </w:rPr>
            </w:pPr>
          </w:p>
        </w:tc>
      </w:tr>
      <w:tr w:rsidR="00286112" w:rsidRPr="00996312" w:rsidTr="00EC7E25">
        <w:tc>
          <w:tcPr>
            <w:tcW w:w="2427" w:type="pct"/>
            <w:gridSpan w:val="2"/>
          </w:tcPr>
          <w:p w:rsidR="00286112" w:rsidRPr="00996312" w:rsidRDefault="00286112" w:rsidP="00286112">
            <w:pPr>
              <w:jc w:val="both"/>
              <w:rPr>
                <w:sz w:val="20"/>
              </w:rPr>
            </w:pPr>
            <w:r w:rsidRPr="00996312">
              <w:rPr>
                <w:sz w:val="20"/>
              </w:rPr>
              <w:t>August 8, 2019</w:t>
            </w:r>
          </w:p>
          <w:p w:rsidR="00286112" w:rsidRPr="00996312" w:rsidRDefault="00286112" w:rsidP="00286112">
            <w:pPr>
              <w:jc w:val="both"/>
              <w:rPr>
                <w:sz w:val="20"/>
              </w:rPr>
            </w:pPr>
            <w:r w:rsidRPr="00996312">
              <w:rPr>
                <w:sz w:val="20"/>
              </w:rPr>
              <w:t>Supreme Court of British Columbia</w:t>
            </w:r>
          </w:p>
          <w:p w:rsidR="00286112" w:rsidRPr="00996312" w:rsidRDefault="00286112" w:rsidP="00286112">
            <w:pPr>
              <w:jc w:val="both"/>
              <w:rPr>
                <w:sz w:val="20"/>
              </w:rPr>
            </w:pPr>
            <w:r w:rsidRPr="00996312">
              <w:rPr>
                <w:sz w:val="20"/>
              </w:rPr>
              <w:t>(</w:t>
            </w:r>
            <w:proofErr w:type="spellStart"/>
            <w:r w:rsidRPr="00996312">
              <w:rPr>
                <w:sz w:val="20"/>
              </w:rPr>
              <w:t>Norell</w:t>
            </w:r>
            <w:proofErr w:type="spellEnd"/>
            <w:r w:rsidRPr="00996312">
              <w:rPr>
                <w:sz w:val="20"/>
              </w:rPr>
              <w:t xml:space="preserve"> J.)</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Applicant’s application for order voiding July 11, 2019 judgment, dismissed</w:t>
            </w:r>
          </w:p>
          <w:p w:rsidR="00286112" w:rsidRPr="00996312" w:rsidRDefault="00286112" w:rsidP="00286112">
            <w:pPr>
              <w:jc w:val="both"/>
              <w:rPr>
                <w:sz w:val="20"/>
              </w:rPr>
            </w:pPr>
          </w:p>
        </w:tc>
      </w:tr>
      <w:tr w:rsidR="00286112" w:rsidRPr="00996312" w:rsidTr="00EC7E25">
        <w:tc>
          <w:tcPr>
            <w:tcW w:w="2427" w:type="pct"/>
            <w:gridSpan w:val="2"/>
          </w:tcPr>
          <w:p w:rsidR="00286112" w:rsidRPr="00996312" w:rsidRDefault="00286112" w:rsidP="00286112">
            <w:pPr>
              <w:jc w:val="both"/>
              <w:rPr>
                <w:sz w:val="20"/>
              </w:rPr>
            </w:pPr>
            <w:r w:rsidRPr="00996312">
              <w:rPr>
                <w:sz w:val="20"/>
              </w:rPr>
              <w:t>March 12, 2020</w:t>
            </w:r>
          </w:p>
          <w:p w:rsidR="00286112" w:rsidRPr="00996312" w:rsidRDefault="00286112" w:rsidP="00286112">
            <w:pPr>
              <w:jc w:val="both"/>
              <w:rPr>
                <w:sz w:val="20"/>
              </w:rPr>
            </w:pPr>
            <w:r w:rsidRPr="00996312">
              <w:rPr>
                <w:sz w:val="20"/>
              </w:rPr>
              <w:t xml:space="preserve">Court of Appeal for British Columbia </w:t>
            </w:r>
          </w:p>
          <w:p w:rsidR="00286112" w:rsidRPr="00996312" w:rsidRDefault="00286112" w:rsidP="00286112">
            <w:pPr>
              <w:jc w:val="both"/>
              <w:rPr>
                <w:sz w:val="20"/>
              </w:rPr>
            </w:pPr>
            <w:r w:rsidRPr="00996312">
              <w:rPr>
                <w:sz w:val="20"/>
              </w:rPr>
              <w:t>(Vancouver)</w:t>
            </w:r>
          </w:p>
          <w:p w:rsidR="00286112" w:rsidRPr="00996312" w:rsidRDefault="00286112" w:rsidP="00286112">
            <w:pPr>
              <w:jc w:val="both"/>
              <w:rPr>
                <w:sz w:val="20"/>
              </w:rPr>
            </w:pPr>
            <w:r w:rsidRPr="00996312">
              <w:rPr>
                <w:sz w:val="20"/>
              </w:rPr>
              <w:t>(Newbury, Fenlon and Butler JJ.A.)</w:t>
            </w:r>
          </w:p>
          <w:p w:rsidR="00286112" w:rsidRPr="00996312" w:rsidRDefault="00EF0929" w:rsidP="00286112">
            <w:pPr>
              <w:jc w:val="both"/>
              <w:rPr>
                <w:sz w:val="20"/>
              </w:rPr>
            </w:pPr>
            <w:hyperlink r:id="rId22" w:history="1">
              <w:r w:rsidR="00286112" w:rsidRPr="00996312">
                <w:rPr>
                  <w:rStyle w:val="Hyperlink"/>
                  <w:sz w:val="20"/>
                </w:rPr>
                <w:t>2020 BCCA 100</w:t>
              </w:r>
            </w:hyperlink>
            <w:r w:rsidR="00286112" w:rsidRPr="00996312">
              <w:rPr>
                <w:sz w:val="20"/>
              </w:rPr>
              <w:t xml:space="preserve"> </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Appeal and application to adduce fresh evidence dismissed</w:t>
            </w:r>
          </w:p>
          <w:p w:rsidR="00286112" w:rsidRPr="00996312" w:rsidRDefault="00286112" w:rsidP="00286112">
            <w:pPr>
              <w:jc w:val="both"/>
              <w:rPr>
                <w:sz w:val="20"/>
              </w:rPr>
            </w:pPr>
          </w:p>
        </w:tc>
      </w:tr>
      <w:tr w:rsidR="00286112" w:rsidRPr="00996312" w:rsidTr="00EC7E25">
        <w:tc>
          <w:tcPr>
            <w:tcW w:w="2427" w:type="pct"/>
            <w:gridSpan w:val="2"/>
          </w:tcPr>
          <w:p w:rsidR="00286112" w:rsidRPr="00996312" w:rsidRDefault="00286112" w:rsidP="00286112">
            <w:pPr>
              <w:jc w:val="both"/>
              <w:rPr>
                <w:sz w:val="20"/>
              </w:rPr>
            </w:pPr>
            <w:r w:rsidRPr="00996312">
              <w:rPr>
                <w:sz w:val="20"/>
              </w:rPr>
              <w:t>May 11, 2020</w:t>
            </w:r>
          </w:p>
          <w:p w:rsidR="00286112" w:rsidRPr="00996312" w:rsidRDefault="00286112" w:rsidP="00286112">
            <w:pPr>
              <w:jc w:val="both"/>
              <w:rPr>
                <w:sz w:val="20"/>
              </w:rPr>
            </w:pPr>
            <w:r w:rsidRPr="00996312">
              <w:rPr>
                <w:sz w:val="20"/>
              </w:rPr>
              <w:t>Supreme Court of Canada</w:t>
            </w: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Application for leave to appeal filed</w:t>
            </w:r>
          </w:p>
          <w:p w:rsidR="00286112" w:rsidRPr="00996312" w:rsidRDefault="00286112" w:rsidP="00286112">
            <w:pPr>
              <w:jc w:val="both"/>
              <w:rPr>
                <w:sz w:val="20"/>
              </w:rPr>
            </w:pPr>
          </w:p>
        </w:tc>
      </w:tr>
    </w:tbl>
    <w:p w:rsidR="00286112" w:rsidRPr="00996312" w:rsidRDefault="00286112" w:rsidP="00286112">
      <w:pPr>
        <w:jc w:val="both"/>
        <w:rPr>
          <w:sz w:val="20"/>
        </w:rPr>
      </w:pPr>
    </w:p>
    <w:p w:rsidR="00996312" w:rsidRPr="00996312" w:rsidRDefault="00EF0929" w:rsidP="00286112">
      <w:pPr>
        <w:jc w:val="both"/>
        <w:rPr>
          <w:sz w:val="20"/>
        </w:rPr>
      </w:pPr>
      <w:r>
        <w:rPr>
          <w:sz w:val="20"/>
        </w:rPr>
        <w:pict>
          <v:rect id="_x0000_i1033" style="width:2in;height:1pt" o:hrpct="0" o:hralign="center" o:hrstd="t" o:hrnoshade="t" o:hr="t" fillcolor="black [3213]" stroked="f"/>
        </w:pict>
      </w:r>
    </w:p>
    <w:p w:rsidR="00996312" w:rsidRPr="00996312" w:rsidRDefault="00996312" w:rsidP="002861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EF0929" w:rsidTr="00A76474">
        <w:tc>
          <w:tcPr>
            <w:tcW w:w="543" w:type="pct"/>
          </w:tcPr>
          <w:p w:rsidR="00286112" w:rsidRPr="00996312" w:rsidRDefault="00286112" w:rsidP="00286112">
            <w:pPr>
              <w:jc w:val="both"/>
              <w:rPr>
                <w:sz w:val="20"/>
                <w:lang w:val="fr-CA"/>
              </w:rPr>
            </w:pPr>
            <w:r w:rsidRPr="00996312">
              <w:rPr>
                <w:rStyle w:val="SCCFileNumberChar"/>
                <w:sz w:val="20"/>
                <w:szCs w:val="20"/>
                <w:lang w:val="fr-CA"/>
              </w:rPr>
              <w:t>39310</w:t>
            </w:r>
          </w:p>
        </w:tc>
        <w:tc>
          <w:tcPr>
            <w:tcW w:w="4457" w:type="pct"/>
            <w:gridSpan w:val="3"/>
          </w:tcPr>
          <w:p w:rsidR="00286112" w:rsidRPr="00996312" w:rsidRDefault="00286112" w:rsidP="00286112">
            <w:pPr>
              <w:pStyle w:val="SCCLsocParty"/>
              <w:jc w:val="both"/>
              <w:rPr>
                <w:b/>
                <w:sz w:val="20"/>
                <w:szCs w:val="20"/>
              </w:rPr>
            </w:pPr>
            <w:r w:rsidRPr="00996312">
              <w:rPr>
                <w:b/>
                <w:sz w:val="20"/>
                <w:szCs w:val="20"/>
              </w:rPr>
              <w:t>Barry William Watchel c. Sa Majesté la Reine du chef de la province de la Colombie-Britannique</w:t>
            </w:r>
          </w:p>
          <w:p w:rsidR="00286112" w:rsidRPr="00996312" w:rsidRDefault="00286112" w:rsidP="00286112">
            <w:pPr>
              <w:jc w:val="both"/>
              <w:rPr>
                <w:sz w:val="20"/>
                <w:lang w:val="fr-CA"/>
              </w:rPr>
            </w:pPr>
            <w:r w:rsidRPr="00996312">
              <w:rPr>
                <w:sz w:val="20"/>
                <w:lang w:val="fr-CA"/>
              </w:rPr>
              <w:t>(C.</w:t>
            </w:r>
            <w:r w:rsidRPr="00996312">
              <w:rPr>
                <w:sz w:val="20"/>
                <w:lang w:val="fr-CA"/>
              </w:rPr>
              <w:noBreakHyphen/>
              <w:t>B.) (Civile) (Sur autorisation)</w:t>
            </w:r>
          </w:p>
        </w:tc>
      </w:tr>
      <w:tr w:rsidR="00286112" w:rsidRPr="00EF0929" w:rsidTr="00A76474">
        <w:tc>
          <w:tcPr>
            <w:tcW w:w="5000" w:type="pct"/>
            <w:gridSpan w:val="4"/>
          </w:tcPr>
          <w:p w:rsidR="00286112" w:rsidRPr="00996312" w:rsidRDefault="00286112" w:rsidP="00286112">
            <w:pPr>
              <w:jc w:val="both"/>
              <w:rPr>
                <w:sz w:val="20"/>
                <w:lang w:val="fr-CA"/>
              </w:rPr>
            </w:pPr>
            <w:r w:rsidRPr="00996312">
              <w:rPr>
                <w:sz w:val="20"/>
                <w:lang w:val="fr-CA"/>
              </w:rPr>
              <w:t>Biens — Compétence — Dommages</w:t>
            </w:r>
            <w:r w:rsidRPr="00996312">
              <w:rPr>
                <w:sz w:val="20"/>
                <w:lang w:val="fr-CA"/>
              </w:rPr>
              <w:noBreakHyphen/>
              <w:t>intérêts — Ce qu’est la véritable common law dans un pays de common law — Le principe de droit qui démontrerait que le recouvrement et la jouissance de ses biens ne constituent pas le droit — La législation ou les règles établies par la loi ont</w:t>
            </w:r>
            <w:r w:rsidRPr="00996312">
              <w:rPr>
                <w:sz w:val="20"/>
                <w:lang w:val="fr-CA"/>
              </w:rPr>
              <w:noBreakHyphen/>
              <w:t xml:space="preserve">elles préséance sur les droits garantis par la </w:t>
            </w:r>
            <w:r w:rsidRPr="00996312">
              <w:rPr>
                <w:i/>
                <w:sz w:val="20"/>
                <w:lang w:val="fr-CA"/>
              </w:rPr>
              <w:t>Charte</w:t>
            </w:r>
            <w:r w:rsidRPr="00996312">
              <w:rPr>
                <w:sz w:val="20"/>
                <w:lang w:val="fr-CA"/>
              </w:rPr>
              <w:t xml:space="preserve"> et les droits qui étaient en application avant l’entrée en vigueur de la </w:t>
            </w:r>
            <w:r w:rsidRPr="00996312">
              <w:rPr>
                <w:i/>
                <w:sz w:val="20"/>
                <w:lang w:val="fr-CA"/>
              </w:rPr>
              <w:t>Charte </w:t>
            </w:r>
            <w:r w:rsidRPr="00996312">
              <w:rPr>
                <w:sz w:val="20"/>
                <w:lang w:val="fr-CA"/>
              </w:rPr>
              <w:t xml:space="preserve">? </w:t>
            </w:r>
          </w:p>
        </w:tc>
      </w:tr>
      <w:tr w:rsidR="00286112" w:rsidRPr="00EF0929" w:rsidTr="00A76474">
        <w:tc>
          <w:tcPr>
            <w:tcW w:w="5000" w:type="pct"/>
            <w:gridSpan w:val="4"/>
          </w:tcPr>
          <w:p w:rsidR="00286112" w:rsidRPr="00996312" w:rsidRDefault="00286112" w:rsidP="00286112">
            <w:pPr>
              <w:jc w:val="both"/>
              <w:rPr>
                <w:sz w:val="20"/>
                <w:lang w:val="fr-CA"/>
              </w:rPr>
            </w:pPr>
          </w:p>
          <w:p w:rsidR="00286112" w:rsidRPr="00996312" w:rsidRDefault="00286112" w:rsidP="00286112">
            <w:pPr>
              <w:jc w:val="both"/>
              <w:rPr>
                <w:sz w:val="20"/>
                <w:lang w:val="fr-CA"/>
              </w:rPr>
            </w:pPr>
            <w:r w:rsidRPr="00996312">
              <w:rPr>
                <w:sz w:val="20"/>
                <w:lang w:val="fr-CA"/>
              </w:rPr>
              <w:t>En 2017, M. Watchel a été accusé de harcèlement criminel. L’accusation a été suspendue par le procureur de la Couronne peu de temps avant la date prévue du procès. Alléguant qu’il avait été poursuivi à tort ou abusivement, M. Watchel a réclamé des dommages</w:t>
            </w:r>
            <w:r w:rsidRPr="00996312">
              <w:rPr>
                <w:sz w:val="20"/>
                <w:lang w:val="fr-CA"/>
              </w:rPr>
              <w:noBreakHyphen/>
              <w:t>intérêts d’environ 10 millions de dollars.</w:t>
            </w:r>
          </w:p>
          <w:p w:rsidR="00286112" w:rsidRPr="00996312" w:rsidRDefault="00286112" w:rsidP="00286112">
            <w:pPr>
              <w:jc w:val="both"/>
              <w:rPr>
                <w:sz w:val="20"/>
                <w:lang w:val="fr-CA"/>
              </w:rPr>
            </w:pPr>
          </w:p>
          <w:p w:rsidR="00286112" w:rsidRPr="00996312" w:rsidRDefault="00286112" w:rsidP="00286112">
            <w:pPr>
              <w:jc w:val="both"/>
              <w:rPr>
                <w:sz w:val="20"/>
                <w:lang w:val="fr-CA"/>
              </w:rPr>
            </w:pPr>
            <w:r w:rsidRPr="00996312">
              <w:rPr>
                <w:sz w:val="20"/>
                <w:lang w:val="fr-CA"/>
              </w:rPr>
              <w:t>La Cour suprême de la Colombie-Britannique a conclu que la réclamation de M. Watchel n’établissait pas de cause raisonnable d’action et qu’elle n’avait aucune possibilité réelle de succès. L’action a donc été rejetée. Cette même cour a en outre conclu qu’elle n’était pas convaincue qu’elle avait outrepassé sa compétence et a rejeté la demande de M. Watchel à cet égard. La Cour d’appel a rejeté l’appel à l’unanimité, étant d’avis que la juge avait appliqué le critère juridique approprié et n’avait commis aucune erreur pouvant justifier une intervention de sa part.</w:t>
            </w:r>
          </w:p>
        </w:tc>
      </w:tr>
      <w:tr w:rsidR="00286112" w:rsidRPr="00EF0929" w:rsidTr="00A76474">
        <w:tc>
          <w:tcPr>
            <w:tcW w:w="5000" w:type="pct"/>
            <w:gridSpan w:val="4"/>
          </w:tcPr>
          <w:p w:rsidR="00286112" w:rsidRPr="00996312" w:rsidRDefault="00286112" w:rsidP="00286112">
            <w:pPr>
              <w:jc w:val="both"/>
              <w:rPr>
                <w:sz w:val="20"/>
                <w:lang w:val="fr-CA"/>
              </w:rPr>
            </w:pPr>
          </w:p>
        </w:tc>
      </w:tr>
      <w:tr w:rsidR="00286112" w:rsidRPr="00EF0929" w:rsidTr="00A76474">
        <w:tc>
          <w:tcPr>
            <w:tcW w:w="2427" w:type="pct"/>
            <w:gridSpan w:val="2"/>
          </w:tcPr>
          <w:p w:rsidR="00286112" w:rsidRPr="00996312" w:rsidRDefault="00286112" w:rsidP="00286112">
            <w:pPr>
              <w:jc w:val="both"/>
              <w:rPr>
                <w:sz w:val="20"/>
                <w:lang w:val="fr-CA"/>
              </w:rPr>
            </w:pPr>
            <w:r w:rsidRPr="00996312">
              <w:rPr>
                <w:sz w:val="20"/>
                <w:lang w:val="fr-CA"/>
              </w:rPr>
              <w:t>11 juillet 2019</w:t>
            </w:r>
          </w:p>
          <w:p w:rsidR="00286112" w:rsidRPr="00996312" w:rsidRDefault="00286112" w:rsidP="00286112">
            <w:pPr>
              <w:jc w:val="both"/>
              <w:rPr>
                <w:sz w:val="20"/>
                <w:lang w:val="fr-CA"/>
              </w:rPr>
            </w:pPr>
            <w:r w:rsidRPr="00996312">
              <w:rPr>
                <w:sz w:val="20"/>
                <w:lang w:val="fr-CA"/>
              </w:rPr>
              <w:t>Cour suprême de la Colombie</w:t>
            </w:r>
            <w:r w:rsidRPr="00996312">
              <w:rPr>
                <w:sz w:val="20"/>
                <w:lang w:val="fr-CA"/>
              </w:rPr>
              <w:noBreakHyphen/>
              <w:t>Britannique</w:t>
            </w:r>
          </w:p>
          <w:p w:rsidR="00286112" w:rsidRPr="00996312" w:rsidRDefault="00286112" w:rsidP="00286112">
            <w:pPr>
              <w:jc w:val="both"/>
              <w:rPr>
                <w:sz w:val="20"/>
                <w:lang w:val="fr-CA"/>
              </w:rPr>
            </w:pPr>
            <w:r w:rsidRPr="00996312">
              <w:rPr>
                <w:sz w:val="20"/>
                <w:lang w:val="fr-CA"/>
              </w:rPr>
              <w:t xml:space="preserve">(Juge </w:t>
            </w:r>
            <w:proofErr w:type="spellStart"/>
            <w:r w:rsidRPr="00996312">
              <w:rPr>
                <w:sz w:val="20"/>
                <w:lang w:val="fr-CA"/>
              </w:rPr>
              <w:t>Norell</w:t>
            </w:r>
            <w:proofErr w:type="spellEnd"/>
            <w:r w:rsidRPr="00996312">
              <w:rPr>
                <w:sz w:val="20"/>
                <w:lang w:val="fr-CA"/>
              </w:rPr>
              <w:t>)</w:t>
            </w:r>
          </w:p>
          <w:p w:rsidR="00286112" w:rsidRPr="00996312" w:rsidRDefault="00EF0929" w:rsidP="00286112">
            <w:pPr>
              <w:jc w:val="both"/>
              <w:rPr>
                <w:sz w:val="20"/>
                <w:lang w:val="fr-CA"/>
              </w:rPr>
            </w:pPr>
            <w:hyperlink r:id="rId23" w:history="1">
              <w:r w:rsidR="00286112" w:rsidRPr="00996312">
                <w:rPr>
                  <w:rStyle w:val="Hyperlink"/>
                  <w:sz w:val="20"/>
                  <w:lang w:val="fr-CA"/>
                </w:rPr>
                <w:t>2019 BCSC 1087</w:t>
              </w:r>
            </w:hyperlink>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L’action en dommages</w:t>
            </w:r>
            <w:r w:rsidRPr="00996312">
              <w:rPr>
                <w:sz w:val="20"/>
                <w:lang w:val="fr-CA"/>
              </w:rPr>
              <w:noBreakHyphen/>
              <w:t xml:space="preserve">intérêts du demandeur est rejetée. </w:t>
            </w:r>
          </w:p>
          <w:p w:rsidR="00286112" w:rsidRPr="00996312" w:rsidRDefault="00286112" w:rsidP="00286112">
            <w:pPr>
              <w:jc w:val="both"/>
              <w:rPr>
                <w:sz w:val="20"/>
                <w:lang w:val="fr-CA"/>
              </w:rPr>
            </w:pPr>
          </w:p>
        </w:tc>
      </w:tr>
      <w:tr w:rsidR="00286112" w:rsidRPr="00EF0929" w:rsidTr="00A76474">
        <w:tc>
          <w:tcPr>
            <w:tcW w:w="2427" w:type="pct"/>
            <w:gridSpan w:val="2"/>
          </w:tcPr>
          <w:p w:rsidR="00286112" w:rsidRPr="00996312" w:rsidRDefault="00286112" w:rsidP="00286112">
            <w:pPr>
              <w:jc w:val="both"/>
              <w:rPr>
                <w:sz w:val="20"/>
                <w:lang w:val="fr-CA"/>
              </w:rPr>
            </w:pPr>
            <w:r w:rsidRPr="00996312">
              <w:rPr>
                <w:sz w:val="20"/>
                <w:lang w:val="fr-CA"/>
              </w:rPr>
              <w:t>8 août 2019</w:t>
            </w:r>
          </w:p>
          <w:p w:rsidR="00286112" w:rsidRPr="00996312" w:rsidRDefault="00286112" w:rsidP="00286112">
            <w:pPr>
              <w:jc w:val="both"/>
              <w:rPr>
                <w:sz w:val="20"/>
                <w:lang w:val="fr-CA"/>
              </w:rPr>
            </w:pPr>
            <w:r w:rsidRPr="00996312">
              <w:rPr>
                <w:sz w:val="20"/>
                <w:lang w:val="fr-CA"/>
              </w:rPr>
              <w:t>Cour suprême de la Colombie</w:t>
            </w:r>
            <w:r w:rsidRPr="00996312">
              <w:rPr>
                <w:sz w:val="20"/>
                <w:lang w:val="fr-CA"/>
              </w:rPr>
              <w:noBreakHyphen/>
              <w:t>Britannique</w:t>
            </w:r>
          </w:p>
          <w:p w:rsidR="00286112" w:rsidRPr="00996312" w:rsidRDefault="00286112" w:rsidP="00286112">
            <w:pPr>
              <w:jc w:val="both"/>
              <w:rPr>
                <w:sz w:val="20"/>
                <w:lang w:val="fr-CA"/>
              </w:rPr>
            </w:pPr>
            <w:r w:rsidRPr="00996312">
              <w:rPr>
                <w:sz w:val="20"/>
                <w:lang w:val="fr-CA"/>
              </w:rPr>
              <w:t xml:space="preserve">(Juge </w:t>
            </w:r>
            <w:proofErr w:type="spellStart"/>
            <w:r w:rsidRPr="00996312">
              <w:rPr>
                <w:sz w:val="20"/>
                <w:lang w:val="fr-CA"/>
              </w:rPr>
              <w:t>Norell</w:t>
            </w:r>
            <w:proofErr w:type="spellEnd"/>
            <w:r w:rsidRPr="00996312">
              <w:rPr>
                <w:sz w:val="20"/>
                <w:lang w:val="fr-CA"/>
              </w:rPr>
              <w:t>)</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La demande présentée par le demandeur visant l’annulation du jugement du 11 juillet 2019 est rejetée.</w:t>
            </w:r>
          </w:p>
          <w:p w:rsidR="00286112" w:rsidRPr="00996312" w:rsidRDefault="00286112" w:rsidP="00286112">
            <w:pPr>
              <w:jc w:val="both"/>
              <w:rPr>
                <w:sz w:val="20"/>
                <w:lang w:val="fr-CA"/>
              </w:rPr>
            </w:pPr>
          </w:p>
        </w:tc>
      </w:tr>
      <w:tr w:rsidR="00286112" w:rsidRPr="00EF0929" w:rsidTr="00A76474">
        <w:tc>
          <w:tcPr>
            <w:tcW w:w="2427" w:type="pct"/>
            <w:gridSpan w:val="2"/>
          </w:tcPr>
          <w:p w:rsidR="00286112" w:rsidRPr="00996312" w:rsidRDefault="00286112" w:rsidP="00286112">
            <w:pPr>
              <w:jc w:val="both"/>
              <w:rPr>
                <w:sz w:val="20"/>
                <w:lang w:val="fr-CA"/>
              </w:rPr>
            </w:pPr>
            <w:r w:rsidRPr="00996312">
              <w:rPr>
                <w:sz w:val="20"/>
                <w:lang w:val="fr-CA"/>
              </w:rPr>
              <w:t>12 mars 2020</w:t>
            </w:r>
          </w:p>
          <w:p w:rsidR="00286112" w:rsidRPr="00996312" w:rsidRDefault="00286112" w:rsidP="00286112">
            <w:pPr>
              <w:jc w:val="both"/>
              <w:rPr>
                <w:sz w:val="20"/>
                <w:lang w:val="fr-CA"/>
              </w:rPr>
            </w:pPr>
            <w:r w:rsidRPr="00996312">
              <w:rPr>
                <w:sz w:val="20"/>
                <w:lang w:val="fr-CA"/>
              </w:rPr>
              <w:t>Cour d’appel de la Colombie</w:t>
            </w:r>
            <w:r w:rsidRPr="00996312">
              <w:rPr>
                <w:sz w:val="20"/>
                <w:lang w:val="fr-CA"/>
              </w:rPr>
              <w:noBreakHyphen/>
              <w:t>Britannique</w:t>
            </w:r>
          </w:p>
          <w:p w:rsidR="00286112" w:rsidRPr="00996312" w:rsidRDefault="00286112" w:rsidP="00286112">
            <w:pPr>
              <w:jc w:val="both"/>
              <w:rPr>
                <w:sz w:val="20"/>
                <w:lang w:val="fr-CA"/>
              </w:rPr>
            </w:pPr>
            <w:r w:rsidRPr="00996312">
              <w:rPr>
                <w:sz w:val="20"/>
                <w:lang w:val="fr-CA"/>
              </w:rPr>
              <w:t>(Vancouver)</w:t>
            </w:r>
          </w:p>
          <w:p w:rsidR="00286112" w:rsidRPr="00996312" w:rsidRDefault="00286112" w:rsidP="00286112">
            <w:pPr>
              <w:jc w:val="both"/>
              <w:rPr>
                <w:sz w:val="20"/>
                <w:lang w:val="fr-CA"/>
              </w:rPr>
            </w:pPr>
            <w:r w:rsidRPr="00996312">
              <w:rPr>
                <w:sz w:val="20"/>
                <w:lang w:val="fr-CA"/>
              </w:rPr>
              <w:t>(Juges Newbury, Fenlon et Butler)</w:t>
            </w:r>
          </w:p>
          <w:p w:rsidR="00286112" w:rsidRPr="00996312" w:rsidRDefault="00EF0929" w:rsidP="00286112">
            <w:pPr>
              <w:jc w:val="both"/>
              <w:rPr>
                <w:sz w:val="20"/>
                <w:lang w:val="fr-CA"/>
              </w:rPr>
            </w:pPr>
            <w:hyperlink r:id="rId24" w:history="1">
              <w:r w:rsidR="00286112" w:rsidRPr="00996312">
                <w:rPr>
                  <w:rStyle w:val="Hyperlink"/>
                  <w:sz w:val="20"/>
                  <w:lang w:val="fr-CA"/>
                </w:rPr>
                <w:t>2020 BCCA 100</w:t>
              </w:r>
            </w:hyperlink>
            <w:r w:rsidR="00286112" w:rsidRPr="00996312">
              <w:rPr>
                <w:sz w:val="20"/>
                <w:lang w:val="fr-CA"/>
              </w:rPr>
              <w:t xml:space="preserve"> </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L’appel et la demande en vue de présenter de nouveaux éléments de preuve sont rejetés.</w:t>
            </w:r>
          </w:p>
          <w:p w:rsidR="00286112" w:rsidRPr="00996312" w:rsidRDefault="00286112" w:rsidP="00286112">
            <w:pPr>
              <w:jc w:val="both"/>
              <w:rPr>
                <w:sz w:val="20"/>
                <w:lang w:val="fr-CA"/>
              </w:rPr>
            </w:pPr>
          </w:p>
        </w:tc>
      </w:tr>
      <w:tr w:rsidR="00286112" w:rsidRPr="00EF0929" w:rsidTr="00A76474">
        <w:tc>
          <w:tcPr>
            <w:tcW w:w="2427" w:type="pct"/>
            <w:gridSpan w:val="2"/>
          </w:tcPr>
          <w:p w:rsidR="00286112" w:rsidRPr="00996312" w:rsidRDefault="00286112" w:rsidP="00286112">
            <w:pPr>
              <w:jc w:val="both"/>
              <w:rPr>
                <w:sz w:val="20"/>
                <w:lang w:val="fr-CA"/>
              </w:rPr>
            </w:pPr>
            <w:r w:rsidRPr="00996312">
              <w:rPr>
                <w:sz w:val="20"/>
                <w:lang w:val="fr-CA"/>
              </w:rPr>
              <w:t>11 mai 2020</w:t>
            </w:r>
          </w:p>
          <w:p w:rsidR="00286112" w:rsidRPr="00996312" w:rsidRDefault="00286112" w:rsidP="00286112">
            <w:pPr>
              <w:jc w:val="both"/>
              <w:rPr>
                <w:sz w:val="20"/>
                <w:lang w:val="fr-CA"/>
              </w:rPr>
            </w:pPr>
            <w:r w:rsidRPr="00996312">
              <w:rPr>
                <w:sz w:val="20"/>
                <w:lang w:val="fr-CA"/>
              </w:rPr>
              <w:t>Cour suprême du Canada</w:t>
            </w: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La demande d’autorisation d’appel est présentée.</w:t>
            </w:r>
          </w:p>
          <w:p w:rsidR="00286112" w:rsidRPr="00996312" w:rsidRDefault="00286112" w:rsidP="00286112">
            <w:pPr>
              <w:jc w:val="both"/>
              <w:rPr>
                <w:sz w:val="20"/>
                <w:lang w:val="fr-CA"/>
              </w:rPr>
            </w:pPr>
          </w:p>
        </w:tc>
      </w:tr>
    </w:tbl>
    <w:p w:rsidR="00286112" w:rsidRPr="00996312" w:rsidRDefault="00286112" w:rsidP="00286112">
      <w:pPr>
        <w:jc w:val="both"/>
        <w:rPr>
          <w:sz w:val="20"/>
          <w:lang w:val="fr-CA"/>
        </w:rPr>
      </w:pPr>
    </w:p>
    <w:p w:rsidR="006C68AD" w:rsidRPr="00996312" w:rsidRDefault="00EF0929" w:rsidP="00286112">
      <w:pPr>
        <w:widowControl w:val="0"/>
        <w:jc w:val="both"/>
        <w:rPr>
          <w:sz w:val="20"/>
          <w:lang w:val="fr-CA"/>
        </w:rPr>
      </w:pPr>
      <w:r>
        <w:rPr>
          <w:sz w:val="20"/>
        </w:rPr>
        <w:pict>
          <v:rect id="_x0000_i1034" style="width:2in;height:1pt" o:hrpct="0" o:hralign="center" o:hrstd="t" o:hrnoshade="t" o:hr="t" fillcolor="black [3213]" stroked="f"/>
        </w:pict>
      </w:r>
    </w:p>
    <w:p w:rsidR="006C68AD" w:rsidRPr="00996312" w:rsidRDefault="006C68AD" w:rsidP="002861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E95A6A">
        <w:tc>
          <w:tcPr>
            <w:tcW w:w="543" w:type="pct"/>
          </w:tcPr>
          <w:p w:rsidR="00286112" w:rsidRPr="00996312" w:rsidRDefault="00286112" w:rsidP="00286112">
            <w:pPr>
              <w:jc w:val="both"/>
              <w:rPr>
                <w:sz w:val="20"/>
              </w:rPr>
            </w:pPr>
            <w:r w:rsidRPr="00996312">
              <w:rPr>
                <w:rStyle w:val="SCCFileNumberChar"/>
                <w:sz w:val="20"/>
                <w:szCs w:val="20"/>
              </w:rPr>
              <w:t>39286</w:t>
            </w:r>
          </w:p>
        </w:tc>
        <w:tc>
          <w:tcPr>
            <w:tcW w:w="4457" w:type="pct"/>
            <w:gridSpan w:val="3"/>
          </w:tcPr>
          <w:p w:rsidR="00286112" w:rsidRPr="00996312" w:rsidRDefault="00286112" w:rsidP="00286112">
            <w:pPr>
              <w:pStyle w:val="SCCLsocParty"/>
              <w:jc w:val="both"/>
              <w:rPr>
                <w:b/>
                <w:sz w:val="20"/>
                <w:szCs w:val="20"/>
              </w:rPr>
            </w:pPr>
            <w:r w:rsidRPr="00996312">
              <w:rPr>
                <w:b/>
                <w:sz w:val="20"/>
                <w:szCs w:val="20"/>
              </w:rPr>
              <w:t>Lilian Lux v. Erwin Albert Lux</w:t>
            </w:r>
          </w:p>
          <w:p w:rsidR="00286112" w:rsidRPr="00996312" w:rsidRDefault="00286112" w:rsidP="00286112">
            <w:pPr>
              <w:jc w:val="both"/>
              <w:rPr>
                <w:sz w:val="20"/>
              </w:rPr>
            </w:pPr>
            <w:r w:rsidRPr="00996312">
              <w:rPr>
                <w:sz w:val="20"/>
              </w:rPr>
              <w:t>(Alta.) (Civil) (By Leave)</w:t>
            </w:r>
          </w:p>
        </w:tc>
      </w:tr>
      <w:tr w:rsidR="00286112" w:rsidRPr="00996312" w:rsidTr="00E95A6A">
        <w:tc>
          <w:tcPr>
            <w:tcW w:w="5000" w:type="pct"/>
            <w:gridSpan w:val="4"/>
          </w:tcPr>
          <w:p w:rsidR="00286112" w:rsidRPr="00996312" w:rsidRDefault="00286112" w:rsidP="00286112">
            <w:pPr>
              <w:jc w:val="both"/>
              <w:rPr>
                <w:sz w:val="20"/>
              </w:rPr>
            </w:pPr>
            <w:r w:rsidRPr="00996312">
              <w:rPr>
                <w:sz w:val="20"/>
              </w:rPr>
              <w:t xml:space="preserve">Family law — Support — Spousal support — Appeal court granting applicant’s appeal in part on spousal support and costs issues — Whether the trial judge was misled by the respondent and his counsel on evidentiary and legal issues — Whether provisions of the </w:t>
            </w:r>
            <w:r w:rsidRPr="00996312">
              <w:rPr>
                <w:i/>
                <w:sz w:val="20"/>
              </w:rPr>
              <w:t>Criminal Code</w:t>
            </w:r>
            <w:r w:rsidRPr="00996312">
              <w:rPr>
                <w:sz w:val="20"/>
              </w:rPr>
              <w:t xml:space="preserve"> and the </w:t>
            </w:r>
            <w:r w:rsidRPr="00996312">
              <w:rPr>
                <w:i/>
                <w:sz w:val="20"/>
              </w:rPr>
              <w:t>Matrimonial Property Act</w:t>
            </w:r>
            <w:r w:rsidRPr="00996312">
              <w:rPr>
                <w:sz w:val="20"/>
              </w:rPr>
              <w:t>, R.S.A. 2000, c. M</w:t>
            </w:r>
            <w:r w:rsidRPr="00996312">
              <w:rPr>
                <w:sz w:val="20"/>
              </w:rPr>
              <w:noBreakHyphen/>
              <w:t>8 are in conflict — Whether there were violations of procedural fairness — Whether judgment resulted in escalating feminization of poverty and transfer of financial burden to society.</w:t>
            </w:r>
          </w:p>
        </w:tc>
      </w:tr>
      <w:tr w:rsidR="00286112" w:rsidRPr="00996312" w:rsidTr="00E95A6A">
        <w:tc>
          <w:tcPr>
            <w:tcW w:w="5000" w:type="pct"/>
            <w:gridSpan w:val="4"/>
          </w:tcPr>
          <w:p w:rsidR="00286112" w:rsidRPr="00996312" w:rsidRDefault="00286112" w:rsidP="00286112">
            <w:pPr>
              <w:jc w:val="both"/>
              <w:rPr>
                <w:sz w:val="20"/>
              </w:rPr>
            </w:pPr>
          </w:p>
          <w:p w:rsidR="00286112" w:rsidRPr="00996312" w:rsidRDefault="00286112" w:rsidP="00286112">
            <w:pPr>
              <w:jc w:val="both"/>
              <w:rPr>
                <w:sz w:val="20"/>
              </w:rPr>
            </w:pPr>
            <w:r w:rsidRPr="00996312">
              <w:rPr>
                <w:sz w:val="20"/>
              </w:rPr>
              <w:t xml:space="preserve">The parties became involved in a long distance relationship in 2001. The wife resided in Russia and the husband lived in Canada. The wife moved to Canada and the parties married in July 2005.  There are no children of the marriage. The parties separated in October 2013. Throughout the marriage and after separation Ms. Lux spent long </w:t>
            </w:r>
            <w:r w:rsidRPr="00996312">
              <w:rPr>
                <w:sz w:val="20"/>
              </w:rPr>
              <w:lastRenderedPageBreak/>
              <w:t>periods of time in Russia with her family. She applied for retroactive and ongoing spousal support as well as a division of matrimonial property.  Mr. Lux claimed several exemptions from the division of property for assets he acquired prior to the parties’ cohabitation, and on account of inheritances received from his parents.</w:t>
            </w:r>
          </w:p>
          <w:p w:rsidR="00286112" w:rsidRPr="00996312" w:rsidRDefault="00286112" w:rsidP="00286112">
            <w:pPr>
              <w:jc w:val="both"/>
              <w:rPr>
                <w:sz w:val="20"/>
              </w:rPr>
            </w:pPr>
          </w:p>
          <w:p w:rsidR="00286112" w:rsidRPr="00996312" w:rsidRDefault="00286112" w:rsidP="00286112">
            <w:pPr>
              <w:jc w:val="both"/>
              <w:rPr>
                <w:sz w:val="20"/>
              </w:rPr>
            </w:pPr>
            <w:r w:rsidRPr="00996312">
              <w:rPr>
                <w:sz w:val="20"/>
              </w:rPr>
              <w:t>The trial judge did not award retroactive or ongoing support for the wife, based on the short duration of the marriage and previous interim awards. The wife received a small award on the division of property. She was also entitled to half of the husband’s pension accruing from the date of marriage to the date of separation. The husband was awarded costs. The wife’s appeal was allowed in part. She was awarded spousal support for one year. The period of accrual for the pension division was extended to the date of trial. The husband’s costs award was reduced.</w:t>
            </w:r>
          </w:p>
        </w:tc>
      </w:tr>
      <w:tr w:rsidR="00286112" w:rsidRPr="00996312" w:rsidTr="00E95A6A">
        <w:tc>
          <w:tcPr>
            <w:tcW w:w="5000" w:type="pct"/>
            <w:gridSpan w:val="4"/>
          </w:tcPr>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April 30, 2018</w:t>
            </w:r>
          </w:p>
          <w:p w:rsidR="00286112" w:rsidRPr="00996312" w:rsidRDefault="00286112" w:rsidP="00286112">
            <w:pPr>
              <w:jc w:val="both"/>
              <w:rPr>
                <w:sz w:val="20"/>
              </w:rPr>
            </w:pPr>
            <w:r w:rsidRPr="00996312">
              <w:rPr>
                <w:sz w:val="20"/>
              </w:rPr>
              <w:t>Court of Queen’s Bench of Alberta</w:t>
            </w:r>
          </w:p>
          <w:p w:rsidR="00286112" w:rsidRPr="00996312" w:rsidRDefault="00286112" w:rsidP="00286112">
            <w:pPr>
              <w:jc w:val="both"/>
              <w:rPr>
                <w:sz w:val="20"/>
              </w:rPr>
            </w:pPr>
            <w:r w:rsidRPr="00996312">
              <w:rPr>
                <w:sz w:val="20"/>
              </w:rPr>
              <w:t>(Hopkins J.)</w:t>
            </w:r>
          </w:p>
          <w:p w:rsidR="00286112" w:rsidRPr="00996312" w:rsidRDefault="00286112" w:rsidP="00286112">
            <w:pPr>
              <w:jc w:val="both"/>
              <w:rPr>
                <w:sz w:val="20"/>
              </w:rPr>
            </w:pPr>
            <w:r w:rsidRPr="00996312">
              <w:rPr>
                <w:sz w:val="20"/>
              </w:rPr>
              <w:t>Unreported</w:t>
            </w:r>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Applicant’s claim for retroactive and ongoing spousal support dismissed. Division of property and costs awarded in favour of respondent.</w:t>
            </w:r>
          </w:p>
        </w:tc>
      </w:tr>
      <w:tr w:rsidR="00286112" w:rsidRPr="00996312" w:rsidTr="00E95A6A">
        <w:tc>
          <w:tcPr>
            <w:tcW w:w="2427" w:type="pct"/>
            <w:gridSpan w:val="2"/>
          </w:tcPr>
          <w:p w:rsidR="00286112" w:rsidRPr="00996312" w:rsidRDefault="00286112" w:rsidP="00286112">
            <w:pPr>
              <w:jc w:val="both"/>
              <w:rPr>
                <w:sz w:val="20"/>
              </w:rPr>
            </w:pPr>
            <w:r w:rsidRPr="00996312">
              <w:rPr>
                <w:sz w:val="20"/>
              </w:rPr>
              <w:t>November 25, 2019</w:t>
            </w:r>
          </w:p>
          <w:p w:rsidR="00286112" w:rsidRPr="00996312" w:rsidRDefault="00286112" w:rsidP="00286112">
            <w:pPr>
              <w:jc w:val="both"/>
              <w:rPr>
                <w:sz w:val="20"/>
              </w:rPr>
            </w:pPr>
            <w:r w:rsidRPr="00996312">
              <w:rPr>
                <w:sz w:val="20"/>
              </w:rPr>
              <w:t>Court of Appeal of Alberta (Edmonton)</w:t>
            </w:r>
          </w:p>
          <w:p w:rsidR="00286112" w:rsidRPr="00996312" w:rsidRDefault="00286112" w:rsidP="00286112">
            <w:pPr>
              <w:jc w:val="both"/>
              <w:rPr>
                <w:sz w:val="20"/>
              </w:rPr>
            </w:pPr>
            <w:r w:rsidRPr="00996312">
              <w:rPr>
                <w:sz w:val="20"/>
              </w:rPr>
              <w:t>(Slatter, O'Ferrall and Khullar JJ.A.)</w:t>
            </w:r>
          </w:p>
          <w:p w:rsidR="00286112" w:rsidRPr="00996312" w:rsidRDefault="00EF0929" w:rsidP="00286112">
            <w:pPr>
              <w:jc w:val="both"/>
              <w:rPr>
                <w:sz w:val="20"/>
              </w:rPr>
            </w:pPr>
            <w:hyperlink r:id="rId25" w:history="1">
              <w:r w:rsidR="00286112" w:rsidRPr="00996312">
                <w:rPr>
                  <w:rStyle w:val="Hyperlink"/>
                  <w:sz w:val="20"/>
                </w:rPr>
                <w:t>2019 ABCA 454</w:t>
              </w:r>
            </w:hyperlink>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Appeal allowed in part. Applicant entitled to spousal support for one year. Costs award to respondent reduced.</w:t>
            </w:r>
          </w:p>
          <w:p w:rsidR="00286112" w:rsidRPr="00996312" w:rsidRDefault="00286112" w:rsidP="00286112">
            <w:pPr>
              <w:jc w:val="both"/>
              <w:rPr>
                <w:sz w:val="20"/>
              </w:rPr>
            </w:pPr>
          </w:p>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January 7, 2020</w:t>
            </w:r>
          </w:p>
          <w:p w:rsidR="00286112" w:rsidRPr="00996312" w:rsidRDefault="00286112" w:rsidP="00286112">
            <w:pPr>
              <w:jc w:val="both"/>
              <w:rPr>
                <w:sz w:val="20"/>
              </w:rPr>
            </w:pPr>
            <w:r w:rsidRPr="00996312">
              <w:rPr>
                <w:sz w:val="20"/>
              </w:rPr>
              <w:t>Court of Appeal of Alberta (Edmonton)</w:t>
            </w:r>
          </w:p>
          <w:p w:rsidR="00286112" w:rsidRPr="00996312" w:rsidRDefault="00286112" w:rsidP="00286112">
            <w:pPr>
              <w:jc w:val="both"/>
              <w:rPr>
                <w:sz w:val="20"/>
              </w:rPr>
            </w:pPr>
            <w:r w:rsidRPr="00996312">
              <w:rPr>
                <w:sz w:val="20"/>
              </w:rPr>
              <w:t>(Slatter, O'Ferrall and Khullar JJ.A.)</w:t>
            </w:r>
          </w:p>
          <w:p w:rsidR="00286112" w:rsidRPr="00996312" w:rsidRDefault="00EF0929" w:rsidP="00286112">
            <w:pPr>
              <w:jc w:val="both"/>
              <w:rPr>
                <w:sz w:val="20"/>
              </w:rPr>
            </w:pPr>
            <w:hyperlink r:id="rId26" w:history="1">
              <w:r w:rsidR="00286112" w:rsidRPr="00996312">
                <w:rPr>
                  <w:rStyle w:val="Hyperlink"/>
                  <w:sz w:val="20"/>
                </w:rPr>
                <w:t>2020 ABCA 3</w:t>
              </w:r>
            </w:hyperlink>
          </w:p>
          <w:p w:rsidR="00286112" w:rsidRPr="00996312" w:rsidRDefault="00286112" w:rsidP="00286112">
            <w:pPr>
              <w:jc w:val="both"/>
              <w:rPr>
                <w:sz w:val="20"/>
              </w:rPr>
            </w:pP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Applicant’s application to reargue appeal dismissed</w:t>
            </w:r>
          </w:p>
          <w:p w:rsidR="00286112" w:rsidRPr="00996312" w:rsidRDefault="00286112" w:rsidP="00286112">
            <w:pPr>
              <w:jc w:val="both"/>
              <w:rPr>
                <w:sz w:val="20"/>
              </w:rPr>
            </w:pPr>
          </w:p>
        </w:tc>
      </w:tr>
      <w:tr w:rsidR="00286112" w:rsidRPr="00996312" w:rsidTr="00E95A6A">
        <w:tc>
          <w:tcPr>
            <w:tcW w:w="2427" w:type="pct"/>
            <w:gridSpan w:val="2"/>
          </w:tcPr>
          <w:p w:rsidR="00286112" w:rsidRPr="00996312" w:rsidRDefault="00286112" w:rsidP="00286112">
            <w:pPr>
              <w:jc w:val="both"/>
              <w:rPr>
                <w:sz w:val="20"/>
              </w:rPr>
            </w:pPr>
            <w:r w:rsidRPr="00996312">
              <w:rPr>
                <w:sz w:val="20"/>
              </w:rPr>
              <w:t>March 6, 2020</w:t>
            </w:r>
          </w:p>
          <w:p w:rsidR="00286112" w:rsidRPr="00996312" w:rsidRDefault="00286112" w:rsidP="00286112">
            <w:pPr>
              <w:jc w:val="both"/>
              <w:rPr>
                <w:sz w:val="20"/>
              </w:rPr>
            </w:pPr>
            <w:r w:rsidRPr="00996312">
              <w:rPr>
                <w:sz w:val="20"/>
              </w:rPr>
              <w:t>Supreme Court of Canada</w:t>
            </w:r>
          </w:p>
        </w:tc>
        <w:tc>
          <w:tcPr>
            <w:tcW w:w="243" w:type="pct"/>
          </w:tcPr>
          <w:p w:rsidR="00286112" w:rsidRPr="00996312" w:rsidRDefault="00286112" w:rsidP="00286112">
            <w:pPr>
              <w:jc w:val="both"/>
              <w:rPr>
                <w:sz w:val="20"/>
              </w:rPr>
            </w:pPr>
          </w:p>
        </w:tc>
        <w:tc>
          <w:tcPr>
            <w:tcW w:w="2330" w:type="pct"/>
          </w:tcPr>
          <w:p w:rsidR="00286112" w:rsidRPr="00996312" w:rsidRDefault="00286112" w:rsidP="00286112">
            <w:pPr>
              <w:jc w:val="both"/>
              <w:rPr>
                <w:sz w:val="20"/>
              </w:rPr>
            </w:pPr>
            <w:r w:rsidRPr="00996312">
              <w:rPr>
                <w:sz w:val="20"/>
              </w:rPr>
              <w:t>Application for leave to appeal filed</w:t>
            </w:r>
          </w:p>
          <w:p w:rsidR="00286112" w:rsidRPr="00996312" w:rsidRDefault="00286112" w:rsidP="00286112">
            <w:pPr>
              <w:jc w:val="both"/>
              <w:rPr>
                <w:sz w:val="20"/>
              </w:rPr>
            </w:pPr>
          </w:p>
        </w:tc>
      </w:tr>
    </w:tbl>
    <w:p w:rsidR="00286112" w:rsidRPr="00996312" w:rsidRDefault="00286112" w:rsidP="00286112">
      <w:pPr>
        <w:jc w:val="both"/>
        <w:rPr>
          <w:sz w:val="20"/>
        </w:rPr>
      </w:pPr>
    </w:p>
    <w:p w:rsidR="00996312" w:rsidRPr="00996312" w:rsidRDefault="00EF0929" w:rsidP="00286112">
      <w:pPr>
        <w:jc w:val="both"/>
        <w:rPr>
          <w:sz w:val="20"/>
        </w:rPr>
      </w:pPr>
      <w:r>
        <w:rPr>
          <w:sz w:val="20"/>
        </w:rPr>
        <w:pict>
          <v:rect id="_x0000_i1035" style="width:2in;height:1pt" o:hrpct="0" o:hralign="center" o:hrstd="t" o:hrnoshade="t" o:hr="t" fillcolor="black [3213]" stroked="f"/>
        </w:pict>
      </w:r>
    </w:p>
    <w:p w:rsidR="00996312" w:rsidRPr="00996312" w:rsidRDefault="00996312" w:rsidP="002861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6112" w:rsidRPr="00996312" w:rsidTr="00996312">
        <w:tc>
          <w:tcPr>
            <w:tcW w:w="543" w:type="pct"/>
          </w:tcPr>
          <w:p w:rsidR="00286112" w:rsidRPr="00996312" w:rsidRDefault="00286112" w:rsidP="00286112">
            <w:pPr>
              <w:jc w:val="both"/>
              <w:rPr>
                <w:sz w:val="20"/>
                <w:lang w:val="fr-CA"/>
              </w:rPr>
            </w:pPr>
            <w:r w:rsidRPr="00996312">
              <w:rPr>
                <w:rStyle w:val="SCCFileNumberChar"/>
                <w:sz w:val="20"/>
                <w:szCs w:val="20"/>
                <w:lang w:val="fr-CA"/>
              </w:rPr>
              <w:t>39286</w:t>
            </w:r>
          </w:p>
        </w:tc>
        <w:tc>
          <w:tcPr>
            <w:tcW w:w="4457" w:type="pct"/>
            <w:gridSpan w:val="3"/>
          </w:tcPr>
          <w:p w:rsidR="00286112" w:rsidRPr="00996312" w:rsidRDefault="00286112" w:rsidP="00286112">
            <w:pPr>
              <w:pStyle w:val="SCCLsocParty"/>
              <w:jc w:val="both"/>
              <w:rPr>
                <w:b/>
                <w:sz w:val="20"/>
                <w:szCs w:val="20"/>
              </w:rPr>
            </w:pPr>
            <w:r w:rsidRPr="00996312">
              <w:rPr>
                <w:b/>
                <w:sz w:val="20"/>
                <w:szCs w:val="20"/>
              </w:rPr>
              <w:t>Lilian Lux c. Erwin Albert Lux</w:t>
            </w:r>
          </w:p>
          <w:p w:rsidR="00286112" w:rsidRPr="00996312" w:rsidRDefault="00286112" w:rsidP="00286112">
            <w:pPr>
              <w:jc w:val="both"/>
              <w:rPr>
                <w:sz w:val="20"/>
                <w:lang w:val="fr-CA"/>
              </w:rPr>
            </w:pPr>
            <w:r w:rsidRPr="00996312">
              <w:rPr>
                <w:sz w:val="20"/>
                <w:lang w:val="fr-CA"/>
              </w:rPr>
              <w:t>(Alb.) (Civile) (Autorisation)</w:t>
            </w:r>
          </w:p>
        </w:tc>
      </w:tr>
      <w:tr w:rsidR="00286112" w:rsidRPr="00EF0929" w:rsidTr="00996312">
        <w:tc>
          <w:tcPr>
            <w:tcW w:w="5000" w:type="pct"/>
            <w:gridSpan w:val="4"/>
          </w:tcPr>
          <w:p w:rsidR="00286112" w:rsidRPr="00996312" w:rsidRDefault="00286112" w:rsidP="00286112">
            <w:pPr>
              <w:jc w:val="both"/>
              <w:rPr>
                <w:sz w:val="20"/>
                <w:lang w:val="fr-CA"/>
              </w:rPr>
            </w:pPr>
            <w:r w:rsidRPr="00996312">
              <w:rPr>
                <w:sz w:val="20"/>
                <w:lang w:val="fr-CA"/>
              </w:rPr>
              <w:t>Droit de la famille — Aliments — Pension alimentaire pour le conjoint — Cour d’appel accueillant en partie l’appel interjeté par la demanderesse concernant les questions de pension alimentaire pour le conjoint et de dépens — Le juge du procès a</w:t>
            </w:r>
            <w:r w:rsidRPr="00996312">
              <w:rPr>
                <w:sz w:val="20"/>
                <w:lang w:val="fr-CA"/>
              </w:rPr>
              <w:noBreakHyphen/>
              <w:t>t</w:t>
            </w:r>
            <w:r w:rsidRPr="00996312">
              <w:rPr>
                <w:sz w:val="20"/>
                <w:lang w:val="fr-CA"/>
              </w:rPr>
              <w:noBreakHyphen/>
              <w:t xml:space="preserve">il été induit en erreur par le défendeur et son avocat relativement aux questions juridiques et à la preuve? — Les dispositions du </w:t>
            </w:r>
            <w:r w:rsidRPr="00996312">
              <w:rPr>
                <w:i/>
                <w:sz w:val="20"/>
                <w:lang w:val="fr-CA"/>
              </w:rPr>
              <w:t>Code criminel</w:t>
            </w:r>
            <w:r w:rsidRPr="00996312">
              <w:rPr>
                <w:sz w:val="20"/>
                <w:lang w:val="fr-CA"/>
              </w:rPr>
              <w:t xml:space="preserve"> et celles de la </w:t>
            </w:r>
            <w:r w:rsidRPr="00996312">
              <w:rPr>
                <w:i/>
                <w:sz w:val="20"/>
                <w:lang w:val="fr-CA"/>
              </w:rPr>
              <w:t>Matrimonial Property Act</w:t>
            </w:r>
            <w:r w:rsidRPr="00996312">
              <w:rPr>
                <w:sz w:val="20"/>
                <w:lang w:val="fr-CA"/>
              </w:rPr>
              <w:t xml:space="preserve"> (loi sur les biens matrimoniaux), R.S.A. 2000, c. M</w:t>
            </w:r>
            <w:r w:rsidRPr="00996312">
              <w:rPr>
                <w:sz w:val="20"/>
                <w:lang w:val="fr-CA"/>
              </w:rPr>
              <w:noBreakHyphen/>
              <w:t> 8 sont</w:t>
            </w:r>
            <w:r w:rsidRPr="00996312">
              <w:rPr>
                <w:sz w:val="20"/>
                <w:lang w:val="fr-CA"/>
              </w:rPr>
              <w:noBreakHyphen/>
              <w:t>elles contradictoires? — Y a</w:t>
            </w:r>
            <w:r w:rsidRPr="00996312">
              <w:rPr>
                <w:sz w:val="20"/>
                <w:lang w:val="fr-CA"/>
              </w:rPr>
              <w:noBreakHyphen/>
              <w:t>t</w:t>
            </w:r>
            <w:r w:rsidRPr="00996312">
              <w:rPr>
                <w:sz w:val="20"/>
                <w:lang w:val="fr-CA"/>
              </w:rPr>
              <w:noBreakHyphen/>
              <w:t>il eu violation de l’équité procédurale? — La décision a</w:t>
            </w:r>
            <w:r w:rsidRPr="00996312">
              <w:rPr>
                <w:sz w:val="20"/>
                <w:lang w:val="fr-CA"/>
              </w:rPr>
              <w:noBreakHyphen/>
              <w:t>t</w:t>
            </w:r>
            <w:r w:rsidRPr="00996312">
              <w:rPr>
                <w:sz w:val="20"/>
                <w:lang w:val="fr-CA"/>
              </w:rPr>
              <w:noBreakHyphen/>
              <w:t>elle entraîné une aggravation de la féminisation de la pauvreté et un transfert du fardeau financier à la société?</w:t>
            </w:r>
          </w:p>
        </w:tc>
      </w:tr>
      <w:tr w:rsidR="00286112" w:rsidRPr="00996312" w:rsidTr="00996312">
        <w:tc>
          <w:tcPr>
            <w:tcW w:w="5000" w:type="pct"/>
            <w:gridSpan w:val="4"/>
          </w:tcPr>
          <w:p w:rsidR="00286112" w:rsidRPr="00996312" w:rsidRDefault="00286112" w:rsidP="00286112">
            <w:pPr>
              <w:jc w:val="both"/>
              <w:rPr>
                <w:sz w:val="20"/>
                <w:lang w:val="fr-CA"/>
              </w:rPr>
            </w:pPr>
          </w:p>
          <w:p w:rsidR="00286112" w:rsidRPr="00996312" w:rsidRDefault="00286112" w:rsidP="00286112">
            <w:pPr>
              <w:jc w:val="both"/>
              <w:rPr>
                <w:sz w:val="20"/>
                <w:lang w:val="fr-CA"/>
              </w:rPr>
            </w:pPr>
            <w:r w:rsidRPr="00996312">
              <w:rPr>
                <w:sz w:val="20"/>
                <w:lang w:val="fr-CA"/>
              </w:rPr>
              <w:t>Les parties ont commencé une relation à distance en 2001. L’épouse résidait en Russie et l’époux vivait au Canada. L’épouse a déménagé au Canada et les parties se sont mariées en juillet 2005. Aucun enfant n’est né du mariage. Les parties se sont séparées en octobre 2013. Pendant la durée du mariage et après leur séparation, M</w:t>
            </w:r>
            <w:r w:rsidRPr="00996312">
              <w:rPr>
                <w:sz w:val="20"/>
                <w:vertAlign w:val="superscript"/>
                <w:lang w:val="fr-CA"/>
              </w:rPr>
              <w:t>me</w:t>
            </w:r>
            <w:r w:rsidRPr="00996312">
              <w:rPr>
                <w:sz w:val="20"/>
                <w:lang w:val="fr-CA"/>
              </w:rPr>
              <w:t> Lux a passé de longs séjours en Russie avec sa famille. Elle a présenté une demande de pension alimentaire rétroactive et continue, ainsi qu’une demande de partage des biens matrimoniaux. M. Lux a sollicité plusieurs exemptions au partage des biens qu’il avait acquis de l’héritage reçu de ses parents, avant la cohabitation des parties.</w:t>
            </w:r>
          </w:p>
          <w:p w:rsidR="00286112" w:rsidRPr="00996312" w:rsidRDefault="00286112" w:rsidP="00286112">
            <w:pPr>
              <w:jc w:val="both"/>
              <w:rPr>
                <w:sz w:val="20"/>
                <w:lang w:val="fr-CA"/>
              </w:rPr>
            </w:pPr>
          </w:p>
          <w:p w:rsidR="00286112" w:rsidRPr="00996312" w:rsidRDefault="00286112" w:rsidP="00996312">
            <w:pPr>
              <w:jc w:val="both"/>
              <w:rPr>
                <w:sz w:val="20"/>
                <w:lang w:val="fr-CA"/>
              </w:rPr>
            </w:pPr>
            <w:r w:rsidRPr="00996312">
              <w:rPr>
                <w:sz w:val="20"/>
                <w:lang w:val="fr-CA"/>
              </w:rPr>
              <w:t>Le juge du procès n’a pas accordé de pension alimentaire rétroactive ou continue à l’épouse, en se fondant sur la courte durée du mariage et sur les décisions provisoires antérieures. L’épouse a reçu une petite part du partage des biens. Elle a aussi obtenu la moitié de la pension de retraite de l’époux accumulée à partir de la date du mariage jusqu’à la date de la séparation. Les dépens ont été adjugés à l’époux. L’appel interjeté par l’épouse a été accueilli en partie. Elle a obtenu une pension alimentaire pendant une année. La période d’accumulation pour le partage de la pension a été prolongée jusqu’à la date du procès. Les dépens adjugés à l’époux ont été réduits.</w:t>
            </w:r>
          </w:p>
        </w:tc>
      </w:tr>
      <w:tr w:rsidR="00286112" w:rsidRPr="00996312" w:rsidTr="00996312">
        <w:tc>
          <w:tcPr>
            <w:tcW w:w="5000" w:type="pct"/>
            <w:gridSpan w:val="4"/>
          </w:tcPr>
          <w:p w:rsidR="00286112" w:rsidRPr="00996312" w:rsidRDefault="00286112" w:rsidP="00286112">
            <w:pPr>
              <w:jc w:val="both"/>
              <w:rPr>
                <w:sz w:val="20"/>
                <w:lang w:val="fr-CA"/>
              </w:rPr>
            </w:pPr>
          </w:p>
        </w:tc>
      </w:tr>
      <w:tr w:rsidR="00286112" w:rsidRPr="00996312" w:rsidTr="00996312">
        <w:tc>
          <w:tcPr>
            <w:tcW w:w="2427" w:type="pct"/>
            <w:gridSpan w:val="2"/>
          </w:tcPr>
          <w:p w:rsidR="00286112" w:rsidRPr="00996312" w:rsidRDefault="00286112" w:rsidP="00286112">
            <w:pPr>
              <w:jc w:val="both"/>
              <w:rPr>
                <w:sz w:val="20"/>
                <w:lang w:val="fr-CA"/>
              </w:rPr>
            </w:pPr>
            <w:r w:rsidRPr="00996312">
              <w:rPr>
                <w:sz w:val="20"/>
                <w:lang w:val="fr-CA"/>
              </w:rPr>
              <w:lastRenderedPageBreak/>
              <w:t>30 avril 2018</w:t>
            </w:r>
          </w:p>
          <w:p w:rsidR="00286112" w:rsidRPr="00996312" w:rsidRDefault="00286112" w:rsidP="00286112">
            <w:pPr>
              <w:jc w:val="both"/>
              <w:rPr>
                <w:sz w:val="20"/>
                <w:lang w:val="fr-CA"/>
              </w:rPr>
            </w:pPr>
            <w:r w:rsidRPr="00996312">
              <w:rPr>
                <w:sz w:val="20"/>
                <w:lang w:val="fr-CA"/>
              </w:rPr>
              <w:t>Cour du banc de la Reine de l’Alberta</w:t>
            </w:r>
          </w:p>
          <w:p w:rsidR="00286112" w:rsidRPr="00996312" w:rsidRDefault="00286112" w:rsidP="00286112">
            <w:pPr>
              <w:jc w:val="both"/>
              <w:rPr>
                <w:sz w:val="20"/>
                <w:lang w:val="fr-CA"/>
              </w:rPr>
            </w:pPr>
            <w:r w:rsidRPr="00996312">
              <w:rPr>
                <w:sz w:val="20"/>
                <w:lang w:val="fr-CA"/>
              </w:rPr>
              <w:t>(juge Hopkins)</w:t>
            </w:r>
          </w:p>
          <w:p w:rsidR="00286112" w:rsidRPr="00996312" w:rsidRDefault="00286112" w:rsidP="00286112">
            <w:pPr>
              <w:jc w:val="both"/>
              <w:rPr>
                <w:sz w:val="20"/>
                <w:lang w:val="fr-CA"/>
              </w:rPr>
            </w:pPr>
            <w:r w:rsidRPr="00996312">
              <w:rPr>
                <w:sz w:val="20"/>
                <w:lang w:val="fr-CA"/>
              </w:rPr>
              <w:t>Non publiée</w:t>
            </w:r>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Rejet de la demande de pension alimentaire rétroactive et continue de la demanderesse. Partage des biens et dépens adjugés au défendeur.</w:t>
            </w:r>
          </w:p>
        </w:tc>
      </w:tr>
      <w:tr w:rsidR="00286112" w:rsidRPr="00996312" w:rsidTr="00996312">
        <w:tc>
          <w:tcPr>
            <w:tcW w:w="2427" w:type="pct"/>
            <w:gridSpan w:val="2"/>
          </w:tcPr>
          <w:p w:rsidR="00286112" w:rsidRPr="00996312" w:rsidRDefault="00286112" w:rsidP="00286112">
            <w:pPr>
              <w:jc w:val="both"/>
              <w:rPr>
                <w:sz w:val="20"/>
                <w:lang w:val="fr-CA"/>
              </w:rPr>
            </w:pPr>
            <w:r w:rsidRPr="00996312">
              <w:rPr>
                <w:sz w:val="20"/>
                <w:lang w:val="fr-CA"/>
              </w:rPr>
              <w:t>25 novembre 2019</w:t>
            </w:r>
          </w:p>
          <w:p w:rsidR="00286112" w:rsidRPr="00996312" w:rsidRDefault="00286112" w:rsidP="00286112">
            <w:pPr>
              <w:jc w:val="both"/>
              <w:rPr>
                <w:sz w:val="20"/>
                <w:lang w:val="fr-CA"/>
              </w:rPr>
            </w:pPr>
            <w:r w:rsidRPr="00996312">
              <w:rPr>
                <w:sz w:val="20"/>
                <w:lang w:val="fr-CA"/>
              </w:rPr>
              <w:t>Cour d’appel de l’Alberta (Edmonton)</w:t>
            </w:r>
          </w:p>
          <w:p w:rsidR="00286112" w:rsidRPr="00996312" w:rsidRDefault="00286112" w:rsidP="00286112">
            <w:pPr>
              <w:jc w:val="both"/>
              <w:rPr>
                <w:sz w:val="20"/>
              </w:rPr>
            </w:pPr>
            <w:r w:rsidRPr="00996312">
              <w:rPr>
                <w:sz w:val="20"/>
              </w:rPr>
              <w:t>(juges Slatter, O’Ferrall et Khullar)</w:t>
            </w:r>
          </w:p>
          <w:p w:rsidR="00286112" w:rsidRPr="00996312" w:rsidRDefault="00EF0929" w:rsidP="00286112">
            <w:pPr>
              <w:jc w:val="both"/>
              <w:rPr>
                <w:sz w:val="20"/>
                <w:lang w:val="fr-CA"/>
              </w:rPr>
            </w:pPr>
            <w:hyperlink r:id="rId27" w:history="1">
              <w:r w:rsidR="00286112" w:rsidRPr="00996312">
                <w:rPr>
                  <w:rStyle w:val="Hyperlink"/>
                  <w:sz w:val="20"/>
                  <w:lang w:val="fr-CA"/>
                </w:rPr>
                <w:t>2019 ABCA 454</w:t>
              </w:r>
            </w:hyperlink>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 xml:space="preserve">Appel accueilli en partie. La demanderesse obtient une pension alimentaire pendant une année. Les dépens adjugés au défendeur sont réduits. </w:t>
            </w:r>
          </w:p>
          <w:p w:rsidR="00286112" w:rsidRPr="00996312" w:rsidRDefault="00286112" w:rsidP="00286112">
            <w:pPr>
              <w:jc w:val="both"/>
              <w:rPr>
                <w:sz w:val="20"/>
                <w:lang w:val="fr-CA"/>
              </w:rPr>
            </w:pPr>
          </w:p>
          <w:p w:rsidR="00286112" w:rsidRPr="00996312" w:rsidRDefault="00286112" w:rsidP="00286112">
            <w:pPr>
              <w:jc w:val="both"/>
              <w:rPr>
                <w:sz w:val="20"/>
                <w:lang w:val="fr-CA"/>
              </w:rPr>
            </w:pPr>
          </w:p>
        </w:tc>
      </w:tr>
      <w:tr w:rsidR="00286112" w:rsidRPr="00EF0929" w:rsidTr="00996312">
        <w:tc>
          <w:tcPr>
            <w:tcW w:w="2427" w:type="pct"/>
            <w:gridSpan w:val="2"/>
          </w:tcPr>
          <w:p w:rsidR="00286112" w:rsidRPr="00996312" w:rsidRDefault="00286112" w:rsidP="00286112">
            <w:pPr>
              <w:jc w:val="both"/>
              <w:rPr>
                <w:sz w:val="20"/>
                <w:lang w:val="fr-CA"/>
              </w:rPr>
            </w:pPr>
            <w:r w:rsidRPr="00996312">
              <w:rPr>
                <w:sz w:val="20"/>
                <w:lang w:val="fr-CA"/>
              </w:rPr>
              <w:t>7 janvier 2020</w:t>
            </w:r>
          </w:p>
          <w:p w:rsidR="00286112" w:rsidRPr="00996312" w:rsidRDefault="00286112" w:rsidP="00286112">
            <w:pPr>
              <w:jc w:val="both"/>
              <w:rPr>
                <w:sz w:val="20"/>
                <w:lang w:val="fr-CA"/>
              </w:rPr>
            </w:pPr>
            <w:r w:rsidRPr="00996312">
              <w:rPr>
                <w:sz w:val="20"/>
                <w:lang w:val="fr-CA"/>
              </w:rPr>
              <w:t>Cour d’appel de l’Alberta (Edmonton)</w:t>
            </w:r>
          </w:p>
          <w:p w:rsidR="00286112" w:rsidRPr="00996312" w:rsidRDefault="00286112" w:rsidP="00286112">
            <w:pPr>
              <w:jc w:val="both"/>
              <w:rPr>
                <w:sz w:val="20"/>
              </w:rPr>
            </w:pPr>
            <w:r w:rsidRPr="00996312">
              <w:rPr>
                <w:sz w:val="20"/>
              </w:rPr>
              <w:t>(juges Slatter, O’Ferrall et Khullar)</w:t>
            </w:r>
          </w:p>
          <w:p w:rsidR="00286112" w:rsidRPr="00996312" w:rsidRDefault="00EF0929" w:rsidP="00286112">
            <w:pPr>
              <w:jc w:val="both"/>
              <w:rPr>
                <w:sz w:val="20"/>
                <w:lang w:val="fr-CA"/>
              </w:rPr>
            </w:pPr>
            <w:hyperlink r:id="rId28" w:history="1">
              <w:r w:rsidR="00286112" w:rsidRPr="00996312">
                <w:rPr>
                  <w:rStyle w:val="Hyperlink"/>
                  <w:sz w:val="20"/>
                  <w:lang w:val="fr-CA"/>
                </w:rPr>
                <w:t>2020 ABCA 3</w:t>
              </w:r>
            </w:hyperlink>
          </w:p>
          <w:p w:rsidR="00286112" w:rsidRPr="00996312" w:rsidRDefault="00286112" w:rsidP="00286112">
            <w:pPr>
              <w:jc w:val="both"/>
              <w:rPr>
                <w:sz w:val="20"/>
                <w:lang w:val="fr-CA"/>
              </w:rPr>
            </w:pP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 xml:space="preserve">Rejet de la demande de la demanderesse visant à plaider à nouveau l’appel. </w:t>
            </w:r>
          </w:p>
          <w:p w:rsidR="00286112" w:rsidRPr="00996312" w:rsidRDefault="00286112" w:rsidP="00286112">
            <w:pPr>
              <w:jc w:val="both"/>
              <w:rPr>
                <w:sz w:val="20"/>
                <w:lang w:val="fr-CA"/>
              </w:rPr>
            </w:pPr>
          </w:p>
        </w:tc>
      </w:tr>
      <w:tr w:rsidR="00286112" w:rsidRPr="00EF0929" w:rsidTr="00996312">
        <w:tc>
          <w:tcPr>
            <w:tcW w:w="2427" w:type="pct"/>
            <w:gridSpan w:val="2"/>
          </w:tcPr>
          <w:p w:rsidR="00286112" w:rsidRPr="00996312" w:rsidRDefault="00286112" w:rsidP="00286112">
            <w:pPr>
              <w:jc w:val="both"/>
              <w:rPr>
                <w:sz w:val="20"/>
                <w:lang w:val="fr-CA"/>
              </w:rPr>
            </w:pPr>
            <w:r w:rsidRPr="00996312">
              <w:rPr>
                <w:sz w:val="20"/>
                <w:lang w:val="fr-CA"/>
              </w:rPr>
              <w:t>6 mars 2020</w:t>
            </w:r>
          </w:p>
          <w:p w:rsidR="00286112" w:rsidRPr="00996312" w:rsidRDefault="00286112" w:rsidP="00286112">
            <w:pPr>
              <w:jc w:val="both"/>
              <w:rPr>
                <w:sz w:val="20"/>
                <w:lang w:val="fr-CA"/>
              </w:rPr>
            </w:pPr>
            <w:r w:rsidRPr="00996312">
              <w:rPr>
                <w:sz w:val="20"/>
                <w:lang w:val="fr-CA"/>
              </w:rPr>
              <w:t>Cour suprême du Canada</w:t>
            </w:r>
          </w:p>
        </w:tc>
        <w:tc>
          <w:tcPr>
            <w:tcW w:w="243" w:type="pct"/>
          </w:tcPr>
          <w:p w:rsidR="00286112" w:rsidRPr="00996312" w:rsidRDefault="00286112" w:rsidP="00286112">
            <w:pPr>
              <w:jc w:val="both"/>
              <w:rPr>
                <w:sz w:val="20"/>
                <w:lang w:val="fr-CA"/>
              </w:rPr>
            </w:pPr>
          </w:p>
        </w:tc>
        <w:tc>
          <w:tcPr>
            <w:tcW w:w="2330" w:type="pct"/>
          </w:tcPr>
          <w:p w:rsidR="00286112" w:rsidRPr="00996312" w:rsidRDefault="00286112" w:rsidP="00286112">
            <w:pPr>
              <w:jc w:val="both"/>
              <w:rPr>
                <w:sz w:val="20"/>
                <w:lang w:val="fr-CA"/>
              </w:rPr>
            </w:pPr>
            <w:r w:rsidRPr="00996312">
              <w:rPr>
                <w:sz w:val="20"/>
                <w:lang w:val="fr-CA"/>
              </w:rPr>
              <w:t xml:space="preserve">Dépôt de la demande d’autorisation d’appel. </w:t>
            </w:r>
          </w:p>
          <w:p w:rsidR="00286112" w:rsidRPr="00996312" w:rsidRDefault="00286112" w:rsidP="00286112">
            <w:pPr>
              <w:jc w:val="both"/>
              <w:rPr>
                <w:sz w:val="20"/>
                <w:lang w:val="fr-CA"/>
              </w:rPr>
            </w:pPr>
          </w:p>
        </w:tc>
      </w:tr>
    </w:tbl>
    <w:p w:rsidR="002C5E29" w:rsidRPr="00996312" w:rsidRDefault="002C5E29" w:rsidP="00870335">
      <w:pPr>
        <w:widowControl w:val="0"/>
        <w:jc w:val="both"/>
        <w:rPr>
          <w:sz w:val="20"/>
          <w:lang w:val="fr-CA"/>
        </w:rPr>
      </w:pPr>
    </w:p>
    <w:p w:rsidR="00E85588" w:rsidRPr="00996312" w:rsidRDefault="00EF0929" w:rsidP="00E85588">
      <w:pPr>
        <w:jc w:val="both"/>
        <w:rPr>
          <w:sz w:val="20"/>
        </w:rPr>
      </w:pPr>
      <w:r>
        <w:rPr>
          <w:sz w:val="20"/>
        </w:rPr>
        <w:pict>
          <v:rect id="_x0000_i1036" style="width:2in;height:1pt" o:hrpct="0" o:hralign="center" o:hrstd="t" o:hrnoshade="t" o:hr="t" fillcolor="black [3213]" stroked="f"/>
        </w:pict>
      </w:r>
    </w:p>
    <w:p w:rsidR="00E85588" w:rsidRPr="00996312" w:rsidRDefault="00E85588" w:rsidP="00E85588">
      <w:pPr>
        <w:jc w:val="both"/>
        <w:rPr>
          <w:sz w:val="20"/>
        </w:rPr>
      </w:pPr>
    </w:p>
    <w:p w:rsidR="005C7161" w:rsidRPr="00996312" w:rsidRDefault="005C7161" w:rsidP="006A22CA">
      <w:pPr>
        <w:ind w:left="142" w:hanging="142"/>
        <w:jc w:val="both"/>
        <w:rPr>
          <w:sz w:val="20"/>
        </w:rPr>
      </w:pPr>
    </w:p>
    <w:p w:rsidR="00FD3FA0" w:rsidRPr="00996312" w:rsidRDefault="00FD3FA0" w:rsidP="006A22CA">
      <w:pPr>
        <w:ind w:left="142" w:hanging="142"/>
        <w:jc w:val="both"/>
        <w:rPr>
          <w:sz w:val="20"/>
        </w:rPr>
      </w:pPr>
    </w:p>
    <w:p w:rsidR="00D3344A" w:rsidRPr="00996312" w:rsidRDefault="00D3344A" w:rsidP="00D3344A">
      <w:pPr>
        <w:widowControl w:val="0"/>
        <w:outlineLvl w:val="0"/>
      </w:pPr>
      <w:r w:rsidRPr="00996312">
        <w:t xml:space="preserve">Supreme Court of Canada / Cour suprême du </w:t>
      </w:r>
      <w:proofErr w:type="gramStart"/>
      <w:r w:rsidRPr="00996312">
        <w:t>Canad</w:t>
      </w:r>
      <w:r w:rsidR="00EE289F" w:rsidRPr="00996312">
        <w:t>a</w:t>
      </w:r>
      <w:r w:rsidRPr="00996312">
        <w:t xml:space="preserve"> :</w:t>
      </w:r>
      <w:proofErr w:type="gramEnd"/>
    </w:p>
    <w:p w:rsidR="00D3344A" w:rsidRPr="00996312" w:rsidRDefault="00EF0929" w:rsidP="00D3344A">
      <w:pPr>
        <w:widowControl w:val="0"/>
        <w:outlineLvl w:val="0"/>
        <w:rPr>
          <w:u w:val="single"/>
        </w:rPr>
      </w:pPr>
      <w:hyperlink r:id="rId29" w:history="1">
        <w:r w:rsidR="009B7391" w:rsidRPr="00996312">
          <w:rPr>
            <w:rStyle w:val="Hyperlink"/>
          </w:rPr>
          <w:t>comments-commentaires@scc-csc.ca</w:t>
        </w:r>
      </w:hyperlink>
    </w:p>
    <w:p w:rsidR="00D3344A" w:rsidRPr="00996312" w:rsidRDefault="0065588C" w:rsidP="00D3344A">
      <w:pPr>
        <w:widowControl w:val="0"/>
        <w:outlineLvl w:val="0"/>
      </w:pPr>
      <w:r w:rsidRPr="00996312">
        <w:t>613-</w:t>
      </w:r>
      <w:r w:rsidR="00D3344A" w:rsidRPr="00996312">
        <w:t>995-4330</w:t>
      </w:r>
    </w:p>
    <w:p w:rsidR="00497B5E" w:rsidRPr="00996312" w:rsidRDefault="00497B5E" w:rsidP="00497B5E">
      <w:pPr>
        <w:widowControl w:val="0"/>
        <w:rPr>
          <w:sz w:val="20"/>
        </w:rPr>
      </w:pPr>
    </w:p>
    <w:p w:rsidR="00F6251B" w:rsidRPr="006E558B" w:rsidRDefault="003F43E6" w:rsidP="00F6251B">
      <w:pPr>
        <w:pStyle w:val="Footer"/>
        <w:jc w:val="center"/>
      </w:pPr>
      <w:r w:rsidRPr="00996312">
        <w:t>- 30 -</w:t>
      </w:r>
    </w:p>
    <w:sectPr w:rsidR="00F6251B" w:rsidRPr="006E558B" w:rsidSect="00E62F93">
      <w:headerReference w:type="even" r:id="rId30"/>
      <w:headerReference w:type="default" r:id="rId31"/>
      <w:footerReference w:type="even" r:id="rId32"/>
      <w:footerReference w:type="default" r:id="rId33"/>
      <w:headerReference w:type="first" r:id="rId34"/>
      <w:footerReference w:type="first" r:id="rId3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B8" w:rsidRDefault="00626DB8" w:rsidP="0034178A">
      <w:r>
        <w:separator/>
      </w:r>
    </w:p>
  </w:endnote>
  <w:endnote w:type="continuationSeparator" w:id="0">
    <w:p w:rsidR="00626DB8" w:rsidRDefault="00626DB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Pr="009F77F0" w:rsidRDefault="00626DB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B8" w:rsidRDefault="00626DB8" w:rsidP="0034178A">
      <w:r>
        <w:separator/>
      </w:r>
    </w:p>
  </w:footnote>
  <w:footnote w:type="continuationSeparator" w:id="0">
    <w:p w:rsidR="00626DB8" w:rsidRDefault="00626DB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6"/>
  </w:num>
  <w:num w:numId="6">
    <w:abstractNumId w:val="11"/>
  </w:num>
  <w:num w:numId="7">
    <w:abstractNumId w:val="5"/>
  </w:num>
  <w:num w:numId="8">
    <w:abstractNumId w:val="15"/>
  </w:num>
  <w:num w:numId="9">
    <w:abstractNumId w:val="1"/>
  </w:num>
  <w:num w:numId="10">
    <w:abstractNumId w:val="14"/>
  </w:num>
  <w:num w:numId="11">
    <w:abstractNumId w:val="6"/>
  </w:num>
  <w:num w:numId="12">
    <w:abstractNumId w:val="7"/>
  </w:num>
  <w:num w:numId="13">
    <w:abstractNumId w:val="10"/>
  </w:num>
  <w:num w:numId="14">
    <w:abstractNumId w:val="9"/>
  </w:num>
  <w:num w:numId="15">
    <w:abstractNumId w:val="12"/>
  </w:num>
  <w:num w:numId="16">
    <w:abstractNumId w:val="13"/>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3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0E45"/>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112"/>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39A"/>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8AD"/>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1DBA"/>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12"/>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1CE4"/>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092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94" TargetMode="External"/><Relationship Id="rId13" Type="http://schemas.openxmlformats.org/officeDocument/2006/relationships/hyperlink" Target="https://www.canlii.org/en/ab/abqb/doc/2019/2019abqb750/2019abqb750.html?searchUrlHash=AAAAAQANMjAxOSBBQlFCIDc1MAAAAAAB&amp;resultIndex=1" TargetMode="External"/><Relationship Id="rId18" Type="http://schemas.openxmlformats.org/officeDocument/2006/relationships/hyperlink" Target="http://canlii.ca/t/hsgc1" TargetMode="External"/><Relationship Id="rId26" Type="http://schemas.openxmlformats.org/officeDocument/2006/relationships/hyperlink" Target="http://canlii.ca/t/j4dgs" TargetMode="External"/><Relationship Id="rId3" Type="http://schemas.openxmlformats.org/officeDocument/2006/relationships/styles" Target="styles.xml"/><Relationship Id="rId21" Type="http://schemas.openxmlformats.org/officeDocument/2006/relationships/hyperlink" Target="https://www.canlii.org/en/bc/bcsc/doc/2019/2019bcsc1087/2019bcsc1087.html?autocompleteStr=2019%20BCSC%201087&amp;autocompletePos=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286" TargetMode="External"/><Relationship Id="rId17" Type="http://schemas.openxmlformats.org/officeDocument/2006/relationships/hyperlink" Target="http://canlii.ca/t/h5m2m" TargetMode="External"/><Relationship Id="rId25" Type="http://schemas.openxmlformats.org/officeDocument/2006/relationships/hyperlink" Target="http://canlii.ca/t/j3kt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ab/abqb/doc/2019/2019abqb824/2019abqb824.html?searchUrlHash=AAAAAQANMjAxOSBBQlFCIDgyNAAAAAAB&amp;resultIndex=6" TargetMode="External"/><Relationship Id="rId20" Type="http://schemas.openxmlformats.org/officeDocument/2006/relationships/hyperlink" Target="http://canlii.ca/t/hsgc1"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10" TargetMode="External"/><Relationship Id="rId24" Type="http://schemas.openxmlformats.org/officeDocument/2006/relationships/hyperlink" Target="https://www.canlii.org/en/bc/bcca/doc/2020/2020bcca100/2020bcca100.html?autocompleteStr=2020%20bcca%20100&amp;autocompletePos=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ab/abqb/doc/2019/2019abqb750/2019abqb750.html?searchUrlHash=AAAAAQANMjAxOSBBQlFCIDc1MAAAAAAB&amp;resultIndex=1" TargetMode="External"/><Relationship Id="rId23" Type="http://schemas.openxmlformats.org/officeDocument/2006/relationships/hyperlink" Target="https://www.canlii.org/en/bc/bcsc/doc/2019/2019bcsc1087/2019bcsc1087.html?autocompleteStr=2019%20BCSC%201087&amp;autocompletePos=1" TargetMode="External"/><Relationship Id="rId28" Type="http://schemas.openxmlformats.org/officeDocument/2006/relationships/hyperlink" Target="http://canlii.ca/t/j4dgs" TargetMode="External"/><Relationship Id="rId36" Type="http://schemas.openxmlformats.org/officeDocument/2006/relationships/fontTable" Target="fontTable.xml"/><Relationship Id="rId10" Type="http://schemas.openxmlformats.org/officeDocument/2006/relationships/hyperlink" Target="https://www.scc-csc.ca/case-dossier/info/sum-som-eng.aspx?cas=39285" TargetMode="External"/><Relationship Id="rId19" Type="http://schemas.openxmlformats.org/officeDocument/2006/relationships/hyperlink" Target="http://canlii.ca/t/h5m2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9295" TargetMode="External"/><Relationship Id="rId14" Type="http://schemas.openxmlformats.org/officeDocument/2006/relationships/hyperlink" Target="https://www.canlii.org/en/ab/abqb/doc/2019/2019abqb824/2019abqb824.html?searchUrlHash=AAAAAQANMjAxOSBBQlFCIDgyNAAAAAAB&amp;resultIndex=6" TargetMode="External"/><Relationship Id="rId22" Type="http://schemas.openxmlformats.org/officeDocument/2006/relationships/hyperlink" Target="https://www.canlii.org/en/bc/bcca/doc/2020/2020bcca100/2020bcca100.html?autocompleteStr=2020%20bcca%20100&amp;autocompletePos=1" TargetMode="External"/><Relationship Id="rId27" Type="http://schemas.openxmlformats.org/officeDocument/2006/relationships/hyperlink" Target="http://canlii.ca/t/j3ktn"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B67E-FAEB-474F-A4DF-F3193CC1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23085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2020-12-14T13:03:00Z</dcterms:modified>
</cp:coreProperties>
</file>