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1F" w:rsidRPr="004B7487" w:rsidRDefault="000E391F" w:rsidP="000E391F">
      <w:pPr>
        <w:pStyle w:val="Header"/>
        <w:jc w:val="center"/>
        <w:rPr>
          <w:b/>
          <w:sz w:val="32"/>
        </w:rPr>
      </w:pPr>
      <w:r w:rsidRPr="004B7487">
        <w:rPr>
          <w:b/>
          <w:sz w:val="32"/>
        </w:rPr>
        <w:t>Supreme Court of Canada / Cour suprême du Canada</w:t>
      </w:r>
    </w:p>
    <w:p w:rsidR="000E391F" w:rsidRPr="004B7487" w:rsidRDefault="000E391F" w:rsidP="000E391F">
      <w:pPr>
        <w:widowControl w:val="0"/>
      </w:pPr>
    </w:p>
    <w:p w:rsidR="000E391F" w:rsidRPr="004B7487" w:rsidRDefault="000E391F" w:rsidP="000E391F">
      <w:pPr>
        <w:widowControl w:val="0"/>
        <w:rPr>
          <w:i/>
        </w:rPr>
      </w:pPr>
    </w:p>
    <w:p w:rsidR="006F2579" w:rsidRPr="004B7487" w:rsidRDefault="006F2579" w:rsidP="006F2579">
      <w:pPr>
        <w:widowControl w:val="0"/>
        <w:rPr>
          <w:i/>
          <w:sz w:val="20"/>
        </w:rPr>
      </w:pPr>
      <w:r w:rsidRPr="004B7487">
        <w:rPr>
          <w:i/>
          <w:sz w:val="20"/>
        </w:rPr>
        <w:t>(</w:t>
      </w:r>
      <w:r w:rsidR="003240B6" w:rsidRPr="004B7487">
        <w:rPr>
          <w:i/>
          <w:sz w:val="20"/>
        </w:rPr>
        <w:t>L</w:t>
      </w:r>
      <w:r w:rsidRPr="004B7487">
        <w:rPr>
          <w:i/>
          <w:sz w:val="20"/>
        </w:rPr>
        <w:t>e français suit)</w:t>
      </w:r>
    </w:p>
    <w:p w:rsidR="006F2579" w:rsidRPr="004B7487" w:rsidRDefault="006F2579" w:rsidP="006F2579">
      <w:pPr>
        <w:widowControl w:val="0"/>
      </w:pPr>
    </w:p>
    <w:p w:rsidR="006F2579" w:rsidRPr="004B7487" w:rsidRDefault="00B07908" w:rsidP="006F2579">
      <w:pPr>
        <w:widowControl w:val="0"/>
        <w:jc w:val="center"/>
        <w:rPr>
          <w:b/>
        </w:rPr>
      </w:pPr>
      <w:r w:rsidRPr="004B7487">
        <w:fldChar w:fldCharType="begin"/>
      </w:r>
      <w:r w:rsidR="006F2579" w:rsidRPr="004B7487">
        <w:instrText xml:space="preserve"> SEQ CHAPTER \h \r 1</w:instrText>
      </w:r>
      <w:r w:rsidRPr="004B7487">
        <w:fldChar w:fldCharType="end"/>
      </w:r>
      <w:r w:rsidR="006F2579" w:rsidRPr="004B7487">
        <w:rPr>
          <w:b/>
        </w:rPr>
        <w:t>JUDGMENT</w:t>
      </w:r>
      <w:r w:rsidR="00B17AAC" w:rsidRPr="004B7487">
        <w:rPr>
          <w:b/>
        </w:rPr>
        <w:t>S</w:t>
      </w:r>
      <w:r w:rsidR="006F2579" w:rsidRPr="004B7487">
        <w:rPr>
          <w:b/>
        </w:rPr>
        <w:t xml:space="preserve"> TO B</w:t>
      </w:r>
      <w:r w:rsidR="00001846" w:rsidRPr="004B7487">
        <w:rPr>
          <w:b/>
        </w:rPr>
        <w:t>E RENDERED IN LE</w:t>
      </w:r>
      <w:r w:rsidR="00A0288A" w:rsidRPr="004B7487">
        <w:rPr>
          <w:b/>
        </w:rPr>
        <w:t>A</w:t>
      </w:r>
      <w:r w:rsidR="00001846" w:rsidRPr="004B7487">
        <w:rPr>
          <w:b/>
        </w:rPr>
        <w:t>VE APPLICATION</w:t>
      </w:r>
      <w:r w:rsidR="00511288" w:rsidRPr="004B7487">
        <w:rPr>
          <w:b/>
        </w:rPr>
        <w:t>S</w:t>
      </w:r>
    </w:p>
    <w:p w:rsidR="006F2579" w:rsidRPr="004B7487" w:rsidRDefault="006F2579" w:rsidP="006F2579">
      <w:pPr>
        <w:widowControl w:val="0"/>
      </w:pPr>
    </w:p>
    <w:p w:rsidR="006F2579" w:rsidRPr="004B7487" w:rsidRDefault="0068416C" w:rsidP="006F2579">
      <w:pPr>
        <w:widowControl w:val="0"/>
      </w:pPr>
      <w:r w:rsidRPr="004B7487">
        <w:rPr>
          <w:b/>
        </w:rPr>
        <w:t>January</w:t>
      </w:r>
      <w:r w:rsidR="00A15B66" w:rsidRPr="004B7487">
        <w:rPr>
          <w:b/>
        </w:rPr>
        <w:t xml:space="preserve"> </w:t>
      </w:r>
      <w:r w:rsidRPr="004B7487">
        <w:rPr>
          <w:b/>
        </w:rPr>
        <w:t>1</w:t>
      </w:r>
      <w:r w:rsidR="00E23C15" w:rsidRPr="004B7487">
        <w:rPr>
          <w:b/>
        </w:rPr>
        <w:t>1</w:t>
      </w:r>
      <w:r w:rsidR="004441C7" w:rsidRPr="004B7487">
        <w:rPr>
          <w:b/>
        </w:rPr>
        <w:t>,</w:t>
      </w:r>
      <w:r w:rsidR="006F2579" w:rsidRPr="004B7487">
        <w:rPr>
          <w:b/>
        </w:rPr>
        <w:t xml:space="preserve"> </w:t>
      </w:r>
      <w:r w:rsidR="0054689F" w:rsidRPr="004B7487">
        <w:rPr>
          <w:b/>
        </w:rPr>
        <w:t>20</w:t>
      </w:r>
      <w:r w:rsidR="00526754" w:rsidRPr="004B7487">
        <w:rPr>
          <w:b/>
        </w:rPr>
        <w:t>2</w:t>
      </w:r>
      <w:r w:rsidRPr="004B7487">
        <w:rPr>
          <w:b/>
        </w:rPr>
        <w:t>1</w:t>
      </w:r>
    </w:p>
    <w:p w:rsidR="006F2579" w:rsidRPr="004B7487" w:rsidRDefault="00674F39" w:rsidP="006F2579">
      <w:pPr>
        <w:widowControl w:val="0"/>
        <w:rPr>
          <w:b/>
        </w:rPr>
      </w:pPr>
      <w:r w:rsidRPr="004B7487">
        <w:rPr>
          <w:b/>
        </w:rPr>
        <w:t>For immediate release</w:t>
      </w:r>
    </w:p>
    <w:p w:rsidR="006F2579" w:rsidRPr="004B7487" w:rsidRDefault="006F2579" w:rsidP="006F2579">
      <w:pPr>
        <w:widowControl w:val="0"/>
      </w:pPr>
    </w:p>
    <w:p w:rsidR="006F2579" w:rsidRPr="004B7487" w:rsidRDefault="006F2579" w:rsidP="006F2579">
      <w:pPr>
        <w:widowControl w:val="0"/>
        <w:rPr>
          <w:lang w:val="fr-CA"/>
        </w:rPr>
      </w:pPr>
      <w:r w:rsidRPr="004B7487">
        <w:rPr>
          <w:b/>
        </w:rPr>
        <w:t>OTTAWA</w:t>
      </w:r>
      <w:r w:rsidRPr="004B7487">
        <w:t xml:space="preserve"> – The Supreme Court of Canad</w:t>
      </w:r>
      <w:r w:rsidR="006246E4" w:rsidRPr="004B7487">
        <w:t>a</w:t>
      </w:r>
      <w:r w:rsidRPr="004B7487">
        <w:t xml:space="preserve"> announced today that judgment in the following </w:t>
      </w:r>
      <w:r w:rsidR="00DB6199" w:rsidRPr="004B7487">
        <w:t xml:space="preserve">leave applications </w:t>
      </w:r>
      <w:r w:rsidRPr="004B7487">
        <w:t xml:space="preserve">will be delivered at 9:45 a.m. </w:t>
      </w:r>
      <w:r w:rsidR="00E05816" w:rsidRPr="004B7487">
        <w:t>E</w:t>
      </w:r>
      <w:r w:rsidR="004C631D" w:rsidRPr="004B7487">
        <w:t>S</w:t>
      </w:r>
      <w:r w:rsidR="00E05816" w:rsidRPr="004B7487">
        <w:t>T</w:t>
      </w:r>
      <w:r w:rsidRPr="004B7487">
        <w:t xml:space="preserve"> on </w:t>
      </w:r>
      <w:r w:rsidR="0068416C" w:rsidRPr="004B7487">
        <w:t>Thursday</w:t>
      </w:r>
      <w:r w:rsidRPr="004B7487">
        <w:t xml:space="preserve">, </w:t>
      </w:r>
      <w:r w:rsidR="0068416C" w:rsidRPr="004B7487">
        <w:t>January</w:t>
      </w:r>
      <w:r w:rsidR="00455912" w:rsidRPr="004B7487">
        <w:t xml:space="preserve"> </w:t>
      </w:r>
      <w:r w:rsidR="0068416C" w:rsidRPr="004B7487">
        <w:t>14</w:t>
      </w:r>
      <w:r w:rsidR="007E112F" w:rsidRPr="004B7487">
        <w:t>,</w:t>
      </w:r>
      <w:r w:rsidR="002F38D7" w:rsidRPr="004B7487">
        <w:t xml:space="preserve"> </w:t>
      </w:r>
      <w:r w:rsidR="006648D1" w:rsidRPr="004B7487">
        <w:t>20</w:t>
      </w:r>
      <w:r w:rsidR="00526754" w:rsidRPr="004B7487">
        <w:t>2</w:t>
      </w:r>
      <w:r w:rsidR="00DD65CF" w:rsidRPr="004B7487">
        <w:t>1</w:t>
      </w:r>
      <w:r w:rsidRPr="004B7487">
        <w:t xml:space="preserve">. </w:t>
      </w:r>
      <w:r w:rsidRPr="004B7487">
        <w:rPr>
          <w:lang w:val="fr-CA"/>
        </w:rPr>
        <w:t>This list is subject to chang</w:t>
      </w:r>
      <w:r w:rsidR="00192F7F" w:rsidRPr="004B7487">
        <w:rPr>
          <w:lang w:val="fr-CA"/>
        </w:rPr>
        <w:t>e</w:t>
      </w:r>
      <w:r w:rsidRPr="004B7487">
        <w:rPr>
          <w:lang w:val="fr-CA"/>
        </w:rPr>
        <w:t>.</w:t>
      </w:r>
    </w:p>
    <w:p w:rsidR="00FF5AA4" w:rsidRPr="004B7487" w:rsidRDefault="00FF5AA4" w:rsidP="006F2579">
      <w:pPr>
        <w:widowControl w:val="0"/>
        <w:rPr>
          <w:lang w:val="fr-CA"/>
        </w:rPr>
      </w:pPr>
    </w:p>
    <w:p w:rsidR="00B43418" w:rsidRPr="004B7487" w:rsidRDefault="00B43418" w:rsidP="006F2579">
      <w:pPr>
        <w:widowControl w:val="0"/>
        <w:rPr>
          <w:lang w:val="fr-CA"/>
        </w:rPr>
      </w:pPr>
    </w:p>
    <w:p w:rsidR="006F2579" w:rsidRPr="004B7487" w:rsidRDefault="006F2579" w:rsidP="006F2579">
      <w:pPr>
        <w:widowControl w:val="0"/>
        <w:jc w:val="center"/>
        <w:rPr>
          <w:lang w:val="fr-CA"/>
        </w:rPr>
      </w:pPr>
      <w:r w:rsidRPr="004B7487">
        <w:rPr>
          <w:b/>
          <w:lang w:val="fr-CA"/>
        </w:rPr>
        <w:t>PROCHAIN</w:t>
      </w:r>
      <w:r w:rsidR="00B17AAC" w:rsidRPr="004B7487">
        <w:rPr>
          <w:b/>
          <w:lang w:val="fr-CA"/>
        </w:rPr>
        <w:t>S</w:t>
      </w:r>
      <w:r w:rsidRPr="004B7487">
        <w:rPr>
          <w:b/>
          <w:lang w:val="fr-CA"/>
        </w:rPr>
        <w:t xml:space="preserve"> JUGEMENT</w:t>
      </w:r>
      <w:r w:rsidR="00B17AAC" w:rsidRPr="004B7487">
        <w:rPr>
          <w:b/>
          <w:lang w:val="fr-CA"/>
        </w:rPr>
        <w:t>S</w:t>
      </w:r>
      <w:r w:rsidR="00001846" w:rsidRPr="004B7487">
        <w:rPr>
          <w:b/>
          <w:lang w:val="fr-CA"/>
        </w:rPr>
        <w:t xml:space="preserve"> SUR DEMANDE</w:t>
      </w:r>
      <w:r w:rsidR="00B17AAC" w:rsidRPr="004B7487">
        <w:rPr>
          <w:b/>
          <w:lang w:val="fr-CA"/>
        </w:rPr>
        <w:t>S</w:t>
      </w:r>
      <w:r w:rsidRPr="004B7487">
        <w:rPr>
          <w:b/>
          <w:lang w:val="fr-CA"/>
        </w:rPr>
        <w:t xml:space="preserve"> D’AUTORISATION</w:t>
      </w:r>
    </w:p>
    <w:p w:rsidR="006F2579" w:rsidRPr="004B7487" w:rsidRDefault="006F2579" w:rsidP="006F2579">
      <w:pPr>
        <w:widowControl w:val="0"/>
        <w:rPr>
          <w:lang w:val="fr-CA"/>
        </w:rPr>
      </w:pPr>
    </w:p>
    <w:p w:rsidR="006F2579" w:rsidRPr="004B7487" w:rsidRDefault="006F2579" w:rsidP="006F2579">
      <w:pPr>
        <w:widowControl w:val="0"/>
        <w:rPr>
          <w:lang w:val="fr-CA"/>
        </w:rPr>
      </w:pPr>
      <w:r w:rsidRPr="004B7487">
        <w:rPr>
          <w:b/>
          <w:lang w:val="fr-CA"/>
        </w:rPr>
        <w:t>Le</w:t>
      </w:r>
      <w:r w:rsidR="00957A76" w:rsidRPr="004B7487">
        <w:rPr>
          <w:b/>
          <w:lang w:val="fr-CA"/>
        </w:rPr>
        <w:t xml:space="preserve"> </w:t>
      </w:r>
      <w:r w:rsidR="0068416C" w:rsidRPr="004B7487">
        <w:rPr>
          <w:b/>
          <w:lang w:val="fr-CA"/>
        </w:rPr>
        <w:t>1</w:t>
      </w:r>
      <w:r w:rsidR="00E23C15" w:rsidRPr="004B7487">
        <w:rPr>
          <w:b/>
          <w:lang w:val="fr-CA"/>
        </w:rPr>
        <w:t>1</w:t>
      </w:r>
      <w:r w:rsidR="007A72CA" w:rsidRPr="004B7487">
        <w:rPr>
          <w:b/>
          <w:lang w:val="fr-CA"/>
        </w:rPr>
        <w:t xml:space="preserve"> </w:t>
      </w:r>
      <w:r w:rsidR="0068416C" w:rsidRPr="004B7487">
        <w:rPr>
          <w:b/>
          <w:lang w:val="fr-CA"/>
        </w:rPr>
        <w:t>janvier</w:t>
      </w:r>
      <w:r w:rsidR="00A151D1" w:rsidRPr="004B7487">
        <w:rPr>
          <w:b/>
          <w:lang w:val="fr-CA"/>
        </w:rPr>
        <w:t xml:space="preserve"> 20</w:t>
      </w:r>
      <w:r w:rsidR="00526754" w:rsidRPr="004B7487">
        <w:rPr>
          <w:b/>
          <w:lang w:val="fr-CA"/>
        </w:rPr>
        <w:t>2</w:t>
      </w:r>
      <w:r w:rsidR="0068416C" w:rsidRPr="004B7487">
        <w:rPr>
          <w:b/>
          <w:lang w:val="fr-CA"/>
        </w:rPr>
        <w:t>1</w:t>
      </w:r>
    </w:p>
    <w:p w:rsidR="006F2579" w:rsidRPr="004B7487" w:rsidRDefault="006F2579" w:rsidP="006F2579">
      <w:pPr>
        <w:widowControl w:val="0"/>
        <w:rPr>
          <w:b/>
          <w:lang w:val="fr-CA"/>
        </w:rPr>
      </w:pPr>
      <w:r w:rsidRPr="004B7487">
        <w:rPr>
          <w:b/>
          <w:lang w:val="fr-CA"/>
        </w:rPr>
        <w:t>Pour diffusion immédiate</w:t>
      </w:r>
    </w:p>
    <w:p w:rsidR="006F2579" w:rsidRPr="004B7487" w:rsidRDefault="006F2579" w:rsidP="006F2579">
      <w:pPr>
        <w:widowControl w:val="0"/>
        <w:rPr>
          <w:lang w:val="fr-CA"/>
        </w:rPr>
      </w:pPr>
    </w:p>
    <w:p w:rsidR="006F2579" w:rsidRPr="004B7487" w:rsidRDefault="006F2579" w:rsidP="006F2579">
      <w:pPr>
        <w:widowControl w:val="0"/>
        <w:rPr>
          <w:lang w:val="fr-CA"/>
        </w:rPr>
      </w:pPr>
      <w:r w:rsidRPr="004B7487">
        <w:rPr>
          <w:b/>
          <w:lang w:val="fr-CA"/>
        </w:rPr>
        <w:t>OTTAWA</w:t>
      </w:r>
      <w:r w:rsidRPr="004B7487">
        <w:rPr>
          <w:lang w:val="fr-CA"/>
        </w:rPr>
        <w:t xml:space="preserve"> – La Cour suprême du Canada annonce que jugement ser</w:t>
      </w:r>
      <w:r w:rsidR="004259F9" w:rsidRPr="004B7487">
        <w:rPr>
          <w:lang w:val="fr-CA"/>
        </w:rPr>
        <w:t>a</w:t>
      </w:r>
      <w:r w:rsidRPr="004B7487">
        <w:rPr>
          <w:lang w:val="fr-CA"/>
        </w:rPr>
        <w:t xml:space="preserve"> rendu dans l</w:t>
      </w:r>
      <w:r w:rsidR="008600ED" w:rsidRPr="004B7487">
        <w:rPr>
          <w:lang w:val="fr-CA"/>
        </w:rPr>
        <w:t>es</w:t>
      </w:r>
      <w:r w:rsidRPr="004B7487">
        <w:rPr>
          <w:lang w:val="fr-CA"/>
        </w:rPr>
        <w:t xml:space="preserve"> demande</w:t>
      </w:r>
      <w:r w:rsidR="008600ED" w:rsidRPr="004B7487">
        <w:rPr>
          <w:lang w:val="fr-CA"/>
        </w:rPr>
        <w:t>s</w:t>
      </w:r>
      <w:r w:rsidRPr="004B7487">
        <w:rPr>
          <w:lang w:val="fr-CA"/>
        </w:rPr>
        <w:t xml:space="preserve"> d</w:t>
      </w:r>
      <w:r w:rsidR="00001846" w:rsidRPr="004B7487">
        <w:rPr>
          <w:lang w:val="fr-CA"/>
        </w:rPr>
        <w:t>’autorisation suivante</w:t>
      </w:r>
      <w:r w:rsidR="008600ED" w:rsidRPr="004B7487">
        <w:rPr>
          <w:lang w:val="fr-CA"/>
        </w:rPr>
        <w:t>s</w:t>
      </w:r>
      <w:r w:rsidRPr="004B7487">
        <w:rPr>
          <w:lang w:val="fr-CA"/>
        </w:rPr>
        <w:t xml:space="preserve"> le </w:t>
      </w:r>
      <w:r w:rsidR="0068416C" w:rsidRPr="004B7487">
        <w:rPr>
          <w:lang w:val="fr-CA"/>
        </w:rPr>
        <w:t>jeudi</w:t>
      </w:r>
      <w:r w:rsidRPr="004B7487">
        <w:rPr>
          <w:lang w:val="fr-CA"/>
        </w:rPr>
        <w:t xml:space="preserve"> </w:t>
      </w:r>
      <w:r w:rsidR="0068416C" w:rsidRPr="004B7487">
        <w:rPr>
          <w:lang w:val="fr-CA"/>
        </w:rPr>
        <w:t>14</w:t>
      </w:r>
      <w:r w:rsidR="00466302" w:rsidRPr="004B7487">
        <w:rPr>
          <w:lang w:val="fr-CA"/>
        </w:rPr>
        <w:t xml:space="preserve"> </w:t>
      </w:r>
      <w:r w:rsidR="0068416C" w:rsidRPr="004B7487">
        <w:rPr>
          <w:lang w:val="fr-CA"/>
        </w:rPr>
        <w:t>janvier</w:t>
      </w:r>
      <w:r w:rsidR="00694391" w:rsidRPr="004B7487">
        <w:rPr>
          <w:lang w:val="fr-CA"/>
        </w:rPr>
        <w:t xml:space="preserve"> 2</w:t>
      </w:r>
      <w:r w:rsidR="006648D1" w:rsidRPr="004B7487">
        <w:rPr>
          <w:lang w:val="fr-CA"/>
        </w:rPr>
        <w:t>0</w:t>
      </w:r>
      <w:r w:rsidR="00526754" w:rsidRPr="004B7487">
        <w:rPr>
          <w:lang w:val="fr-CA"/>
        </w:rPr>
        <w:t>2</w:t>
      </w:r>
      <w:r w:rsidR="0068416C" w:rsidRPr="004B7487">
        <w:rPr>
          <w:lang w:val="fr-CA"/>
        </w:rPr>
        <w:t>1</w:t>
      </w:r>
      <w:r w:rsidRPr="004B7487">
        <w:rPr>
          <w:lang w:val="fr-CA"/>
        </w:rPr>
        <w:t xml:space="preserve">, à 9 h 45 </w:t>
      </w:r>
      <w:r w:rsidR="000627A2" w:rsidRPr="004B7487">
        <w:rPr>
          <w:lang w:val="fr-CA"/>
        </w:rPr>
        <w:t>H</w:t>
      </w:r>
      <w:r w:rsidR="004C631D" w:rsidRPr="004B7487">
        <w:rPr>
          <w:lang w:val="fr-CA"/>
        </w:rPr>
        <w:t>N</w:t>
      </w:r>
      <w:r w:rsidRPr="004B7487">
        <w:rPr>
          <w:lang w:val="fr-CA"/>
        </w:rPr>
        <w:t>E. Cette liste est sujette à modifications.</w:t>
      </w:r>
    </w:p>
    <w:p w:rsidR="0080556B" w:rsidRPr="004B7487" w:rsidRDefault="0080556B" w:rsidP="009B14F4">
      <w:pPr>
        <w:widowControl w:val="0"/>
        <w:jc w:val="both"/>
        <w:rPr>
          <w:sz w:val="20"/>
          <w:lang w:val="fr-CA"/>
        </w:rPr>
      </w:pPr>
    </w:p>
    <w:p w:rsidR="00867C61" w:rsidRPr="004B7487" w:rsidRDefault="004B7487" w:rsidP="009B14F4">
      <w:pPr>
        <w:widowControl w:val="0"/>
        <w:jc w:val="both"/>
        <w:rPr>
          <w:sz w:val="20"/>
        </w:rPr>
      </w:pPr>
      <w:r w:rsidRPr="004B7487">
        <w:rPr>
          <w:sz w:val="20"/>
        </w:rPr>
        <w:pict>
          <v:rect id="_x0000_i1025" style="width:2in;height:1pt" o:hrpct="0" o:hralign="center" o:hrstd="t" o:hrnoshade="t" o:hr="t" fillcolor="black [3213]" stroked="f"/>
        </w:pict>
      </w:r>
    </w:p>
    <w:p w:rsidR="0029283C" w:rsidRPr="004B7487" w:rsidRDefault="0029283C" w:rsidP="0029283C">
      <w:pPr>
        <w:rPr>
          <w:sz w:val="20"/>
        </w:rPr>
      </w:pPr>
    </w:p>
    <w:p w:rsidR="00832C7E" w:rsidRPr="004B7487" w:rsidRDefault="00832C7E" w:rsidP="004959FF">
      <w:pPr>
        <w:pStyle w:val="ListParagraph"/>
        <w:numPr>
          <w:ilvl w:val="0"/>
          <w:numId w:val="26"/>
        </w:numPr>
        <w:ind w:left="357" w:hanging="357"/>
        <w:rPr>
          <w:i/>
          <w:sz w:val="20"/>
        </w:rPr>
      </w:pPr>
      <w:r w:rsidRPr="004B7487">
        <w:rPr>
          <w:i/>
          <w:sz w:val="20"/>
        </w:rPr>
        <w:t xml:space="preserve">Jessy Herlichka v. Her Majesty the Queen </w:t>
      </w:r>
      <w:r w:rsidRPr="004B7487">
        <w:rPr>
          <w:sz w:val="20"/>
        </w:rPr>
        <w:t>(Ont.) (Criminal) (By Leave) (</w:t>
      </w:r>
      <w:hyperlink r:id="rId8" w:history="1">
        <w:r w:rsidRPr="004B7487">
          <w:rPr>
            <w:rStyle w:val="Hyperlink"/>
            <w:sz w:val="20"/>
            <w:szCs w:val="20"/>
          </w:rPr>
          <w:t>39</w:t>
        </w:r>
        <w:r w:rsidR="002277F0" w:rsidRPr="004B7487">
          <w:rPr>
            <w:rStyle w:val="Hyperlink"/>
            <w:sz w:val="20"/>
            <w:szCs w:val="20"/>
          </w:rPr>
          <w:t>32</w:t>
        </w:r>
        <w:r w:rsidRPr="004B7487">
          <w:rPr>
            <w:rStyle w:val="Hyperlink"/>
            <w:sz w:val="20"/>
            <w:szCs w:val="20"/>
          </w:rPr>
          <w:t>2</w:t>
        </w:r>
      </w:hyperlink>
      <w:r w:rsidRPr="004B7487">
        <w:rPr>
          <w:sz w:val="20"/>
        </w:rPr>
        <w:t>)</w:t>
      </w:r>
    </w:p>
    <w:p w:rsidR="00832C7E" w:rsidRPr="004B7487" w:rsidRDefault="00832C7E" w:rsidP="004959FF">
      <w:pPr>
        <w:ind w:left="357" w:hanging="357"/>
        <w:rPr>
          <w:sz w:val="20"/>
        </w:rPr>
      </w:pPr>
    </w:p>
    <w:p w:rsidR="00832C7E" w:rsidRPr="004B7487" w:rsidRDefault="00832C7E" w:rsidP="004959FF">
      <w:pPr>
        <w:pStyle w:val="ListParagraph"/>
        <w:numPr>
          <w:ilvl w:val="0"/>
          <w:numId w:val="26"/>
        </w:numPr>
        <w:ind w:left="357" w:hanging="357"/>
        <w:rPr>
          <w:sz w:val="20"/>
          <w:lang w:val="fr-CA"/>
        </w:rPr>
      </w:pPr>
      <w:r w:rsidRPr="004B7487">
        <w:rPr>
          <w:i/>
          <w:sz w:val="20"/>
          <w:lang w:val="fr-CA"/>
        </w:rPr>
        <w:t xml:space="preserve">Patrice Demers, et al. c. Agence du revenu du Québec </w:t>
      </w:r>
      <w:r w:rsidRPr="004B7487">
        <w:rPr>
          <w:sz w:val="20"/>
          <w:lang w:val="fr-CA"/>
        </w:rPr>
        <w:t>(Qc) (Civile) (Autorisation) (</w:t>
      </w:r>
      <w:hyperlink r:id="rId9" w:history="1">
        <w:r w:rsidRPr="004B7487">
          <w:rPr>
            <w:rStyle w:val="Hyperlink"/>
            <w:sz w:val="20"/>
            <w:szCs w:val="20"/>
            <w:lang w:val="fr-CA"/>
          </w:rPr>
          <w:t>39</w:t>
        </w:r>
        <w:r w:rsidR="002277F0" w:rsidRPr="004B7487">
          <w:rPr>
            <w:rStyle w:val="Hyperlink"/>
            <w:sz w:val="20"/>
            <w:szCs w:val="20"/>
            <w:lang w:val="fr-CA"/>
          </w:rPr>
          <w:t>309</w:t>
        </w:r>
      </w:hyperlink>
      <w:r w:rsidRPr="004B7487">
        <w:rPr>
          <w:sz w:val="20"/>
          <w:lang w:val="fr-CA"/>
        </w:rPr>
        <w:t>)</w:t>
      </w:r>
    </w:p>
    <w:p w:rsidR="00832C7E" w:rsidRPr="004B7487" w:rsidRDefault="00832C7E" w:rsidP="004959FF">
      <w:pPr>
        <w:ind w:left="357" w:hanging="357"/>
        <w:rPr>
          <w:sz w:val="20"/>
          <w:lang w:val="fr-CA"/>
        </w:rPr>
      </w:pPr>
    </w:p>
    <w:p w:rsidR="00832C7E" w:rsidRPr="004B7487" w:rsidRDefault="00832C7E" w:rsidP="004959FF">
      <w:pPr>
        <w:pStyle w:val="ListParagraph"/>
        <w:numPr>
          <w:ilvl w:val="0"/>
          <w:numId w:val="26"/>
        </w:numPr>
        <w:ind w:left="357" w:hanging="357"/>
        <w:rPr>
          <w:i/>
          <w:sz w:val="20"/>
        </w:rPr>
      </w:pPr>
      <w:r w:rsidRPr="004B7487">
        <w:rPr>
          <w:i/>
          <w:sz w:val="20"/>
          <w:lang w:val="fr-CA"/>
        </w:rPr>
        <w:t xml:space="preserve">Caroline Martin, et al. v. Danielle Mailhot </w:t>
      </w:r>
      <w:r w:rsidRPr="004B7487">
        <w:rPr>
          <w:sz w:val="20"/>
          <w:lang w:val="fr-CA"/>
        </w:rPr>
        <w:t xml:space="preserve">(Ont.) </w:t>
      </w:r>
      <w:r w:rsidRPr="004B7487">
        <w:rPr>
          <w:sz w:val="20"/>
        </w:rPr>
        <w:t>(Civil) (By Leave) (</w:t>
      </w:r>
      <w:hyperlink r:id="rId10" w:history="1">
        <w:r w:rsidRPr="004B7487">
          <w:rPr>
            <w:rStyle w:val="Hyperlink"/>
            <w:sz w:val="20"/>
            <w:szCs w:val="20"/>
          </w:rPr>
          <w:t>39</w:t>
        </w:r>
        <w:r w:rsidR="002277F0" w:rsidRPr="004B7487">
          <w:rPr>
            <w:rStyle w:val="Hyperlink"/>
            <w:sz w:val="20"/>
            <w:szCs w:val="20"/>
          </w:rPr>
          <w:t>318</w:t>
        </w:r>
      </w:hyperlink>
      <w:r w:rsidRPr="004B7487">
        <w:rPr>
          <w:sz w:val="20"/>
        </w:rPr>
        <w:t>)</w:t>
      </w:r>
    </w:p>
    <w:p w:rsidR="00832C7E" w:rsidRPr="004B7487" w:rsidRDefault="00832C7E" w:rsidP="004959FF">
      <w:pPr>
        <w:ind w:left="357" w:hanging="357"/>
        <w:rPr>
          <w:sz w:val="20"/>
        </w:rPr>
      </w:pPr>
    </w:p>
    <w:p w:rsidR="00832C7E" w:rsidRPr="004B7487" w:rsidRDefault="00832C7E" w:rsidP="004959FF">
      <w:pPr>
        <w:pStyle w:val="ListParagraph"/>
        <w:numPr>
          <w:ilvl w:val="0"/>
          <w:numId w:val="26"/>
        </w:numPr>
        <w:ind w:left="357" w:hanging="357"/>
        <w:rPr>
          <w:sz w:val="20"/>
        </w:rPr>
      </w:pPr>
      <w:r w:rsidRPr="004B7487">
        <w:rPr>
          <w:i/>
          <w:sz w:val="20"/>
        </w:rPr>
        <w:t xml:space="preserve">Leisa Hutton v. Manufacturers Life Insurance Company (Manulife Financial) </w:t>
      </w:r>
      <w:r w:rsidRPr="004B7487">
        <w:rPr>
          <w:sz w:val="20"/>
        </w:rPr>
        <w:t>(Ont.) (Civil) (By Leave) (</w:t>
      </w:r>
      <w:hyperlink r:id="rId11" w:history="1">
        <w:r w:rsidRPr="004B7487">
          <w:rPr>
            <w:rStyle w:val="Hyperlink"/>
            <w:sz w:val="20"/>
            <w:szCs w:val="20"/>
          </w:rPr>
          <w:t>39</w:t>
        </w:r>
        <w:r w:rsidR="002277F0" w:rsidRPr="004B7487">
          <w:rPr>
            <w:rStyle w:val="Hyperlink"/>
            <w:sz w:val="20"/>
            <w:szCs w:val="20"/>
          </w:rPr>
          <w:t>10</w:t>
        </w:r>
        <w:r w:rsidRPr="004B7487">
          <w:rPr>
            <w:rStyle w:val="Hyperlink"/>
            <w:sz w:val="20"/>
            <w:szCs w:val="20"/>
          </w:rPr>
          <w:t>2</w:t>
        </w:r>
      </w:hyperlink>
      <w:r w:rsidRPr="004B7487">
        <w:rPr>
          <w:sz w:val="20"/>
        </w:rPr>
        <w:t>)</w:t>
      </w:r>
    </w:p>
    <w:p w:rsidR="00832C7E" w:rsidRPr="004B7487" w:rsidRDefault="00832C7E" w:rsidP="004959FF">
      <w:pPr>
        <w:pStyle w:val="SCCAppellantInfoAppellantInfo"/>
        <w:tabs>
          <w:tab w:val="left" w:pos="360"/>
        </w:tabs>
        <w:ind w:left="357" w:hanging="357"/>
        <w:rPr>
          <w:sz w:val="20"/>
          <w:szCs w:val="20"/>
          <w:lang w:val="en-US"/>
        </w:rPr>
      </w:pPr>
    </w:p>
    <w:p w:rsidR="00832C7E" w:rsidRPr="004B7487" w:rsidRDefault="00832C7E" w:rsidP="004959FF">
      <w:pPr>
        <w:pStyle w:val="ListParagraph"/>
        <w:numPr>
          <w:ilvl w:val="0"/>
          <w:numId w:val="26"/>
        </w:numPr>
        <w:ind w:left="357" w:hanging="357"/>
        <w:rPr>
          <w:i/>
          <w:sz w:val="20"/>
          <w:lang w:val="fr-CA"/>
        </w:rPr>
      </w:pPr>
      <w:r w:rsidRPr="004B7487">
        <w:rPr>
          <w:i/>
          <w:sz w:val="20"/>
          <w:lang w:val="fr-CA"/>
        </w:rPr>
        <w:t xml:space="preserve">Michel Bergevin c. Sa Majesté la Reine </w:t>
      </w:r>
      <w:r w:rsidRPr="004B7487">
        <w:rPr>
          <w:sz w:val="20"/>
          <w:lang w:val="fr-CA"/>
        </w:rPr>
        <w:t>(Qc) (Criminelle) (Autorisation) (</w:t>
      </w:r>
      <w:hyperlink r:id="rId12" w:history="1">
        <w:r w:rsidRPr="004B7487">
          <w:rPr>
            <w:rStyle w:val="Hyperlink"/>
            <w:sz w:val="20"/>
            <w:szCs w:val="20"/>
            <w:lang w:val="fr-CA"/>
          </w:rPr>
          <w:t>392</w:t>
        </w:r>
        <w:r w:rsidR="002277F0" w:rsidRPr="004B7487">
          <w:rPr>
            <w:rStyle w:val="Hyperlink"/>
            <w:sz w:val="20"/>
            <w:szCs w:val="20"/>
            <w:lang w:val="fr-CA"/>
          </w:rPr>
          <w:t>91</w:t>
        </w:r>
      </w:hyperlink>
      <w:r w:rsidRPr="004B7487">
        <w:rPr>
          <w:sz w:val="20"/>
          <w:lang w:val="fr-CA"/>
        </w:rPr>
        <w:t>)</w:t>
      </w:r>
    </w:p>
    <w:p w:rsidR="00832C7E" w:rsidRPr="004B7487" w:rsidRDefault="00832C7E" w:rsidP="004959FF">
      <w:pPr>
        <w:ind w:left="357" w:hanging="357"/>
        <w:rPr>
          <w:sz w:val="20"/>
          <w:lang w:val="fr-CA"/>
        </w:rPr>
      </w:pPr>
    </w:p>
    <w:p w:rsidR="00832C7E" w:rsidRPr="004B7487" w:rsidRDefault="00832C7E" w:rsidP="004959FF">
      <w:pPr>
        <w:pStyle w:val="ListParagraph"/>
        <w:numPr>
          <w:ilvl w:val="0"/>
          <w:numId w:val="26"/>
        </w:numPr>
        <w:ind w:left="357" w:hanging="357"/>
        <w:rPr>
          <w:i/>
          <w:sz w:val="20"/>
          <w:lang w:val="fr-CA"/>
        </w:rPr>
      </w:pPr>
      <w:r w:rsidRPr="004B7487">
        <w:rPr>
          <w:i/>
          <w:sz w:val="20"/>
          <w:lang w:val="fr-CA"/>
        </w:rPr>
        <w:t xml:space="preserve">Cédric Catellier c. Sa Majesté la Reine </w:t>
      </w:r>
      <w:r w:rsidRPr="004B7487">
        <w:rPr>
          <w:sz w:val="20"/>
          <w:lang w:val="fr-CA"/>
        </w:rPr>
        <w:t>(Qc) (Criminelle) (Autorisation) (</w:t>
      </w:r>
      <w:hyperlink r:id="rId13" w:history="1">
        <w:r w:rsidRPr="004B7487">
          <w:rPr>
            <w:rStyle w:val="Hyperlink"/>
            <w:sz w:val="20"/>
            <w:szCs w:val="20"/>
            <w:lang w:val="fr-CA"/>
          </w:rPr>
          <w:t>39</w:t>
        </w:r>
        <w:r w:rsidR="002277F0" w:rsidRPr="004B7487">
          <w:rPr>
            <w:rStyle w:val="Hyperlink"/>
            <w:sz w:val="20"/>
            <w:szCs w:val="20"/>
            <w:lang w:val="fr-CA"/>
          </w:rPr>
          <w:t>34</w:t>
        </w:r>
        <w:r w:rsidRPr="004B7487">
          <w:rPr>
            <w:rStyle w:val="Hyperlink"/>
            <w:sz w:val="20"/>
            <w:szCs w:val="20"/>
            <w:lang w:val="fr-CA"/>
          </w:rPr>
          <w:t>2</w:t>
        </w:r>
      </w:hyperlink>
      <w:r w:rsidRPr="004B7487">
        <w:rPr>
          <w:sz w:val="20"/>
          <w:lang w:val="fr-CA"/>
        </w:rPr>
        <w:t>)</w:t>
      </w:r>
    </w:p>
    <w:p w:rsidR="00832C7E" w:rsidRPr="004B7487" w:rsidRDefault="00832C7E" w:rsidP="004959FF">
      <w:pPr>
        <w:ind w:left="357" w:hanging="357"/>
        <w:rPr>
          <w:sz w:val="20"/>
          <w:lang w:val="fr-CA"/>
        </w:rPr>
      </w:pPr>
    </w:p>
    <w:p w:rsidR="00832C7E" w:rsidRPr="004B7487" w:rsidRDefault="00832C7E" w:rsidP="004959FF">
      <w:pPr>
        <w:pStyle w:val="ListParagraph"/>
        <w:numPr>
          <w:ilvl w:val="0"/>
          <w:numId w:val="26"/>
        </w:numPr>
        <w:ind w:left="357" w:hanging="357"/>
        <w:rPr>
          <w:sz w:val="20"/>
        </w:rPr>
      </w:pPr>
      <w:r w:rsidRPr="004B7487">
        <w:rPr>
          <w:i/>
          <w:sz w:val="20"/>
        </w:rPr>
        <w:t xml:space="preserve">Swegon North America Inc. v. Benjamin Waksdale </w:t>
      </w:r>
      <w:r w:rsidRPr="004B7487">
        <w:rPr>
          <w:sz w:val="20"/>
        </w:rPr>
        <w:t>(Ont.) (Civil) (By Leave) (</w:t>
      </w:r>
      <w:hyperlink r:id="rId14" w:history="1">
        <w:r w:rsidRPr="004B7487">
          <w:rPr>
            <w:rStyle w:val="Hyperlink"/>
            <w:sz w:val="20"/>
            <w:szCs w:val="20"/>
          </w:rPr>
          <w:t>39</w:t>
        </w:r>
        <w:r w:rsidR="002277F0" w:rsidRPr="004B7487">
          <w:rPr>
            <w:rStyle w:val="Hyperlink"/>
            <w:sz w:val="20"/>
            <w:szCs w:val="20"/>
          </w:rPr>
          <w:t>3</w:t>
        </w:r>
        <w:r w:rsidRPr="004B7487">
          <w:rPr>
            <w:rStyle w:val="Hyperlink"/>
            <w:sz w:val="20"/>
            <w:szCs w:val="20"/>
          </w:rPr>
          <w:t>2</w:t>
        </w:r>
        <w:r w:rsidR="002277F0" w:rsidRPr="004B7487">
          <w:rPr>
            <w:rStyle w:val="Hyperlink"/>
            <w:sz w:val="20"/>
            <w:szCs w:val="20"/>
          </w:rPr>
          <w:t>6</w:t>
        </w:r>
      </w:hyperlink>
      <w:r w:rsidRPr="004B7487">
        <w:rPr>
          <w:sz w:val="20"/>
        </w:rPr>
        <w:t>)</w:t>
      </w:r>
    </w:p>
    <w:p w:rsidR="00832C7E" w:rsidRPr="004B7487" w:rsidRDefault="00832C7E" w:rsidP="004959FF">
      <w:pPr>
        <w:ind w:left="357" w:hanging="357"/>
        <w:rPr>
          <w:sz w:val="20"/>
        </w:rPr>
      </w:pPr>
    </w:p>
    <w:p w:rsidR="00832C7E" w:rsidRPr="004B7487" w:rsidRDefault="00832C7E" w:rsidP="004959FF">
      <w:pPr>
        <w:pStyle w:val="ListParagraph"/>
        <w:numPr>
          <w:ilvl w:val="0"/>
          <w:numId w:val="26"/>
        </w:numPr>
        <w:ind w:left="357" w:hanging="357"/>
        <w:rPr>
          <w:sz w:val="20"/>
        </w:rPr>
      </w:pPr>
      <w:r w:rsidRPr="004B7487">
        <w:rPr>
          <w:i/>
          <w:sz w:val="20"/>
        </w:rPr>
        <w:t xml:space="preserve">Roman Catholic Episcopal Corporation of St. John’s v.  John Doe (G.E.B. #25), et al. </w:t>
      </w:r>
      <w:r w:rsidRPr="004B7487">
        <w:rPr>
          <w:sz w:val="20"/>
        </w:rPr>
        <w:t>(N.L.) (Civil) (By Leave) (</w:t>
      </w:r>
      <w:hyperlink r:id="rId15" w:history="1">
        <w:r w:rsidRPr="004B7487">
          <w:rPr>
            <w:rStyle w:val="Hyperlink"/>
            <w:sz w:val="20"/>
            <w:szCs w:val="20"/>
          </w:rPr>
          <w:t>39</w:t>
        </w:r>
        <w:r w:rsidR="002277F0" w:rsidRPr="004B7487">
          <w:rPr>
            <w:rStyle w:val="Hyperlink"/>
            <w:sz w:val="20"/>
            <w:szCs w:val="20"/>
          </w:rPr>
          <w:t>343</w:t>
        </w:r>
      </w:hyperlink>
      <w:r w:rsidRPr="004B7487">
        <w:rPr>
          <w:sz w:val="20"/>
        </w:rPr>
        <w:t>)</w:t>
      </w:r>
    </w:p>
    <w:p w:rsidR="0068416C" w:rsidRPr="004B7487" w:rsidRDefault="0068416C" w:rsidP="004959FF">
      <w:pPr>
        <w:ind w:left="357" w:hanging="357"/>
        <w:rPr>
          <w:sz w:val="20"/>
        </w:rPr>
      </w:pPr>
    </w:p>
    <w:p w:rsidR="00832C7E" w:rsidRPr="004B7487" w:rsidRDefault="00832C7E" w:rsidP="004959FF">
      <w:pPr>
        <w:pStyle w:val="ListParagraph"/>
        <w:numPr>
          <w:ilvl w:val="0"/>
          <w:numId w:val="26"/>
        </w:numPr>
        <w:ind w:left="357" w:hanging="357"/>
        <w:rPr>
          <w:sz w:val="20"/>
        </w:rPr>
      </w:pPr>
      <w:r w:rsidRPr="004B7487">
        <w:rPr>
          <w:i/>
          <w:sz w:val="20"/>
        </w:rPr>
        <w:t>Jian Hu (James) Wu v. Her Majesty the Queen</w:t>
      </w:r>
      <w:r w:rsidRPr="004B7487">
        <w:rPr>
          <w:sz w:val="20"/>
        </w:rPr>
        <w:t xml:space="preserve"> (B.C.) (Criminal) (By Leave) (</w:t>
      </w:r>
      <w:hyperlink r:id="rId16" w:history="1">
        <w:r w:rsidRPr="004B7487">
          <w:rPr>
            <w:rStyle w:val="Hyperlink"/>
            <w:sz w:val="20"/>
            <w:szCs w:val="20"/>
          </w:rPr>
          <w:t>39</w:t>
        </w:r>
        <w:r w:rsidR="00F03C4D" w:rsidRPr="004B7487">
          <w:rPr>
            <w:rStyle w:val="Hyperlink"/>
            <w:sz w:val="20"/>
            <w:szCs w:val="20"/>
          </w:rPr>
          <w:t>313</w:t>
        </w:r>
      </w:hyperlink>
      <w:r w:rsidRPr="004B7487">
        <w:rPr>
          <w:sz w:val="20"/>
        </w:rPr>
        <w:t>)</w:t>
      </w:r>
    </w:p>
    <w:p w:rsidR="00832C7E" w:rsidRPr="004B7487" w:rsidRDefault="00832C7E" w:rsidP="004959FF">
      <w:pPr>
        <w:ind w:left="357" w:hanging="357"/>
        <w:rPr>
          <w:sz w:val="20"/>
        </w:rPr>
      </w:pPr>
    </w:p>
    <w:p w:rsidR="00832C7E" w:rsidRPr="004B7487" w:rsidRDefault="00832C7E" w:rsidP="004959FF">
      <w:pPr>
        <w:pStyle w:val="ListParagraph"/>
        <w:numPr>
          <w:ilvl w:val="0"/>
          <w:numId w:val="26"/>
        </w:numPr>
        <w:ind w:left="357" w:hanging="357"/>
        <w:rPr>
          <w:sz w:val="20"/>
          <w:lang w:val="fr-CA"/>
        </w:rPr>
      </w:pPr>
      <w:r w:rsidRPr="004B7487">
        <w:rPr>
          <w:i/>
          <w:sz w:val="20"/>
          <w:lang w:val="fr-CA"/>
        </w:rPr>
        <w:t xml:space="preserve">Roch Guimont, </w:t>
      </w:r>
      <w:r w:rsidR="00F03C4D" w:rsidRPr="004B7487">
        <w:rPr>
          <w:i/>
          <w:sz w:val="20"/>
          <w:lang w:val="fr-CA"/>
        </w:rPr>
        <w:t>et al.</w:t>
      </w:r>
      <w:r w:rsidRPr="004B7487">
        <w:rPr>
          <w:i/>
          <w:sz w:val="20"/>
          <w:lang w:val="fr-CA"/>
        </w:rPr>
        <w:t xml:space="preserve"> c. La Presse Canadienne, </w:t>
      </w:r>
      <w:r w:rsidR="00F03C4D" w:rsidRPr="004B7487">
        <w:rPr>
          <w:i/>
          <w:sz w:val="20"/>
          <w:lang w:val="fr-CA"/>
        </w:rPr>
        <w:t>et al.</w:t>
      </w:r>
      <w:r w:rsidRPr="004B7487">
        <w:rPr>
          <w:sz w:val="20"/>
          <w:lang w:val="fr-CA"/>
        </w:rPr>
        <w:t xml:space="preserve"> (Qc) (Civile) (Autorisation) (</w:t>
      </w:r>
      <w:hyperlink r:id="rId17" w:history="1">
        <w:r w:rsidRPr="004B7487">
          <w:rPr>
            <w:rStyle w:val="Hyperlink"/>
            <w:sz w:val="20"/>
            <w:szCs w:val="20"/>
            <w:lang w:val="fr-CA"/>
          </w:rPr>
          <w:t>39</w:t>
        </w:r>
        <w:r w:rsidR="00F03C4D" w:rsidRPr="004B7487">
          <w:rPr>
            <w:rStyle w:val="Hyperlink"/>
            <w:sz w:val="20"/>
            <w:szCs w:val="20"/>
            <w:lang w:val="fr-CA"/>
          </w:rPr>
          <w:t>306</w:t>
        </w:r>
      </w:hyperlink>
      <w:r w:rsidRPr="004B7487">
        <w:rPr>
          <w:sz w:val="20"/>
          <w:lang w:val="fr-CA"/>
        </w:rPr>
        <w:t>)</w:t>
      </w:r>
    </w:p>
    <w:p w:rsidR="00832C7E" w:rsidRPr="004B7487" w:rsidRDefault="00832C7E" w:rsidP="004959FF">
      <w:pPr>
        <w:ind w:left="357" w:hanging="357"/>
        <w:rPr>
          <w:sz w:val="20"/>
          <w:lang w:val="fr-CA"/>
        </w:rPr>
      </w:pPr>
    </w:p>
    <w:p w:rsidR="00832C7E" w:rsidRPr="004B7487" w:rsidRDefault="00832C7E" w:rsidP="004959FF">
      <w:pPr>
        <w:pStyle w:val="ListParagraph"/>
        <w:numPr>
          <w:ilvl w:val="0"/>
          <w:numId w:val="26"/>
        </w:numPr>
        <w:ind w:left="357" w:hanging="357"/>
        <w:rPr>
          <w:sz w:val="20"/>
          <w:lang w:val="fr-CA"/>
        </w:rPr>
      </w:pPr>
      <w:r w:rsidRPr="004B7487">
        <w:rPr>
          <w:i/>
          <w:sz w:val="20"/>
        </w:rPr>
        <w:t xml:space="preserve">Shidan Ashraf v. Gabor Zinner, </w:t>
      </w:r>
      <w:r w:rsidR="00F03C4D" w:rsidRPr="004B7487">
        <w:rPr>
          <w:i/>
          <w:sz w:val="20"/>
        </w:rPr>
        <w:t>et al.</w:t>
      </w:r>
      <w:r w:rsidRPr="004B7487">
        <w:rPr>
          <w:sz w:val="20"/>
        </w:rPr>
        <w:t xml:space="preserve"> </w:t>
      </w:r>
      <w:r w:rsidRPr="004B7487">
        <w:rPr>
          <w:sz w:val="20"/>
          <w:lang w:val="fr-CA"/>
        </w:rPr>
        <w:t>(Alta.) (Civil) (By Leave) (</w:t>
      </w:r>
      <w:hyperlink r:id="rId18" w:history="1">
        <w:r w:rsidRPr="004B7487">
          <w:rPr>
            <w:rStyle w:val="Hyperlink"/>
            <w:sz w:val="20"/>
            <w:szCs w:val="20"/>
            <w:lang w:val="fr-CA"/>
          </w:rPr>
          <w:t>39</w:t>
        </w:r>
        <w:r w:rsidR="00F03C4D" w:rsidRPr="004B7487">
          <w:rPr>
            <w:rStyle w:val="Hyperlink"/>
            <w:sz w:val="20"/>
            <w:szCs w:val="20"/>
            <w:lang w:val="fr-CA"/>
          </w:rPr>
          <w:t>3</w:t>
        </w:r>
        <w:r w:rsidRPr="004B7487">
          <w:rPr>
            <w:rStyle w:val="Hyperlink"/>
            <w:sz w:val="20"/>
            <w:szCs w:val="20"/>
            <w:lang w:val="fr-CA"/>
          </w:rPr>
          <w:t>20</w:t>
        </w:r>
      </w:hyperlink>
      <w:r w:rsidRPr="004B7487">
        <w:rPr>
          <w:sz w:val="20"/>
          <w:lang w:val="fr-CA"/>
        </w:rPr>
        <w:t>)</w:t>
      </w:r>
    </w:p>
    <w:p w:rsidR="00832C7E" w:rsidRPr="004B7487" w:rsidRDefault="00832C7E" w:rsidP="004959FF">
      <w:pPr>
        <w:ind w:left="357" w:hanging="357"/>
        <w:rPr>
          <w:sz w:val="20"/>
          <w:lang w:val="fr-CA"/>
        </w:rPr>
      </w:pPr>
    </w:p>
    <w:p w:rsidR="00832C7E" w:rsidRPr="004B7487" w:rsidRDefault="00832C7E" w:rsidP="004959FF">
      <w:pPr>
        <w:pStyle w:val="SCCLsocSubfileSeparator"/>
        <w:numPr>
          <w:ilvl w:val="0"/>
          <w:numId w:val="26"/>
        </w:numPr>
        <w:ind w:left="357" w:hanging="357"/>
        <w:jc w:val="left"/>
        <w:rPr>
          <w:b w:val="0"/>
          <w:i/>
          <w:sz w:val="20"/>
          <w:szCs w:val="20"/>
          <w:lang w:val="fr-CA"/>
        </w:rPr>
      </w:pPr>
      <w:r w:rsidRPr="004B7487">
        <w:rPr>
          <w:b w:val="0"/>
          <w:i/>
          <w:sz w:val="20"/>
          <w:szCs w:val="20"/>
          <w:lang w:val="fr-CA"/>
        </w:rPr>
        <w:t>Xiao Len Lu c. Sa Majesté la Reine</w:t>
      </w:r>
      <w:r w:rsidRPr="004B7487">
        <w:rPr>
          <w:b w:val="0"/>
          <w:sz w:val="20"/>
          <w:szCs w:val="20"/>
          <w:lang w:val="fr-CA"/>
        </w:rPr>
        <w:t xml:space="preserve"> (Qc) (Criminelle) (Autorisation) </w:t>
      </w:r>
      <w:r w:rsidRPr="004B7487">
        <w:rPr>
          <w:b w:val="0"/>
          <w:sz w:val="20"/>
          <w:lang w:val="fr-CA"/>
        </w:rPr>
        <w:t>(</w:t>
      </w:r>
      <w:hyperlink r:id="rId19" w:history="1">
        <w:r w:rsidRPr="004B7487">
          <w:rPr>
            <w:rStyle w:val="Hyperlink"/>
            <w:b w:val="0"/>
            <w:sz w:val="20"/>
            <w:szCs w:val="20"/>
            <w:lang w:val="fr-CA"/>
          </w:rPr>
          <w:t>392</w:t>
        </w:r>
        <w:r w:rsidR="00F03C4D" w:rsidRPr="004B7487">
          <w:rPr>
            <w:rStyle w:val="Hyperlink"/>
            <w:b w:val="0"/>
            <w:sz w:val="20"/>
            <w:szCs w:val="20"/>
            <w:lang w:val="fr-CA"/>
          </w:rPr>
          <w:t>42</w:t>
        </w:r>
      </w:hyperlink>
      <w:r w:rsidRPr="004B7487">
        <w:rPr>
          <w:b w:val="0"/>
          <w:sz w:val="20"/>
          <w:lang w:val="fr-CA"/>
        </w:rPr>
        <w:t>)</w:t>
      </w:r>
    </w:p>
    <w:p w:rsidR="00832C7E" w:rsidRPr="004B7487" w:rsidRDefault="00832C7E" w:rsidP="004959FF">
      <w:pPr>
        <w:ind w:left="357" w:hanging="357"/>
        <w:rPr>
          <w:sz w:val="20"/>
          <w:lang w:val="fr-CA"/>
        </w:rPr>
      </w:pPr>
    </w:p>
    <w:p w:rsidR="00832C7E" w:rsidRPr="004B7487" w:rsidRDefault="00832C7E" w:rsidP="004959FF">
      <w:pPr>
        <w:pStyle w:val="ListParagraph"/>
        <w:numPr>
          <w:ilvl w:val="0"/>
          <w:numId w:val="26"/>
        </w:numPr>
        <w:ind w:left="357" w:hanging="357"/>
        <w:rPr>
          <w:sz w:val="20"/>
        </w:rPr>
      </w:pPr>
      <w:r w:rsidRPr="004B7487">
        <w:rPr>
          <w:i/>
          <w:sz w:val="20"/>
        </w:rPr>
        <w:t>Her Majesty the Queen in Right of Canada v. Cheyenne Sharma</w:t>
      </w:r>
      <w:r w:rsidRPr="004B7487">
        <w:rPr>
          <w:sz w:val="20"/>
        </w:rPr>
        <w:t xml:space="preserve"> (Ont.) (Criminal) (By Leave) (</w:t>
      </w:r>
      <w:hyperlink r:id="rId20" w:history="1">
        <w:r w:rsidRPr="004B7487">
          <w:rPr>
            <w:rStyle w:val="Hyperlink"/>
            <w:sz w:val="20"/>
            <w:szCs w:val="20"/>
          </w:rPr>
          <w:t>39</w:t>
        </w:r>
        <w:r w:rsidR="00F03C4D" w:rsidRPr="004B7487">
          <w:rPr>
            <w:rStyle w:val="Hyperlink"/>
            <w:sz w:val="20"/>
            <w:szCs w:val="20"/>
          </w:rPr>
          <w:t>346</w:t>
        </w:r>
      </w:hyperlink>
      <w:r w:rsidRPr="004B7487">
        <w:rPr>
          <w:sz w:val="20"/>
        </w:rPr>
        <w:t>)</w:t>
      </w:r>
    </w:p>
    <w:p w:rsidR="00832C7E" w:rsidRPr="004B7487" w:rsidRDefault="00832C7E" w:rsidP="004959FF">
      <w:pPr>
        <w:ind w:left="357" w:hanging="357"/>
        <w:rPr>
          <w:sz w:val="20"/>
        </w:rPr>
      </w:pPr>
    </w:p>
    <w:p w:rsidR="00832C7E" w:rsidRPr="004B7487" w:rsidRDefault="00832C7E" w:rsidP="004959FF">
      <w:pPr>
        <w:pStyle w:val="ListParagraph"/>
        <w:numPr>
          <w:ilvl w:val="0"/>
          <w:numId w:val="26"/>
        </w:numPr>
        <w:ind w:left="357" w:hanging="357"/>
        <w:rPr>
          <w:rFonts w:eastAsiaTheme="minorHAnsi" w:cstheme="minorBidi"/>
          <w:i/>
          <w:sz w:val="20"/>
          <w:lang w:val="en-CA"/>
        </w:rPr>
      </w:pPr>
      <w:r w:rsidRPr="004B7487">
        <w:rPr>
          <w:rFonts w:eastAsiaTheme="minorHAnsi" w:cstheme="minorBidi"/>
          <w:i/>
          <w:sz w:val="20"/>
        </w:rPr>
        <w:t xml:space="preserve">Meranda Leigh Dingwall, et al. v. Her Majesty the Queen, et al. </w:t>
      </w:r>
      <w:r w:rsidRPr="004B7487">
        <w:rPr>
          <w:rFonts w:eastAsiaTheme="minorHAnsi" w:cstheme="minorBidi"/>
          <w:sz w:val="20"/>
        </w:rPr>
        <w:t>(B.C.) (Criminal) (As of Right</w:t>
      </w:r>
      <w:r w:rsidR="00F96F4D" w:rsidRPr="004B7487">
        <w:rPr>
          <w:rFonts w:eastAsiaTheme="minorHAnsi" w:cstheme="minorBidi"/>
          <w:sz w:val="20"/>
        </w:rPr>
        <w:t xml:space="preserve"> </w:t>
      </w:r>
      <w:r w:rsidRPr="004B7487">
        <w:rPr>
          <w:rFonts w:eastAsiaTheme="minorHAnsi" w:cstheme="minorBidi"/>
          <w:sz w:val="20"/>
        </w:rPr>
        <w:t>/</w:t>
      </w:r>
      <w:r w:rsidR="00F96F4D" w:rsidRPr="004B7487">
        <w:rPr>
          <w:rFonts w:eastAsiaTheme="minorHAnsi" w:cstheme="minorBidi"/>
          <w:sz w:val="20"/>
        </w:rPr>
        <w:t xml:space="preserve"> </w:t>
      </w:r>
      <w:r w:rsidRPr="004B7487">
        <w:rPr>
          <w:rFonts w:eastAsiaTheme="minorHAnsi" w:cstheme="minorBidi"/>
          <w:sz w:val="20"/>
        </w:rPr>
        <w:t xml:space="preserve">By Leave) </w:t>
      </w:r>
      <w:r w:rsidRPr="004B7487">
        <w:rPr>
          <w:sz w:val="20"/>
        </w:rPr>
        <w:t>(</w:t>
      </w:r>
      <w:hyperlink r:id="rId21" w:history="1">
        <w:r w:rsidRPr="004B7487">
          <w:rPr>
            <w:rStyle w:val="Hyperlink"/>
            <w:sz w:val="20"/>
            <w:szCs w:val="20"/>
          </w:rPr>
          <w:t>3927</w:t>
        </w:r>
        <w:r w:rsidR="00C90FB0" w:rsidRPr="004B7487">
          <w:rPr>
            <w:rStyle w:val="Hyperlink"/>
            <w:sz w:val="20"/>
            <w:szCs w:val="20"/>
          </w:rPr>
          <w:t>4</w:t>
        </w:r>
      </w:hyperlink>
      <w:r w:rsidRPr="004B7487">
        <w:rPr>
          <w:sz w:val="20"/>
        </w:rPr>
        <w:t>)</w:t>
      </w:r>
    </w:p>
    <w:p w:rsidR="00832C7E" w:rsidRPr="004B7487" w:rsidRDefault="00832C7E" w:rsidP="004959FF">
      <w:pPr>
        <w:widowControl w:val="0"/>
        <w:autoSpaceDE w:val="0"/>
        <w:autoSpaceDN w:val="0"/>
        <w:adjustRightInd w:val="0"/>
        <w:ind w:left="357" w:hanging="357"/>
        <w:contextualSpacing/>
        <w:rPr>
          <w:sz w:val="20"/>
        </w:rPr>
      </w:pPr>
    </w:p>
    <w:p w:rsidR="00832C7E" w:rsidRPr="004B7487" w:rsidRDefault="00832C7E" w:rsidP="004959FF">
      <w:pPr>
        <w:pStyle w:val="ListParagraph"/>
        <w:numPr>
          <w:ilvl w:val="0"/>
          <w:numId w:val="26"/>
        </w:numPr>
        <w:ind w:left="357" w:hanging="357"/>
        <w:rPr>
          <w:sz w:val="20"/>
        </w:rPr>
      </w:pPr>
      <w:r w:rsidRPr="004B7487">
        <w:rPr>
          <w:i/>
          <w:sz w:val="20"/>
          <w:lang w:val="en-CA"/>
        </w:rPr>
        <w:t>Jason William Cowan</w:t>
      </w:r>
      <w:r w:rsidR="00F243A3" w:rsidRPr="004B7487">
        <w:rPr>
          <w:i/>
          <w:sz w:val="20"/>
        </w:rPr>
        <w:t xml:space="preserve">, et al. v. Her Majesty the Queen, et al. </w:t>
      </w:r>
      <w:r w:rsidRPr="004B7487">
        <w:rPr>
          <w:sz w:val="20"/>
          <w:lang w:val="en-CA"/>
        </w:rPr>
        <w:t xml:space="preserve">(Sask.) (Criminal) (As of Right / By Leave) </w:t>
      </w:r>
      <w:r w:rsidRPr="004B7487">
        <w:rPr>
          <w:sz w:val="20"/>
        </w:rPr>
        <w:t>(</w:t>
      </w:r>
      <w:hyperlink r:id="rId22" w:history="1">
        <w:r w:rsidRPr="004B7487">
          <w:rPr>
            <w:rStyle w:val="Hyperlink"/>
            <w:sz w:val="20"/>
            <w:szCs w:val="20"/>
          </w:rPr>
          <w:t>39</w:t>
        </w:r>
        <w:r w:rsidR="00F243A3" w:rsidRPr="004B7487">
          <w:rPr>
            <w:rStyle w:val="Hyperlink"/>
            <w:sz w:val="20"/>
            <w:szCs w:val="20"/>
          </w:rPr>
          <w:t>301</w:t>
        </w:r>
      </w:hyperlink>
      <w:r w:rsidRPr="004B7487">
        <w:rPr>
          <w:sz w:val="20"/>
        </w:rPr>
        <w:t>)</w:t>
      </w:r>
    </w:p>
    <w:p w:rsidR="00832C7E" w:rsidRPr="004B7487" w:rsidRDefault="00832C7E" w:rsidP="004959FF">
      <w:pPr>
        <w:widowControl w:val="0"/>
        <w:autoSpaceDE w:val="0"/>
        <w:autoSpaceDN w:val="0"/>
        <w:adjustRightInd w:val="0"/>
        <w:ind w:left="357" w:hanging="357"/>
        <w:contextualSpacing/>
        <w:rPr>
          <w:sz w:val="20"/>
        </w:rPr>
      </w:pPr>
    </w:p>
    <w:p w:rsidR="00832C7E" w:rsidRPr="004B7487" w:rsidRDefault="00832C7E" w:rsidP="004959FF">
      <w:pPr>
        <w:pStyle w:val="ListParagraph"/>
        <w:numPr>
          <w:ilvl w:val="0"/>
          <w:numId w:val="26"/>
        </w:numPr>
        <w:tabs>
          <w:tab w:val="left" w:pos="630"/>
        </w:tabs>
        <w:ind w:left="357" w:hanging="357"/>
        <w:rPr>
          <w:sz w:val="20"/>
        </w:rPr>
      </w:pPr>
      <w:r w:rsidRPr="004B7487">
        <w:rPr>
          <w:i/>
          <w:sz w:val="20"/>
          <w:lang w:val="en-CA"/>
        </w:rPr>
        <w:t>Wei Wang v. Her Majesty the Queen in Right of Alberta</w:t>
      </w:r>
      <w:r w:rsidRPr="004B7487">
        <w:rPr>
          <w:i/>
          <w:sz w:val="20"/>
        </w:rPr>
        <w:t xml:space="preserve"> </w:t>
      </w:r>
      <w:r w:rsidRPr="004B7487">
        <w:rPr>
          <w:sz w:val="20"/>
        </w:rPr>
        <w:t>(Alta.) (Civil) (By Leave) (</w:t>
      </w:r>
      <w:hyperlink r:id="rId23" w:history="1">
        <w:r w:rsidRPr="004B7487">
          <w:rPr>
            <w:rStyle w:val="Hyperlink"/>
            <w:sz w:val="20"/>
            <w:szCs w:val="20"/>
          </w:rPr>
          <w:t>392</w:t>
        </w:r>
        <w:r w:rsidR="00A30317" w:rsidRPr="004B7487">
          <w:rPr>
            <w:rStyle w:val="Hyperlink"/>
            <w:sz w:val="20"/>
            <w:szCs w:val="20"/>
          </w:rPr>
          <w:t>5</w:t>
        </w:r>
        <w:r w:rsidRPr="004B7487">
          <w:rPr>
            <w:rStyle w:val="Hyperlink"/>
            <w:sz w:val="20"/>
            <w:szCs w:val="20"/>
          </w:rPr>
          <w:t>0</w:t>
        </w:r>
      </w:hyperlink>
      <w:r w:rsidRPr="004B7487">
        <w:rPr>
          <w:sz w:val="20"/>
        </w:rPr>
        <w:t>)</w:t>
      </w:r>
    </w:p>
    <w:p w:rsidR="00832C7E" w:rsidRPr="004B7487" w:rsidRDefault="00832C7E" w:rsidP="004959FF">
      <w:pPr>
        <w:widowControl w:val="0"/>
        <w:autoSpaceDE w:val="0"/>
        <w:autoSpaceDN w:val="0"/>
        <w:adjustRightInd w:val="0"/>
        <w:ind w:left="357" w:hanging="357"/>
        <w:rPr>
          <w:sz w:val="20"/>
        </w:rPr>
      </w:pPr>
    </w:p>
    <w:p w:rsidR="00832C7E" w:rsidRPr="004B7487" w:rsidRDefault="00832C7E" w:rsidP="004959FF">
      <w:pPr>
        <w:pStyle w:val="ListParagraph"/>
        <w:numPr>
          <w:ilvl w:val="0"/>
          <w:numId w:val="26"/>
        </w:numPr>
        <w:ind w:left="357" w:hanging="357"/>
        <w:rPr>
          <w:sz w:val="20"/>
        </w:rPr>
      </w:pPr>
      <w:r w:rsidRPr="004B7487">
        <w:rPr>
          <w:i/>
          <w:sz w:val="20"/>
          <w:lang w:val="en-CA"/>
        </w:rPr>
        <w:t xml:space="preserve">Kovarthanan Konesavarathan v. Middlesex-London Health Unit, </w:t>
      </w:r>
      <w:r w:rsidR="0086726E" w:rsidRPr="004B7487">
        <w:rPr>
          <w:i/>
          <w:sz w:val="20"/>
          <w:lang w:val="en-CA"/>
        </w:rPr>
        <w:t>et al.</w:t>
      </w:r>
      <w:r w:rsidRPr="004B7487">
        <w:rPr>
          <w:i/>
          <w:sz w:val="20"/>
        </w:rPr>
        <w:t xml:space="preserve"> </w:t>
      </w:r>
      <w:r w:rsidRPr="004B7487">
        <w:rPr>
          <w:sz w:val="20"/>
        </w:rPr>
        <w:t>(Ont.) (Civil) (By Leave) (</w:t>
      </w:r>
      <w:hyperlink r:id="rId24" w:history="1">
        <w:r w:rsidRPr="004B7487">
          <w:rPr>
            <w:rStyle w:val="Hyperlink"/>
            <w:sz w:val="20"/>
            <w:szCs w:val="20"/>
          </w:rPr>
          <w:t>392</w:t>
        </w:r>
        <w:r w:rsidR="0086726E" w:rsidRPr="004B7487">
          <w:rPr>
            <w:rStyle w:val="Hyperlink"/>
            <w:sz w:val="20"/>
            <w:szCs w:val="20"/>
          </w:rPr>
          <w:t>13</w:t>
        </w:r>
      </w:hyperlink>
      <w:r w:rsidRPr="004B7487">
        <w:rPr>
          <w:sz w:val="20"/>
        </w:rPr>
        <w:t>)</w:t>
      </w:r>
    </w:p>
    <w:p w:rsidR="00832C7E" w:rsidRPr="004B7487" w:rsidRDefault="00832C7E" w:rsidP="004959FF">
      <w:pPr>
        <w:widowControl w:val="0"/>
        <w:autoSpaceDE w:val="0"/>
        <w:autoSpaceDN w:val="0"/>
        <w:adjustRightInd w:val="0"/>
        <w:ind w:left="357" w:hanging="357"/>
        <w:rPr>
          <w:sz w:val="20"/>
        </w:rPr>
      </w:pPr>
    </w:p>
    <w:p w:rsidR="00832C7E" w:rsidRPr="004B7487" w:rsidRDefault="00832C7E" w:rsidP="004959FF">
      <w:pPr>
        <w:pStyle w:val="ListParagraph"/>
        <w:numPr>
          <w:ilvl w:val="0"/>
          <w:numId w:val="26"/>
        </w:numPr>
        <w:ind w:left="357" w:hanging="357"/>
        <w:rPr>
          <w:rFonts w:eastAsiaTheme="minorHAnsi" w:cstheme="minorBidi"/>
          <w:sz w:val="20"/>
          <w:lang w:val="en-CA"/>
        </w:rPr>
      </w:pPr>
      <w:r w:rsidRPr="004B7487">
        <w:rPr>
          <w:rFonts w:eastAsiaTheme="minorHAnsi" w:cstheme="minorBidi"/>
          <w:i/>
          <w:sz w:val="20"/>
          <w:lang w:val="en-CA"/>
        </w:rPr>
        <w:t xml:space="preserve">Trico Developments Corporation v. El Condor Development Ltd, </w:t>
      </w:r>
      <w:r w:rsidR="0086726E" w:rsidRPr="004B7487">
        <w:rPr>
          <w:rFonts w:eastAsiaTheme="minorHAnsi" w:cstheme="minorBidi"/>
          <w:i/>
          <w:sz w:val="20"/>
          <w:lang w:val="en-CA"/>
        </w:rPr>
        <w:t>et al.</w:t>
      </w:r>
      <w:r w:rsidRPr="004B7487">
        <w:rPr>
          <w:rFonts w:eastAsiaTheme="minorHAnsi" w:cstheme="minorBidi"/>
          <w:i/>
          <w:sz w:val="20"/>
          <w:lang w:val="en-CA"/>
        </w:rPr>
        <w:t xml:space="preserve"> </w:t>
      </w:r>
      <w:r w:rsidRPr="004B7487">
        <w:rPr>
          <w:rFonts w:eastAsiaTheme="minorHAnsi" w:cstheme="minorBidi"/>
          <w:sz w:val="20"/>
          <w:lang w:val="en-CA"/>
        </w:rPr>
        <w:t xml:space="preserve">(Alta.) (Civil) (By Leave) </w:t>
      </w:r>
      <w:r w:rsidRPr="004B7487">
        <w:rPr>
          <w:sz w:val="20"/>
        </w:rPr>
        <w:t>(</w:t>
      </w:r>
      <w:hyperlink r:id="rId25" w:history="1">
        <w:r w:rsidRPr="004B7487">
          <w:rPr>
            <w:rStyle w:val="Hyperlink"/>
            <w:sz w:val="20"/>
            <w:szCs w:val="20"/>
          </w:rPr>
          <w:t>39</w:t>
        </w:r>
        <w:r w:rsidR="0086726E" w:rsidRPr="004B7487">
          <w:rPr>
            <w:rStyle w:val="Hyperlink"/>
            <w:sz w:val="20"/>
            <w:szCs w:val="20"/>
          </w:rPr>
          <w:t>191</w:t>
        </w:r>
      </w:hyperlink>
      <w:r w:rsidRPr="004B7487">
        <w:rPr>
          <w:sz w:val="20"/>
        </w:rPr>
        <w:t>)</w:t>
      </w:r>
    </w:p>
    <w:p w:rsidR="00832C7E" w:rsidRPr="004B7487" w:rsidRDefault="00832C7E" w:rsidP="004959FF">
      <w:pPr>
        <w:widowControl w:val="0"/>
        <w:autoSpaceDE w:val="0"/>
        <w:autoSpaceDN w:val="0"/>
        <w:adjustRightInd w:val="0"/>
        <w:ind w:left="357" w:hanging="357"/>
        <w:contextualSpacing/>
        <w:rPr>
          <w:sz w:val="20"/>
        </w:rPr>
      </w:pPr>
    </w:p>
    <w:p w:rsidR="00832C7E" w:rsidRPr="004B7487" w:rsidRDefault="00832C7E" w:rsidP="004959FF">
      <w:pPr>
        <w:pStyle w:val="ListParagraph"/>
        <w:numPr>
          <w:ilvl w:val="0"/>
          <w:numId w:val="26"/>
        </w:numPr>
        <w:ind w:left="357" w:hanging="357"/>
        <w:rPr>
          <w:sz w:val="20"/>
        </w:rPr>
      </w:pPr>
      <w:r w:rsidRPr="004B7487">
        <w:rPr>
          <w:i/>
          <w:sz w:val="20"/>
          <w:lang w:val="en-CA"/>
        </w:rPr>
        <w:t>Emilie Schira v. Saskatchewan Government Insurance</w:t>
      </w:r>
      <w:r w:rsidRPr="004B7487">
        <w:rPr>
          <w:i/>
          <w:sz w:val="20"/>
        </w:rPr>
        <w:t xml:space="preserve"> </w:t>
      </w:r>
      <w:r w:rsidRPr="004B7487">
        <w:rPr>
          <w:sz w:val="20"/>
        </w:rPr>
        <w:t>(Sask.) (Civil) (By Leave) (</w:t>
      </w:r>
      <w:hyperlink r:id="rId26" w:history="1">
        <w:r w:rsidRPr="004B7487">
          <w:rPr>
            <w:rStyle w:val="Hyperlink"/>
            <w:sz w:val="20"/>
            <w:szCs w:val="20"/>
          </w:rPr>
          <w:t>39</w:t>
        </w:r>
        <w:r w:rsidR="0086726E" w:rsidRPr="004B7487">
          <w:rPr>
            <w:rStyle w:val="Hyperlink"/>
            <w:sz w:val="20"/>
            <w:szCs w:val="20"/>
          </w:rPr>
          <w:t>33</w:t>
        </w:r>
        <w:r w:rsidRPr="004B7487">
          <w:rPr>
            <w:rStyle w:val="Hyperlink"/>
            <w:sz w:val="20"/>
            <w:szCs w:val="20"/>
          </w:rPr>
          <w:t>7</w:t>
        </w:r>
      </w:hyperlink>
      <w:r w:rsidRPr="004B7487">
        <w:rPr>
          <w:sz w:val="20"/>
        </w:rPr>
        <w:t>)</w:t>
      </w:r>
    </w:p>
    <w:p w:rsidR="00832C7E" w:rsidRPr="004B7487" w:rsidRDefault="00832C7E" w:rsidP="004959FF">
      <w:pPr>
        <w:widowControl w:val="0"/>
        <w:autoSpaceDE w:val="0"/>
        <w:autoSpaceDN w:val="0"/>
        <w:adjustRightInd w:val="0"/>
        <w:ind w:left="357" w:hanging="357"/>
        <w:contextualSpacing/>
        <w:rPr>
          <w:sz w:val="20"/>
        </w:rPr>
      </w:pPr>
    </w:p>
    <w:p w:rsidR="00832C7E" w:rsidRPr="004B7487" w:rsidRDefault="00832C7E" w:rsidP="004959FF">
      <w:pPr>
        <w:pStyle w:val="ListParagraph"/>
        <w:numPr>
          <w:ilvl w:val="0"/>
          <w:numId w:val="26"/>
        </w:numPr>
        <w:ind w:left="357" w:hanging="357"/>
        <w:rPr>
          <w:sz w:val="20"/>
        </w:rPr>
      </w:pPr>
      <w:r w:rsidRPr="004B7487">
        <w:rPr>
          <w:i/>
          <w:sz w:val="20"/>
          <w:lang w:val="en-CA"/>
        </w:rPr>
        <w:t>Dieter Eisbrenner v. Her Majesty the Queen</w:t>
      </w:r>
      <w:r w:rsidRPr="004B7487">
        <w:rPr>
          <w:sz w:val="20"/>
          <w:lang w:val="en-CA"/>
        </w:rPr>
        <w:t xml:space="preserve"> (F.C.) (Civil) (By Leave) </w:t>
      </w:r>
      <w:r w:rsidRPr="004B7487">
        <w:rPr>
          <w:sz w:val="20"/>
        </w:rPr>
        <w:t>(</w:t>
      </w:r>
      <w:hyperlink r:id="rId27" w:history="1">
        <w:r w:rsidRPr="004B7487">
          <w:rPr>
            <w:rStyle w:val="Hyperlink"/>
            <w:sz w:val="20"/>
            <w:szCs w:val="20"/>
          </w:rPr>
          <w:t>39</w:t>
        </w:r>
        <w:r w:rsidR="00087CEF" w:rsidRPr="004B7487">
          <w:rPr>
            <w:rStyle w:val="Hyperlink"/>
            <w:sz w:val="20"/>
            <w:szCs w:val="20"/>
          </w:rPr>
          <w:t>303</w:t>
        </w:r>
      </w:hyperlink>
      <w:r w:rsidRPr="004B7487">
        <w:rPr>
          <w:sz w:val="20"/>
        </w:rPr>
        <w:t>)</w:t>
      </w:r>
    </w:p>
    <w:p w:rsidR="00832C7E" w:rsidRPr="004B7487" w:rsidRDefault="00832C7E" w:rsidP="004959FF">
      <w:pPr>
        <w:widowControl w:val="0"/>
        <w:autoSpaceDE w:val="0"/>
        <w:autoSpaceDN w:val="0"/>
        <w:adjustRightInd w:val="0"/>
        <w:ind w:left="357" w:hanging="357"/>
        <w:rPr>
          <w:sz w:val="20"/>
        </w:rPr>
      </w:pPr>
    </w:p>
    <w:p w:rsidR="00832C7E" w:rsidRPr="004B7487" w:rsidRDefault="00832C7E" w:rsidP="004959FF">
      <w:pPr>
        <w:pStyle w:val="ListParagraph"/>
        <w:numPr>
          <w:ilvl w:val="0"/>
          <w:numId w:val="26"/>
        </w:numPr>
        <w:ind w:left="357" w:hanging="357"/>
        <w:rPr>
          <w:sz w:val="20"/>
        </w:rPr>
      </w:pPr>
      <w:r w:rsidRPr="004B7487">
        <w:rPr>
          <w:i/>
          <w:sz w:val="20"/>
          <w:lang w:val="en-CA"/>
        </w:rPr>
        <w:t>V. Ross Morrison v. Her Majesty the Queen</w:t>
      </w:r>
      <w:r w:rsidRPr="004B7487">
        <w:rPr>
          <w:i/>
          <w:sz w:val="20"/>
        </w:rPr>
        <w:t xml:space="preserve"> </w:t>
      </w:r>
      <w:r w:rsidRPr="004B7487">
        <w:rPr>
          <w:sz w:val="20"/>
          <w:lang w:val="en-CA"/>
        </w:rPr>
        <w:t xml:space="preserve">(F.C.) (Civil) (By Leave) </w:t>
      </w:r>
      <w:r w:rsidRPr="004B7487">
        <w:rPr>
          <w:sz w:val="20"/>
        </w:rPr>
        <w:t>(</w:t>
      </w:r>
      <w:hyperlink r:id="rId28" w:history="1">
        <w:r w:rsidRPr="004B7487">
          <w:rPr>
            <w:rStyle w:val="Hyperlink"/>
            <w:sz w:val="20"/>
            <w:szCs w:val="20"/>
          </w:rPr>
          <w:t>39</w:t>
        </w:r>
        <w:r w:rsidR="00087CEF" w:rsidRPr="004B7487">
          <w:rPr>
            <w:rStyle w:val="Hyperlink"/>
            <w:sz w:val="20"/>
            <w:szCs w:val="20"/>
          </w:rPr>
          <w:t>359</w:t>
        </w:r>
      </w:hyperlink>
      <w:r w:rsidRPr="004B7487">
        <w:rPr>
          <w:sz w:val="20"/>
        </w:rPr>
        <w:t>)</w:t>
      </w:r>
    </w:p>
    <w:p w:rsidR="00E70259" w:rsidRPr="004B7487" w:rsidRDefault="00E70259" w:rsidP="00612ACE">
      <w:pPr>
        <w:ind w:left="357" w:hanging="357"/>
        <w:rPr>
          <w:sz w:val="20"/>
        </w:rPr>
      </w:pPr>
    </w:p>
    <w:p w:rsidR="0057402C" w:rsidRPr="004B7487" w:rsidRDefault="004B7487" w:rsidP="009B14F4">
      <w:pPr>
        <w:widowControl w:val="0"/>
        <w:jc w:val="both"/>
        <w:rPr>
          <w:sz w:val="20"/>
        </w:rPr>
      </w:pPr>
      <w:r w:rsidRPr="004B7487">
        <w:rPr>
          <w:sz w:val="20"/>
        </w:rPr>
        <w:pict>
          <v:rect id="_x0000_i1026" style="width:2in;height:1pt" o:hrpct="0" o:hralign="center" o:hrstd="t" o:hrnoshade="t" o:hr="t" fillcolor="black [3213]" stroked="f"/>
        </w:pict>
      </w:r>
    </w:p>
    <w:p w:rsidR="002C5E29" w:rsidRPr="004B7487" w:rsidRDefault="002C5E29" w:rsidP="007775F6">
      <w:pPr>
        <w:widowControl w:val="0"/>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39322</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Jessy Herlichka v. Her Majesty the Queen</w:t>
            </w:r>
          </w:p>
          <w:p w:rsidR="0012542D" w:rsidRPr="004B7487" w:rsidRDefault="0012542D" w:rsidP="007775F6">
            <w:pPr>
              <w:jc w:val="both"/>
              <w:rPr>
                <w:sz w:val="20"/>
              </w:rPr>
            </w:pPr>
            <w:r w:rsidRPr="004B7487">
              <w:rPr>
                <w:sz w:val="20"/>
              </w:rPr>
              <w:t>(Ont.) (Criminal) (By Leave)</w:t>
            </w:r>
          </w:p>
        </w:tc>
      </w:tr>
      <w:tr w:rsidR="0012542D" w:rsidRPr="004B7487" w:rsidTr="0012542D">
        <w:tc>
          <w:tcPr>
            <w:tcW w:w="5000" w:type="pct"/>
            <w:gridSpan w:val="4"/>
          </w:tcPr>
          <w:p w:rsidR="0012542D" w:rsidRPr="004B7487" w:rsidRDefault="0012542D" w:rsidP="007775F6">
            <w:pPr>
              <w:jc w:val="both"/>
              <w:rPr>
                <w:sz w:val="20"/>
              </w:rPr>
            </w:pPr>
            <w:r w:rsidRPr="004B7487">
              <w:rPr>
                <w:sz w:val="20"/>
              </w:rPr>
              <w:t>Criminal law — Defences — Severe or advanced intoxication — Whether, in respect of the specific</w:t>
            </w:r>
            <w:r w:rsidRPr="004B7487">
              <w:rPr>
                <w:sz w:val="20"/>
              </w:rPr>
              <w:noBreakHyphen/>
              <w:t xml:space="preserve">intent offence of </w:t>
            </w:r>
            <w:r w:rsidRPr="004B7487">
              <w:rPr>
                <w:color w:val="000000"/>
                <w:spacing w:val="-1"/>
                <w:sz w:val="20"/>
              </w:rPr>
              <w:t>murder,</w:t>
            </w:r>
            <w:r w:rsidRPr="004B7487">
              <w:rPr>
                <w:sz w:val="20"/>
              </w:rPr>
              <w:t xml:space="preserve"> it was improper to include an instruction on capacity </w:t>
            </w:r>
            <w:r w:rsidRPr="004B7487">
              <w:rPr>
                <w:color w:val="000000"/>
                <w:spacing w:val="-1"/>
                <w:sz w:val="20"/>
              </w:rPr>
              <w:t xml:space="preserve">to form intent </w:t>
            </w:r>
            <w:r w:rsidRPr="004B7487">
              <w:rPr>
                <w:sz w:val="20"/>
              </w:rPr>
              <w:t>in an instruction to the jury on the defence of advanced intoxication — Whether a clear boundary should be set so the legal concept of capacity is excluded from the specific</w:t>
            </w:r>
            <w:r w:rsidRPr="004B7487">
              <w:rPr>
                <w:sz w:val="20"/>
              </w:rPr>
              <w:noBreakHyphen/>
              <w:t>intent advanced intoxication defence and is confined to the general</w:t>
            </w:r>
            <w:r w:rsidRPr="004B7487">
              <w:rPr>
                <w:sz w:val="20"/>
              </w:rPr>
              <w:noBreakHyphen/>
              <w:t>intent extreme intoxication defence or whether the legal concept of capacity should be allowed to straddle both defences?</w:t>
            </w:r>
          </w:p>
        </w:tc>
      </w:tr>
      <w:tr w:rsidR="0012542D" w:rsidRPr="004B7487" w:rsidTr="0012542D">
        <w:tc>
          <w:tcPr>
            <w:tcW w:w="5000" w:type="pct"/>
            <w:gridSpan w:val="4"/>
          </w:tcPr>
          <w:p w:rsidR="0012542D" w:rsidRPr="004B7487" w:rsidRDefault="0012542D" w:rsidP="007775F6">
            <w:pPr>
              <w:jc w:val="both"/>
              <w:rPr>
                <w:sz w:val="20"/>
              </w:rPr>
            </w:pPr>
          </w:p>
          <w:p w:rsidR="0012542D" w:rsidRPr="004B7487" w:rsidRDefault="0012542D" w:rsidP="007775F6">
            <w:pPr>
              <w:jc w:val="both"/>
              <w:rPr>
                <w:sz w:val="20"/>
              </w:rPr>
            </w:pPr>
            <w:r w:rsidRPr="004B7487">
              <w:rPr>
                <w:sz w:val="20"/>
                <w:lang w:val="en"/>
              </w:rPr>
              <w:t>Mr. Herlichka assaulted Mr. Mixemong while intoxicated. Mr. Mixemong later died at hospital. Mr. Herlichka was charged with second</w:t>
            </w:r>
            <w:r w:rsidRPr="004B7487">
              <w:rPr>
                <w:sz w:val="20"/>
                <w:lang w:val="en"/>
              </w:rPr>
              <w:noBreakHyphen/>
              <w:t xml:space="preserve">degree murder. He pled guilty to manslaughter. </w:t>
            </w:r>
            <w:r w:rsidRPr="004B7487">
              <w:rPr>
                <w:sz w:val="20"/>
              </w:rPr>
              <w:t xml:space="preserve">The jury charge </w:t>
            </w:r>
            <w:r w:rsidRPr="004B7487">
              <w:rPr>
                <w:sz w:val="20"/>
                <w:lang w:val="en"/>
              </w:rPr>
              <w:t xml:space="preserve">in part directed the jury to decide the extent of consumption of alcohol and drugs by Mr. Herlichka and the effect it had on his ability to form an intention either to kill Mr. Mixemong or mean to cause him bodily harm with the foresight that the likely consequence was death and was reckless whether death ensued or not. </w:t>
            </w:r>
            <w:r w:rsidRPr="004B7487">
              <w:rPr>
                <w:sz w:val="20"/>
              </w:rPr>
              <w:t>The jury found Mr. Herlichka guilty of second degree murder. The Court of Appeal dismissed an appeal.</w:t>
            </w:r>
          </w:p>
        </w:tc>
      </w:tr>
      <w:tr w:rsidR="0012542D" w:rsidRPr="004B7487" w:rsidTr="0012542D">
        <w:tc>
          <w:tcPr>
            <w:tcW w:w="5000" w:type="pct"/>
            <w:gridSpan w:val="4"/>
          </w:tcPr>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May 1, 2015</w:t>
            </w:r>
          </w:p>
          <w:p w:rsidR="0012542D" w:rsidRPr="004B7487" w:rsidRDefault="0012542D" w:rsidP="007775F6">
            <w:pPr>
              <w:jc w:val="both"/>
              <w:rPr>
                <w:sz w:val="20"/>
              </w:rPr>
            </w:pPr>
            <w:r w:rsidRPr="004B7487">
              <w:rPr>
                <w:sz w:val="20"/>
              </w:rPr>
              <w:t>Ontario Superior Court of Justice</w:t>
            </w:r>
          </w:p>
          <w:p w:rsidR="0012542D" w:rsidRPr="004B7487" w:rsidRDefault="0012542D" w:rsidP="007775F6">
            <w:pPr>
              <w:jc w:val="both"/>
              <w:rPr>
                <w:sz w:val="20"/>
              </w:rPr>
            </w:pPr>
            <w:r w:rsidRPr="004B7487">
              <w:rPr>
                <w:sz w:val="20"/>
              </w:rPr>
              <w:t>(</w:t>
            </w:r>
            <w:proofErr w:type="spellStart"/>
            <w:r w:rsidRPr="004B7487">
              <w:rPr>
                <w:sz w:val="20"/>
              </w:rPr>
              <w:t>Stong</w:t>
            </w:r>
            <w:proofErr w:type="spellEnd"/>
            <w:r w:rsidRPr="004B7487">
              <w:rPr>
                <w:sz w:val="20"/>
              </w:rPr>
              <w:t xml:space="preserve"> J.)  </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Conviction by jury of second degree murder</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May 22, 2020</w:t>
            </w:r>
          </w:p>
          <w:p w:rsidR="0012542D" w:rsidRPr="004B7487" w:rsidRDefault="0012542D" w:rsidP="007775F6">
            <w:pPr>
              <w:jc w:val="both"/>
              <w:rPr>
                <w:sz w:val="20"/>
              </w:rPr>
            </w:pPr>
            <w:r w:rsidRPr="004B7487">
              <w:rPr>
                <w:sz w:val="20"/>
              </w:rPr>
              <w:t>Court of Appeal for Ontario</w:t>
            </w:r>
          </w:p>
          <w:p w:rsidR="0012542D" w:rsidRPr="004B7487" w:rsidRDefault="0012542D" w:rsidP="007775F6">
            <w:pPr>
              <w:jc w:val="both"/>
              <w:rPr>
                <w:sz w:val="20"/>
              </w:rPr>
            </w:pPr>
            <w:r w:rsidRPr="004B7487">
              <w:rPr>
                <w:sz w:val="20"/>
              </w:rPr>
              <w:t>(</w:t>
            </w:r>
            <w:proofErr w:type="gramStart"/>
            <w:r w:rsidRPr="004B7487">
              <w:rPr>
                <w:sz w:val="20"/>
              </w:rPr>
              <w:t>van</w:t>
            </w:r>
            <w:proofErr w:type="gramEnd"/>
            <w:r w:rsidRPr="004B7487">
              <w:rPr>
                <w:sz w:val="20"/>
              </w:rPr>
              <w:t xml:space="preserve"> Rensburg, Miller, Fairburn JJ.A.)</w:t>
            </w:r>
          </w:p>
          <w:p w:rsidR="0012542D" w:rsidRPr="004B7487" w:rsidRDefault="004B7487" w:rsidP="007775F6">
            <w:pPr>
              <w:jc w:val="both"/>
              <w:rPr>
                <w:sz w:val="20"/>
              </w:rPr>
            </w:pPr>
            <w:hyperlink r:id="rId29" w:history="1">
              <w:r w:rsidR="0012542D" w:rsidRPr="004B7487">
                <w:rPr>
                  <w:rStyle w:val="Hyperlink"/>
                  <w:sz w:val="20"/>
                </w:rPr>
                <w:t>2020 ONCA 307</w:t>
              </w:r>
            </w:hyperlink>
            <w:r w:rsidR="0012542D" w:rsidRPr="004B7487">
              <w:rPr>
                <w:sz w:val="20"/>
              </w:rPr>
              <w:t>; C64615</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Appeal dismissed</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August 19, 2020</w:t>
            </w:r>
          </w:p>
          <w:p w:rsidR="0012542D" w:rsidRPr="004B7487" w:rsidRDefault="0012542D" w:rsidP="007775F6">
            <w:pPr>
              <w:jc w:val="both"/>
              <w:rPr>
                <w:sz w:val="20"/>
              </w:rPr>
            </w:pPr>
            <w:r w:rsidRPr="004B7487">
              <w:rPr>
                <w:sz w:val="20"/>
              </w:rPr>
              <w:t>Supreme Court of Canada</w:t>
            </w: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Motion to appoint counsel and Application for leave to appeal filed</w:t>
            </w:r>
          </w:p>
        </w:tc>
      </w:tr>
    </w:tbl>
    <w:p w:rsidR="0012542D" w:rsidRPr="004B7487" w:rsidRDefault="0012542D" w:rsidP="007775F6">
      <w:pPr>
        <w:jc w:val="both"/>
        <w:rPr>
          <w:sz w:val="20"/>
        </w:rPr>
      </w:pPr>
    </w:p>
    <w:p w:rsidR="0028519E" w:rsidRPr="004B7487" w:rsidRDefault="004B7487" w:rsidP="007775F6">
      <w:pPr>
        <w:jc w:val="both"/>
        <w:rPr>
          <w:sz w:val="20"/>
        </w:rPr>
      </w:pPr>
      <w:r w:rsidRPr="004B7487">
        <w:rPr>
          <w:sz w:val="20"/>
        </w:rPr>
        <w:pict>
          <v:rect id="_x0000_i1027" style="width:2in;height:1pt" o:hrpct="0" o:hralign="center" o:hrstd="t" o:hrnoshade="t" o:hr="t" fillcolor="black [3213]" stroked="f"/>
        </w:pict>
      </w:r>
    </w:p>
    <w:p w:rsidR="0028519E" w:rsidRPr="004B7487" w:rsidRDefault="0028519E" w:rsidP="007775F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lang w:val="fr-CA"/>
              </w:rPr>
            </w:pPr>
            <w:r w:rsidRPr="004B7487">
              <w:rPr>
                <w:rStyle w:val="SCCFileNumberChar"/>
                <w:sz w:val="20"/>
                <w:szCs w:val="20"/>
                <w:lang w:val="fr-CA"/>
              </w:rPr>
              <w:t>39322</w:t>
            </w:r>
          </w:p>
        </w:tc>
        <w:tc>
          <w:tcPr>
            <w:tcW w:w="4457" w:type="pct"/>
            <w:gridSpan w:val="3"/>
          </w:tcPr>
          <w:p w:rsidR="0012542D" w:rsidRPr="004B7487" w:rsidRDefault="0012542D" w:rsidP="007775F6">
            <w:pPr>
              <w:pStyle w:val="SCCLsocParty"/>
              <w:jc w:val="both"/>
              <w:rPr>
                <w:b/>
                <w:sz w:val="20"/>
                <w:szCs w:val="20"/>
              </w:rPr>
            </w:pPr>
            <w:r w:rsidRPr="004B7487">
              <w:rPr>
                <w:b/>
                <w:sz w:val="20"/>
                <w:szCs w:val="20"/>
              </w:rPr>
              <w:t>Jessy Herlichka c. Sa Majesté la Reine</w:t>
            </w:r>
          </w:p>
          <w:p w:rsidR="0012542D" w:rsidRPr="004B7487" w:rsidRDefault="0012542D" w:rsidP="007775F6">
            <w:pPr>
              <w:jc w:val="both"/>
              <w:rPr>
                <w:sz w:val="20"/>
                <w:lang w:val="fr-CA"/>
              </w:rPr>
            </w:pPr>
            <w:r w:rsidRPr="004B7487">
              <w:rPr>
                <w:sz w:val="20"/>
                <w:lang w:val="fr-CA"/>
              </w:rPr>
              <w:t>(Ont.) (Criminelle) (Sur autorisation)</w:t>
            </w: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Droit criminel — Moyens de défense — Intoxication avancée ou grave — S’agissant de meurtre, une infraction exigeant une intention spécifique, était</w:t>
            </w:r>
            <w:r w:rsidRPr="004B7487">
              <w:rPr>
                <w:sz w:val="20"/>
                <w:lang w:val="fr-CA"/>
              </w:rPr>
              <w:noBreakHyphen/>
              <w:t>il inapproprié d’inclure dans l’exposé au jury une directive sur la capacité de former une i</w:t>
            </w:r>
            <w:r w:rsidRPr="004B7487">
              <w:rPr>
                <w:color w:val="000000"/>
                <w:spacing w:val="-1"/>
                <w:sz w:val="20"/>
                <w:lang w:val="fr-CA"/>
              </w:rPr>
              <w:t xml:space="preserve">ntention relativement au moyen de défense </w:t>
            </w:r>
            <w:r w:rsidRPr="004B7487">
              <w:rPr>
                <w:sz w:val="20"/>
                <w:lang w:val="fr-CA"/>
              </w:rPr>
              <w:t>d’intoxication avancée ? — Une ligne de démarcation claire devrait</w:t>
            </w:r>
            <w:r w:rsidRPr="004B7487">
              <w:rPr>
                <w:sz w:val="20"/>
                <w:lang w:val="fr-CA"/>
              </w:rPr>
              <w:noBreakHyphen/>
              <w:t>elle être établie afin que la notion juridique de capacité soit exclue du moyen de défense d’intoxication avancée à l’égard d’une infraction d’intention spécifique et se limite au moyen de défense d’intoxication extrême à l’égard d’une infraction d’intention générale, ou la notion juridique de capacité devrait</w:t>
            </w:r>
            <w:r w:rsidRPr="004B7487">
              <w:rPr>
                <w:sz w:val="20"/>
                <w:lang w:val="fr-CA"/>
              </w:rPr>
              <w:noBreakHyphen/>
              <w:t>elle pouvoir chevaucher ces deux moyens de défense ?</w:t>
            </w:r>
          </w:p>
        </w:tc>
      </w:tr>
      <w:tr w:rsidR="0012542D" w:rsidRPr="004B7487" w:rsidTr="0012542D">
        <w:tc>
          <w:tcPr>
            <w:tcW w:w="5000" w:type="pct"/>
            <w:gridSpan w:val="4"/>
          </w:tcPr>
          <w:p w:rsidR="0012542D" w:rsidRPr="004B7487" w:rsidRDefault="0012542D" w:rsidP="007775F6">
            <w:pPr>
              <w:jc w:val="both"/>
              <w:rPr>
                <w:sz w:val="20"/>
                <w:lang w:val="fr-CA"/>
              </w:rPr>
            </w:pPr>
          </w:p>
          <w:p w:rsidR="0012542D" w:rsidRPr="004B7487" w:rsidRDefault="0012542D" w:rsidP="007775F6">
            <w:pPr>
              <w:jc w:val="both"/>
              <w:rPr>
                <w:sz w:val="20"/>
                <w:lang w:val="fr-CA"/>
              </w:rPr>
            </w:pPr>
            <w:r w:rsidRPr="004B7487">
              <w:rPr>
                <w:sz w:val="20"/>
                <w:lang w:val="fr-CA"/>
              </w:rPr>
              <w:t>M. Herlichka s’est livré à des voies de fait contre M. Mixemong alors qu’il était en état d’ébriété. M. Mixemong est décédé à l’hôpital par la suite. M. Herlichka a été accusé de meurtre au deuxième degré. Il a plaidé coupable à l’accusation d’homicide involontaire coupable. Le jury a notamment reçu comme directive de déterminer à quel point M. Herlichka avait consommé de l’alcool et de la drogue et l’effet de cette consommation sur sa capacité de former l’intention de tuer M. Mixemong ou de lui causer des lésions corporelles sachant que sa mort en résulterait vraisemblablement, et il lui était indifférent que la mort s’ensuive ou non. Le jury a déclaré M. Herlichka coupable de meurtre au deuxième degré. La Cour d’appel a rejeté l’appel.</w:t>
            </w:r>
          </w:p>
        </w:tc>
      </w:tr>
      <w:tr w:rsidR="0012542D" w:rsidRPr="004B7487" w:rsidTr="0012542D">
        <w:tc>
          <w:tcPr>
            <w:tcW w:w="5000" w:type="pct"/>
            <w:gridSpan w:val="4"/>
          </w:tcPr>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1</w:t>
            </w:r>
            <w:r w:rsidRPr="004B7487">
              <w:rPr>
                <w:sz w:val="20"/>
                <w:vertAlign w:val="superscript"/>
                <w:lang w:val="fr-CA"/>
              </w:rPr>
              <w:t>er</w:t>
            </w:r>
            <w:r w:rsidRPr="004B7487">
              <w:rPr>
                <w:sz w:val="20"/>
                <w:lang w:val="fr-CA"/>
              </w:rPr>
              <w:t xml:space="preserve"> mai 2015</w:t>
            </w:r>
          </w:p>
          <w:p w:rsidR="0012542D" w:rsidRPr="004B7487" w:rsidRDefault="0012542D" w:rsidP="007775F6">
            <w:pPr>
              <w:jc w:val="both"/>
              <w:rPr>
                <w:sz w:val="20"/>
                <w:lang w:val="fr-CA"/>
              </w:rPr>
            </w:pPr>
            <w:r w:rsidRPr="004B7487">
              <w:rPr>
                <w:sz w:val="20"/>
                <w:lang w:val="fr-CA"/>
              </w:rPr>
              <w:t xml:space="preserve">Cour supérieure de justice de l’Ontario </w:t>
            </w:r>
          </w:p>
          <w:p w:rsidR="0012542D" w:rsidRPr="004B7487" w:rsidRDefault="0012542D" w:rsidP="007775F6">
            <w:pPr>
              <w:jc w:val="both"/>
              <w:rPr>
                <w:sz w:val="20"/>
                <w:lang w:val="fr-CA"/>
              </w:rPr>
            </w:pPr>
            <w:r w:rsidRPr="004B7487">
              <w:rPr>
                <w:sz w:val="20"/>
                <w:lang w:val="fr-CA"/>
              </w:rPr>
              <w:t xml:space="preserve">(Juge </w:t>
            </w:r>
            <w:proofErr w:type="spellStart"/>
            <w:r w:rsidRPr="004B7487">
              <w:rPr>
                <w:sz w:val="20"/>
                <w:lang w:val="fr-CA"/>
              </w:rPr>
              <w:t>Stong</w:t>
            </w:r>
            <w:proofErr w:type="spellEnd"/>
            <w:r w:rsidRPr="004B7487">
              <w:rPr>
                <w:sz w:val="20"/>
                <w:lang w:val="fr-CA"/>
              </w:rPr>
              <w:t>)</w:t>
            </w:r>
          </w:p>
          <w:p w:rsidR="0012542D" w:rsidRPr="004B7487" w:rsidRDefault="0012542D" w:rsidP="007775F6">
            <w:pPr>
              <w:jc w:val="both"/>
              <w:rPr>
                <w:sz w:val="20"/>
                <w:lang w:val="fr-CA"/>
              </w:rPr>
            </w:pP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 xml:space="preserve">Le demandeur est déclaré coupable de meurtre au deuxième degré par un jury. </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22 mai 2020</w:t>
            </w:r>
          </w:p>
          <w:p w:rsidR="0012542D" w:rsidRPr="004B7487" w:rsidRDefault="0012542D" w:rsidP="007775F6">
            <w:pPr>
              <w:jc w:val="both"/>
              <w:rPr>
                <w:sz w:val="20"/>
                <w:lang w:val="fr-CA"/>
              </w:rPr>
            </w:pPr>
            <w:r w:rsidRPr="004B7487">
              <w:rPr>
                <w:sz w:val="20"/>
                <w:lang w:val="fr-CA"/>
              </w:rPr>
              <w:t>Cour d’appel de l’Ontario</w:t>
            </w:r>
          </w:p>
          <w:p w:rsidR="0012542D" w:rsidRPr="004B7487" w:rsidRDefault="0012542D" w:rsidP="007775F6">
            <w:pPr>
              <w:jc w:val="both"/>
              <w:rPr>
                <w:sz w:val="20"/>
                <w:lang w:val="fr-CA"/>
              </w:rPr>
            </w:pPr>
            <w:r w:rsidRPr="004B7487">
              <w:rPr>
                <w:sz w:val="20"/>
                <w:lang w:val="fr-CA"/>
              </w:rPr>
              <w:t>(Juges van Rensburg, Miller, Fairburn)</w:t>
            </w:r>
          </w:p>
          <w:p w:rsidR="0012542D" w:rsidRPr="004B7487" w:rsidRDefault="004B7487" w:rsidP="007775F6">
            <w:pPr>
              <w:jc w:val="both"/>
              <w:rPr>
                <w:sz w:val="20"/>
                <w:lang w:val="fr-CA"/>
              </w:rPr>
            </w:pPr>
            <w:hyperlink r:id="rId30" w:history="1">
              <w:r w:rsidR="0012542D" w:rsidRPr="004B7487">
                <w:rPr>
                  <w:rStyle w:val="Hyperlink"/>
                  <w:sz w:val="20"/>
                  <w:lang w:val="fr-CA"/>
                </w:rPr>
                <w:t>2020 ONCA 307</w:t>
              </w:r>
            </w:hyperlink>
            <w:r w:rsidR="0012542D" w:rsidRPr="004B7487">
              <w:rPr>
                <w:sz w:val="20"/>
                <w:lang w:val="fr-CA"/>
              </w:rPr>
              <w:t>; C64615</w:t>
            </w:r>
          </w:p>
          <w:p w:rsidR="0012542D" w:rsidRPr="004B7487" w:rsidRDefault="0012542D" w:rsidP="007775F6">
            <w:pPr>
              <w:jc w:val="both"/>
              <w:rPr>
                <w:sz w:val="20"/>
                <w:lang w:val="fr-CA"/>
              </w:rPr>
            </w:pP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L’appel est rejeté.</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19 août 2020</w:t>
            </w:r>
          </w:p>
          <w:p w:rsidR="0012542D" w:rsidRPr="004B7487" w:rsidRDefault="0012542D" w:rsidP="007775F6">
            <w:pPr>
              <w:jc w:val="both"/>
              <w:rPr>
                <w:sz w:val="20"/>
                <w:lang w:val="fr-CA"/>
              </w:rPr>
            </w:pPr>
            <w:r w:rsidRPr="004B7487">
              <w:rPr>
                <w:sz w:val="20"/>
                <w:lang w:val="fr-CA"/>
              </w:rPr>
              <w:t>Cour suprême du Canada</w:t>
            </w: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La requête en nomination de procureur et la demande d’autorisation d’appel sont présentées.</w:t>
            </w:r>
          </w:p>
        </w:tc>
      </w:tr>
    </w:tbl>
    <w:p w:rsidR="0012542D" w:rsidRPr="004B7487" w:rsidRDefault="0012542D" w:rsidP="007775F6">
      <w:pPr>
        <w:jc w:val="both"/>
        <w:rPr>
          <w:sz w:val="20"/>
          <w:lang w:val="fr-CA"/>
        </w:rPr>
      </w:pPr>
    </w:p>
    <w:p w:rsidR="0028519E" w:rsidRPr="004B7487" w:rsidRDefault="004B7487" w:rsidP="007775F6">
      <w:pPr>
        <w:jc w:val="both"/>
        <w:rPr>
          <w:sz w:val="20"/>
          <w:lang w:val="fr-CA"/>
        </w:rPr>
      </w:pPr>
      <w:r w:rsidRPr="004B7487">
        <w:rPr>
          <w:sz w:val="20"/>
        </w:rPr>
        <w:pict>
          <v:rect id="_x0000_i1028" style="width:2in;height:1pt" o:hrpct="0" o:hralign="center" o:hrstd="t" o:hrnoshade="t" o:hr="t" fillcolor="black [3213]" stroked="f"/>
        </w:pict>
      </w:r>
    </w:p>
    <w:p w:rsidR="002C5E29" w:rsidRPr="004B7487" w:rsidRDefault="002C5E29"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lang w:val="en-CA"/>
              </w:rPr>
            </w:pPr>
            <w:r w:rsidRPr="004B7487">
              <w:rPr>
                <w:rStyle w:val="SCCFileNumberChar"/>
                <w:sz w:val="20"/>
                <w:szCs w:val="20"/>
              </w:rPr>
              <w:t>39309</w:t>
            </w:r>
          </w:p>
        </w:tc>
        <w:tc>
          <w:tcPr>
            <w:tcW w:w="4457" w:type="pct"/>
            <w:gridSpan w:val="3"/>
          </w:tcPr>
          <w:p w:rsidR="0012542D" w:rsidRPr="004B7487" w:rsidRDefault="0012542D" w:rsidP="007775F6">
            <w:pPr>
              <w:pStyle w:val="SCCLsocParty"/>
              <w:jc w:val="both"/>
              <w:rPr>
                <w:b/>
                <w:sz w:val="20"/>
                <w:szCs w:val="20"/>
              </w:rPr>
            </w:pPr>
            <w:r w:rsidRPr="004B7487">
              <w:rPr>
                <w:b/>
                <w:sz w:val="20"/>
                <w:szCs w:val="20"/>
              </w:rPr>
              <w:t>Patrice Demers, 6094350 Canada Inc., Genex Communications Inc., Les Éditions Genex Inc. v. Agence du revenu du Québec</w:t>
            </w:r>
          </w:p>
          <w:p w:rsidR="0012542D" w:rsidRPr="004B7487" w:rsidRDefault="0012542D" w:rsidP="0028519E">
            <w:pPr>
              <w:jc w:val="both"/>
              <w:rPr>
                <w:sz w:val="20"/>
                <w:lang w:val="en-CA"/>
              </w:rPr>
            </w:pPr>
            <w:r w:rsidRPr="004B7487">
              <w:rPr>
                <w:sz w:val="20"/>
                <w:lang w:val="en-CA"/>
              </w:rPr>
              <w:t>(Que.) (Civil) (By Leave)</w:t>
            </w:r>
          </w:p>
        </w:tc>
      </w:tr>
      <w:tr w:rsidR="0012542D" w:rsidRPr="004B7487" w:rsidTr="0012542D">
        <w:tc>
          <w:tcPr>
            <w:tcW w:w="5000" w:type="pct"/>
            <w:gridSpan w:val="4"/>
          </w:tcPr>
          <w:p w:rsidR="0012542D" w:rsidRPr="004B7487" w:rsidRDefault="0012542D" w:rsidP="007775F6">
            <w:pPr>
              <w:jc w:val="both"/>
              <w:rPr>
                <w:sz w:val="20"/>
                <w:lang w:val="en-CA"/>
              </w:rPr>
            </w:pPr>
            <w:proofErr w:type="gramStart"/>
            <w:r w:rsidRPr="004B7487">
              <w:rPr>
                <w:sz w:val="20"/>
                <w:lang w:val="en-CA"/>
              </w:rPr>
              <w:t xml:space="preserve">Taxation — Income tax — Assessment — Whether respondent was obliged to make assumptions or to consider question of whether director had acted with reasonable dispatch under s. 24.0.2 of </w:t>
            </w:r>
            <w:r w:rsidRPr="004B7487">
              <w:rPr>
                <w:i/>
                <w:sz w:val="20"/>
                <w:lang w:val="en-CA"/>
              </w:rPr>
              <w:t>Tax Administration Act</w:t>
            </w:r>
            <w:r w:rsidRPr="004B7487">
              <w:rPr>
                <w:sz w:val="20"/>
                <w:lang w:val="en-CA"/>
              </w:rPr>
              <w:t xml:space="preserve"> before making assessment under s. 24.0.1 or, if not, whether burden was on respondent to prove that director had not acted with reasonable dispatch — Whether burden was on respondent to prove particulars of assessment as regards amounts claimed from applicant Mr. Demers under </w:t>
            </w:r>
            <w:r w:rsidRPr="004B7487">
              <w:rPr>
                <w:i/>
                <w:sz w:val="20"/>
                <w:lang w:val="en-CA"/>
              </w:rPr>
              <w:t>Act respecting the Québec Pension Plan</w:t>
            </w:r>
            <w:r w:rsidRPr="004B7487">
              <w:rPr>
                <w:sz w:val="20"/>
                <w:lang w:val="en-CA"/>
              </w:rPr>
              <w:t>, CQLR, c. R</w:t>
            </w:r>
            <w:r w:rsidRPr="004B7487">
              <w:rPr>
                <w:sz w:val="20"/>
                <w:lang w:val="en-CA"/>
              </w:rPr>
              <w:noBreakHyphen/>
              <w:t xml:space="preserve">9 — </w:t>
            </w:r>
            <w:r w:rsidRPr="004B7487">
              <w:rPr>
                <w:i/>
                <w:sz w:val="20"/>
                <w:lang w:val="en-CA"/>
              </w:rPr>
              <w:t>Tax Administration Act</w:t>
            </w:r>
            <w:r w:rsidRPr="004B7487">
              <w:rPr>
                <w:sz w:val="20"/>
                <w:lang w:val="en-CA"/>
              </w:rPr>
              <w:t>, CQLR, c. A</w:t>
            </w:r>
            <w:r w:rsidRPr="004B7487">
              <w:rPr>
                <w:sz w:val="20"/>
                <w:lang w:val="en-CA"/>
              </w:rPr>
              <w:noBreakHyphen/>
              <w:t>6.002, ss. 24.0.1 and 24.0.2.</w:t>
            </w:r>
            <w:proofErr w:type="gramEnd"/>
          </w:p>
        </w:tc>
      </w:tr>
      <w:tr w:rsidR="0012542D" w:rsidRPr="004B7487" w:rsidTr="0012542D">
        <w:tc>
          <w:tcPr>
            <w:tcW w:w="5000" w:type="pct"/>
            <w:gridSpan w:val="4"/>
          </w:tcPr>
          <w:p w:rsidR="0012542D" w:rsidRPr="004B7487" w:rsidRDefault="0012542D" w:rsidP="007775F6">
            <w:pPr>
              <w:jc w:val="both"/>
              <w:rPr>
                <w:sz w:val="20"/>
                <w:lang w:val="en-CA"/>
              </w:rPr>
            </w:pPr>
          </w:p>
          <w:p w:rsidR="0012542D" w:rsidRPr="004B7487" w:rsidRDefault="0012542D" w:rsidP="007775F6">
            <w:pPr>
              <w:jc w:val="both"/>
              <w:rPr>
                <w:sz w:val="20"/>
                <w:lang w:val="en-CA"/>
              </w:rPr>
            </w:pPr>
            <w:r w:rsidRPr="004B7487">
              <w:rPr>
                <w:sz w:val="20"/>
                <w:lang w:val="en-CA"/>
              </w:rPr>
              <w:t>The applicant Mr. Demers is the president and director of the applicant 6094350 Canada Inc. (“Corporation”). In 2003, the Corporation acquired Radio X, a hockey team in the Quebec Senior Major Hockey League. As of the 2006</w:t>
            </w:r>
            <w:r w:rsidRPr="004B7487">
              <w:rPr>
                <w:sz w:val="20"/>
                <w:lang w:val="en-CA"/>
              </w:rPr>
              <w:noBreakHyphen/>
              <w:t>2007 season, the Corporation considered all of its players to be self</w:t>
            </w:r>
            <w:r w:rsidRPr="004B7487">
              <w:rPr>
                <w:sz w:val="20"/>
                <w:lang w:val="en-CA"/>
              </w:rPr>
              <w:noBreakHyphen/>
              <w:t>employed. In the course of an audit, the respondent, the Agence du revenu du Québec, concluded that the players were employees. As a result, it issued notices of assessment to the Corporation for amounts owed by an employer under various statutes. Mr. Demers objected to the assessments.</w:t>
            </w:r>
          </w:p>
          <w:p w:rsidR="0012542D" w:rsidRPr="004B7487" w:rsidRDefault="0012542D" w:rsidP="007775F6">
            <w:pPr>
              <w:jc w:val="both"/>
              <w:rPr>
                <w:sz w:val="20"/>
                <w:lang w:val="en-CA"/>
              </w:rPr>
            </w:pPr>
          </w:p>
          <w:p w:rsidR="0012542D" w:rsidRPr="004B7487" w:rsidRDefault="0012542D" w:rsidP="007775F6">
            <w:pPr>
              <w:jc w:val="both"/>
              <w:rPr>
                <w:sz w:val="20"/>
                <w:lang w:val="en-CA"/>
              </w:rPr>
            </w:pPr>
            <w:r w:rsidRPr="004B7487">
              <w:rPr>
                <w:sz w:val="20"/>
                <w:lang w:val="en-CA"/>
              </w:rPr>
              <w:t xml:space="preserve">The Court of Québec found that the players were employees and that therefore the Corporation had to collect and remit the source deductions provided for in fiscal laws. The court also found that Mr. Demers, as the Corporation’s director, had to </w:t>
            </w:r>
            <w:proofErr w:type="gramStart"/>
            <w:r w:rsidRPr="004B7487">
              <w:rPr>
                <w:sz w:val="20"/>
                <w:lang w:val="en-CA"/>
              </w:rPr>
              <w:t>be held</w:t>
            </w:r>
            <w:proofErr w:type="gramEnd"/>
            <w:r w:rsidRPr="004B7487">
              <w:rPr>
                <w:sz w:val="20"/>
                <w:lang w:val="en-CA"/>
              </w:rPr>
              <w:t xml:space="preserve"> personally liable for the assessments payable by the Corporation. However, some of the notices of assessment </w:t>
            </w:r>
            <w:proofErr w:type="gramStart"/>
            <w:r w:rsidRPr="004B7487">
              <w:rPr>
                <w:sz w:val="20"/>
                <w:lang w:val="en-CA"/>
              </w:rPr>
              <w:t>were vacated</w:t>
            </w:r>
            <w:proofErr w:type="gramEnd"/>
            <w:r w:rsidRPr="004B7487">
              <w:rPr>
                <w:sz w:val="20"/>
                <w:lang w:val="en-CA"/>
              </w:rPr>
              <w:t xml:space="preserve"> on the ground of prescription. The Court of Appeal held that the trial judge had not erred except on the issue of prescription. It therefore dismissed the appeal brought by Mr. Demers and allowed that of the Agence du revenu du Québec.</w:t>
            </w:r>
          </w:p>
        </w:tc>
      </w:tr>
      <w:tr w:rsidR="0012542D" w:rsidRPr="004B7487" w:rsidTr="0012542D">
        <w:tc>
          <w:tcPr>
            <w:tcW w:w="5000" w:type="pct"/>
            <w:gridSpan w:val="4"/>
          </w:tcPr>
          <w:p w:rsidR="0012542D" w:rsidRPr="004B7487" w:rsidRDefault="0012542D" w:rsidP="007775F6">
            <w:pPr>
              <w:jc w:val="both"/>
              <w:rPr>
                <w:sz w:val="20"/>
                <w:lang w:val="en-CA"/>
              </w:rPr>
            </w:pPr>
          </w:p>
        </w:tc>
      </w:tr>
      <w:tr w:rsidR="0012542D" w:rsidRPr="004B7487" w:rsidTr="0012542D">
        <w:tc>
          <w:tcPr>
            <w:tcW w:w="2427" w:type="pct"/>
            <w:gridSpan w:val="2"/>
          </w:tcPr>
          <w:p w:rsidR="0012542D" w:rsidRPr="004B7487" w:rsidRDefault="0012542D" w:rsidP="007775F6">
            <w:pPr>
              <w:jc w:val="both"/>
              <w:rPr>
                <w:sz w:val="20"/>
                <w:lang w:val="en-CA"/>
              </w:rPr>
            </w:pPr>
            <w:r w:rsidRPr="004B7487">
              <w:rPr>
                <w:sz w:val="20"/>
                <w:lang w:val="en-CA"/>
              </w:rPr>
              <w:t>January 17, 2018</w:t>
            </w:r>
          </w:p>
          <w:p w:rsidR="0012542D" w:rsidRPr="004B7487" w:rsidRDefault="0012542D" w:rsidP="007775F6">
            <w:pPr>
              <w:jc w:val="both"/>
              <w:rPr>
                <w:sz w:val="20"/>
                <w:lang w:val="en-CA"/>
              </w:rPr>
            </w:pPr>
            <w:r w:rsidRPr="004B7487">
              <w:rPr>
                <w:sz w:val="20"/>
                <w:lang w:val="en-CA"/>
              </w:rPr>
              <w:t>Court of Québec</w:t>
            </w:r>
          </w:p>
          <w:p w:rsidR="0012542D" w:rsidRPr="004B7487" w:rsidRDefault="0012542D" w:rsidP="007775F6">
            <w:pPr>
              <w:jc w:val="both"/>
              <w:rPr>
                <w:sz w:val="20"/>
                <w:lang w:val="en-CA"/>
              </w:rPr>
            </w:pPr>
            <w:r w:rsidRPr="004B7487">
              <w:rPr>
                <w:sz w:val="20"/>
                <w:lang w:val="en-CA"/>
              </w:rPr>
              <w:t>(Judge Cotnam)</w:t>
            </w:r>
          </w:p>
          <w:p w:rsidR="0012542D" w:rsidRPr="004B7487" w:rsidRDefault="004B7487" w:rsidP="007775F6">
            <w:pPr>
              <w:jc w:val="both"/>
              <w:rPr>
                <w:sz w:val="20"/>
                <w:lang w:val="en-CA"/>
              </w:rPr>
            </w:pPr>
            <w:hyperlink r:id="rId31" w:history="1">
              <w:r w:rsidR="0012542D" w:rsidRPr="004B7487">
                <w:rPr>
                  <w:rStyle w:val="Hyperlink"/>
                  <w:sz w:val="20"/>
                  <w:lang w:val="en-CA"/>
                </w:rPr>
                <w:t>2018 QCCQ 556</w:t>
              </w:r>
            </w:hyperlink>
          </w:p>
          <w:p w:rsidR="0012542D" w:rsidRPr="004B7487" w:rsidRDefault="0012542D" w:rsidP="007775F6">
            <w:pPr>
              <w:jc w:val="both"/>
              <w:rPr>
                <w:sz w:val="20"/>
                <w:lang w:val="en-CA"/>
              </w:rPr>
            </w:pPr>
          </w:p>
        </w:tc>
        <w:tc>
          <w:tcPr>
            <w:tcW w:w="243" w:type="pct"/>
          </w:tcPr>
          <w:p w:rsidR="0012542D" w:rsidRPr="004B7487" w:rsidRDefault="0012542D" w:rsidP="007775F6">
            <w:pPr>
              <w:jc w:val="both"/>
              <w:rPr>
                <w:sz w:val="20"/>
                <w:lang w:val="en-CA"/>
              </w:rPr>
            </w:pPr>
          </w:p>
        </w:tc>
        <w:tc>
          <w:tcPr>
            <w:tcW w:w="2330" w:type="pct"/>
          </w:tcPr>
          <w:p w:rsidR="0012542D" w:rsidRPr="004B7487" w:rsidRDefault="0012542D" w:rsidP="007775F6">
            <w:pPr>
              <w:jc w:val="both"/>
              <w:rPr>
                <w:sz w:val="20"/>
                <w:lang w:val="en-CA"/>
              </w:rPr>
            </w:pPr>
            <w:r w:rsidRPr="004B7487">
              <w:rPr>
                <w:sz w:val="20"/>
                <w:lang w:val="en-CA"/>
              </w:rPr>
              <w:t xml:space="preserve">Application of 6094350 Canada Inc. and application of Mr. Demers allowed in part </w:t>
            </w:r>
          </w:p>
        </w:tc>
      </w:tr>
      <w:tr w:rsidR="0012542D" w:rsidRPr="004B7487" w:rsidTr="0012542D">
        <w:tc>
          <w:tcPr>
            <w:tcW w:w="2427" w:type="pct"/>
            <w:gridSpan w:val="2"/>
          </w:tcPr>
          <w:p w:rsidR="0012542D" w:rsidRPr="004B7487" w:rsidRDefault="0012542D" w:rsidP="007775F6">
            <w:pPr>
              <w:jc w:val="both"/>
              <w:rPr>
                <w:sz w:val="20"/>
                <w:lang w:val="en-CA"/>
              </w:rPr>
            </w:pPr>
            <w:r w:rsidRPr="004B7487">
              <w:rPr>
                <w:sz w:val="20"/>
                <w:lang w:val="en-CA"/>
              </w:rPr>
              <w:t>May 26, 2020</w:t>
            </w:r>
          </w:p>
          <w:p w:rsidR="0012542D" w:rsidRPr="004B7487" w:rsidRDefault="0012542D" w:rsidP="007775F6">
            <w:pPr>
              <w:jc w:val="both"/>
              <w:rPr>
                <w:sz w:val="20"/>
                <w:lang w:val="en-CA"/>
              </w:rPr>
            </w:pPr>
            <w:r w:rsidRPr="004B7487">
              <w:rPr>
                <w:sz w:val="20"/>
                <w:lang w:val="en-CA"/>
              </w:rPr>
              <w:t>Quebec Court of Appeal (Québec)</w:t>
            </w:r>
          </w:p>
          <w:p w:rsidR="0012542D" w:rsidRPr="004B7487" w:rsidRDefault="0012542D" w:rsidP="007775F6">
            <w:pPr>
              <w:jc w:val="both"/>
              <w:rPr>
                <w:sz w:val="20"/>
                <w:lang w:val="en-CA"/>
              </w:rPr>
            </w:pPr>
            <w:r w:rsidRPr="004B7487">
              <w:rPr>
                <w:sz w:val="20"/>
                <w:lang w:val="en-CA"/>
              </w:rPr>
              <w:t>(Doyon, Bouchard and Bélanger JJ.A.)</w:t>
            </w:r>
          </w:p>
          <w:p w:rsidR="0012542D" w:rsidRPr="004B7487" w:rsidRDefault="004B7487" w:rsidP="007775F6">
            <w:pPr>
              <w:jc w:val="both"/>
              <w:rPr>
                <w:sz w:val="20"/>
                <w:lang w:val="en-CA"/>
              </w:rPr>
            </w:pPr>
            <w:hyperlink r:id="rId32" w:history="1">
              <w:r w:rsidR="0012542D" w:rsidRPr="004B7487">
                <w:rPr>
                  <w:rStyle w:val="Hyperlink"/>
                  <w:sz w:val="20"/>
                  <w:lang w:val="en-CA"/>
                </w:rPr>
                <w:t>2020 QCCA 681</w:t>
              </w:r>
            </w:hyperlink>
          </w:p>
          <w:p w:rsidR="0012542D" w:rsidRPr="004B7487" w:rsidRDefault="0012542D" w:rsidP="007775F6">
            <w:pPr>
              <w:jc w:val="both"/>
              <w:rPr>
                <w:sz w:val="20"/>
                <w:lang w:val="en-CA"/>
              </w:rPr>
            </w:pPr>
          </w:p>
        </w:tc>
        <w:tc>
          <w:tcPr>
            <w:tcW w:w="243" w:type="pct"/>
          </w:tcPr>
          <w:p w:rsidR="0012542D" w:rsidRPr="004B7487" w:rsidRDefault="0012542D" w:rsidP="007775F6">
            <w:pPr>
              <w:jc w:val="both"/>
              <w:rPr>
                <w:sz w:val="20"/>
                <w:lang w:val="en-CA"/>
              </w:rPr>
            </w:pPr>
          </w:p>
        </w:tc>
        <w:tc>
          <w:tcPr>
            <w:tcW w:w="2330" w:type="pct"/>
          </w:tcPr>
          <w:p w:rsidR="0012542D" w:rsidRPr="004B7487" w:rsidRDefault="0012542D" w:rsidP="007775F6">
            <w:pPr>
              <w:jc w:val="both"/>
              <w:rPr>
                <w:sz w:val="20"/>
                <w:lang w:val="en-CA"/>
              </w:rPr>
            </w:pPr>
            <w:r w:rsidRPr="004B7487">
              <w:rPr>
                <w:sz w:val="20"/>
                <w:lang w:val="en-CA"/>
              </w:rPr>
              <w:t>Appeal of Mr. Demers dismissed; respondent’s appeal allowed</w:t>
            </w:r>
          </w:p>
          <w:p w:rsidR="0012542D" w:rsidRPr="004B7487" w:rsidRDefault="0012542D" w:rsidP="007775F6">
            <w:pPr>
              <w:jc w:val="both"/>
              <w:rPr>
                <w:sz w:val="20"/>
                <w:lang w:val="en-CA"/>
              </w:rPr>
            </w:pPr>
          </w:p>
        </w:tc>
      </w:tr>
      <w:tr w:rsidR="0012542D" w:rsidRPr="004B7487" w:rsidTr="0012542D">
        <w:tc>
          <w:tcPr>
            <w:tcW w:w="2427" w:type="pct"/>
            <w:gridSpan w:val="2"/>
          </w:tcPr>
          <w:p w:rsidR="0012542D" w:rsidRPr="004B7487" w:rsidRDefault="0012542D" w:rsidP="007775F6">
            <w:pPr>
              <w:jc w:val="both"/>
              <w:rPr>
                <w:sz w:val="20"/>
                <w:lang w:val="en-CA"/>
              </w:rPr>
            </w:pPr>
            <w:r w:rsidRPr="004B7487">
              <w:rPr>
                <w:sz w:val="20"/>
                <w:lang w:val="en-CA"/>
              </w:rPr>
              <w:t>August 19, 2020</w:t>
            </w:r>
          </w:p>
          <w:p w:rsidR="0012542D" w:rsidRPr="004B7487" w:rsidRDefault="0012542D" w:rsidP="007775F6">
            <w:pPr>
              <w:jc w:val="both"/>
              <w:rPr>
                <w:sz w:val="20"/>
                <w:lang w:val="en-CA"/>
              </w:rPr>
            </w:pPr>
            <w:r w:rsidRPr="004B7487">
              <w:rPr>
                <w:sz w:val="20"/>
                <w:lang w:val="en-CA"/>
              </w:rPr>
              <w:t>Supreme Court of Canada</w:t>
            </w:r>
          </w:p>
        </w:tc>
        <w:tc>
          <w:tcPr>
            <w:tcW w:w="243" w:type="pct"/>
          </w:tcPr>
          <w:p w:rsidR="0012542D" w:rsidRPr="004B7487" w:rsidRDefault="0012542D" w:rsidP="007775F6">
            <w:pPr>
              <w:jc w:val="both"/>
              <w:rPr>
                <w:sz w:val="20"/>
                <w:lang w:val="en-CA"/>
              </w:rPr>
            </w:pPr>
          </w:p>
        </w:tc>
        <w:tc>
          <w:tcPr>
            <w:tcW w:w="2330" w:type="pct"/>
          </w:tcPr>
          <w:p w:rsidR="0012542D" w:rsidRPr="004B7487" w:rsidRDefault="0012542D" w:rsidP="007775F6">
            <w:pPr>
              <w:jc w:val="both"/>
              <w:rPr>
                <w:sz w:val="20"/>
                <w:lang w:val="en-CA"/>
              </w:rPr>
            </w:pPr>
            <w:r w:rsidRPr="004B7487">
              <w:rPr>
                <w:sz w:val="20"/>
                <w:lang w:val="en-CA"/>
              </w:rPr>
              <w:t>Application for leave to appeal filed</w:t>
            </w:r>
          </w:p>
          <w:p w:rsidR="0012542D" w:rsidRPr="004B7487" w:rsidRDefault="0012542D" w:rsidP="007775F6">
            <w:pPr>
              <w:jc w:val="both"/>
              <w:rPr>
                <w:sz w:val="20"/>
                <w:lang w:val="en-CA"/>
              </w:rPr>
            </w:pPr>
          </w:p>
        </w:tc>
      </w:tr>
    </w:tbl>
    <w:p w:rsidR="0012542D" w:rsidRPr="004B7487" w:rsidRDefault="0012542D" w:rsidP="007775F6">
      <w:pPr>
        <w:jc w:val="both"/>
        <w:rPr>
          <w:sz w:val="20"/>
          <w:lang w:val="en-CA"/>
        </w:rPr>
      </w:pPr>
    </w:p>
    <w:p w:rsidR="0028519E" w:rsidRPr="004B7487" w:rsidRDefault="004B7487" w:rsidP="007775F6">
      <w:pPr>
        <w:jc w:val="both"/>
        <w:rPr>
          <w:sz w:val="20"/>
          <w:lang w:val="en-CA"/>
        </w:rPr>
      </w:pPr>
      <w:r w:rsidRPr="004B7487">
        <w:rPr>
          <w:sz w:val="20"/>
        </w:rPr>
        <w:pict>
          <v:rect id="_x0000_i1029" style="width:2in;height:1pt" o:hrpct="0" o:hralign="center" o:hrstd="t" o:hrnoshade="t" o:hr="t" fillcolor="black [3213]" stroked="f"/>
        </w:pict>
      </w:r>
    </w:p>
    <w:p w:rsidR="0028519E" w:rsidRPr="004B7487" w:rsidRDefault="0028519E" w:rsidP="007775F6">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39309</w:t>
            </w:r>
          </w:p>
        </w:tc>
        <w:tc>
          <w:tcPr>
            <w:tcW w:w="4457" w:type="pct"/>
            <w:gridSpan w:val="3"/>
          </w:tcPr>
          <w:p w:rsidR="0012542D" w:rsidRPr="004B7487" w:rsidRDefault="0012542D" w:rsidP="007775F6">
            <w:pPr>
              <w:pStyle w:val="SCCLsocParty"/>
              <w:jc w:val="both"/>
              <w:rPr>
                <w:b/>
                <w:sz w:val="20"/>
                <w:szCs w:val="20"/>
              </w:rPr>
            </w:pPr>
            <w:r w:rsidRPr="004B7487">
              <w:rPr>
                <w:b/>
                <w:sz w:val="20"/>
                <w:szCs w:val="20"/>
              </w:rPr>
              <w:t>Patrice Demers, 6094350 Canada inc., Genex Communications inc., Les Éditions Genex inc. c. Agence du revenu du Québec</w:t>
            </w:r>
          </w:p>
          <w:p w:rsidR="0012542D" w:rsidRPr="004B7487" w:rsidRDefault="0012542D" w:rsidP="0028519E">
            <w:pPr>
              <w:jc w:val="both"/>
              <w:rPr>
                <w:sz w:val="20"/>
              </w:rPr>
            </w:pPr>
            <w:r w:rsidRPr="004B7487">
              <w:rPr>
                <w:sz w:val="20"/>
              </w:rPr>
              <w:t>(Qc) (Civile) (Autorisation)</w:t>
            </w: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Droit fiscal — Impôt sur le revenu — Cotisation — Est</w:t>
            </w:r>
            <w:r w:rsidRPr="004B7487">
              <w:rPr>
                <w:sz w:val="20"/>
                <w:lang w:val="fr-CA"/>
              </w:rPr>
              <w:noBreakHyphen/>
              <w:t xml:space="preserve">ce que l’intimée avait l’obligation d’émettre des hypothèses ou d’analyser la question de la diligence raisonnable de l’administrateur selon l’article 24.0.2 de la </w:t>
            </w:r>
            <w:r w:rsidRPr="004B7487">
              <w:rPr>
                <w:i/>
                <w:sz w:val="20"/>
                <w:lang w:val="fr-CA"/>
              </w:rPr>
              <w:t>Loi sur l’administration fiscale</w:t>
            </w:r>
            <w:r w:rsidRPr="004B7487">
              <w:rPr>
                <w:sz w:val="20"/>
                <w:lang w:val="fr-CA"/>
              </w:rPr>
              <w:t xml:space="preserve"> avant d’émettre une cotisation selon l’article 24.0.1 ou, à défaut, le fardeau de preuve d’établir le manque de diligence raisonnable de l’administration est</w:t>
            </w:r>
            <w:r w:rsidRPr="004B7487">
              <w:rPr>
                <w:sz w:val="20"/>
                <w:lang w:val="fr-CA"/>
              </w:rPr>
              <w:noBreakHyphen/>
              <w:t>il à la charge de l’intimée? — Est</w:t>
            </w:r>
            <w:r w:rsidRPr="004B7487">
              <w:rPr>
                <w:sz w:val="20"/>
                <w:lang w:val="fr-CA"/>
              </w:rPr>
              <w:noBreakHyphen/>
              <w:t xml:space="preserve">ce que l’intimée a le fardeau de preuve de démontrer le détail de la cotisation en ce qui concerne les montants réclamés au demandeur en vertu de la </w:t>
            </w:r>
            <w:r w:rsidRPr="004B7487">
              <w:rPr>
                <w:i/>
                <w:sz w:val="20"/>
                <w:lang w:val="fr-CA"/>
              </w:rPr>
              <w:t>Loi sur le régime des rentes du Québec</w:t>
            </w:r>
            <w:r w:rsidRPr="004B7487">
              <w:rPr>
                <w:sz w:val="20"/>
                <w:lang w:val="fr-CA"/>
              </w:rPr>
              <w:t xml:space="preserve"> (RLRQ chapitre R</w:t>
            </w:r>
            <w:r w:rsidRPr="004B7487">
              <w:rPr>
                <w:sz w:val="20"/>
                <w:lang w:val="fr-CA"/>
              </w:rPr>
              <w:noBreakHyphen/>
              <w:t xml:space="preserve">9) — </w:t>
            </w:r>
            <w:r w:rsidRPr="004B7487">
              <w:rPr>
                <w:i/>
                <w:sz w:val="20"/>
                <w:lang w:val="fr-CA"/>
              </w:rPr>
              <w:t>Loi sur l’administration fiscale</w:t>
            </w:r>
            <w:r w:rsidRPr="004B7487">
              <w:rPr>
                <w:sz w:val="20"/>
                <w:lang w:val="fr-CA"/>
              </w:rPr>
              <w:t xml:space="preserve"> (RLRQ chapitre A</w:t>
            </w:r>
            <w:r w:rsidRPr="004B7487">
              <w:rPr>
                <w:sz w:val="20"/>
                <w:lang w:val="fr-CA"/>
              </w:rPr>
              <w:noBreakHyphen/>
              <w:t>6.002), art. 24.0.1 et 24.0.2</w:t>
            </w:r>
          </w:p>
        </w:tc>
      </w:tr>
      <w:tr w:rsidR="0012542D" w:rsidRPr="004B7487" w:rsidTr="0012542D">
        <w:tc>
          <w:tcPr>
            <w:tcW w:w="5000" w:type="pct"/>
            <w:gridSpan w:val="4"/>
          </w:tcPr>
          <w:p w:rsidR="0012542D" w:rsidRPr="004B7487" w:rsidRDefault="0012542D" w:rsidP="007775F6">
            <w:pPr>
              <w:jc w:val="both"/>
              <w:rPr>
                <w:sz w:val="20"/>
                <w:lang w:val="fr-CA"/>
              </w:rPr>
            </w:pPr>
          </w:p>
          <w:p w:rsidR="0012542D" w:rsidRPr="004B7487" w:rsidRDefault="0012542D" w:rsidP="007775F6">
            <w:pPr>
              <w:jc w:val="both"/>
              <w:rPr>
                <w:sz w:val="20"/>
                <w:lang w:val="fr-CA"/>
              </w:rPr>
            </w:pPr>
            <w:r w:rsidRPr="004B7487">
              <w:rPr>
                <w:sz w:val="20"/>
                <w:lang w:val="fr-CA"/>
              </w:rPr>
              <w:t>Le demandeur M. Demers est le président et administrateur de la société 6094350 Canada Inc. (« Société »), également demanderesse. En 2003, la Société acquiert une équipe de hockey de la Ligue de hockey senior majeur du Québec, soit l’équipe Radio X. À partir de la saison 2006</w:t>
            </w:r>
            <w:r w:rsidRPr="004B7487">
              <w:rPr>
                <w:sz w:val="20"/>
                <w:lang w:val="fr-CA"/>
              </w:rPr>
              <w:noBreakHyphen/>
              <w:t>2007 la Société considère l’ensemble de ses joueurs comme des travailleurs autonomes. Dans le cadre d’une vérification, l’intimée Agence du revenu du Québec estime que les joueurs sont des salariés. Elle émet donc à l’égard de la Société des avis de cotisation pour des sommes dues par l’employeur en vertu de diverses lois. M.  Demers s’oppose à ces cotisations.</w:t>
            </w:r>
          </w:p>
          <w:p w:rsidR="0012542D" w:rsidRPr="004B7487" w:rsidRDefault="0012542D" w:rsidP="007775F6">
            <w:pPr>
              <w:jc w:val="both"/>
              <w:rPr>
                <w:sz w:val="20"/>
                <w:lang w:val="fr-CA"/>
              </w:rPr>
            </w:pPr>
          </w:p>
          <w:p w:rsidR="0012542D" w:rsidRPr="004B7487" w:rsidRDefault="0012542D" w:rsidP="007775F6">
            <w:pPr>
              <w:jc w:val="both"/>
              <w:rPr>
                <w:sz w:val="20"/>
                <w:lang w:val="fr-CA"/>
              </w:rPr>
            </w:pPr>
            <w:r w:rsidRPr="004B7487">
              <w:rPr>
                <w:sz w:val="20"/>
                <w:lang w:val="fr-CA"/>
              </w:rPr>
              <w:t>La Cour du Québec estime que les joueurs sont des salariés, et que la Société devait donc percevoir et remettre les retenues à la source prévues aux lois fiscales. De plus, la cour considère que M. Demers doit être tenu personnellement responsable des cotisations payables par la Société à titre d’administrateur de cette dernière. Certains avis de cotisation sont par ailleurs annulés pour cause de prescription. La Cour d’appel considère que la juge de première instance s’est bien dirigée, sauf pour ce qui est de la question de prescription. Elle rejette donc l’appel de M. Demers et accueille celui de l’Agence du revenu du Québec.</w:t>
            </w:r>
          </w:p>
        </w:tc>
      </w:tr>
      <w:tr w:rsidR="0012542D" w:rsidRPr="004B7487" w:rsidTr="0012542D">
        <w:tc>
          <w:tcPr>
            <w:tcW w:w="5000" w:type="pct"/>
            <w:gridSpan w:val="4"/>
          </w:tcPr>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Le 17 janvier 2018</w:t>
            </w:r>
          </w:p>
          <w:p w:rsidR="0012542D" w:rsidRPr="004B7487" w:rsidRDefault="0012542D" w:rsidP="007775F6">
            <w:pPr>
              <w:jc w:val="both"/>
              <w:rPr>
                <w:sz w:val="20"/>
                <w:lang w:val="fr-CA"/>
              </w:rPr>
            </w:pPr>
            <w:r w:rsidRPr="004B7487">
              <w:rPr>
                <w:sz w:val="20"/>
                <w:lang w:val="fr-CA"/>
              </w:rPr>
              <w:t>Cour du Québec</w:t>
            </w:r>
          </w:p>
          <w:p w:rsidR="0012542D" w:rsidRPr="004B7487" w:rsidRDefault="0012542D" w:rsidP="007775F6">
            <w:pPr>
              <w:jc w:val="both"/>
              <w:rPr>
                <w:sz w:val="20"/>
                <w:lang w:val="fr-CA"/>
              </w:rPr>
            </w:pPr>
            <w:r w:rsidRPr="004B7487">
              <w:rPr>
                <w:sz w:val="20"/>
                <w:lang w:val="fr-CA"/>
              </w:rPr>
              <w:t>(la juge Cotnam)</w:t>
            </w:r>
          </w:p>
          <w:p w:rsidR="0012542D" w:rsidRPr="004B7487" w:rsidRDefault="004B7487" w:rsidP="007775F6">
            <w:pPr>
              <w:jc w:val="both"/>
              <w:rPr>
                <w:sz w:val="20"/>
              </w:rPr>
            </w:pPr>
            <w:hyperlink r:id="rId33" w:history="1">
              <w:r w:rsidR="0012542D" w:rsidRPr="004B7487">
                <w:rPr>
                  <w:rStyle w:val="Hyperlink"/>
                  <w:sz w:val="20"/>
                </w:rPr>
                <w:t>2018 QCCQ 556</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 xml:space="preserve">Demande de 6094350 Canada inc. et demande de M. Demers accueillies en partie </w:t>
            </w: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Le 26 mai 2020</w:t>
            </w:r>
          </w:p>
          <w:p w:rsidR="0012542D" w:rsidRPr="004B7487" w:rsidRDefault="0012542D" w:rsidP="007775F6">
            <w:pPr>
              <w:jc w:val="both"/>
              <w:rPr>
                <w:sz w:val="20"/>
                <w:lang w:val="fr-CA"/>
              </w:rPr>
            </w:pPr>
            <w:r w:rsidRPr="004B7487">
              <w:rPr>
                <w:sz w:val="20"/>
                <w:lang w:val="fr-CA"/>
              </w:rPr>
              <w:t>Cour d’appel du Québec (Québec)</w:t>
            </w:r>
          </w:p>
          <w:p w:rsidR="0012542D" w:rsidRPr="004B7487" w:rsidRDefault="0012542D" w:rsidP="007775F6">
            <w:pPr>
              <w:jc w:val="both"/>
              <w:rPr>
                <w:sz w:val="20"/>
                <w:lang w:val="fr-CA"/>
              </w:rPr>
            </w:pPr>
            <w:r w:rsidRPr="004B7487">
              <w:rPr>
                <w:sz w:val="20"/>
                <w:lang w:val="fr-CA"/>
              </w:rPr>
              <w:t>(les juges Doyon, Bouchard et Bélanger)</w:t>
            </w:r>
          </w:p>
          <w:p w:rsidR="0012542D" w:rsidRPr="004B7487" w:rsidRDefault="004B7487" w:rsidP="007775F6">
            <w:pPr>
              <w:jc w:val="both"/>
              <w:rPr>
                <w:sz w:val="20"/>
              </w:rPr>
            </w:pPr>
            <w:hyperlink r:id="rId34" w:history="1">
              <w:r w:rsidR="0012542D" w:rsidRPr="004B7487">
                <w:rPr>
                  <w:rStyle w:val="Hyperlink"/>
                  <w:sz w:val="20"/>
                </w:rPr>
                <w:t>2020 QCCA 681</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 xml:space="preserve">Appel de M. Demers rejeté; appel de l’intimée accueilli </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Le 19 août 2020</w:t>
            </w:r>
          </w:p>
          <w:p w:rsidR="0012542D" w:rsidRPr="004B7487" w:rsidRDefault="0012542D" w:rsidP="007775F6">
            <w:pPr>
              <w:jc w:val="both"/>
              <w:rPr>
                <w:sz w:val="20"/>
                <w:lang w:val="fr-CA"/>
              </w:rPr>
            </w:pPr>
            <w:r w:rsidRPr="004B7487">
              <w:rPr>
                <w:sz w:val="20"/>
                <w:lang w:val="fr-CA"/>
              </w:rPr>
              <w:t>Cour suprême du Canada</w:t>
            </w: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rPr>
            </w:pPr>
            <w:r w:rsidRPr="004B7487">
              <w:rPr>
                <w:sz w:val="20"/>
              </w:rPr>
              <w:t>Demande d’autorisation d’appel déposée</w:t>
            </w:r>
          </w:p>
          <w:p w:rsidR="0012542D" w:rsidRPr="004B7487" w:rsidRDefault="0012542D" w:rsidP="007775F6">
            <w:pPr>
              <w:jc w:val="both"/>
              <w:rPr>
                <w:sz w:val="20"/>
              </w:rPr>
            </w:pPr>
          </w:p>
        </w:tc>
      </w:tr>
    </w:tbl>
    <w:p w:rsidR="0012542D" w:rsidRPr="004B7487" w:rsidRDefault="0012542D" w:rsidP="007775F6">
      <w:pPr>
        <w:jc w:val="both"/>
        <w:rPr>
          <w:sz w:val="20"/>
        </w:rPr>
      </w:pPr>
    </w:p>
    <w:p w:rsidR="0028519E" w:rsidRPr="004B7487" w:rsidRDefault="004B7487" w:rsidP="007775F6">
      <w:pPr>
        <w:jc w:val="both"/>
        <w:rPr>
          <w:sz w:val="20"/>
        </w:rPr>
      </w:pPr>
      <w:r w:rsidRPr="004B7487">
        <w:rPr>
          <w:sz w:val="20"/>
        </w:rPr>
        <w:pict>
          <v:rect id="_x0000_i1030" style="width:2in;height:1pt" o:hrpct="0" o:hralign="center" o:hrstd="t" o:hrnoshade="t" o:hr="t" fillcolor="black [3213]" stroked="f"/>
        </w:pict>
      </w:r>
    </w:p>
    <w:p w:rsidR="0012542D" w:rsidRPr="004B7487" w:rsidRDefault="0012542D"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39318</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Caroline Martin and Joey Moskwa v. Danielle Mailhot</w:t>
            </w:r>
          </w:p>
          <w:p w:rsidR="0012542D" w:rsidRPr="004B7487" w:rsidRDefault="0012542D" w:rsidP="007775F6">
            <w:pPr>
              <w:jc w:val="both"/>
              <w:rPr>
                <w:sz w:val="20"/>
              </w:rPr>
            </w:pPr>
            <w:r w:rsidRPr="004B7487">
              <w:rPr>
                <w:sz w:val="20"/>
              </w:rPr>
              <w:t>(Ont.) (Civil) (By Leave)</w:t>
            </w:r>
          </w:p>
        </w:tc>
      </w:tr>
      <w:tr w:rsidR="0012542D" w:rsidRPr="004B7487" w:rsidTr="0012542D">
        <w:tc>
          <w:tcPr>
            <w:tcW w:w="5000" w:type="pct"/>
            <w:gridSpan w:val="4"/>
          </w:tcPr>
          <w:p w:rsidR="0012542D" w:rsidRPr="004B7487" w:rsidRDefault="0012542D" w:rsidP="007775F6">
            <w:pPr>
              <w:jc w:val="both"/>
              <w:rPr>
                <w:sz w:val="20"/>
              </w:rPr>
            </w:pPr>
            <w:r w:rsidRPr="004B7487">
              <w:rPr>
                <w:sz w:val="20"/>
              </w:rPr>
              <w:t xml:space="preserve">Property — Commercial tenancies — Forfeiture — Notice — Whether a demand for monetary compensation is a mandatory requirement in a notice of default made by a landlord pursuant to s. 19(2) of the </w:t>
            </w:r>
            <w:r w:rsidRPr="004B7487">
              <w:rPr>
                <w:i/>
                <w:sz w:val="20"/>
              </w:rPr>
              <w:t>Commercial Tenancies Act</w:t>
            </w:r>
            <w:r w:rsidRPr="004B7487">
              <w:rPr>
                <w:sz w:val="20"/>
              </w:rPr>
              <w:t xml:space="preserve"> of Ontario — </w:t>
            </w:r>
            <w:r w:rsidRPr="004B7487">
              <w:rPr>
                <w:i/>
                <w:sz w:val="20"/>
              </w:rPr>
              <w:t>Commercial Tenancies Act</w:t>
            </w:r>
            <w:r w:rsidRPr="004B7487">
              <w:rPr>
                <w:sz w:val="20"/>
              </w:rPr>
              <w:t>, R.S.O. 1990, c. L.7</w:t>
            </w:r>
          </w:p>
          <w:p w:rsidR="0012542D" w:rsidRPr="004B7487" w:rsidRDefault="0012542D" w:rsidP="007775F6">
            <w:pPr>
              <w:jc w:val="both"/>
              <w:rPr>
                <w:sz w:val="20"/>
              </w:rPr>
            </w:pPr>
          </w:p>
        </w:tc>
      </w:tr>
      <w:tr w:rsidR="0012542D" w:rsidRPr="004B7487" w:rsidTr="0012542D">
        <w:tc>
          <w:tcPr>
            <w:tcW w:w="5000" w:type="pct"/>
            <w:gridSpan w:val="4"/>
          </w:tcPr>
          <w:p w:rsidR="0012542D" w:rsidRPr="004B7487" w:rsidRDefault="0012542D" w:rsidP="007775F6">
            <w:pPr>
              <w:jc w:val="both"/>
              <w:rPr>
                <w:sz w:val="20"/>
              </w:rPr>
            </w:pPr>
            <w:r w:rsidRPr="004B7487">
              <w:rPr>
                <w:sz w:val="20"/>
              </w:rPr>
              <w:t xml:space="preserve">In August 2017, Ms. Martin and Mr. Moskwa (“tenants”) entered into a commercial lease agreement with Ms. Mailhot (“landlord”) for the purpose of operating a barber shop and tattoo parlour. The lease stipulated the </w:t>
            </w:r>
            <w:r w:rsidRPr="004B7487">
              <w:rPr>
                <w:sz w:val="20"/>
              </w:rPr>
              <w:lastRenderedPageBreak/>
              <w:t>monthly rent and contained a clause requiring the tenants to maintain comprehensive general liability insurance and direct-damage insurance and to provide copies of all policies or certificates of insurance and renewals to the landlord. On September 19, 2017, the landlord served notice on the tenants that they were in breach of the lease for failing to pay the required rent and for failing to provide her with copies of all policies and certificates of insurance. The notice advised that the lease would be terminated in the event that the various breaches were not remedied, but the notice did not include a demand for monetary compensation. On September 27, 2017, the tenants paid the rent to the landlord. On October 3, 2017, the landlord served the tenants with a notice of termination as a result of their failure to provide copies of the insurance policies and certificates. The landlord subsequently re-entered the premises. On October 23, 2017, the tenants brought an application for a declaration that the landlord breached the lease through wrongful termination and illegal re</w:t>
            </w:r>
            <w:r w:rsidRPr="004B7487">
              <w:rPr>
                <w:sz w:val="20"/>
              </w:rPr>
              <w:noBreakHyphen/>
              <w:t>entry.</w:t>
            </w:r>
          </w:p>
          <w:p w:rsidR="0012542D" w:rsidRPr="004B7487" w:rsidRDefault="0012542D" w:rsidP="007775F6">
            <w:pPr>
              <w:jc w:val="both"/>
              <w:rPr>
                <w:sz w:val="20"/>
              </w:rPr>
            </w:pPr>
          </w:p>
          <w:p w:rsidR="0012542D" w:rsidRPr="004B7487" w:rsidRDefault="0012542D" w:rsidP="007775F6">
            <w:pPr>
              <w:jc w:val="both"/>
              <w:rPr>
                <w:sz w:val="20"/>
              </w:rPr>
            </w:pPr>
            <w:r w:rsidRPr="004B7487">
              <w:rPr>
                <w:sz w:val="20"/>
              </w:rPr>
              <w:t xml:space="preserve">The application judge granted the tenants’ application, finding that the notice of breach was deficient as it was not in compliance with s. 19(2) of the </w:t>
            </w:r>
            <w:r w:rsidRPr="004B7487">
              <w:rPr>
                <w:i/>
                <w:sz w:val="20"/>
              </w:rPr>
              <w:t>Commercial Tenancies Act</w:t>
            </w:r>
            <w:r w:rsidRPr="004B7487">
              <w:rPr>
                <w:sz w:val="20"/>
              </w:rPr>
              <w:t>. The application judge found that the landlord’s re</w:t>
            </w:r>
            <w:r w:rsidRPr="004B7487">
              <w:rPr>
                <w:sz w:val="20"/>
              </w:rPr>
              <w:noBreakHyphen/>
              <w:t xml:space="preserve">entry had therefore been unlawful. The Court of Appeal allowed the appeal and found that the landlord’s notice was compliant with s. 19(2) of the </w:t>
            </w:r>
            <w:r w:rsidRPr="004B7487">
              <w:rPr>
                <w:i/>
                <w:sz w:val="20"/>
              </w:rPr>
              <w:t>Commercial Tenancies Act</w:t>
            </w:r>
            <w:r w:rsidRPr="004B7487">
              <w:rPr>
                <w:sz w:val="20"/>
              </w:rPr>
              <w:t xml:space="preserve">.  </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lastRenderedPageBreak/>
              <w:t>June 20 , 2019</w:t>
            </w:r>
          </w:p>
          <w:p w:rsidR="0012542D" w:rsidRPr="004B7487" w:rsidRDefault="0012542D" w:rsidP="007775F6">
            <w:pPr>
              <w:jc w:val="both"/>
              <w:rPr>
                <w:sz w:val="20"/>
              </w:rPr>
            </w:pPr>
            <w:r w:rsidRPr="004B7487">
              <w:rPr>
                <w:sz w:val="20"/>
              </w:rPr>
              <w:t>Ontario Superior Court of Justice</w:t>
            </w:r>
          </w:p>
          <w:p w:rsidR="0012542D" w:rsidRPr="004B7487" w:rsidRDefault="0012542D" w:rsidP="007775F6">
            <w:pPr>
              <w:jc w:val="both"/>
              <w:rPr>
                <w:sz w:val="20"/>
              </w:rPr>
            </w:pPr>
            <w:r w:rsidRPr="004B7487">
              <w:rPr>
                <w:sz w:val="20"/>
              </w:rPr>
              <w:t>(Pelletier J.)</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 xml:space="preserve">Respondent’s notice invalid as not compliant with s. 19(2) of the </w:t>
            </w:r>
            <w:r w:rsidRPr="004B7487">
              <w:rPr>
                <w:i/>
                <w:sz w:val="20"/>
              </w:rPr>
              <w:t>Commercial Tenancies Act</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July 24, 2020</w:t>
            </w:r>
          </w:p>
          <w:p w:rsidR="0012542D" w:rsidRPr="004B7487" w:rsidRDefault="0012542D" w:rsidP="007775F6">
            <w:pPr>
              <w:jc w:val="both"/>
              <w:rPr>
                <w:sz w:val="20"/>
              </w:rPr>
            </w:pPr>
            <w:r w:rsidRPr="004B7487">
              <w:rPr>
                <w:sz w:val="20"/>
              </w:rPr>
              <w:t>Court of Appeal for Ontario</w:t>
            </w:r>
          </w:p>
          <w:p w:rsidR="0012542D" w:rsidRPr="004B7487" w:rsidRDefault="0012542D" w:rsidP="007775F6">
            <w:pPr>
              <w:jc w:val="both"/>
              <w:rPr>
                <w:sz w:val="20"/>
              </w:rPr>
            </w:pPr>
            <w:r w:rsidRPr="004B7487">
              <w:rPr>
                <w:sz w:val="20"/>
              </w:rPr>
              <w:t>(Tulloch, Huscroft and Harvison Young JJ.A.)</w:t>
            </w:r>
          </w:p>
          <w:p w:rsidR="0012542D" w:rsidRPr="004B7487" w:rsidRDefault="004B7487" w:rsidP="007775F6">
            <w:pPr>
              <w:jc w:val="both"/>
              <w:rPr>
                <w:sz w:val="20"/>
              </w:rPr>
            </w:pPr>
            <w:hyperlink r:id="rId35" w:history="1">
              <w:r w:rsidR="0012542D" w:rsidRPr="004B7487">
                <w:rPr>
                  <w:rStyle w:val="Hyperlink"/>
                  <w:sz w:val="20"/>
                </w:rPr>
                <w:t>2020 ONCA 480</w:t>
              </w:r>
            </w:hyperlink>
            <w:r w:rsidR="0012542D" w:rsidRPr="004B7487">
              <w:rPr>
                <w:sz w:val="20"/>
              </w:rPr>
              <w:t>; C67228</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i/>
                <w:sz w:val="20"/>
              </w:rPr>
            </w:pPr>
            <w:r w:rsidRPr="004B7487">
              <w:rPr>
                <w:sz w:val="20"/>
              </w:rPr>
              <w:t xml:space="preserve">Appeal allowed; notice valid and compliant with s. 19(2) of the </w:t>
            </w:r>
            <w:r w:rsidRPr="004B7487">
              <w:rPr>
                <w:i/>
                <w:sz w:val="20"/>
              </w:rPr>
              <w:t>Commercial Tenancies Act</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September 10, 2020</w:t>
            </w:r>
          </w:p>
          <w:p w:rsidR="0012542D" w:rsidRPr="004B7487" w:rsidRDefault="0012542D" w:rsidP="007775F6">
            <w:pPr>
              <w:jc w:val="both"/>
              <w:rPr>
                <w:sz w:val="20"/>
              </w:rPr>
            </w:pPr>
            <w:r w:rsidRPr="004B7487">
              <w:rPr>
                <w:sz w:val="20"/>
              </w:rPr>
              <w:t>Supreme Court of Canada</w:t>
            </w: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Application for leave to appeal filed</w:t>
            </w:r>
          </w:p>
          <w:p w:rsidR="0012542D" w:rsidRPr="004B7487" w:rsidRDefault="0012542D" w:rsidP="007775F6">
            <w:pPr>
              <w:jc w:val="both"/>
              <w:rPr>
                <w:sz w:val="20"/>
              </w:rPr>
            </w:pPr>
          </w:p>
        </w:tc>
      </w:tr>
    </w:tbl>
    <w:p w:rsidR="0012542D" w:rsidRPr="004B7487" w:rsidRDefault="0012542D" w:rsidP="007775F6">
      <w:pPr>
        <w:jc w:val="both"/>
        <w:rPr>
          <w:sz w:val="20"/>
        </w:rPr>
      </w:pPr>
    </w:p>
    <w:p w:rsidR="0028519E" w:rsidRPr="004B7487" w:rsidRDefault="004B7487" w:rsidP="007775F6">
      <w:pPr>
        <w:jc w:val="both"/>
        <w:rPr>
          <w:sz w:val="20"/>
        </w:rPr>
      </w:pPr>
      <w:r w:rsidRPr="004B7487">
        <w:rPr>
          <w:sz w:val="20"/>
        </w:rPr>
        <w:pict>
          <v:rect id="_x0000_i1031" style="width:2in;height:1pt" o:hrpct="0" o:hralign="center" o:hrstd="t" o:hrnoshade="t" o:hr="t" fillcolor="black [3213]" stroked="f"/>
        </w:pict>
      </w:r>
    </w:p>
    <w:p w:rsidR="0028519E" w:rsidRPr="004B7487" w:rsidRDefault="0028519E" w:rsidP="007775F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39318</w:t>
            </w:r>
          </w:p>
        </w:tc>
        <w:tc>
          <w:tcPr>
            <w:tcW w:w="4457" w:type="pct"/>
            <w:gridSpan w:val="3"/>
          </w:tcPr>
          <w:p w:rsidR="0012542D" w:rsidRPr="004B7487" w:rsidRDefault="0012542D" w:rsidP="007775F6">
            <w:pPr>
              <w:pStyle w:val="SCCLsocParty"/>
              <w:jc w:val="both"/>
              <w:rPr>
                <w:b/>
                <w:sz w:val="20"/>
                <w:szCs w:val="20"/>
              </w:rPr>
            </w:pPr>
            <w:r w:rsidRPr="004B7487">
              <w:rPr>
                <w:b/>
                <w:sz w:val="20"/>
                <w:szCs w:val="20"/>
              </w:rPr>
              <w:t>Caroline Martin et Joey Moskwa c. Danielle Mailhot</w:t>
            </w:r>
          </w:p>
          <w:p w:rsidR="0012542D" w:rsidRPr="004B7487" w:rsidRDefault="0012542D" w:rsidP="007775F6">
            <w:pPr>
              <w:jc w:val="both"/>
              <w:rPr>
                <w:sz w:val="20"/>
              </w:rPr>
            </w:pPr>
            <w:r w:rsidRPr="004B7487">
              <w:rPr>
                <w:sz w:val="20"/>
              </w:rPr>
              <w:t>(Ont.) (Civile) (Autorisation)</w:t>
            </w: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 xml:space="preserve">Biens — Baux commerciaux — Saisie — Avis — Une demande d’indemnité pécuniaire est-elle nécessaire dans un avis de défaut présenté par un locateur, selon le par. 19(2) de la </w:t>
            </w:r>
            <w:r w:rsidRPr="004B7487">
              <w:rPr>
                <w:i/>
                <w:sz w:val="20"/>
                <w:lang w:val="fr-CA"/>
              </w:rPr>
              <w:t>Loi sur la location commerciale</w:t>
            </w:r>
            <w:r w:rsidRPr="004B7487">
              <w:rPr>
                <w:sz w:val="20"/>
                <w:lang w:val="fr-CA"/>
              </w:rPr>
              <w:t xml:space="preserve"> de l’Ontario? — </w:t>
            </w:r>
            <w:r w:rsidRPr="004B7487">
              <w:rPr>
                <w:i/>
                <w:sz w:val="20"/>
                <w:lang w:val="fr-CA"/>
              </w:rPr>
              <w:t>Loi sur la location commerciale</w:t>
            </w:r>
            <w:r w:rsidRPr="004B7487">
              <w:rPr>
                <w:sz w:val="20"/>
                <w:lang w:val="fr-CA"/>
              </w:rPr>
              <w:t>, L.R.O. 1990, c. L.7</w:t>
            </w:r>
          </w:p>
          <w:p w:rsidR="0012542D" w:rsidRPr="004B7487" w:rsidRDefault="0012542D" w:rsidP="007775F6">
            <w:pPr>
              <w:jc w:val="both"/>
              <w:rPr>
                <w:sz w:val="20"/>
                <w:lang w:val="fr-CA"/>
              </w:rPr>
            </w:pP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En août 2017, M</w:t>
            </w:r>
            <w:r w:rsidRPr="004B7487">
              <w:rPr>
                <w:sz w:val="20"/>
                <w:vertAlign w:val="superscript"/>
                <w:lang w:val="fr-CA"/>
              </w:rPr>
              <w:t>me</w:t>
            </w:r>
            <w:r w:rsidRPr="004B7487">
              <w:rPr>
                <w:sz w:val="20"/>
                <w:lang w:val="fr-CA"/>
              </w:rPr>
              <w:t> Martin et M. Moskwa (les locataires) ont conclu un bail commercial avec M</w:t>
            </w:r>
            <w:r w:rsidRPr="004B7487">
              <w:rPr>
                <w:sz w:val="20"/>
                <w:vertAlign w:val="superscript"/>
                <w:lang w:val="fr-CA"/>
              </w:rPr>
              <w:t>me</w:t>
            </w:r>
            <w:r w:rsidRPr="004B7487">
              <w:rPr>
                <w:sz w:val="20"/>
                <w:lang w:val="fr-CA"/>
              </w:rPr>
              <w:t> Mailhot (la locatrice) dans le but d’exploiter un salon de coiffure et de tatouage. Le bail indiquait le loyer mensuel et contenait une clause exigeant que les locataires possèdent une police d’assurance de responsabilité civile générale et une police d’assurance de dommages directs et qu’ils fournissent des copies de toutes les polices ou certificats d’assurance ainsi que des copies de tous les renouvellements à la locatrice. Le 19 septembre 2017, la locatrice a donné signification aux locataires d’un avis selon lequel ils avaient contrevenu au bail par leur manquement au paiement du loyer requis et par leur omission de lui fournir des copies de toutes les polices et de tous les certificats d’assurance. Selon l’avis, il serait mis fin au bail si les divers manquements n’étaient pas rectifiés, mais l’avis ne contenait pas d’exigence relative à l’indemnité pécuniaire. Le 27 septembre 2017, les locataires ont payé le loyer à locatrice. Le 3 octobre 2017, la locatrice a signifié aux locataires un avis de fin de bail, au motif que ces derniers ne lui avaient pas fourni de copie des polices et des certificats d’assurance. Subséquemment, la locatrice est rentrée dans les locaux. Le 23 octobre 2017, les locataires ont présenté une demande en vue d’obtenir une déclaration selon laquelle la locatrice a violé le contrat de bail, parce qu’elle y a indûment mis fin et en raison de sa rentrée illicite.</w:t>
            </w:r>
          </w:p>
          <w:p w:rsidR="0012542D" w:rsidRPr="004B7487" w:rsidRDefault="0012542D" w:rsidP="007775F6">
            <w:pPr>
              <w:jc w:val="both"/>
              <w:rPr>
                <w:sz w:val="20"/>
                <w:lang w:val="fr-CA"/>
              </w:rPr>
            </w:pPr>
          </w:p>
          <w:p w:rsidR="0012542D" w:rsidRPr="004B7487" w:rsidRDefault="0012542D" w:rsidP="007775F6">
            <w:pPr>
              <w:jc w:val="both"/>
              <w:rPr>
                <w:sz w:val="20"/>
                <w:lang w:val="fr-CA"/>
              </w:rPr>
            </w:pPr>
            <w:r w:rsidRPr="004B7487">
              <w:rPr>
                <w:sz w:val="20"/>
                <w:lang w:val="fr-CA"/>
              </w:rPr>
              <w:t xml:space="preserve">Le juge de première instance a accueilli la demande des locataires, concluant que l’avis de violation était déficient, car il n’était pas conforme au </w:t>
            </w:r>
            <w:proofErr w:type="spellStart"/>
            <w:r w:rsidRPr="004B7487">
              <w:rPr>
                <w:sz w:val="20"/>
                <w:lang w:val="fr-CA"/>
              </w:rPr>
              <w:t>par</w:t>
            </w:r>
            <w:proofErr w:type="spellEnd"/>
            <w:r w:rsidRPr="004B7487">
              <w:rPr>
                <w:sz w:val="20"/>
                <w:lang w:val="fr-CA"/>
              </w:rPr>
              <w:t xml:space="preserve">. 19(2) de la </w:t>
            </w:r>
            <w:r w:rsidRPr="004B7487">
              <w:rPr>
                <w:i/>
                <w:sz w:val="20"/>
                <w:lang w:val="fr-CA"/>
              </w:rPr>
              <w:t>Loi sur la location commerciale</w:t>
            </w:r>
            <w:r w:rsidRPr="004B7487">
              <w:rPr>
                <w:sz w:val="20"/>
                <w:lang w:val="fr-CA"/>
              </w:rPr>
              <w:t xml:space="preserve">. Le juge de première instance a conclu que la rentrée de la locatrice avait donc été illicite. La Cour d’appel a accueilli l’appel et conclu que l’avis de la locatrice était conforme au </w:t>
            </w:r>
            <w:proofErr w:type="spellStart"/>
            <w:r w:rsidRPr="004B7487">
              <w:rPr>
                <w:sz w:val="20"/>
                <w:lang w:val="fr-CA"/>
              </w:rPr>
              <w:t>par</w:t>
            </w:r>
            <w:proofErr w:type="spellEnd"/>
            <w:r w:rsidRPr="004B7487">
              <w:rPr>
                <w:sz w:val="20"/>
                <w:lang w:val="fr-CA"/>
              </w:rPr>
              <w:t xml:space="preserve">. 19(2) de la </w:t>
            </w:r>
            <w:r w:rsidRPr="004B7487">
              <w:rPr>
                <w:i/>
                <w:sz w:val="20"/>
                <w:lang w:val="fr-CA"/>
              </w:rPr>
              <w:t>Loi sur la location commerciale</w:t>
            </w:r>
            <w:r w:rsidRPr="004B7487">
              <w:rPr>
                <w:sz w:val="20"/>
                <w:lang w:val="fr-CA"/>
              </w:rPr>
              <w:t xml:space="preserve">.  </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lastRenderedPageBreak/>
              <w:t>20 juin 2019</w:t>
            </w:r>
          </w:p>
          <w:p w:rsidR="0012542D" w:rsidRPr="004B7487" w:rsidRDefault="0012542D" w:rsidP="007775F6">
            <w:pPr>
              <w:jc w:val="both"/>
              <w:rPr>
                <w:sz w:val="20"/>
                <w:lang w:val="fr-CA"/>
              </w:rPr>
            </w:pPr>
            <w:r w:rsidRPr="004B7487">
              <w:rPr>
                <w:sz w:val="20"/>
                <w:lang w:val="fr-CA"/>
              </w:rPr>
              <w:t xml:space="preserve">Cour supérieure de justice de l’Ontario </w:t>
            </w:r>
          </w:p>
          <w:p w:rsidR="0012542D" w:rsidRPr="004B7487" w:rsidRDefault="0012542D" w:rsidP="007775F6">
            <w:pPr>
              <w:jc w:val="both"/>
              <w:rPr>
                <w:sz w:val="20"/>
              </w:rPr>
            </w:pPr>
            <w:r w:rsidRPr="004B7487">
              <w:rPr>
                <w:sz w:val="20"/>
              </w:rPr>
              <w:t>(juge Pelletier)</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 xml:space="preserve">Avis de la défenderesse invalide et non conforme au </w:t>
            </w:r>
            <w:proofErr w:type="spellStart"/>
            <w:r w:rsidRPr="004B7487">
              <w:rPr>
                <w:sz w:val="20"/>
                <w:lang w:val="fr-CA"/>
              </w:rPr>
              <w:t>par</w:t>
            </w:r>
            <w:proofErr w:type="spellEnd"/>
            <w:r w:rsidRPr="004B7487">
              <w:rPr>
                <w:sz w:val="20"/>
                <w:lang w:val="fr-CA"/>
              </w:rPr>
              <w:t xml:space="preserve">. 19(2) de la </w:t>
            </w:r>
            <w:r w:rsidRPr="004B7487">
              <w:rPr>
                <w:i/>
                <w:sz w:val="20"/>
                <w:lang w:val="fr-CA"/>
              </w:rPr>
              <w:t>Loi sur la location commerciale</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24 juillet 2020</w:t>
            </w:r>
          </w:p>
          <w:p w:rsidR="0012542D" w:rsidRPr="004B7487" w:rsidRDefault="0012542D" w:rsidP="007775F6">
            <w:pPr>
              <w:jc w:val="both"/>
              <w:rPr>
                <w:sz w:val="20"/>
                <w:lang w:val="fr-CA"/>
              </w:rPr>
            </w:pPr>
            <w:r w:rsidRPr="004B7487">
              <w:rPr>
                <w:sz w:val="20"/>
                <w:lang w:val="fr-CA"/>
              </w:rPr>
              <w:t>Cour d’appel de l’Ontario</w:t>
            </w:r>
          </w:p>
          <w:p w:rsidR="0012542D" w:rsidRPr="004B7487" w:rsidRDefault="0012542D" w:rsidP="007775F6">
            <w:pPr>
              <w:jc w:val="both"/>
              <w:rPr>
                <w:sz w:val="20"/>
                <w:lang w:val="fr-CA"/>
              </w:rPr>
            </w:pPr>
            <w:r w:rsidRPr="004B7487">
              <w:rPr>
                <w:sz w:val="20"/>
                <w:lang w:val="fr-CA"/>
              </w:rPr>
              <w:t>(juges Tulloch, Huscroft et Harvison Young)</w:t>
            </w:r>
          </w:p>
          <w:p w:rsidR="0012542D" w:rsidRPr="004B7487" w:rsidRDefault="004B7487" w:rsidP="007775F6">
            <w:pPr>
              <w:jc w:val="both"/>
              <w:rPr>
                <w:sz w:val="20"/>
              </w:rPr>
            </w:pPr>
            <w:hyperlink r:id="rId36" w:history="1">
              <w:r w:rsidR="0012542D" w:rsidRPr="004B7487">
                <w:rPr>
                  <w:rStyle w:val="Hyperlink"/>
                  <w:sz w:val="20"/>
                </w:rPr>
                <w:t>2020 ONCA 480</w:t>
              </w:r>
            </w:hyperlink>
            <w:r w:rsidR="0012542D" w:rsidRPr="004B7487">
              <w:rPr>
                <w:sz w:val="20"/>
              </w:rPr>
              <w:t>; C67228</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i/>
                <w:sz w:val="20"/>
                <w:lang w:val="fr-CA"/>
              </w:rPr>
            </w:pPr>
            <w:r w:rsidRPr="004B7487">
              <w:rPr>
                <w:sz w:val="20"/>
                <w:lang w:val="fr-CA"/>
              </w:rPr>
              <w:t xml:space="preserve">Appel accueilli; avis valide et conforme au </w:t>
            </w:r>
            <w:proofErr w:type="spellStart"/>
            <w:r w:rsidRPr="004B7487">
              <w:rPr>
                <w:sz w:val="20"/>
                <w:lang w:val="fr-CA"/>
              </w:rPr>
              <w:t>par</w:t>
            </w:r>
            <w:proofErr w:type="spellEnd"/>
            <w:r w:rsidRPr="004B7487">
              <w:rPr>
                <w:sz w:val="20"/>
                <w:lang w:val="fr-CA"/>
              </w:rPr>
              <w:t xml:space="preserve">. 19(2) de la </w:t>
            </w:r>
            <w:r w:rsidRPr="004B7487">
              <w:rPr>
                <w:i/>
                <w:sz w:val="20"/>
                <w:lang w:val="fr-CA"/>
              </w:rPr>
              <w:t>Loi sur la location commerciale</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10 septembre 2020</w:t>
            </w:r>
          </w:p>
          <w:p w:rsidR="0012542D" w:rsidRPr="004B7487" w:rsidRDefault="0012542D" w:rsidP="007775F6">
            <w:pPr>
              <w:jc w:val="both"/>
              <w:rPr>
                <w:sz w:val="20"/>
                <w:lang w:val="fr-CA"/>
              </w:rPr>
            </w:pPr>
            <w:r w:rsidRPr="004B7487">
              <w:rPr>
                <w:sz w:val="20"/>
                <w:lang w:val="fr-CA"/>
              </w:rPr>
              <w:t>Cour suprême du Canada</w:t>
            </w: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 xml:space="preserve">Dépôt de la demande d’autorisation d’appel </w:t>
            </w:r>
          </w:p>
          <w:p w:rsidR="0012542D" w:rsidRPr="004B7487" w:rsidRDefault="0012542D" w:rsidP="007775F6">
            <w:pPr>
              <w:jc w:val="both"/>
              <w:rPr>
                <w:sz w:val="20"/>
                <w:lang w:val="fr-CA"/>
              </w:rPr>
            </w:pPr>
          </w:p>
        </w:tc>
      </w:tr>
    </w:tbl>
    <w:p w:rsidR="0012542D" w:rsidRPr="004B7487" w:rsidRDefault="0012542D" w:rsidP="007775F6">
      <w:pPr>
        <w:jc w:val="both"/>
        <w:rPr>
          <w:sz w:val="20"/>
          <w:lang w:val="fr-CA"/>
        </w:rPr>
      </w:pPr>
    </w:p>
    <w:p w:rsidR="0028519E" w:rsidRPr="004B7487" w:rsidRDefault="004B7487" w:rsidP="007775F6">
      <w:pPr>
        <w:jc w:val="both"/>
        <w:rPr>
          <w:sz w:val="20"/>
          <w:lang w:val="fr-CA"/>
        </w:rPr>
      </w:pPr>
      <w:r w:rsidRPr="004B7487">
        <w:rPr>
          <w:sz w:val="20"/>
        </w:rPr>
        <w:pict>
          <v:rect id="_x0000_i1032" style="width:2in;height:1pt" o:hrpct="0" o:hralign="center" o:hrstd="t" o:hrnoshade="t" o:hr="t" fillcolor="black [3213]" stroked="f"/>
        </w:pict>
      </w:r>
    </w:p>
    <w:p w:rsidR="0012542D" w:rsidRPr="004B7487" w:rsidRDefault="0012542D"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39102</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Leisa Hutton v. Manufacturers Life Insurance Company (Manulife Financial)</w:t>
            </w:r>
          </w:p>
          <w:p w:rsidR="0012542D" w:rsidRPr="004B7487" w:rsidRDefault="0012542D" w:rsidP="007775F6">
            <w:pPr>
              <w:jc w:val="both"/>
              <w:rPr>
                <w:sz w:val="20"/>
              </w:rPr>
            </w:pPr>
            <w:r w:rsidRPr="004B7487">
              <w:rPr>
                <w:sz w:val="20"/>
              </w:rPr>
              <w:t>(Ont.) (Civil) (By Leave)</w:t>
            </w:r>
          </w:p>
        </w:tc>
      </w:tr>
      <w:tr w:rsidR="0012542D" w:rsidRPr="004B7487" w:rsidTr="0012542D">
        <w:tc>
          <w:tcPr>
            <w:tcW w:w="5000" w:type="pct"/>
            <w:gridSpan w:val="4"/>
          </w:tcPr>
          <w:p w:rsidR="0012542D" w:rsidRPr="004B7487" w:rsidRDefault="0012542D" w:rsidP="007775F6">
            <w:pPr>
              <w:jc w:val="both"/>
              <w:rPr>
                <w:sz w:val="20"/>
              </w:rPr>
            </w:pPr>
            <w:r w:rsidRPr="004B7487">
              <w:rPr>
                <w:bCs/>
                <w:sz w:val="20"/>
              </w:rPr>
              <w:t>Labour relations — Collective agreements — Long</w:t>
            </w:r>
            <w:r w:rsidRPr="004B7487">
              <w:rPr>
                <w:bCs/>
                <w:sz w:val="20"/>
              </w:rPr>
              <w:noBreakHyphen/>
              <w:t xml:space="preserve">term disability benefits — Jurisdiction — Arbitration </w:t>
            </w:r>
            <w:r w:rsidRPr="004B7487">
              <w:rPr>
                <w:sz w:val="20"/>
              </w:rPr>
              <w:t>— Lower courts finding c</w:t>
            </w:r>
            <w:r w:rsidRPr="004B7487">
              <w:rPr>
                <w:sz w:val="20"/>
                <w:lang w:val="en"/>
              </w:rPr>
              <w:t>laim against long</w:t>
            </w:r>
            <w:r w:rsidRPr="004B7487">
              <w:rPr>
                <w:sz w:val="20"/>
                <w:lang w:val="en"/>
              </w:rPr>
              <w:noBreakHyphen/>
              <w:t xml:space="preserve">term disability insurer subject to grievance and arbitration under union’s collective agreement with employer — </w:t>
            </w:r>
            <w:r w:rsidRPr="004B7487">
              <w:rPr>
                <w:sz w:val="20"/>
              </w:rPr>
              <w:t>Whether arbitration is adequate forum for adjudication of unionized employees’ claims under third party insurance policies ancillary to their collective agreements, when insurance carrier is contractually obliged to administer and pay those claims — What are legitimate contractual interests of union members, as third party beneficiaries of group insurance policies that are protected by the organizing principle of good faith contractual performance, in terms of insurer’s liability for its performance — How should these protected contractual interests be weighed in analysis of whether benefit entitlement dispute arises, in its essential character, from interpretation, application, administration or alleged violation of collective agreement?</w:t>
            </w:r>
          </w:p>
          <w:p w:rsidR="0012542D" w:rsidRPr="004B7487" w:rsidRDefault="0012542D" w:rsidP="007775F6">
            <w:pPr>
              <w:jc w:val="both"/>
              <w:rPr>
                <w:sz w:val="20"/>
              </w:rPr>
            </w:pPr>
          </w:p>
        </w:tc>
      </w:tr>
      <w:tr w:rsidR="0012542D" w:rsidRPr="004B7487" w:rsidTr="0012542D">
        <w:tc>
          <w:tcPr>
            <w:tcW w:w="5000" w:type="pct"/>
            <w:gridSpan w:val="4"/>
          </w:tcPr>
          <w:p w:rsidR="0012542D" w:rsidRPr="004B7487" w:rsidRDefault="0012542D" w:rsidP="007775F6">
            <w:pPr>
              <w:jc w:val="both"/>
              <w:rPr>
                <w:sz w:val="20"/>
                <w:lang w:val="en"/>
              </w:rPr>
            </w:pPr>
            <w:r w:rsidRPr="004B7487">
              <w:rPr>
                <w:sz w:val="20"/>
                <w:lang w:val="en"/>
              </w:rPr>
              <w:t>The issue in this case is whether the courts have jurisdiction over the applicant’s claim against her long</w:t>
            </w:r>
            <w:r w:rsidRPr="004B7487">
              <w:rPr>
                <w:sz w:val="20"/>
                <w:lang w:val="en"/>
              </w:rPr>
              <w:noBreakHyphen/>
              <w:t>term disability insurer or whether the claim is subject to grievance and arbitration under her union’s collective agreement with her employer.</w:t>
            </w:r>
          </w:p>
          <w:p w:rsidR="0012542D" w:rsidRPr="004B7487" w:rsidRDefault="0012542D" w:rsidP="007775F6">
            <w:pPr>
              <w:jc w:val="both"/>
              <w:rPr>
                <w:sz w:val="20"/>
              </w:rPr>
            </w:pPr>
          </w:p>
          <w:p w:rsidR="0012542D" w:rsidRPr="004B7487" w:rsidRDefault="0012542D" w:rsidP="007775F6">
            <w:pPr>
              <w:jc w:val="both"/>
              <w:rPr>
                <w:b/>
                <w:sz w:val="20"/>
              </w:rPr>
            </w:pPr>
            <w:r w:rsidRPr="004B7487">
              <w:rPr>
                <w:sz w:val="20"/>
                <w:lang w:val="en"/>
              </w:rPr>
              <w:t>The motion judge found that the court had no jurisdiction and granted the insurer’s summary judgment motion to dismiss the action. The Court of Appeal dismissed the appeal.</w:t>
            </w:r>
          </w:p>
        </w:tc>
      </w:tr>
      <w:tr w:rsidR="0012542D" w:rsidRPr="004B7487" w:rsidTr="0012542D">
        <w:tc>
          <w:tcPr>
            <w:tcW w:w="5000" w:type="pct"/>
            <w:gridSpan w:val="4"/>
          </w:tcPr>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January 16, 2019</w:t>
            </w:r>
          </w:p>
          <w:p w:rsidR="0012542D" w:rsidRPr="004B7487" w:rsidRDefault="0012542D" w:rsidP="007775F6">
            <w:pPr>
              <w:jc w:val="both"/>
              <w:rPr>
                <w:sz w:val="20"/>
              </w:rPr>
            </w:pPr>
            <w:r w:rsidRPr="004B7487">
              <w:rPr>
                <w:sz w:val="20"/>
              </w:rPr>
              <w:t>Ontario Superior Court of Justice</w:t>
            </w:r>
          </w:p>
          <w:p w:rsidR="0012542D" w:rsidRPr="004B7487" w:rsidRDefault="0012542D" w:rsidP="007775F6">
            <w:pPr>
              <w:jc w:val="both"/>
              <w:rPr>
                <w:sz w:val="20"/>
              </w:rPr>
            </w:pPr>
            <w:r w:rsidRPr="004B7487">
              <w:rPr>
                <w:sz w:val="20"/>
              </w:rPr>
              <w:t>(O’Marra J.)</w:t>
            </w:r>
          </w:p>
          <w:p w:rsidR="0012542D" w:rsidRPr="004B7487" w:rsidRDefault="004B7487" w:rsidP="007775F6">
            <w:pPr>
              <w:jc w:val="both"/>
              <w:rPr>
                <w:sz w:val="20"/>
              </w:rPr>
            </w:pPr>
            <w:hyperlink r:id="rId37" w:history="1">
              <w:r w:rsidR="0012542D" w:rsidRPr="004B7487">
                <w:rPr>
                  <w:rStyle w:val="Hyperlink"/>
                  <w:sz w:val="20"/>
                </w:rPr>
                <w:t>2019 ONSC 279</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Motion to dismiss Ms. Hutton’s action granted.</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December 12, 2019</w:t>
            </w:r>
          </w:p>
          <w:p w:rsidR="0012542D" w:rsidRPr="004B7487" w:rsidRDefault="0012542D" w:rsidP="007775F6">
            <w:pPr>
              <w:jc w:val="both"/>
              <w:rPr>
                <w:sz w:val="20"/>
              </w:rPr>
            </w:pPr>
            <w:r w:rsidRPr="004B7487">
              <w:rPr>
                <w:sz w:val="20"/>
              </w:rPr>
              <w:t>Court of Appeal for Ontario</w:t>
            </w:r>
          </w:p>
          <w:p w:rsidR="0012542D" w:rsidRPr="004B7487" w:rsidRDefault="0012542D" w:rsidP="007775F6">
            <w:pPr>
              <w:jc w:val="both"/>
              <w:rPr>
                <w:sz w:val="20"/>
              </w:rPr>
            </w:pPr>
            <w:r w:rsidRPr="004B7487">
              <w:rPr>
                <w:sz w:val="20"/>
              </w:rPr>
              <w:t>(Strathy C.J.O. and Sharpe and Roberts JJ.A.)</w:t>
            </w:r>
          </w:p>
          <w:p w:rsidR="0012542D" w:rsidRPr="004B7487" w:rsidRDefault="004B7487" w:rsidP="007775F6">
            <w:pPr>
              <w:jc w:val="both"/>
              <w:rPr>
                <w:sz w:val="20"/>
              </w:rPr>
            </w:pPr>
            <w:hyperlink r:id="rId38" w:history="1">
              <w:r w:rsidR="0012542D" w:rsidRPr="004B7487">
                <w:rPr>
                  <w:rStyle w:val="Hyperlink"/>
                  <w:sz w:val="20"/>
                </w:rPr>
                <w:t>2019 ONCA 975</w:t>
              </w:r>
            </w:hyperlink>
          </w:p>
          <w:p w:rsidR="0012542D" w:rsidRPr="004B7487" w:rsidRDefault="0012542D" w:rsidP="007775F6">
            <w:pPr>
              <w:jc w:val="both"/>
              <w:rPr>
                <w:sz w:val="20"/>
              </w:rPr>
            </w:pPr>
            <w:r w:rsidRPr="004B7487">
              <w:rPr>
                <w:sz w:val="20"/>
              </w:rPr>
              <w:t>File No.: C66558</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Appeal dismissed.</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February 19, 2020</w:t>
            </w:r>
          </w:p>
          <w:p w:rsidR="0012542D" w:rsidRPr="004B7487" w:rsidRDefault="0012542D" w:rsidP="007775F6">
            <w:pPr>
              <w:jc w:val="both"/>
              <w:rPr>
                <w:sz w:val="20"/>
              </w:rPr>
            </w:pPr>
            <w:r w:rsidRPr="004B7487">
              <w:rPr>
                <w:sz w:val="20"/>
              </w:rPr>
              <w:t>Supreme Court of Canada</w:t>
            </w: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Application for leave to appeal and motion to extend time to serve and/or file leave application filed.</w:t>
            </w:r>
          </w:p>
        </w:tc>
      </w:tr>
    </w:tbl>
    <w:p w:rsidR="0012542D" w:rsidRPr="004B7487" w:rsidRDefault="0012542D" w:rsidP="007775F6">
      <w:pPr>
        <w:jc w:val="both"/>
        <w:rPr>
          <w:sz w:val="20"/>
        </w:rPr>
      </w:pPr>
    </w:p>
    <w:p w:rsidR="0028519E" w:rsidRPr="004B7487" w:rsidRDefault="004B7487" w:rsidP="007775F6">
      <w:pPr>
        <w:jc w:val="both"/>
        <w:rPr>
          <w:sz w:val="20"/>
        </w:rPr>
      </w:pPr>
      <w:r w:rsidRPr="004B7487">
        <w:rPr>
          <w:sz w:val="20"/>
        </w:rPr>
        <w:pict>
          <v:rect id="_x0000_i1033" style="width:2in;height:1pt" o:hrpct="0" o:hralign="center" o:hrstd="t" o:hrnoshade="t" o:hr="t" fillcolor="black [3213]" stroked="f"/>
        </w:pict>
      </w:r>
    </w:p>
    <w:p w:rsidR="0028519E" w:rsidRPr="004B7487" w:rsidRDefault="0028519E" w:rsidP="007775F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39102</w:t>
            </w:r>
          </w:p>
        </w:tc>
        <w:tc>
          <w:tcPr>
            <w:tcW w:w="4457" w:type="pct"/>
            <w:gridSpan w:val="3"/>
          </w:tcPr>
          <w:p w:rsidR="0012542D" w:rsidRPr="004B7487" w:rsidRDefault="0012542D" w:rsidP="007775F6">
            <w:pPr>
              <w:pStyle w:val="SCCLsocParty"/>
              <w:jc w:val="both"/>
              <w:rPr>
                <w:b/>
                <w:sz w:val="20"/>
                <w:szCs w:val="20"/>
              </w:rPr>
            </w:pPr>
            <w:r w:rsidRPr="004B7487">
              <w:rPr>
                <w:b/>
                <w:sz w:val="20"/>
                <w:szCs w:val="20"/>
              </w:rPr>
              <w:t>Leisa Hutton c. Compagnie d’Assurance-Vie Manufacturers (Financière Manuvie)</w:t>
            </w:r>
          </w:p>
          <w:p w:rsidR="0012542D" w:rsidRPr="004B7487" w:rsidRDefault="0012542D" w:rsidP="007775F6">
            <w:pPr>
              <w:jc w:val="both"/>
              <w:rPr>
                <w:sz w:val="20"/>
                <w:lang w:val="fr-CA"/>
              </w:rPr>
            </w:pPr>
            <w:r w:rsidRPr="004B7487">
              <w:rPr>
                <w:sz w:val="20"/>
                <w:lang w:val="fr-CA"/>
              </w:rPr>
              <w:t>(Ont.) (Civile) (Sur autorisation)</w:t>
            </w:r>
          </w:p>
        </w:tc>
      </w:tr>
      <w:tr w:rsidR="0012542D" w:rsidRPr="004B7487" w:rsidTr="0012542D">
        <w:tc>
          <w:tcPr>
            <w:tcW w:w="5000" w:type="pct"/>
            <w:gridSpan w:val="4"/>
          </w:tcPr>
          <w:p w:rsidR="0012542D" w:rsidRPr="004B7487" w:rsidRDefault="0012542D" w:rsidP="007775F6">
            <w:pPr>
              <w:jc w:val="both"/>
              <w:rPr>
                <w:sz w:val="20"/>
                <w:lang w:val="fr-CA"/>
              </w:rPr>
            </w:pPr>
            <w:r w:rsidRPr="004B7487">
              <w:rPr>
                <w:bCs/>
                <w:sz w:val="20"/>
                <w:lang w:val="fr-CA"/>
              </w:rPr>
              <w:t xml:space="preserve">Relations de travail — Conventions collectives — Prestations d’invalidité de longue durée — Compétence — Arbitrage </w:t>
            </w:r>
            <w:r w:rsidRPr="004B7487">
              <w:rPr>
                <w:sz w:val="20"/>
                <w:lang w:val="fr-CA"/>
              </w:rPr>
              <w:t>— Conclusion des juridictions inférieures que la réclamation contre l’assureur d’invalidité de longue durée est subordonnée aux procédures de grief et d’arbitrage prévues par la convention collective intervenue entre le syndicat et l’employeur — L’arbitrage est</w:t>
            </w:r>
            <w:r w:rsidRPr="004B7487">
              <w:rPr>
                <w:sz w:val="20"/>
                <w:lang w:val="fr-CA"/>
              </w:rPr>
              <w:noBreakHyphen/>
              <w:t xml:space="preserve">il un mécanisme adéquat pour régler les réclamations présentées par des </w:t>
            </w:r>
            <w:r w:rsidRPr="004B7487">
              <w:rPr>
                <w:sz w:val="20"/>
                <w:lang w:val="fr-CA"/>
              </w:rPr>
              <w:lastRenderedPageBreak/>
              <w:t>employés syndiqués au titre de polices d’assurance contractées auprès d’un tiers qui sont accessoires à leurs conventions collectives, lorsque la compagnie d’assurance est tenue par contrat de traiter et d’acquitter ces réclamations? — Quels intérêts contractuels légitimes des membres d’un syndicat en tant que bénéficiaires de polices d’assurance collectives sont protégés par le principe directeur de l’exécution contractuelle de bonne foi, au chapitre de la responsabilité de l’assureur à l’égard de son exécution — De quelle manière convient</w:t>
            </w:r>
            <w:r w:rsidRPr="004B7487">
              <w:rPr>
                <w:sz w:val="20"/>
                <w:lang w:val="fr-CA"/>
              </w:rPr>
              <w:noBreakHyphen/>
              <w:t>il de soupeser ces intérêts contractuels protégés dans l’analyse de la question de savoir si un litige sur le droit à des prestations découle, dans son essence, de l’interprétation, de l’application ou de la violation alléguée de la convention collective?</w:t>
            </w:r>
          </w:p>
          <w:p w:rsidR="0012542D" w:rsidRPr="004B7487" w:rsidRDefault="0012542D" w:rsidP="007775F6">
            <w:pPr>
              <w:jc w:val="both"/>
              <w:rPr>
                <w:sz w:val="20"/>
                <w:lang w:val="fr-CA"/>
              </w:rPr>
            </w:pP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lastRenderedPageBreak/>
              <w:t>Il s’agit en l’espèce de décider si les tribunaux ont compétence sur la réclamation de la demanderesse contre son assureur d’invalidité de longue durée ou si la réclamation est subordonnée aux procédures de grief et d’arbitrage prévues par la convention collective conclue entre son syndicat et son employeur.</w:t>
            </w:r>
          </w:p>
          <w:p w:rsidR="0012542D" w:rsidRPr="004B7487" w:rsidRDefault="0012542D" w:rsidP="007775F6">
            <w:pPr>
              <w:jc w:val="both"/>
              <w:rPr>
                <w:sz w:val="20"/>
                <w:lang w:val="fr-CA"/>
              </w:rPr>
            </w:pPr>
          </w:p>
          <w:p w:rsidR="0012542D" w:rsidRPr="004B7487" w:rsidRDefault="0012542D" w:rsidP="007775F6">
            <w:pPr>
              <w:jc w:val="both"/>
              <w:rPr>
                <w:b/>
                <w:sz w:val="20"/>
              </w:rPr>
            </w:pPr>
            <w:r w:rsidRPr="004B7487">
              <w:rPr>
                <w:sz w:val="20"/>
                <w:lang w:val="fr-CA"/>
              </w:rPr>
              <w:t xml:space="preserve">Le juge saisi de la motion a conclu que la cour n’avait pas compétence et il a fait droit à la motion en jugement sommaire présentée par l’assureur pour faire rejeter l’action. </w:t>
            </w:r>
            <w:r w:rsidRPr="004B7487">
              <w:rPr>
                <w:sz w:val="20"/>
                <w:lang w:val="en"/>
              </w:rPr>
              <w:t>La Cour d’appel a rejeté l’appel.</w:t>
            </w:r>
          </w:p>
        </w:tc>
      </w:tr>
      <w:tr w:rsidR="0012542D" w:rsidRPr="004B7487" w:rsidTr="0012542D">
        <w:tc>
          <w:tcPr>
            <w:tcW w:w="5000" w:type="pct"/>
            <w:gridSpan w:val="4"/>
          </w:tcPr>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16 janvier 2019</w:t>
            </w:r>
          </w:p>
          <w:p w:rsidR="0012542D" w:rsidRPr="004B7487" w:rsidRDefault="0012542D" w:rsidP="007775F6">
            <w:pPr>
              <w:jc w:val="both"/>
              <w:rPr>
                <w:sz w:val="20"/>
                <w:lang w:val="fr-CA"/>
              </w:rPr>
            </w:pPr>
            <w:r w:rsidRPr="004B7487">
              <w:rPr>
                <w:sz w:val="20"/>
                <w:lang w:val="fr-CA"/>
              </w:rPr>
              <w:t xml:space="preserve">Cour supérieure de justice de l’Ontario </w:t>
            </w:r>
          </w:p>
          <w:p w:rsidR="0012542D" w:rsidRPr="004B7487" w:rsidRDefault="0012542D" w:rsidP="007775F6">
            <w:pPr>
              <w:jc w:val="both"/>
              <w:rPr>
                <w:sz w:val="20"/>
              </w:rPr>
            </w:pPr>
            <w:r w:rsidRPr="004B7487">
              <w:rPr>
                <w:sz w:val="20"/>
              </w:rPr>
              <w:t>(Juge O’Marra)</w:t>
            </w:r>
          </w:p>
          <w:p w:rsidR="0012542D" w:rsidRPr="004B7487" w:rsidRDefault="004B7487" w:rsidP="007775F6">
            <w:pPr>
              <w:jc w:val="both"/>
              <w:rPr>
                <w:sz w:val="20"/>
              </w:rPr>
            </w:pPr>
            <w:hyperlink r:id="rId39" w:history="1">
              <w:r w:rsidR="0012542D" w:rsidRPr="004B7487">
                <w:rPr>
                  <w:rStyle w:val="Hyperlink"/>
                  <w:sz w:val="20"/>
                </w:rPr>
                <w:t>2019 ONSC 279</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Motion en rejet de l’action de M</w:t>
            </w:r>
            <w:r w:rsidRPr="004B7487">
              <w:rPr>
                <w:sz w:val="20"/>
                <w:vertAlign w:val="superscript"/>
                <w:lang w:val="fr-CA"/>
              </w:rPr>
              <w:t>me</w:t>
            </w:r>
            <w:r w:rsidRPr="004B7487">
              <w:rPr>
                <w:sz w:val="20"/>
                <w:lang w:val="fr-CA"/>
              </w:rPr>
              <w:t> Hutton accueillie.</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12 décembre 2019</w:t>
            </w:r>
          </w:p>
          <w:p w:rsidR="0012542D" w:rsidRPr="004B7487" w:rsidRDefault="0012542D" w:rsidP="007775F6">
            <w:pPr>
              <w:jc w:val="both"/>
              <w:rPr>
                <w:sz w:val="20"/>
                <w:lang w:val="fr-CA"/>
              </w:rPr>
            </w:pPr>
            <w:r w:rsidRPr="004B7487">
              <w:rPr>
                <w:sz w:val="20"/>
                <w:lang w:val="fr-CA"/>
              </w:rPr>
              <w:t>Cour d’appel de l’Ontario</w:t>
            </w:r>
          </w:p>
          <w:p w:rsidR="0012542D" w:rsidRPr="004B7487" w:rsidRDefault="0012542D" w:rsidP="007775F6">
            <w:pPr>
              <w:jc w:val="both"/>
              <w:rPr>
                <w:sz w:val="20"/>
                <w:lang w:val="fr-CA"/>
              </w:rPr>
            </w:pPr>
            <w:r w:rsidRPr="004B7487">
              <w:rPr>
                <w:sz w:val="20"/>
                <w:lang w:val="fr-CA"/>
              </w:rPr>
              <w:t>(Juge en chef Strathy et juges Sharpe et Roberts)</w:t>
            </w:r>
          </w:p>
          <w:p w:rsidR="0012542D" w:rsidRPr="004B7487" w:rsidRDefault="004B7487" w:rsidP="007775F6">
            <w:pPr>
              <w:jc w:val="both"/>
              <w:rPr>
                <w:sz w:val="20"/>
                <w:lang w:val="fr-CA"/>
              </w:rPr>
            </w:pPr>
            <w:hyperlink r:id="rId40" w:history="1">
              <w:r w:rsidR="0012542D" w:rsidRPr="004B7487">
                <w:rPr>
                  <w:rStyle w:val="Hyperlink"/>
                  <w:sz w:val="20"/>
                  <w:lang w:val="fr-CA"/>
                </w:rPr>
                <w:t>2019 ONCA 975</w:t>
              </w:r>
            </w:hyperlink>
          </w:p>
          <w:p w:rsidR="0012542D" w:rsidRPr="004B7487" w:rsidRDefault="0012542D" w:rsidP="007775F6">
            <w:pPr>
              <w:jc w:val="both"/>
              <w:rPr>
                <w:sz w:val="20"/>
                <w:lang w:val="fr-CA"/>
              </w:rPr>
            </w:pPr>
            <w:r w:rsidRPr="004B7487">
              <w:rPr>
                <w:sz w:val="20"/>
                <w:lang w:val="fr-CA"/>
              </w:rPr>
              <w:t>N</w:t>
            </w:r>
            <w:r w:rsidRPr="004B7487">
              <w:rPr>
                <w:sz w:val="20"/>
                <w:vertAlign w:val="superscript"/>
                <w:lang w:val="fr-CA"/>
              </w:rPr>
              <w:t>o</w:t>
            </w:r>
            <w:r w:rsidRPr="004B7487">
              <w:rPr>
                <w:sz w:val="20"/>
                <w:lang w:val="fr-CA"/>
              </w:rPr>
              <w:t xml:space="preserve"> de dossier : C66558</w:t>
            </w:r>
          </w:p>
          <w:p w:rsidR="0012542D" w:rsidRPr="004B7487" w:rsidRDefault="0012542D" w:rsidP="007775F6">
            <w:pPr>
              <w:jc w:val="both"/>
              <w:rPr>
                <w:sz w:val="20"/>
                <w:lang w:val="fr-CA"/>
              </w:rPr>
            </w:pP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rPr>
            </w:pPr>
            <w:r w:rsidRPr="004B7487">
              <w:rPr>
                <w:sz w:val="20"/>
              </w:rPr>
              <w:t>Rejet de l’appel.</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19 février 2020</w:t>
            </w:r>
          </w:p>
          <w:p w:rsidR="0012542D" w:rsidRPr="004B7487" w:rsidRDefault="0012542D" w:rsidP="007775F6">
            <w:pPr>
              <w:jc w:val="both"/>
              <w:rPr>
                <w:sz w:val="20"/>
                <w:lang w:val="fr-CA"/>
              </w:rPr>
            </w:pPr>
            <w:r w:rsidRPr="004B7487">
              <w:rPr>
                <w:sz w:val="20"/>
                <w:lang w:val="fr-CA"/>
              </w:rPr>
              <w:t>Cour suprême du Canada</w:t>
            </w: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Dépôt de la demande d’autorisation d’appel et d’une requête en prorogation de délai pour signifier ou déposer cette demande.</w:t>
            </w:r>
          </w:p>
        </w:tc>
      </w:tr>
    </w:tbl>
    <w:p w:rsidR="0012542D" w:rsidRPr="004B7487" w:rsidRDefault="0012542D" w:rsidP="007775F6">
      <w:pPr>
        <w:jc w:val="both"/>
        <w:rPr>
          <w:sz w:val="20"/>
          <w:lang w:val="fr-CA"/>
        </w:rPr>
      </w:pPr>
    </w:p>
    <w:p w:rsidR="0028519E" w:rsidRPr="004B7487" w:rsidRDefault="004B7487" w:rsidP="007775F6">
      <w:pPr>
        <w:jc w:val="both"/>
        <w:rPr>
          <w:sz w:val="20"/>
          <w:lang w:val="fr-CA"/>
        </w:rPr>
      </w:pPr>
      <w:r w:rsidRPr="004B7487">
        <w:rPr>
          <w:sz w:val="20"/>
        </w:rPr>
        <w:pict>
          <v:rect id="_x0000_i1034" style="width:2in;height:1pt" o:hrpct="0" o:hralign="center" o:hrstd="t" o:hrnoshade="t" o:hr="t" fillcolor="black [3213]" stroked="f"/>
        </w:pict>
      </w:r>
    </w:p>
    <w:p w:rsidR="0012542D" w:rsidRPr="004B7487" w:rsidRDefault="0012542D"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lang w:val="en-CA"/>
              </w:rPr>
            </w:pPr>
            <w:r w:rsidRPr="004B7487">
              <w:rPr>
                <w:rStyle w:val="SCCFileNumberChar"/>
                <w:sz w:val="20"/>
                <w:szCs w:val="20"/>
              </w:rPr>
              <w:t>39291</w:t>
            </w:r>
          </w:p>
        </w:tc>
        <w:tc>
          <w:tcPr>
            <w:tcW w:w="4457" w:type="pct"/>
            <w:gridSpan w:val="3"/>
          </w:tcPr>
          <w:p w:rsidR="0012542D" w:rsidRPr="004B7487" w:rsidRDefault="0012542D" w:rsidP="007775F6">
            <w:pPr>
              <w:pStyle w:val="SCCLsocParty"/>
              <w:jc w:val="both"/>
              <w:rPr>
                <w:b/>
                <w:sz w:val="20"/>
                <w:szCs w:val="20"/>
                <w:lang w:val="en-CA"/>
              </w:rPr>
            </w:pPr>
            <w:r w:rsidRPr="004B7487">
              <w:rPr>
                <w:b/>
                <w:sz w:val="20"/>
                <w:szCs w:val="20"/>
                <w:lang w:val="en-CA"/>
              </w:rPr>
              <w:t>Michel Bergevin v. Her Majesty the Queen</w:t>
            </w:r>
          </w:p>
          <w:p w:rsidR="0012542D" w:rsidRPr="004B7487" w:rsidRDefault="0012542D" w:rsidP="0028519E">
            <w:pPr>
              <w:jc w:val="both"/>
              <w:rPr>
                <w:sz w:val="20"/>
                <w:lang w:val="en-CA"/>
              </w:rPr>
            </w:pPr>
            <w:r w:rsidRPr="004B7487">
              <w:rPr>
                <w:sz w:val="20"/>
                <w:lang w:val="en-CA"/>
              </w:rPr>
              <w:t>(Que.) (Criminal) (By Leave)</w:t>
            </w:r>
          </w:p>
        </w:tc>
      </w:tr>
      <w:tr w:rsidR="0012542D" w:rsidRPr="004B7487" w:rsidTr="0012542D">
        <w:tc>
          <w:tcPr>
            <w:tcW w:w="5000" w:type="pct"/>
            <w:gridSpan w:val="4"/>
          </w:tcPr>
          <w:p w:rsidR="0012542D" w:rsidRPr="004B7487" w:rsidRDefault="0012542D" w:rsidP="007775F6">
            <w:pPr>
              <w:jc w:val="both"/>
              <w:rPr>
                <w:sz w:val="20"/>
                <w:lang w:val="en-CA"/>
              </w:rPr>
            </w:pPr>
            <w:proofErr w:type="gramStart"/>
            <w:r w:rsidRPr="004B7487">
              <w:rPr>
                <w:sz w:val="20"/>
                <w:lang w:val="en-CA"/>
              </w:rPr>
              <w:t xml:space="preserve">Criminal law — Offences — Elements of offence — Municipal corruption — Consistency of verdicts — Evidence — Admissibility — Whether Court of Appeal erred in interpreting </w:t>
            </w:r>
            <w:r w:rsidRPr="004B7487">
              <w:rPr>
                <w:i/>
                <w:sz w:val="20"/>
                <w:lang w:val="en-CA"/>
              </w:rPr>
              <w:t>mens rea</w:t>
            </w:r>
            <w:r w:rsidRPr="004B7487">
              <w:rPr>
                <w:sz w:val="20"/>
                <w:lang w:val="en-CA"/>
              </w:rPr>
              <w:t xml:space="preserve"> and </w:t>
            </w:r>
            <w:r w:rsidRPr="004B7487">
              <w:rPr>
                <w:i/>
                <w:sz w:val="20"/>
                <w:lang w:val="en-CA"/>
              </w:rPr>
              <w:t>actus reus</w:t>
            </w:r>
            <w:r w:rsidRPr="004B7487">
              <w:rPr>
                <w:sz w:val="20"/>
                <w:lang w:val="en-CA"/>
              </w:rPr>
              <w:t xml:space="preserve"> under s. 123 of </w:t>
            </w:r>
            <w:r w:rsidRPr="004B7487">
              <w:rPr>
                <w:i/>
                <w:sz w:val="20"/>
                <w:lang w:val="en-CA"/>
              </w:rPr>
              <w:t>Criminal Code</w:t>
            </w:r>
            <w:r w:rsidRPr="004B7487">
              <w:rPr>
                <w:sz w:val="20"/>
                <w:lang w:val="en-CA"/>
              </w:rPr>
              <w:t xml:space="preserve"> — Whether Court of Appeal erred in concluding that verdicts were not inconsistent — Whether Court of Appeal erred in admitting co</w:t>
            </w:r>
            <w:r w:rsidRPr="004B7487">
              <w:rPr>
                <w:sz w:val="20"/>
                <w:lang w:val="en-CA"/>
              </w:rPr>
              <w:noBreakHyphen/>
              <w:t>accused’s electronic conversations in evidence on count of corruption even though applicant was not party to them.</w:t>
            </w:r>
            <w:proofErr w:type="gramEnd"/>
          </w:p>
        </w:tc>
      </w:tr>
      <w:tr w:rsidR="0012542D" w:rsidRPr="004B7487" w:rsidTr="0012542D">
        <w:tc>
          <w:tcPr>
            <w:tcW w:w="5000" w:type="pct"/>
            <w:gridSpan w:val="4"/>
          </w:tcPr>
          <w:p w:rsidR="0012542D" w:rsidRPr="004B7487" w:rsidRDefault="0012542D" w:rsidP="007775F6">
            <w:pPr>
              <w:jc w:val="both"/>
              <w:rPr>
                <w:sz w:val="20"/>
                <w:lang w:val="en-CA"/>
              </w:rPr>
            </w:pPr>
          </w:p>
        </w:tc>
      </w:tr>
      <w:tr w:rsidR="0012542D" w:rsidRPr="004B7487" w:rsidTr="0012542D">
        <w:tc>
          <w:tcPr>
            <w:tcW w:w="5000" w:type="pct"/>
            <w:gridSpan w:val="4"/>
          </w:tcPr>
          <w:p w:rsidR="0012542D" w:rsidRPr="004B7487" w:rsidRDefault="0012542D" w:rsidP="007775F6">
            <w:pPr>
              <w:jc w:val="both"/>
              <w:rPr>
                <w:sz w:val="20"/>
                <w:lang w:val="en-CA"/>
              </w:rPr>
            </w:pPr>
            <w:r w:rsidRPr="004B7487">
              <w:rPr>
                <w:sz w:val="20"/>
                <w:lang w:val="en-CA"/>
              </w:rPr>
              <w:t xml:space="preserve">In 2013, the applicant, Mr. Bergevin, gave a sum of money to a man named René Lafrance, a sum that </w:t>
            </w:r>
            <w:proofErr w:type="gramStart"/>
            <w:r w:rsidRPr="004B7487">
              <w:rPr>
                <w:sz w:val="20"/>
                <w:lang w:val="en-CA"/>
              </w:rPr>
              <w:t>was given</w:t>
            </w:r>
            <w:proofErr w:type="gramEnd"/>
            <w:r w:rsidRPr="004B7487">
              <w:rPr>
                <w:sz w:val="20"/>
                <w:lang w:val="en-CA"/>
              </w:rPr>
              <w:t xml:space="preserve"> to the mayor of the city of Châteauguay. Mr. Bergevin </w:t>
            </w:r>
            <w:proofErr w:type="gramStart"/>
            <w:r w:rsidRPr="004B7487">
              <w:rPr>
                <w:sz w:val="20"/>
                <w:lang w:val="en-CA"/>
              </w:rPr>
              <w:t>was charged</w:t>
            </w:r>
            <w:proofErr w:type="gramEnd"/>
            <w:r w:rsidRPr="004B7487">
              <w:rPr>
                <w:sz w:val="20"/>
                <w:lang w:val="en-CA"/>
              </w:rPr>
              <w:t xml:space="preserve"> with three offences in connection with the giving of that sum of money (conspiracy, breach of trust, municipal corruption).</w:t>
            </w:r>
          </w:p>
          <w:p w:rsidR="0012542D" w:rsidRPr="004B7487" w:rsidRDefault="0012542D" w:rsidP="007775F6">
            <w:pPr>
              <w:jc w:val="both"/>
              <w:rPr>
                <w:sz w:val="20"/>
                <w:lang w:val="en-CA"/>
              </w:rPr>
            </w:pPr>
          </w:p>
          <w:p w:rsidR="0012542D" w:rsidRPr="004B7487" w:rsidRDefault="0012542D" w:rsidP="007775F6">
            <w:pPr>
              <w:jc w:val="both"/>
              <w:rPr>
                <w:sz w:val="20"/>
                <w:lang w:val="en-CA"/>
              </w:rPr>
            </w:pPr>
            <w:r w:rsidRPr="004B7487">
              <w:rPr>
                <w:sz w:val="20"/>
                <w:lang w:val="en-CA"/>
              </w:rPr>
              <w:t xml:space="preserve">The Court of Québec convicted Mr. Bergevin on the count of municipal corruption (s. 123(1) of the </w:t>
            </w:r>
            <w:r w:rsidRPr="004B7487">
              <w:rPr>
                <w:i/>
                <w:sz w:val="20"/>
                <w:lang w:val="en-CA"/>
              </w:rPr>
              <w:t>Criminal Code</w:t>
            </w:r>
            <w:r w:rsidRPr="004B7487">
              <w:rPr>
                <w:sz w:val="20"/>
                <w:lang w:val="en-CA"/>
              </w:rPr>
              <w:t xml:space="preserve">) and acquitted him on the other counts. It found from the evidence that Mr. Bergevin intended to aid Mr. Lafrance to commit the offence of corruption and that he could </w:t>
            </w:r>
            <w:proofErr w:type="gramStart"/>
            <w:r w:rsidRPr="004B7487">
              <w:rPr>
                <w:sz w:val="20"/>
                <w:lang w:val="en-CA"/>
              </w:rPr>
              <w:t>not have been unaware</w:t>
            </w:r>
            <w:proofErr w:type="gramEnd"/>
            <w:r w:rsidRPr="004B7487">
              <w:rPr>
                <w:sz w:val="20"/>
                <w:lang w:val="en-CA"/>
              </w:rPr>
              <w:t xml:space="preserve"> that Mr. Lafrance was committing the offence. The Court of Appeal unanimously dismissed the appeal. It held that the trial judge had not erred in finding that the Crown had proved the essential elements of the offence of municipal corruption beyond a reasonable doubt. </w:t>
            </w:r>
          </w:p>
          <w:p w:rsidR="0012542D" w:rsidRPr="004B7487" w:rsidRDefault="0012542D" w:rsidP="007775F6">
            <w:pPr>
              <w:jc w:val="both"/>
              <w:rPr>
                <w:sz w:val="20"/>
                <w:lang w:val="en-CA"/>
              </w:rPr>
            </w:pPr>
          </w:p>
        </w:tc>
      </w:tr>
      <w:tr w:rsidR="0012542D" w:rsidRPr="004B7487" w:rsidTr="0012542D">
        <w:tc>
          <w:tcPr>
            <w:tcW w:w="2427" w:type="pct"/>
            <w:gridSpan w:val="2"/>
          </w:tcPr>
          <w:p w:rsidR="0012542D" w:rsidRPr="004B7487" w:rsidRDefault="0012542D" w:rsidP="007775F6">
            <w:pPr>
              <w:jc w:val="both"/>
              <w:rPr>
                <w:sz w:val="20"/>
                <w:lang w:val="en-CA"/>
              </w:rPr>
            </w:pPr>
            <w:r w:rsidRPr="004B7487">
              <w:rPr>
                <w:sz w:val="20"/>
                <w:lang w:val="en-CA"/>
              </w:rPr>
              <w:t>November 16, 2017</w:t>
            </w:r>
          </w:p>
          <w:p w:rsidR="0012542D" w:rsidRPr="004B7487" w:rsidRDefault="0012542D" w:rsidP="007775F6">
            <w:pPr>
              <w:jc w:val="both"/>
              <w:rPr>
                <w:sz w:val="20"/>
                <w:lang w:val="en-CA"/>
              </w:rPr>
            </w:pPr>
            <w:r w:rsidRPr="004B7487">
              <w:rPr>
                <w:sz w:val="20"/>
                <w:lang w:val="en-CA"/>
              </w:rPr>
              <w:t>Court of Québec</w:t>
            </w:r>
          </w:p>
          <w:p w:rsidR="0012542D" w:rsidRPr="004B7487" w:rsidRDefault="0012542D" w:rsidP="007775F6">
            <w:pPr>
              <w:jc w:val="both"/>
              <w:rPr>
                <w:sz w:val="20"/>
                <w:lang w:val="en-CA"/>
              </w:rPr>
            </w:pPr>
            <w:r w:rsidRPr="004B7487">
              <w:rPr>
                <w:sz w:val="20"/>
                <w:lang w:val="en-CA"/>
              </w:rPr>
              <w:t>(Judge St</w:t>
            </w:r>
            <w:r w:rsidRPr="004B7487">
              <w:rPr>
                <w:sz w:val="20"/>
                <w:lang w:val="en-CA"/>
              </w:rPr>
              <w:noBreakHyphen/>
              <w:t>Arnaud)</w:t>
            </w:r>
          </w:p>
          <w:p w:rsidR="0012542D" w:rsidRPr="004B7487" w:rsidRDefault="004B7487" w:rsidP="007775F6">
            <w:pPr>
              <w:jc w:val="both"/>
              <w:rPr>
                <w:sz w:val="20"/>
                <w:lang w:val="en-CA"/>
              </w:rPr>
            </w:pPr>
            <w:hyperlink r:id="rId41" w:history="1">
              <w:r w:rsidR="0012542D" w:rsidRPr="004B7487">
                <w:rPr>
                  <w:rStyle w:val="Hyperlink"/>
                  <w:sz w:val="20"/>
                  <w:lang w:val="en-CA"/>
                </w:rPr>
                <w:t>2017 QCCQ 21229</w:t>
              </w:r>
            </w:hyperlink>
          </w:p>
          <w:p w:rsidR="0012542D" w:rsidRPr="004B7487" w:rsidRDefault="0012542D" w:rsidP="007775F6">
            <w:pPr>
              <w:jc w:val="both"/>
              <w:rPr>
                <w:sz w:val="20"/>
                <w:lang w:val="en-CA"/>
              </w:rPr>
            </w:pPr>
          </w:p>
        </w:tc>
        <w:tc>
          <w:tcPr>
            <w:tcW w:w="243" w:type="pct"/>
          </w:tcPr>
          <w:p w:rsidR="0012542D" w:rsidRPr="004B7487" w:rsidRDefault="0012542D" w:rsidP="007775F6">
            <w:pPr>
              <w:jc w:val="both"/>
              <w:rPr>
                <w:sz w:val="20"/>
                <w:lang w:val="en-CA"/>
              </w:rPr>
            </w:pPr>
          </w:p>
        </w:tc>
        <w:tc>
          <w:tcPr>
            <w:tcW w:w="2330" w:type="pct"/>
          </w:tcPr>
          <w:p w:rsidR="0012542D" w:rsidRPr="004B7487" w:rsidRDefault="0012542D" w:rsidP="007775F6">
            <w:pPr>
              <w:jc w:val="both"/>
              <w:rPr>
                <w:sz w:val="20"/>
                <w:lang w:val="en-CA"/>
              </w:rPr>
            </w:pPr>
            <w:r w:rsidRPr="004B7487">
              <w:rPr>
                <w:sz w:val="20"/>
                <w:lang w:val="en-CA"/>
              </w:rPr>
              <w:t xml:space="preserve">Applicant convicted on count of municipal corruption (s. 123(1)(c) of </w:t>
            </w:r>
            <w:r w:rsidRPr="004B7487">
              <w:rPr>
                <w:i/>
                <w:sz w:val="20"/>
                <w:lang w:val="en-CA"/>
              </w:rPr>
              <w:t>Criminal Code</w:t>
            </w:r>
            <w:r w:rsidRPr="004B7487">
              <w:rPr>
                <w:sz w:val="20"/>
                <w:lang w:val="en-CA"/>
              </w:rPr>
              <w:t>)</w:t>
            </w:r>
          </w:p>
        </w:tc>
      </w:tr>
      <w:tr w:rsidR="0012542D" w:rsidRPr="004B7487" w:rsidTr="0012542D">
        <w:tc>
          <w:tcPr>
            <w:tcW w:w="2427" w:type="pct"/>
            <w:gridSpan w:val="2"/>
          </w:tcPr>
          <w:p w:rsidR="0012542D" w:rsidRPr="004B7487" w:rsidRDefault="0012542D" w:rsidP="007775F6">
            <w:pPr>
              <w:jc w:val="both"/>
              <w:rPr>
                <w:sz w:val="20"/>
                <w:lang w:val="en-CA"/>
              </w:rPr>
            </w:pPr>
            <w:r w:rsidRPr="004B7487">
              <w:rPr>
                <w:sz w:val="20"/>
                <w:lang w:val="en-CA"/>
              </w:rPr>
              <w:lastRenderedPageBreak/>
              <w:t>May 20, 2020</w:t>
            </w:r>
          </w:p>
          <w:p w:rsidR="0012542D" w:rsidRPr="004B7487" w:rsidRDefault="0012542D" w:rsidP="007775F6">
            <w:pPr>
              <w:jc w:val="both"/>
              <w:rPr>
                <w:sz w:val="20"/>
                <w:lang w:val="en-CA"/>
              </w:rPr>
            </w:pPr>
            <w:r w:rsidRPr="004B7487">
              <w:rPr>
                <w:sz w:val="20"/>
                <w:lang w:val="en-CA"/>
              </w:rPr>
              <w:t>Quebec Court of Appeal (Montréal)</w:t>
            </w:r>
          </w:p>
          <w:p w:rsidR="0012542D" w:rsidRPr="004B7487" w:rsidRDefault="0012542D" w:rsidP="007775F6">
            <w:pPr>
              <w:jc w:val="both"/>
              <w:rPr>
                <w:sz w:val="20"/>
                <w:lang w:val="en-CA"/>
              </w:rPr>
            </w:pPr>
            <w:r w:rsidRPr="004B7487">
              <w:rPr>
                <w:sz w:val="20"/>
                <w:lang w:val="en-CA"/>
              </w:rPr>
              <w:t>(Hilton, Roy and Cotnam JJ.A.)</w:t>
            </w:r>
          </w:p>
          <w:p w:rsidR="0012542D" w:rsidRPr="004B7487" w:rsidRDefault="004B7487" w:rsidP="007775F6">
            <w:pPr>
              <w:jc w:val="both"/>
              <w:rPr>
                <w:sz w:val="20"/>
                <w:lang w:val="en-CA"/>
              </w:rPr>
            </w:pPr>
            <w:hyperlink r:id="rId42" w:history="1">
              <w:r w:rsidR="0012542D" w:rsidRPr="004B7487">
                <w:rPr>
                  <w:rStyle w:val="Hyperlink"/>
                  <w:sz w:val="20"/>
                  <w:lang w:val="en-CA"/>
                </w:rPr>
                <w:t>2020 QCCA 658</w:t>
              </w:r>
            </w:hyperlink>
          </w:p>
          <w:p w:rsidR="0012542D" w:rsidRPr="004B7487" w:rsidRDefault="0012542D" w:rsidP="007775F6">
            <w:pPr>
              <w:jc w:val="both"/>
              <w:rPr>
                <w:sz w:val="20"/>
                <w:lang w:val="en-CA"/>
              </w:rPr>
            </w:pPr>
          </w:p>
        </w:tc>
        <w:tc>
          <w:tcPr>
            <w:tcW w:w="243" w:type="pct"/>
          </w:tcPr>
          <w:p w:rsidR="0012542D" w:rsidRPr="004B7487" w:rsidRDefault="0012542D" w:rsidP="007775F6">
            <w:pPr>
              <w:jc w:val="both"/>
              <w:rPr>
                <w:sz w:val="20"/>
                <w:lang w:val="en-CA"/>
              </w:rPr>
            </w:pPr>
          </w:p>
        </w:tc>
        <w:tc>
          <w:tcPr>
            <w:tcW w:w="2330" w:type="pct"/>
          </w:tcPr>
          <w:p w:rsidR="0012542D" w:rsidRPr="004B7487" w:rsidRDefault="0012542D" w:rsidP="007775F6">
            <w:pPr>
              <w:jc w:val="both"/>
              <w:rPr>
                <w:sz w:val="20"/>
                <w:lang w:val="en-CA"/>
              </w:rPr>
            </w:pPr>
            <w:r w:rsidRPr="004B7487">
              <w:rPr>
                <w:sz w:val="20"/>
                <w:lang w:val="en-CA"/>
              </w:rPr>
              <w:t>Appeal dismissed</w:t>
            </w:r>
          </w:p>
          <w:p w:rsidR="0012542D" w:rsidRPr="004B7487" w:rsidRDefault="0012542D" w:rsidP="007775F6">
            <w:pPr>
              <w:jc w:val="both"/>
              <w:rPr>
                <w:sz w:val="20"/>
                <w:lang w:val="en-CA"/>
              </w:rPr>
            </w:pPr>
          </w:p>
        </w:tc>
      </w:tr>
      <w:tr w:rsidR="0012542D" w:rsidRPr="004B7487" w:rsidTr="0012542D">
        <w:tc>
          <w:tcPr>
            <w:tcW w:w="2427" w:type="pct"/>
            <w:gridSpan w:val="2"/>
          </w:tcPr>
          <w:p w:rsidR="0012542D" w:rsidRPr="004B7487" w:rsidRDefault="0012542D" w:rsidP="007775F6">
            <w:pPr>
              <w:jc w:val="both"/>
              <w:rPr>
                <w:sz w:val="20"/>
                <w:lang w:val="en-CA"/>
              </w:rPr>
            </w:pPr>
            <w:r w:rsidRPr="004B7487">
              <w:rPr>
                <w:sz w:val="20"/>
                <w:lang w:val="en-CA"/>
              </w:rPr>
              <w:t>August 14, 2020</w:t>
            </w:r>
          </w:p>
          <w:p w:rsidR="0012542D" w:rsidRPr="004B7487" w:rsidRDefault="0012542D" w:rsidP="007775F6">
            <w:pPr>
              <w:jc w:val="both"/>
              <w:rPr>
                <w:sz w:val="20"/>
                <w:lang w:val="en-CA"/>
              </w:rPr>
            </w:pPr>
            <w:r w:rsidRPr="004B7487">
              <w:rPr>
                <w:sz w:val="20"/>
                <w:lang w:val="en-CA"/>
              </w:rPr>
              <w:t>Supreme Court of Canada</w:t>
            </w:r>
          </w:p>
        </w:tc>
        <w:tc>
          <w:tcPr>
            <w:tcW w:w="243" w:type="pct"/>
          </w:tcPr>
          <w:p w:rsidR="0012542D" w:rsidRPr="004B7487" w:rsidRDefault="0012542D" w:rsidP="007775F6">
            <w:pPr>
              <w:jc w:val="both"/>
              <w:rPr>
                <w:sz w:val="20"/>
                <w:lang w:val="en-CA"/>
              </w:rPr>
            </w:pPr>
          </w:p>
        </w:tc>
        <w:tc>
          <w:tcPr>
            <w:tcW w:w="2330" w:type="pct"/>
          </w:tcPr>
          <w:p w:rsidR="0012542D" w:rsidRPr="004B7487" w:rsidRDefault="0012542D" w:rsidP="007775F6">
            <w:pPr>
              <w:jc w:val="both"/>
              <w:rPr>
                <w:sz w:val="20"/>
                <w:lang w:val="en-CA"/>
              </w:rPr>
            </w:pPr>
            <w:r w:rsidRPr="004B7487">
              <w:rPr>
                <w:sz w:val="20"/>
                <w:lang w:val="en-CA"/>
              </w:rPr>
              <w:t>Application for leave to appeal filed</w:t>
            </w:r>
          </w:p>
          <w:p w:rsidR="0012542D" w:rsidRPr="004B7487" w:rsidRDefault="0012542D" w:rsidP="007775F6">
            <w:pPr>
              <w:jc w:val="both"/>
              <w:rPr>
                <w:sz w:val="20"/>
                <w:lang w:val="en-CA"/>
              </w:rPr>
            </w:pPr>
          </w:p>
        </w:tc>
      </w:tr>
    </w:tbl>
    <w:p w:rsidR="0012542D" w:rsidRPr="004B7487" w:rsidRDefault="0012542D" w:rsidP="007775F6">
      <w:pPr>
        <w:jc w:val="both"/>
        <w:rPr>
          <w:sz w:val="20"/>
          <w:lang w:val="en-CA"/>
        </w:rPr>
      </w:pPr>
    </w:p>
    <w:p w:rsidR="0028519E" w:rsidRPr="004B7487" w:rsidRDefault="004B7487" w:rsidP="007775F6">
      <w:pPr>
        <w:jc w:val="both"/>
        <w:rPr>
          <w:sz w:val="20"/>
          <w:lang w:val="en-CA"/>
        </w:rPr>
      </w:pPr>
      <w:r w:rsidRPr="004B7487">
        <w:rPr>
          <w:sz w:val="20"/>
        </w:rPr>
        <w:pict>
          <v:rect id="_x0000_i1035" style="width:2in;height:1pt" o:hrpct="0" o:hralign="center" o:hrstd="t" o:hrnoshade="t" o:hr="t" fillcolor="black [3213]" stroked="f"/>
        </w:pict>
      </w:r>
    </w:p>
    <w:p w:rsidR="0012542D" w:rsidRPr="004B7487" w:rsidRDefault="0012542D" w:rsidP="007775F6">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39291</w:t>
            </w:r>
          </w:p>
        </w:tc>
        <w:tc>
          <w:tcPr>
            <w:tcW w:w="4457" w:type="pct"/>
            <w:gridSpan w:val="3"/>
          </w:tcPr>
          <w:p w:rsidR="0012542D" w:rsidRPr="004B7487" w:rsidRDefault="0012542D" w:rsidP="007775F6">
            <w:pPr>
              <w:pStyle w:val="SCCLsocParty"/>
              <w:jc w:val="both"/>
              <w:rPr>
                <w:b/>
                <w:sz w:val="20"/>
                <w:szCs w:val="20"/>
              </w:rPr>
            </w:pPr>
            <w:r w:rsidRPr="004B7487">
              <w:rPr>
                <w:b/>
                <w:sz w:val="20"/>
                <w:szCs w:val="20"/>
              </w:rPr>
              <w:t>Michel Bergevin c. Sa Majesté la Reine</w:t>
            </w:r>
          </w:p>
          <w:p w:rsidR="0012542D" w:rsidRPr="004B7487" w:rsidRDefault="0012542D" w:rsidP="0028519E">
            <w:pPr>
              <w:jc w:val="both"/>
              <w:rPr>
                <w:sz w:val="20"/>
              </w:rPr>
            </w:pPr>
            <w:r w:rsidRPr="004B7487">
              <w:rPr>
                <w:sz w:val="20"/>
              </w:rPr>
              <w:t>(Qc) (Criminelle) (Autorisation)</w:t>
            </w: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Droit criminel — Infractions — Éléments de l’infraction — Actes de corruption dans les affaires municipales — Compatibilité de verdicts — Preuve — Admissibilité — La Cour d’appel a</w:t>
            </w:r>
            <w:r w:rsidRPr="004B7487">
              <w:rPr>
                <w:sz w:val="20"/>
                <w:lang w:val="fr-CA"/>
              </w:rPr>
              <w:noBreakHyphen/>
              <w:t>t</w:t>
            </w:r>
            <w:r w:rsidRPr="004B7487">
              <w:rPr>
                <w:sz w:val="20"/>
                <w:lang w:val="fr-CA"/>
              </w:rPr>
              <w:noBreakHyphen/>
              <w:t xml:space="preserve">elle erré dans son interprétation de la </w:t>
            </w:r>
            <w:r w:rsidRPr="004B7487">
              <w:rPr>
                <w:i/>
                <w:sz w:val="20"/>
                <w:lang w:val="fr-CA"/>
              </w:rPr>
              <w:t>mens rea</w:t>
            </w:r>
            <w:r w:rsidRPr="004B7487">
              <w:rPr>
                <w:sz w:val="20"/>
                <w:lang w:val="fr-CA"/>
              </w:rPr>
              <w:t xml:space="preserve"> et de </w:t>
            </w:r>
            <w:proofErr w:type="gramStart"/>
            <w:r w:rsidRPr="004B7487">
              <w:rPr>
                <w:sz w:val="20"/>
                <w:lang w:val="fr-CA"/>
              </w:rPr>
              <w:t>l’</w:t>
            </w:r>
            <w:r w:rsidRPr="004B7487">
              <w:rPr>
                <w:i/>
                <w:sz w:val="20"/>
                <w:lang w:val="fr-CA"/>
              </w:rPr>
              <w:t>actus</w:t>
            </w:r>
            <w:proofErr w:type="gramEnd"/>
            <w:r w:rsidRPr="004B7487">
              <w:rPr>
                <w:i/>
                <w:sz w:val="20"/>
                <w:lang w:val="fr-CA"/>
              </w:rPr>
              <w:t xml:space="preserve"> reus</w:t>
            </w:r>
            <w:r w:rsidRPr="004B7487">
              <w:rPr>
                <w:sz w:val="20"/>
                <w:lang w:val="fr-CA"/>
              </w:rPr>
              <w:t xml:space="preserve"> de l’art. 123 du </w:t>
            </w:r>
            <w:r w:rsidRPr="004B7487">
              <w:rPr>
                <w:i/>
                <w:sz w:val="20"/>
                <w:lang w:val="fr-CA"/>
              </w:rPr>
              <w:t>Code criminel</w:t>
            </w:r>
            <w:r w:rsidRPr="004B7487">
              <w:rPr>
                <w:sz w:val="20"/>
                <w:lang w:val="fr-CA"/>
              </w:rPr>
              <w:t>? — La Cour d’appel a</w:t>
            </w:r>
            <w:r w:rsidRPr="004B7487">
              <w:rPr>
                <w:sz w:val="20"/>
                <w:lang w:val="fr-CA"/>
              </w:rPr>
              <w:noBreakHyphen/>
              <w:t>t</w:t>
            </w:r>
            <w:r w:rsidRPr="004B7487">
              <w:rPr>
                <w:sz w:val="20"/>
                <w:lang w:val="fr-CA"/>
              </w:rPr>
              <w:noBreakHyphen/>
              <w:t>elle erré en concluant que les verdicts n’étaient pas incompatibles? — La Cour d’appel a</w:t>
            </w:r>
            <w:r w:rsidRPr="004B7487">
              <w:rPr>
                <w:sz w:val="20"/>
                <w:lang w:val="fr-CA"/>
              </w:rPr>
              <w:noBreakHyphen/>
              <w:t>t</w:t>
            </w:r>
            <w:r w:rsidRPr="004B7487">
              <w:rPr>
                <w:sz w:val="20"/>
                <w:lang w:val="fr-CA"/>
              </w:rPr>
              <w:noBreakHyphen/>
              <w:t>elle erré en admettant en preuve sur le chef de corruption des conversations électroniques du coaccusé alors que le demandeur n’y participe pas?</w:t>
            </w:r>
          </w:p>
        </w:tc>
      </w:tr>
      <w:tr w:rsidR="0012542D" w:rsidRPr="004B7487" w:rsidTr="0012542D">
        <w:tc>
          <w:tcPr>
            <w:tcW w:w="5000" w:type="pct"/>
            <w:gridSpan w:val="4"/>
          </w:tcPr>
          <w:p w:rsidR="0012542D" w:rsidRPr="004B7487" w:rsidRDefault="0012542D" w:rsidP="007775F6">
            <w:pPr>
              <w:jc w:val="both"/>
              <w:rPr>
                <w:sz w:val="20"/>
                <w:lang w:val="fr-CA"/>
              </w:rPr>
            </w:pP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En 2013, le demandeur M. Bergevin remet une somme d’argent à un M. René Lafrance — somme qui est remise à la mairesse de la Ville de Châteauguay. Trois chefs d’accusation sont portés contre M. Bergevin en lien avec la remise de cette somme d’argent (complot, abus de confiance, corruption dans les affaires municipales).</w:t>
            </w:r>
          </w:p>
          <w:p w:rsidR="0012542D" w:rsidRPr="004B7487" w:rsidRDefault="0012542D" w:rsidP="007775F6">
            <w:pPr>
              <w:jc w:val="both"/>
              <w:rPr>
                <w:sz w:val="20"/>
                <w:lang w:val="fr-CA"/>
              </w:rPr>
            </w:pPr>
          </w:p>
          <w:p w:rsidR="0012542D" w:rsidRPr="004B7487" w:rsidRDefault="0012542D" w:rsidP="007775F6">
            <w:pPr>
              <w:jc w:val="both"/>
              <w:rPr>
                <w:sz w:val="20"/>
                <w:lang w:val="fr-CA"/>
              </w:rPr>
            </w:pPr>
            <w:r w:rsidRPr="004B7487">
              <w:rPr>
                <w:sz w:val="20"/>
                <w:lang w:val="fr-CA"/>
              </w:rPr>
              <w:t xml:space="preserve">La Cour du Québec déclare M. Lafrance coupable sur le chef d’accusation de corruption dans les affaires municipales (art. 123(1) du </w:t>
            </w:r>
            <w:r w:rsidRPr="004B7487">
              <w:rPr>
                <w:i/>
                <w:sz w:val="20"/>
                <w:lang w:val="fr-CA"/>
              </w:rPr>
              <w:t>Code criminel</w:t>
            </w:r>
            <w:r w:rsidRPr="004B7487">
              <w:rPr>
                <w:sz w:val="20"/>
                <w:lang w:val="fr-CA"/>
              </w:rPr>
              <w:t xml:space="preserve">) et l’acquitte sur les autres chefs. La cour conclut de la preuve que M. Bergevin avait l’intention d’aider M. Lafrance à commettre l’infraction de corruption, et qu’il ne pouvait ignorer que M. Lafrance commettait l’infraction. La Cour d’appel rejette l’appel à l’unanimité. Elle considère que le juge de première instance n’a commis aucune erreur en concluant que la Couronne avait prouvé, hors de tout doute raisonnable, les éléments essentiels de l’infraction de corruption dans les affaires municipales. </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Le 16 novembre 2017</w:t>
            </w:r>
          </w:p>
          <w:p w:rsidR="0012542D" w:rsidRPr="004B7487" w:rsidRDefault="0012542D" w:rsidP="007775F6">
            <w:pPr>
              <w:jc w:val="both"/>
              <w:rPr>
                <w:sz w:val="20"/>
                <w:lang w:val="fr-CA"/>
              </w:rPr>
            </w:pPr>
            <w:r w:rsidRPr="004B7487">
              <w:rPr>
                <w:sz w:val="20"/>
                <w:lang w:val="fr-CA"/>
              </w:rPr>
              <w:t>Cour du Québec</w:t>
            </w:r>
          </w:p>
          <w:p w:rsidR="0012542D" w:rsidRPr="004B7487" w:rsidRDefault="0012542D" w:rsidP="007775F6">
            <w:pPr>
              <w:jc w:val="both"/>
              <w:rPr>
                <w:sz w:val="20"/>
                <w:lang w:val="fr-CA"/>
              </w:rPr>
            </w:pPr>
            <w:r w:rsidRPr="004B7487">
              <w:rPr>
                <w:sz w:val="20"/>
                <w:lang w:val="fr-CA"/>
              </w:rPr>
              <w:t>(le juge St</w:t>
            </w:r>
            <w:r w:rsidRPr="004B7487">
              <w:rPr>
                <w:sz w:val="20"/>
                <w:lang w:val="fr-CA"/>
              </w:rPr>
              <w:noBreakHyphen/>
              <w:t>Arnaud)</w:t>
            </w:r>
          </w:p>
          <w:p w:rsidR="0012542D" w:rsidRPr="004B7487" w:rsidRDefault="004B7487" w:rsidP="007775F6">
            <w:pPr>
              <w:jc w:val="both"/>
              <w:rPr>
                <w:sz w:val="20"/>
              </w:rPr>
            </w:pPr>
            <w:hyperlink r:id="rId43" w:history="1">
              <w:r w:rsidR="0012542D" w:rsidRPr="004B7487">
                <w:rPr>
                  <w:rStyle w:val="Hyperlink"/>
                  <w:sz w:val="20"/>
                </w:rPr>
                <w:t>2017 QCCQ 21229</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Demandeur déclaré coupable sur le chef d’accusation de corruption dans les affaires municipales (art. 123(1</w:t>
            </w:r>
            <w:proofErr w:type="gramStart"/>
            <w:r w:rsidRPr="004B7487">
              <w:rPr>
                <w:sz w:val="20"/>
                <w:lang w:val="fr-CA"/>
              </w:rPr>
              <w:t>)c</w:t>
            </w:r>
            <w:proofErr w:type="gramEnd"/>
            <w:r w:rsidRPr="004B7487">
              <w:rPr>
                <w:sz w:val="20"/>
                <w:lang w:val="fr-CA"/>
              </w:rPr>
              <w:t xml:space="preserve">) du </w:t>
            </w:r>
            <w:r w:rsidRPr="004B7487">
              <w:rPr>
                <w:i/>
                <w:sz w:val="20"/>
                <w:lang w:val="fr-CA"/>
              </w:rPr>
              <w:t>Code criminel</w:t>
            </w:r>
            <w:r w:rsidRPr="004B7487">
              <w:rPr>
                <w:sz w:val="20"/>
                <w:lang w:val="fr-CA"/>
              </w:rPr>
              <w:t>)</w:t>
            </w: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Le 20 mai 2020</w:t>
            </w:r>
          </w:p>
          <w:p w:rsidR="0012542D" w:rsidRPr="004B7487" w:rsidRDefault="0012542D" w:rsidP="007775F6">
            <w:pPr>
              <w:jc w:val="both"/>
              <w:rPr>
                <w:sz w:val="20"/>
                <w:lang w:val="fr-CA"/>
              </w:rPr>
            </w:pPr>
            <w:r w:rsidRPr="004B7487">
              <w:rPr>
                <w:sz w:val="20"/>
                <w:lang w:val="fr-CA"/>
              </w:rPr>
              <w:t>Cour d’appel du Québec (Montréal)</w:t>
            </w:r>
          </w:p>
          <w:p w:rsidR="0012542D" w:rsidRPr="004B7487" w:rsidRDefault="0012542D" w:rsidP="007775F6">
            <w:pPr>
              <w:jc w:val="both"/>
              <w:rPr>
                <w:sz w:val="20"/>
                <w:lang w:val="fr-CA"/>
              </w:rPr>
            </w:pPr>
            <w:r w:rsidRPr="004B7487">
              <w:rPr>
                <w:sz w:val="20"/>
                <w:lang w:val="fr-CA"/>
              </w:rPr>
              <w:t>(les juges Hilton, Roy et Cotnam)</w:t>
            </w:r>
          </w:p>
          <w:p w:rsidR="0012542D" w:rsidRPr="004B7487" w:rsidRDefault="004B7487" w:rsidP="007775F6">
            <w:pPr>
              <w:jc w:val="both"/>
              <w:rPr>
                <w:sz w:val="20"/>
              </w:rPr>
            </w:pPr>
            <w:hyperlink r:id="rId44" w:history="1">
              <w:r w:rsidR="0012542D" w:rsidRPr="004B7487">
                <w:rPr>
                  <w:rStyle w:val="Hyperlink"/>
                  <w:sz w:val="20"/>
                </w:rPr>
                <w:t>2020 QCCA 658</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Appel rejeté</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Le 14 août 2020</w:t>
            </w:r>
          </w:p>
          <w:p w:rsidR="0012542D" w:rsidRPr="004B7487" w:rsidRDefault="0012542D" w:rsidP="007775F6">
            <w:pPr>
              <w:jc w:val="both"/>
              <w:rPr>
                <w:sz w:val="20"/>
                <w:lang w:val="fr-CA"/>
              </w:rPr>
            </w:pPr>
            <w:r w:rsidRPr="004B7487">
              <w:rPr>
                <w:sz w:val="20"/>
                <w:lang w:val="fr-CA"/>
              </w:rPr>
              <w:t>Cour suprême du Canada</w:t>
            </w: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rPr>
            </w:pPr>
            <w:r w:rsidRPr="004B7487">
              <w:rPr>
                <w:sz w:val="20"/>
              </w:rPr>
              <w:t>Demande d’autorisation d'appel déposée</w:t>
            </w:r>
          </w:p>
          <w:p w:rsidR="0012542D" w:rsidRPr="004B7487" w:rsidRDefault="0012542D" w:rsidP="007775F6">
            <w:pPr>
              <w:jc w:val="both"/>
              <w:rPr>
                <w:sz w:val="20"/>
              </w:rPr>
            </w:pPr>
          </w:p>
        </w:tc>
      </w:tr>
    </w:tbl>
    <w:p w:rsidR="0012542D" w:rsidRPr="004B7487" w:rsidRDefault="0012542D" w:rsidP="007775F6">
      <w:pPr>
        <w:jc w:val="both"/>
        <w:rPr>
          <w:sz w:val="20"/>
        </w:rPr>
      </w:pPr>
    </w:p>
    <w:p w:rsidR="0028519E" w:rsidRPr="004B7487" w:rsidRDefault="004B7487" w:rsidP="007775F6">
      <w:pPr>
        <w:jc w:val="both"/>
        <w:rPr>
          <w:sz w:val="20"/>
        </w:rPr>
      </w:pPr>
      <w:r w:rsidRPr="004B7487">
        <w:rPr>
          <w:sz w:val="20"/>
        </w:rPr>
        <w:pict>
          <v:rect id="_x0000_i1036" style="width:2in;height:1pt" o:hrpct="0" o:hralign="center" o:hrstd="t" o:hrnoshade="t" o:hr="t" fillcolor="black [3213]" stroked="f"/>
        </w:pict>
      </w:r>
    </w:p>
    <w:p w:rsidR="009011A5" w:rsidRPr="004B7487" w:rsidRDefault="009011A5"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lang w:val="en-CA"/>
              </w:rPr>
            </w:pPr>
            <w:r w:rsidRPr="004B7487">
              <w:rPr>
                <w:rStyle w:val="SCCFileNumberChar"/>
                <w:sz w:val="20"/>
                <w:szCs w:val="20"/>
              </w:rPr>
              <w:t>39342</w:t>
            </w:r>
          </w:p>
        </w:tc>
        <w:tc>
          <w:tcPr>
            <w:tcW w:w="4457" w:type="pct"/>
            <w:gridSpan w:val="3"/>
          </w:tcPr>
          <w:p w:rsidR="0012542D" w:rsidRPr="004B7487" w:rsidRDefault="0012542D" w:rsidP="007775F6">
            <w:pPr>
              <w:pStyle w:val="SCCLsocParty"/>
              <w:jc w:val="both"/>
              <w:rPr>
                <w:b/>
                <w:sz w:val="20"/>
                <w:szCs w:val="20"/>
                <w:lang w:val="en-CA"/>
              </w:rPr>
            </w:pPr>
            <w:r w:rsidRPr="004B7487">
              <w:rPr>
                <w:b/>
                <w:sz w:val="20"/>
                <w:szCs w:val="20"/>
                <w:lang w:val="en-CA"/>
              </w:rPr>
              <w:t>Cédric Catellier v. Her Majesty the Queen</w:t>
            </w:r>
          </w:p>
          <w:p w:rsidR="0012542D" w:rsidRPr="004B7487" w:rsidRDefault="0012542D" w:rsidP="007775F6">
            <w:pPr>
              <w:jc w:val="both"/>
              <w:rPr>
                <w:sz w:val="20"/>
                <w:lang w:val="en-CA"/>
              </w:rPr>
            </w:pPr>
            <w:r w:rsidRPr="004B7487">
              <w:rPr>
                <w:sz w:val="20"/>
                <w:lang w:val="en-CA"/>
              </w:rPr>
              <w:t>(Que.) (Criminal) (By Leave)</w:t>
            </w:r>
          </w:p>
        </w:tc>
      </w:tr>
      <w:tr w:rsidR="0012542D" w:rsidRPr="004B7487" w:rsidTr="0012542D">
        <w:tc>
          <w:tcPr>
            <w:tcW w:w="5000" w:type="pct"/>
            <w:gridSpan w:val="4"/>
          </w:tcPr>
          <w:p w:rsidR="0012542D" w:rsidRPr="004B7487" w:rsidRDefault="0012542D" w:rsidP="007775F6">
            <w:pPr>
              <w:jc w:val="both"/>
              <w:rPr>
                <w:sz w:val="20"/>
                <w:lang w:val="en-CA"/>
              </w:rPr>
            </w:pPr>
            <w:r w:rsidRPr="004B7487">
              <w:rPr>
                <w:sz w:val="20"/>
                <w:lang w:val="en-CA"/>
              </w:rPr>
              <w:t>Charter of Rights — Right to counsel — Evidence —  Admissibility — Assessment — Whether Quebec Court of Appeal erred in determining that two</w:t>
            </w:r>
            <w:r w:rsidRPr="004B7487">
              <w:rPr>
                <w:sz w:val="20"/>
                <w:lang w:val="en-CA"/>
              </w:rPr>
              <w:noBreakHyphen/>
              <w:t>hour waiting period was reasonable and that applicant’s constitutional rights had therefore not been violated — Whether trial judge erred in analyzing evidence by failing to deal with exculpatory evidence in favour of applicant, thereby reversing burden of proof.</w:t>
            </w:r>
          </w:p>
        </w:tc>
      </w:tr>
      <w:tr w:rsidR="0012542D" w:rsidRPr="004B7487" w:rsidTr="0012542D">
        <w:tc>
          <w:tcPr>
            <w:tcW w:w="5000" w:type="pct"/>
            <w:gridSpan w:val="4"/>
          </w:tcPr>
          <w:p w:rsidR="0012542D" w:rsidRPr="004B7487" w:rsidRDefault="0012542D" w:rsidP="007775F6">
            <w:pPr>
              <w:jc w:val="both"/>
              <w:rPr>
                <w:sz w:val="20"/>
                <w:lang w:val="en-CA"/>
              </w:rPr>
            </w:pPr>
          </w:p>
        </w:tc>
      </w:tr>
      <w:tr w:rsidR="0012542D" w:rsidRPr="004B7487" w:rsidTr="0012542D">
        <w:tc>
          <w:tcPr>
            <w:tcW w:w="5000" w:type="pct"/>
            <w:gridSpan w:val="4"/>
          </w:tcPr>
          <w:p w:rsidR="0012542D" w:rsidRPr="004B7487" w:rsidRDefault="0012542D" w:rsidP="007775F6">
            <w:pPr>
              <w:jc w:val="both"/>
              <w:rPr>
                <w:sz w:val="20"/>
                <w:lang w:val="en-CA"/>
              </w:rPr>
            </w:pPr>
            <w:r w:rsidRPr="004B7487">
              <w:rPr>
                <w:sz w:val="20"/>
                <w:lang w:val="en-CA"/>
              </w:rPr>
              <w:t xml:space="preserve">Mr. Catellier </w:t>
            </w:r>
            <w:proofErr w:type="gramStart"/>
            <w:r w:rsidRPr="004B7487">
              <w:rPr>
                <w:sz w:val="20"/>
                <w:lang w:val="en-CA"/>
              </w:rPr>
              <w:t>was charged</w:t>
            </w:r>
            <w:proofErr w:type="gramEnd"/>
            <w:r w:rsidRPr="004B7487">
              <w:rPr>
                <w:sz w:val="20"/>
                <w:lang w:val="en-CA"/>
              </w:rPr>
              <w:t xml:space="preserve"> with breaking and entering a dwelling</w:t>
            </w:r>
            <w:r w:rsidRPr="004B7487">
              <w:rPr>
                <w:sz w:val="20"/>
                <w:lang w:val="en-CA"/>
              </w:rPr>
              <w:noBreakHyphen/>
              <w:t>house and committing assault therein, and with committing assault while carrying a weapon. He argued that his right protected by s. 10(</w:t>
            </w:r>
            <w:r w:rsidRPr="004B7487">
              <w:rPr>
                <w:i/>
                <w:sz w:val="20"/>
                <w:lang w:val="en-CA"/>
              </w:rPr>
              <w:t>b</w:t>
            </w:r>
            <w:r w:rsidRPr="004B7487">
              <w:rPr>
                <w:sz w:val="20"/>
                <w:lang w:val="en-CA"/>
              </w:rPr>
              <w:t xml:space="preserve">) of the </w:t>
            </w:r>
            <w:r w:rsidRPr="004B7487">
              <w:rPr>
                <w:i/>
                <w:sz w:val="20"/>
                <w:lang w:val="en-CA"/>
              </w:rPr>
              <w:t>Charter</w:t>
            </w:r>
            <w:r w:rsidRPr="004B7487">
              <w:rPr>
                <w:sz w:val="20"/>
                <w:lang w:val="en-CA"/>
              </w:rPr>
              <w:t xml:space="preserve"> </w:t>
            </w:r>
            <w:proofErr w:type="gramStart"/>
            <w:r w:rsidRPr="004B7487">
              <w:rPr>
                <w:sz w:val="20"/>
                <w:lang w:val="en-CA"/>
              </w:rPr>
              <w:t>had been violated</w:t>
            </w:r>
            <w:proofErr w:type="gramEnd"/>
            <w:r w:rsidRPr="004B7487">
              <w:rPr>
                <w:sz w:val="20"/>
                <w:lang w:val="en-CA"/>
              </w:rPr>
              <w:t xml:space="preserve"> because he had not had a reasonable opportunity to contact counsel of his choice before being questioned </w:t>
            </w:r>
            <w:r w:rsidRPr="004B7487">
              <w:rPr>
                <w:sz w:val="20"/>
                <w:lang w:val="en-CA"/>
              </w:rPr>
              <w:lastRenderedPageBreak/>
              <w:t xml:space="preserve">by the police. The Court of Québec found that Mr. Catellier’s right to retain and instruct counsel </w:t>
            </w:r>
            <w:proofErr w:type="gramStart"/>
            <w:r w:rsidRPr="004B7487">
              <w:rPr>
                <w:sz w:val="20"/>
                <w:lang w:val="en-CA"/>
              </w:rPr>
              <w:t>without delay</w:t>
            </w:r>
            <w:proofErr w:type="gramEnd"/>
            <w:r w:rsidRPr="004B7487">
              <w:rPr>
                <w:sz w:val="20"/>
                <w:lang w:val="en-CA"/>
              </w:rPr>
              <w:t xml:space="preserve"> had not been violated because he had not been diligent in exercising his right. The police could therefore proceed with the interview. The Quebec Court of Appeal dismissed the appeal.</w:t>
            </w:r>
          </w:p>
          <w:p w:rsidR="0012542D" w:rsidRPr="004B7487" w:rsidRDefault="0012542D" w:rsidP="007775F6">
            <w:pPr>
              <w:jc w:val="both"/>
              <w:rPr>
                <w:sz w:val="20"/>
                <w:lang w:val="en-CA"/>
              </w:rPr>
            </w:pPr>
          </w:p>
        </w:tc>
      </w:tr>
      <w:tr w:rsidR="0012542D" w:rsidRPr="004B7487" w:rsidTr="0012542D">
        <w:tc>
          <w:tcPr>
            <w:tcW w:w="2427" w:type="pct"/>
            <w:gridSpan w:val="2"/>
          </w:tcPr>
          <w:p w:rsidR="0012542D" w:rsidRPr="004B7487" w:rsidRDefault="0012542D" w:rsidP="007775F6">
            <w:pPr>
              <w:jc w:val="both"/>
              <w:rPr>
                <w:sz w:val="20"/>
                <w:lang w:val="en-CA"/>
              </w:rPr>
            </w:pPr>
            <w:r w:rsidRPr="004B7487">
              <w:rPr>
                <w:sz w:val="20"/>
                <w:lang w:val="en-CA"/>
              </w:rPr>
              <w:lastRenderedPageBreak/>
              <w:t>May 31, 2018</w:t>
            </w:r>
          </w:p>
          <w:p w:rsidR="0012542D" w:rsidRPr="004B7487" w:rsidRDefault="0012542D" w:rsidP="007775F6">
            <w:pPr>
              <w:jc w:val="both"/>
              <w:rPr>
                <w:sz w:val="20"/>
                <w:lang w:val="en-CA"/>
              </w:rPr>
            </w:pPr>
            <w:r w:rsidRPr="004B7487">
              <w:rPr>
                <w:sz w:val="20"/>
                <w:lang w:val="en-CA"/>
              </w:rPr>
              <w:t>Court of Québec</w:t>
            </w:r>
          </w:p>
          <w:p w:rsidR="0012542D" w:rsidRPr="004B7487" w:rsidRDefault="0012542D" w:rsidP="007775F6">
            <w:pPr>
              <w:jc w:val="both"/>
              <w:rPr>
                <w:sz w:val="20"/>
                <w:lang w:val="en-CA"/>
              </w:rPr>
            </w:pPr>
            <w:r w:rsidRPr="004B7487">
              <w:rPr>
                <w:sz w:val="20"/>
                <w:lang w:val="en-CA"/>
              </w:rPr>
              <w:t>(Judge Rivest)</w:t>
            </w:r>
          </w:p>
          <w:p w:rsidR="0012542D" w:rsidRPr="004B7487" w:rsidRDefault="0012542D" w:rsidP="007775F6">
            <w:pPr>
              <w:jc w:val="both"/>
              <w:rPr>
                <w:sz w:val="20"/>
                <w:lang w:val="en-CA"/>
              </w:rPr>
            </w:pPr>
            <w:r w:rsidRPr="004B7487">
              <w:rPr>
                <w:rStyle w:val="Hyperlink"/>
                <w:rFonts w:eastAsiaTheme="minorHAnsi"/>
                <w:sz w:val="20"/>
                <w:lang w:val="en-CA"/>
              </w:rPr>
              <w:t>2018 QCCQ 4121</w:t>
            </w:r>
          </w:p>
          <w:p w:rsidR="0012542D" w:rsidRPr="004B7487" w:rsidRDefault="0012542D" w:rsidP="007775F6">
            <w:pPr>
              <w:jc w:val="both"/>
              <w:rPr>
                <w:sz w:val="20"/>
                <w:lang w:val="en-CA"/>
              </w:rPr>
            </w:pPr>
          </w:p>
        </w:tc>
        <w:tc>
          <w:tcPr>
            <w:tcW w:w="243" w:type="pct"/>
          </w:tcPr>
          <w:p w:rsidR="0012542D" w:rsidRPr="004B7487" w:rsidRDefault="0012542D" w:rsidP="007775F6">
            <w:pPr>
              <w:jc w:val="both"/>
              <w:rPr>
                <w:sz w:val="20"/>
                <w:lang w:val="en-CA"/>
              </w:rPr>
            </w:pPr>
          </w:p>
        </w:tc>
        <w:tc>
          <w:tcPr>
            <w:tcW w:w="2330" w:type="pct"/>
          </w:tcPr>
          <w:p w:rsidR="0012542D" w:rsidRPr="004B7487" w:rsidRDefault="0012542D" w:rsidP="007775F6">
            <w:pPr>
              <w:jc w:val="both"/>
              <w:rPr>
                <w:sz w:val="20"/>
                <w:lang w:val="en-CA"/>
              </w:rPr>
            </w:pPr>
            <w:r w:rsidRPr="004B7487">
              <w:rPr>
                <w:sz w:val="20"/>
                <w:lang w:val="en-CA"/>
              </w:rPr>
              <w:t>Motion dismissed on ground that exercise of accused’s right to counsel had been respected in accordance with s. 10(</w:t>
            </w:r>
            <w:r w:rsidRPr="004B7487">
              <w:rPr>
                <w:i/>
                <w:sz w:val="20"/>
                <w:lang w:val="en-CA"/>
              </w:rPr>
              <w:t>b</w:t>
            </w:r>
            <w:r w:rsidRPr="004B7487">
              <w:rPr>
                <w:sz w:val="20"/>
                <w:lang w:val="en-CA"/>
              </w:rPr>
              <w:t xml:space="preserve">) of </w:t>
            </w:r>
            <w:r w:rsidRPr="004B7487">
              <w:rPr>
                <w:i/>
                <w:sz w:val="20"/>
                <w:lang w:val="en-CA"/>
              </w:rPr>
              <w:t>Charter</w:t>
            </w:r>
          </w:p>
        </w:tc>
      </w:tr>
      <w:tr w:rsidR="0012542D" w:rsidRPr="004B7487" w:rsidTr="0012542D">
        <w:tc>
          <w:tcPr>
            <w:tcW w:w="2427" w:type="pct"/>
            <w:gridSpan w:val="2"/>
          </w:tcPr>
          <w:p w:rsidR="0012542D" w:rsidRPr="004B7487" w:rsidRDefault="0012542D" w:rsidP="007775F6">
            <w:pPr>
              <w:jc w:val="both"/>
              <w:rPr>
                <w:sz w:val="20"/>
                <w:lang w:val="en-CA"/>
              </w:rPr>
            </w:pPr>
            <w:r w:rsidRPr="004B7487">
              <w:rPr>
                <w:sz w:val="20"/>
                <w:lang w:val="en-CA"/>
              </w:rPr>
              <w:t>June 13, 2018</w:t>
            </w:r>
          </w:p>
          <w:p w:rsidR="0012542D" w:rsidRPr="004B7487" w:rsidRDefault="0012542D" w:rsidP="007775F6">
            <w:pPr>
              <w:jc w:val="both"/>
              <w:rPr>
                <w:sz w:val="20"/>
                <w:lang w:val="en-CA"/>
              </w:rPr>
            </w:pPr>
            <w:r w:rsidRPr="004B7487">
              <w:rPr>
                <w:sz w:val="20"/>
                <w:lang w:val="en-CA"/>
              </w:rPr>
              <w:t>Court of Québec</w:t>
            </w:r>
          </w:p>
          <w:p w:rsidR="0012542D" w:rsidRPr="004B7487" w:rsidRDefault="0012542D" w:rsidP="007775F6">
            <w:pPr>
              <w:jc w:val="both"/>
              <w:rPr>
                <w:sz w:val="20"/>
                <w:lang w:val="en-CA"/>
              </w:rPr>
            </w:pPr>
            <w:r w:rsidRPr="004B7487">
              <w:rPr>
                <w:sz w:val="20"/>
                <w:lang w:val="en-CA"/>
              </w:rPr>
              <w:t>(Judge Rivest)</w:t>
            </w:r>
          </w:p>
          <w:p w:rsidR="0012542D" w:rsidRPr="004B7487" w:rsidRDefault="004B7487" w:rsidP="007775F6">
            <w:pPr>
              <w:jc w:val="both"/>
              <w:rPr>
                <w:sz w:val="20"/>
                <w:lang w:val="en-CA"/>
              </w:rPr>
            </w:pPr>
            <w:hyperlink r:id="rId45" w:history="1">
              <w:r w:rsidR="0012542D" w:rsidRPr="004B7487">
                <w:rPr>
                  <w:rStyle w:val="Hyperlink"/>
                  <w:rFonts w:eastAsiaTheme="minorHAnsi"/>
                  <w:sz w:val="20"/>
                  <w:lang w:val="en-CA"/>
                </w:rPr>
                <w:t>2018 QCCQ 10986</w:t>
              </w:r>
            </w:hyperlink>
          </w:p>
          <w:p w:rsidR="0012542D" w:rsidRPr="004B7487" w:rsidRDefault="0012542D" w:rsidP="007775F6">
            <w:pPr>
              <w:jc w:val="both"/>
              <w:rPr>
                <w:sz w:val="20"/>
                <w:lang w:val="en-CA"/>
              </w:rPr>
            </w:pPr>
          </w:p>
        </w:tc>
        <w:tc>
          <w:tcPr>
            <w:tcW w:w="243" w:type="pct"/>
          </w:tcPr>
          <w:p w:rsidR="0012542D" w:rsidRPr="004B7487" w:rsidRDefault="0012542D" w:rsidP="007775F6">
            <w:pPr>
              <w:jc w:val="both"/>
              <w:rPr>
                <w:sz w:val="20"/>
                <w:lang w:val="en-CA"/>
              </w:rPr>
            </w:pPr>
          </w:p>
        </w:tc>
        <w:tc>
          <w:tcPr>
            <w:tcW w:w="2330" w:type="pct"/>
          </w:tcPr>
          <w:p w:rsidR="0012542D" w:rsidRPr="004B7487" w:rsidRDefault="0012542D" w:rsidP="007775F6">
            <w:pPr>
              <w:jc w:val="both"/>
              <w:rPr>
                <w:sz w:val="20"/>
                <w:lang w:val="en-CA"/>
              </w:rPr>
            </w:pPr>
            <w:r w:rsidRPr="004B7487">
              <w:rPr>
                <w:sz w:val="20"/>
                <w:lang w:val="en-CA"/>
              </w:rPr>
              <w:t>Accused convicted of breaking and entering dwelling</w:t>
            </w:r>
            <w:r w:rsidRPr="004B7487">
              <w:rPr>
                <w:sz w:val="20"/>
                <w:lang w:val="en-CA"/>
              </w:rPr>
              <w:noBreakHyphen/>
              <w:t>house and committing assault therein, and with committing assault while carrying weapon</w:t>
            </w:r>
          </w:p>
          <w:p w:rsidR="0012542D" w:rsidRPr="004B7487" w:rsidRDefault="0012542D" w:rsidP="007775F6">
            <w:pPr>
              <w:jc w:val="both"/>
              <w:rPr>
                <w:sz w:val="20"/>
                <w:lang w:val="en-CA"/>
              </w:rPr>
            </w:pPr>
          </w:p>
        </w:tc>
      </w:tr>
      <w:tr w:rsidR="0012542D" w:rsidRPr="004B7487" w:rsidTr="0012542D">
        <w:tc>
          <w:tcPr>
            <w:tcW w:w="2427" w:type="pct"/>
            <w:gridSpan w:val="2"/>
          </w:tcPr>
          <w:p w:rsidR="0012542D" w:rsidRPr="004B7487" w:rsidRDefault="0012542D" w:rsidP="007775F6">
            <w:pPr>
              <w:jc w:val="both"/>
              <w:rPr>
                <w:sz w:val="20"/>
                <w:lang w:val="en-CA"/>
              </w:rPr>
            </w:pPr>
            <w:r w:rsidRPr="004B7487">
              <w:rPr>
                <w:sz w:val="20"/>
                <w:lang w:val="en-CA"/>
              </w:rPr>
              <w:t>June 25, 2020</w:t>
            </w:r>
          </w:p>
          <w:p w:rsidR="0012542D" w:rsidRPr="004B7487" w:rsidRDefault="0012542D" w:rsidP="007775F6">
            <w:pPr>
              <w:jc w:val="both"/>
              <w:rPr>
                <w:sz w:val="20"/>
                <w:lang w:val="en-CA"/>
              </w:rPr>
            </w:pPr>
            <w:r w:rsidRPr="004B7487">
              <w:rPr>
                <w:sz w:val="20"/>
                <w:lang w:val="en-CA"/>
              </w:rPr>
              <w:t>Quebec Court of Appeal (Montréal)</w:t>
            </w:r>
          </w:p>
          <w:p w:rsidR="0012542D" w:rsidRPr="004B7487" w:rsidRDefault="0012542D" w:rsidP="007775F6">
            <w:pPr>
              <w:jc w:val="both"/>
              <w:rPr>
                <w:sz w:val="20"/>
                <w:lang w:val="en-CA"/>
              </w:rPr>
            </w:pPr>
            <w:r w:rsidRPr="004B7487">
              <w:rPr>
                <w:sz w:val="20"/>
                <w:lang w:val="en-CA"/>
              </w:rPr>
              <w:t>(Savard, Healy and Moore JJ.A.)</w:t>
            </w:r>
          </w:p>
          <w:p w:rsidR="0012542D" w:rsidRPr="004B7487" w:rsidRDefault="004B7487" w:rsidP="007775F6">
            <w:pPr>
              <w:jc w:val="both"/>
              <w:rPr>
                <w:sz w:val="20"/>
                <w:lang w:val="en-CA"/>
              </w:rPr>
            </w:pPr>
            <w:hyperlink r:id="rId46" w:history="1">
              <w:r w:rsidR="0012542D" w:rsidRPr="004B7487">
                <w:rPr>
                  <w:rStyle w:val="Hyperlink"/>
                  <w:rFonts w:eastAsiaTheme="minorHAnsi"/>
                  <w:sz w:val="20"/>
                  <w:lang w:val="en-CA"/>
                </w:rPr>
                <w:t>2020 QCCA 850</w:t>
              </w:r>
            </w:hyperlink>
          </w:p>
          <w:p w:rsidR="0012542D" w:rsidRPr="004B7487" w:rsidRDefault="0012542D" w:rsidP="007775F6">
            <w:pPr>
              <w:jc w:val="both"/>
              <w:rPr>
                <w:sz w:val="20"/>
                <w:lang w:val="en-CA"/>
              </w:rPr>
            </w:pPr>
          </w:p>
        </w:tc>
        <w:tc>
          <w:tcPr>
            <w:tcW w:w="243" w:type="pct"/>
          </w:tcPr>
          <w:p w:rsidR="0012542D" w:rsidRPr="004B7487" w:rsidRDefault="0012542D" w:rsidP="007775F6">
            <w:pPr>
              <w:jc w:val="both"/>
              <w:rPr>
                <w:sz w:val="20"/>
                <w:lang w:val="en-CA"/>
              </w:rPr>
            </w:pPr>
          </w:p>
        </w:tc>
        <w:tc>
          <w:tcPr>
            <w:tcW w:w="2330" w:type="pct"/>
          </w:tcPr>
          <w:p w:rsidR="0012542D" w:rsidRPr="004B7487" w:rsidRDefault="0012542D" w:rsidP="007775F6">
            <w:pPr>
              <w:jc w:val="both"/>
              <w:rPr>
                <w:sz w:val="20"/>
                <w:lang w:val="en-CA"/>
              </w:rPr>
            </w:pPr>
            <w:r w:rsidRPr="004B7487">
              <w:rPr>
                <w:sz w:val="20"/>
                <w:lang w:val="en-CA"/>
              </w:rPr>
              <w:t>Motion for leave to appeal sentence allowed; appeals against convictions and sentence dismissed</w:t>
            </w:r>
          </w:p>
        </w:tc>
      </w:tr>
      <w:tr w:rsidR="0012542D" w:rsidRPr="004B7487" w:rsidTr="0012542D">
        <w:tc>
          <w:tcPr>
            <w:tcW w:w="2427" w:type="pct"/>
            <w:gridSpan w:val="2"/>
          </w:tcPr>
          <w:p w:rsidR="0012542D" w:rsidRPr="004B7487" w:rsidRDefault="0012542D" w:rsidP="007775F6">
            <w:pPr>
              <w:jc w:val="both"/>
              <w:rPr>
                <w:sz w:val="20"/>
                <w:lang w:val="en-CA"/>
              </w:rPr>
            </w:pPr>
            <w:r w:rsidRPr="004B7487">
              <w:rPr>
                <w:sz w:val="20"/>
                <w:lang w:val="en-CA"/>
              </w:rPr>
              <w:t>September 22, 2020</w:t>
            </w:r>
          </w:p>
          <w:p w:rsidR="0012542D" w:rsidRPr="004B7487" w:rsidRDefault="0012542D" w:rsidP="007775F6">
            <w:pPr>
              <w:jc w:val="both"/>
              <w:rPr>
                <w:sz w:val="20"/>
                <w:lang w:val="en-CA"/>
              </w:rPr>
            </w:pPr>
            <w:r w:rsidRPr="004B7487">
              <w:rPr>
                <w:sz w:val="20"/>
                <w:lang w:val="en-CA"/>
              </w:rPr>
              <w:t>Supreme Court of Canada</w:t>
            </w:r>
          </w:p>
        </w:tc>
        <w:tc>
          <w:tcPr>
            <w:tcW w:w="243" w:type="pct"/>
          </w:tcPr>
          <w:p w:rsidR="0012542D" w:rsidRPr="004B7487" w:rsidRDefault="0012542D" w:rsidP="007775F6">
            <w:pPr>
              <w:jc w:val="both"/>
              <w:rPr>
                <w:sz w:val="20"/>
                <w:lang w:val="en-CA"/>
              </w:rPr>
            </w:pPr>
          </w:p>
        </w:tc>
        <w:tc>
          <w:tcPr>
            <w:tcW w:w="2330" w:type="pct"/>
          </w:tcPr>
          <w:p w:rsidR="0012542D" w:rsidRPr="004B7487" w:rsidRDefault="0012542D" w:rsidP="007775F6">
            <w:pPr>
              <w:jc w:val="both"/>
              <w:rPr>
                <w:sz w:val="20"/>
                <w:lang w:val="en-CA"/>
              </w:rPr>
            </w:pPr>
            <w:r w:rsidRPr="004B7487">
              <w:rPr>
                <w:sz w:val="20"/>
                <w:lang w:val="en-CA"/>
              </w:rPr>
              <w:t>Application for leave to appeal filed</w:t>
            </w:r>
          </w:p>
        </w:tc>
      </w:tr>
    </w:tbl>
    <w:p w:rsidR="0012542D" w:rsidRPr="004B7487" w:rsidRDefault="0012542D" w:rsidP="007775F6">
      <w:pPr>
        <w:jc w:val="both"/>
        <w:rPr>
          <w:sz w:val="20"/>
          <w:lang w:val="en-CA"/>
        </w:rPr>
      </w:pPr>
    </w:p>
    <w:p w:rsidR="0028519E" w:rsidRPr="004B7487" w:rsidRDefault="004B7487" w:rsidP="007775F6">
      <w:pPr>
        <w:jc w:val="both"/>
        <w:rPr>
          <w:sz w:val="20"/>
          <w:lang w:val="en-CA"/>
        </w:rPr>
      </w:pPr>
      <w:r w:rsidRPr="004B7487">
        <w:rPr>
          <w:sz w:val="20"/>
        </w:rPr>
        <w:pict>
          <v:rect id="_x0000_i1037" style="width:2in;height:1pt" o:hrpct="0" o:hralign="center" o:hrstd="t" o:hrnoshade="t" o:hr="t" fillcolor="black [3213]" stroked="f"/>
        </w:pict>
      </w:r>
    </w:p>
    <w:p w:rsidR="0028519E" w:rsidRPr="004B7487" w:rsidRDefault="0028519E" w:rsidP="007775F6">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39342</w:t>
            </w:r>
          </w:p>
        </w:tc>
        <w:tc>
          <w:tcPr>
            <w:tcW w:w="4457" w:type="pct"/>
            <w:gridSpan w:val="3"/>
          </w:tcPr>
          <w:p w:rsidR="0012542D" w:rsidRPr="004B7487" w:rsidRDefault="0012542D" w:rsidP="007775F6">
            <w:pPr>
              <w:pStyle w:val="SCCLsocParty"/>
              <w:jc w:val="both"/>
              <w:rPr>
                <w:b/>
                <w:sz w:val="20"/>
                <w:szCs w:val="20"/>
              </w:rPr>
            </w:pPr>
            <w:r w:rsidRPr="004B7487">
              <w:rPr>
                <w:b/>
                <w:sz w:val="20"/>
                <w:szCs w:val="20"/>
              </w:rPr>
              <w:t>Cédric Catellier c. Sa Majesté la Reine</w:t>
            </w:r>
          </w:p>
          <w:p w:rsidR="0012542D" w:rsidRPr="004B7487" w:rsidRDefault="0012542D" w:rsidP="007775F6">
            <w:pPr>
              <w:jc w:val="both"/>
              <w:rPr>
                <w:sz w:val="20"/>
              </w:rPr>
            </w:pPr>
            <w:r w:rsidRPr="004B7487">
              <w:rPr>
                <w:sz w:val="20"/>
              </w:rPr>
              <w:t>(Qc) (Criminelle) (Autorisation)</w:t>
            </w:r>
          </w:p>
        </w:tc>
      </w:tr>
      <w:tr w:rsidR="0012542D" w:rsidRPr="004B7487" w:rsidTr="0012542D">
        <w:tc>
          <w:tcPr>
            <w:tcW w:w="5000" w:type="pct"/>
            <w:gridSpan w:val="4"/>
          </w:tcPr>
          <w:p w:rsidR="0012542D" w:rsidRPr="004B7487" w:rsidRDefault="0012542D" w:rsidP="007775F6">
            <w:pPr>
              <w:jc w:val="both"/>
              <w:rPr>
                <w:sz w:val="20"/>
                <w:lang w:val="fr-CA"/>
              </w:rPr>
            </w:pPr>
            <w:r w:rsidRPr="004B7487">
              <w:rPr>
                <w:i/>
                <w:sz w:val="20"/>
                <w:lang w:val="fr-CA"/>
              </w:rPr>
              <w:t>Charte des droits</w:t>
            </w:r>
            <w:r w:rsidRPr="004B7487">
              <w:rPr>
                <w:sz w:val="20"/>
                <w:lang w:val="fr-CA"/>
              </w:rPr>
              <w:t xml:space="preserve"> — Droit à l’assistance d’un avocat — Preuve —  Admissibilité — Appréciation — La Cour d’appel du Québec a</w:t>
            </w:r>
            <w:r w:rsidRPr="004B7487">
              <w:rPr>
                <w:sz w:val="20"/>
                <w:lang w:val="fr-CA"/>
              </w:rPr>
              <w:noBreakHyphen/>
              <w:t>t</w:t>
            </w:r>
            <w:r w:rsidRPr="004B7487">
              <w:rPr>
                <w:sz w:val="20"/>
                <w:lang w:val="fr-CA"/>
              </w:rPr>
              <w:noBreakHyphen/>
              <w:t>elle erré en déterminant qu’un délai d’attente de deux heures était raisonnable et qu’en conséquence, les droits constitutionnels du demandeur n’avaient pas été violés ? — La juge de première instance a</w:t>
            </w:r>
            <w:r w:rsidRPr="004B7487">
              <w:rPr>
                <w:sz w:val="20"/>
                <w:lang w:val="fr-CA"/>
              </w:rPr>
              <w:noBreakHyphen/>
              <w:t>t</w:t>
            </w:r>
            <w:r w:rsidRPr="004B7487">
              <w:rPr>
                <w:sz w:val="20"/>
                <w:lang w:val="fr-CA"/>
              </w:rPr>
              <w:noBreakHyphen/>
              <w:t>elle erré dans l’analyse de la preuve en omettant de traiter d’éléments disculpatoires en faveur du demandeur, renversant ainsi le fardeau de preuve ?</w:t>
            </w:r>
          </w:p>
        </w:tc>
      </w:tr>
      <w:tr w:rsidR="0012542D" w:rsidRPr="004B7487" w:rsidTr="0012542D">
        <w:tc>
          <w:tcPr>
            <w:tcW w:w="5000" w:type="pct"/>
            <w:gridSpan w:val="4"/>
          </w:tcPr>
          <w:p w:rsidR="0012542D" w:rsidRPr="004B7487" w:rsidRDefault="0012542D" w:rsidP="007775F6">
            <w:pPr>
              <w:jc w:val="both"/>
              <w:rPr>
                <w:sz w:val="20"/>
                <w:lang w:val="fr-CA"/>
              </w:rPr>
            </w:pP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 xml:space="preserve">M. Catellier est accusé de s’être introduit par effraction dans une maison d’habitation et y avoir commis des voies de fait, ainsi que d’avoir commis des voies de fait en portant une arme. </w:t>
            </w:r>
            <w:proofErr w:type="gramStart"/>
            <w:r w:rsidRPr="004B7487">
              <w:rPr>
                <w:sz w:val="20"/>
                <w:lang w:val="fr-CA"/>
              </w:rPr>
              <w:t>Il soutient</w:t>
            </w:r>
            <w:proofErr w:type="gramEnd"/>
            <w:r w:rsidRPr="004B7487">
              <w:rPr>
                <w:sz w:val="20"/>
                <w:lang w:val="fr-CA"/>
              </w:rPr>
              <w:t xml:space="preserve"> que son droit protégé à l’art. 10b) de la </w:t>
            </w:r>
            <w:r w:rsidRPr="004B7487">
              <w:rPr>
                <w:i/>
                <w:sz w:val="20"/>
                <w:lang w:val="fr-CA"/>
              </w:rPr>
              <w:t>Charte</w:t>
            </w:r>
            <w:r w:rsidRPr="004B7487">
              <w:rPr>
                <w:sz w:val="20"/>
                <w:lang w:val="fr-CA"/>
              </w:rPr>
              <w:t xml:space="preserve"> a été violé parce qu’il n’a pas eu l’opportunité raisonnable de communiquer avec l’avocat de son choix avant d’être interrogé par la police. La Cour du Québec conclut que le droit à M. Catellier d’avoir recours sans délai à l’assistance d’un avocat n’a pas été violé parce qu’il n’a pas fait preuve de diligence dans l’exercice de son droit. De ce fait, la police pouvait procéder avec l’entrevue. La Cour d’appel du Québec rejette l’appel.</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Le 31 mai 2018</w:t>
            </w:r>
          </w:p>
          <w:p w:rsidR="0012542D" w:rsidRPr="004B7487" w:rsidRDefault="0012542D" w:rsidP="007775F6">
            <w:pPr>
              <w:jc w:val="both"/>
              <w:rPr>
                <w:sz w:val="20"/>
                <w:lang w:val="fr-CA"/>
              </w:rPr>
            </w:pPr>
            <w:r w:rsidRPr="004B7487">
              <w:rPr>
                <w:sz w:val="20"/>
                <w:lang w:val="fr-CA"/>
              </w:rPr>
              <w:t>Cour du Québec</w:t>
            </w:r>
          </w:p>
          <w:p w:rsidR="0012542D" w:rsidRPr="004B7487" w:rsidRDefault="0012542D" w:rsidP="007775F6">
            <w:pPr>
              <w:jc w:val="both"/>
              <w:rPr>
                <w:sz w:val="20"/>
                <w:lang w:val="fr-CA"/>
              </w:rPr>
            </w:pPr>
            <w:r w:rsidRPr="004B7487">
              <w:rPr>
                <w:sz w:val="20"/>
                <w:lang w:val="fr-CA"/>
              </w:rPr>
              <w:t xml:space="preserve">(La juge </w:t>
            </w:r>
            <w:proofErr w:type="spellStart"/>
            <w:r w:rsidRPr="004B7487">
              <w:rPr>
                <w:sz w:val="20"/>
                <w:lang w:val="fr-CA"/>
              </w:rPr>
              <w:t>Rivest</w:t>
            </w:r>
            <w:proofErr w:type="spellEnd"/>
            <w:r w:rsidRPr="004B7487">
              <w:rPr>
                <w:sz w:val="20"/>
                <w:lang w:val="fr-CA"/>
              </w:rPr>
              <w:t>, J.C.Q.)</w:t>
            </w:r>
          </w:p>
          <w:p w:rsidR="0012542D" w:rsidRPr="004B7487" w:rsidRDefault="0012542D" w:rsidP="007775F6">
            <w:pPr>
              <w:jc w:val="both"/>
              <w:rPr>
                <w:sz w:val="20"/>
              </w:rPr>
            </w:pPr>
            <w:r w:rsidRPr="004B7487">
              <w:rPr>
                <w:rStyle w:val="Hyperlink"/>
                <w:rFonts w:eastAsiaTheme="minorHAnsi"/>
                <w:sz w:val="20"/>
              </w:rPr>
              <w:t>2018 QCCQ 4121</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 xml:space="preserve">La requête est rejetée parce que l’exercice du droit à l’avocat de l’accusé a été respecté conformément à l’article 10b) de la </w:t>
            </w:r>
            <w:r w:rsidRPr="004B7487">
              <w:rPr>
                <w:i/>
                <w:sz w:val="20"/>
                <w:lang w:val="fr-CA"/>
              </w:rPr>
              <w:t>Charte</w:t>
            </w:r>
            <w:r w:rsidRPr="004B7487">
              <w:rPr>
                <w:sz w:val="20"/>
                <w:lang w:val="fr-CA"/>
              </w:rPr>
              <w:t>.</w:t>
            </w: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Le 13 juin 2018</w:t>
            </w:r>
          </w:p>
          <w:p w:rsidR="0012542D" w:rsidRPr="004B7487" w:rsidRDefault="0012542D" w:rsidP="007775F6">
            <w:pPr>
              <w:jc w:val="both"/>
              <w:rPr>
                <w:sz w:val="20"/>
                <w:lang w:val="fr-CA"/>
              </w:rPr>
            </w:pPr>
            <w:r w:rsidRPr="004B7487">
              <w:rPr>
                <w:sz w:val="20"/>
                <w:lang w:val="fr-CA"/>
              </w:rPr>
              <w:t>Cour du Québec</w:t>
            </w:r>
          </w:p>
          <w:p w:rsidR="0012542D" w:rsidRPr="004B7487" w:rsidRDefault="0012542D" w:rsidP="007775F6">
            <w:pPr>
              <w:jc w:val="both"/>
              <w:rPr>
                <w:sz w:val="20"/>
                <w:lang w:val="fr-CA"/>
              </w:rPr>
            </w:pPr>
            <w:r w:rsidRPr="004B7487">
              <w:rPr>
                <w:sz w:val="20"/>
                <w:lang w:val="fr-CA"/>
              </w:rPr>
              <w:t xml:space="preserve">(La juge </w:t>
            </w:r>
            <w:proofErr w:type="spellStart"/>
            <w:r w:rsidRPr="004B7487">
              <w:rPr>
                <w:sz w:val="20"/>
                <w:lang w:val="fr-CA"/>
              </w:rPr>
              <w:t>Rivest</w:t>
            </w:r>
            <w:proofErr w:type="spellEnd"/>
            <w:r w:rsidRPr="004B7487">
              <w:rPr>
                <w:sz w:val="20"/>
                <w:lang w:val="fr-CA"/>
              </w:rPr>
              <w:t>, J.C.Q.)</w:t>
            </w:r>
          </w:p>
          <w:p w:rsidR="0012542D" w:rsidRPr="004B7487" w:rsidRDefault="004B7487" w:rsidP="007775F6">
            <w:pPr>
              <w:jc w:val="both"/>
              <w:rPr>
                <w:sz w:val="20"/>
              </w:rPr>
            </w:pPr>
            <w:hyperlink r:id="rId47" w:history="1">
              <w:r w:rsidR="0012542D" w:rsidRPr="004B7487">
                <w:rPr>
                  <w:rStyle w:val="Hyperlink"/>
                  <w:rFonts w:eastAsiaTheme="minorHAnsi"/>
                  <w:sz w:val="20"/>
                </w:rPr>
                <w:t>2018 QCCQ 10986</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L’accusé est déclaré coupable de s’être introduit par effraction dans une maison d’habitation et y avoir commis des voies de fait, ainsi que d’avoir commis des voies de fait en portant une arme.</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Le 25 juin 2020</w:t>
            </w:r>
          </w:p>
          <w:p w:rsidR="0012542D" w:rsidRPr="004B7487" w:rsidRDefault="0012542D" w:rsidP="007775F6">
            <w:pPr>
              <w:jc w:val="both"/>
              <w:rPr>
                <w:sz w:val="20"/>
                <w:lang w:val="fr-CA"/>
              </w:rPr>
            </w:pPr>
            <w:r w:rsidRPr="004B7487">
              <w:rPr>
                <w:sz w:val="20"/>
                <w:lang w:val="fr-CA"/>
              </w:rPr>
              <w:t>Cour d’appel du Québec (Montréal)</w:t>
            </w:r>
          </w:p>
          <w:p w:rsidR="0012542D" w:rsidRPr="004B7487" w:rsidRDefault="0012542D" w:rsidP="007775F6">
            <w:pPr>
              <w:jc w:val="both"/>
              <w:rPr>
                <w:sz w:val="20"/>
                <w:lang w:val="fr-CA"/>
              </w:rPr>
            </w:pPr>
            <w:r w:rsidRPr="004B7487">
              <w:rPr>
                <w:sz w:val="20"/>
                <w:lang w:val="fr-CA"/>
              </w:rPr>
              <w:t>(Les juges Savard, Healy et Moore)</w:t>
            </w:r>
          </w:p>
          <w:p w:rsidR="0012542D" w:rsidRPr="004B7487" w:rsidRDefault="004B7487" w:rsidP="007775F6">
            <w:pPr>
              <w:jc w:val="both"/>
              <w:rPr>
                <w:sz w:val="20"/>
              </w:rPr>
            </w:pPr>
            <w:hyperlink r:id="rId48" w:history="1">
              <w:r w:rsidR="0012542D" w:rsidRPr="004B7487">
                <w:rPr>
                  <w:rStyle w:val="Hyperlink"/>
                  <w:rFonts w:eastAsiaTheme="minorHAnsi"/>
                  <w:sz w:val="20"/>
                </w:rPr>
                <w:t>2020 QCCA 850</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La requête pour permission d’appeler de la peine est accueillie. L’appel des déclarations de culpabilité et l’appel de la peine sont rejetés.</w:t>
            </w: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lastRenderedPageBreak/>
              <w:t>Le 22 septembre 2020</w:t>
            </w:r>
          </w:p>
          <w:p w:rsidR="0012542D" w:rsidRPr="004B7487" w:rsidRDefault="0012542D" w:rsidP="007775F6">
            <w:pPr>
              <w:jc w:val="both"/>
              <w:rPr>
                <w:sz w:val="20"/>
                <w:lang w:val="fr-CA"/>
              </w:rPr>
            </w:pPr>
            <w:r w:rsidRPr="004B7487">
              <w:rPr>
                <w:sz w:val="20"/>
                <w:lang w:val="fr-CA"/>
              </w:rPr>
              <w:t>Cour suprême du Canada</w:t>
            </w: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La demande d’autorisation d’appel est déposée.</w:t>
            </w:r>
          </w:p>
        </w:tc>
      </w:tr>
    </w:tbl>
    <w:p w:rsidR="0012542D" w:rsidRPr="004B7487" w:rsidRDefault="0012542D" w:rsidP="007775F6">
      <w:pPr>
        <w:jc w:val="both"/>
        <w:rPr>
          <w:sz w:val="20"/>
          <w:lang w:val="fr-CA"/>
        </w:rPr>
      </w:pPr>
    </w:p>
    <w:p w:rsidR="009011A5" w:rsidRPr="004B7487" w:rsidRDefault="004B7487" w:rsidP="007775F6">
      <w:pPr>
        <w:widowControl w:val="0"/>
        <w:jc w:val="both"/>
        <w:rPr>
          <w:sz w:val="20"/>
          <w:lang w:val="fr-CA"/>
        </w:rPr>
      </w:pPr>
      <w:r w:rsidRPr="004B7487">
        <w:rPr>
          <w:sz w:val="20"/>
        </w:rPr>
        <w:pict>
          <v:rect id="_x0000_i1038" style="width:2in;height:1pt" o:hrpct="0" o:hralign="center" o:hrstd="t" o:hrnoshade="t" o:hr="t" fillcolor="black [3213]" stroked="f"/>
        </w:pict>
      </w:r>
    </w:p>
    <w:p w:rsidR="0028519E" w:rsidRPr="004B7487" w:rsidRDefault="0028519E"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39326</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Swegon North America Inc. v. Benjamin Waksdale</w:t>
            </w:r>
          </w:p>
          <w:p w:rsidR="0012542D" w:rsidRPr="004B7487" w:rsidRDefault="0012542D" w:rsidP="007775F6">
            <w:pPr>
              <w:jc w:val="both"/>
              <w:rPr>
                <w:sz w:val="20"/>
              </w:rPr>
            </w:pPr>
            <w:r w:rsidRPr="004B7487">
              <w:rPr>
                <w:sz w:val="20"/>
              </w:rPr>
              <w:t>(Ont.) (Civil) (By Leave)</w:t>
            </w:r>
          </w:p>
        </w:tc>
      </w:tr>
      <w:tr w:rsidR="0012542D" w:rsidRPr="004B7487" w:rsidTr="0012542D">
        <w:tc>
          <w:tcPr>
            <w:tcW w:w="5000" w:type="pct"/>
            <w:gridSpan w:val="4"/>
          </w:tcPr>
          <w:p w:rsidR="0012542D" w:rsidRPr="004B7487" w:rsidRDefault="0012542D" w:rsidP="007775F6">
            <w:pPr>
              <w:jc w:val="both"/>
              <w:rPr>
                <w:sz w:val="20"/>
              </w:rPr>
            </w:pPr>
            <w:r w:rsidRPr="004B7487">
              <w:rPr>
                <w:sz w:val="20"/>
              </w:rPr>
              <w:t xml:space="preserve">Employment law — Duty to provide reasonable notice — Contracts — Contract of employment — Employee dismissed after eight months, without cause — Employer relying on termination without cause provision in employment contract and providing two weeks’ salary — Employee arguing other provision governing termination with cause void and unenforceable, rendering termination without cause provision invalid — Motion judge dismissing employee’s motion for summary judgment and dismissing action against employer — Court of Appel allowing employee’s appeal, setting aside order and remitting matter to motion judge for determination of quantum of damages — Whether illegality of termination with cause provision impacts enforceability of termination without cause provision, or whether clauses should be considered separately — </w:t>
            </w:r>
            <w:r w:rsidRPr="004B7487">
              <w:rPr>
                <w:i/>
                <w:sz w:val="20"/>
              </w:rPr>
              <w:t>Employment Standards Act, 2000</w:t>
            </w:r>
            <w:r w:rsidRPr="004B7487">
              <w:rPr>
                <w:sz w:val="20"/>
              </w:rPr>
              <w:t xml:space="preserve">, S.O. 2000, c. 41. — </w:t>
            </w:r>
            <w:r w:rsidRPr="004B7487">
              <w:rPr>
                <w:i/>
                <w:sz w:val="20"/>
              </w:rPr>
              <w:t>Termination and Severance of Employment</w:t>
            </w:r>
            <w:r w:rsidRPr="004B7487">
              <w:rPr>
                <w:sz w:val="20"/>
              </w:rPr>
              <w:t xml:space="preserve">, under </w:t>
            </w:r>
            <w:r w:rsidRPr="004B7487">
              <w:rPr>
                <w:i/>
                <w:sz w:val="20"/>
              </w:rPr>
              <w:t>Employment Standards Act, 2000</w:t>
            </w:r>
            <w:r w:rsidRPr="004B7487">
              <w:rPr>
                <w:sz w:val="20"/>
              </w:rPr>
              <w:t>, S.O. 2000, c. 41, O. Reg. 288/01.</w:t>
            </w:r>
          </w:p>
        </w:tc>
      </w:tr>
      <w:tr w:rsidR="0012542D" w:rsidRPr="004B7487" w:rsidTr="0012542D">
        <w:tc>
          <w:tcPr>
            <w:tcW w:w="5000" w:type="pct"/>
            <w:gridSpan w:val="4"/>
          </w:tcPr>
          <w:p w:rsidR="0012542D" w:rsidRPr="004B7487" w:rsidRDefault="0012542D" w:rsidP="007775F6">
            <w:pPr>
              <w:jc w:val="both"/>
              <w:rPr>
                <w:sz w:val="20"/>
              </w:rPr>
            </w:pPr>
          </w:p>
        </w:tc>
      </w:tr>
      <w:tr w:rsidR="0012542D" w:rsidRPr="004B7487" w:rsidTr="0012542D">
        <w:tc>
          <w:tcPr>
            <w:tcW w:w="5000" w:type="pct"/>
            <w:gridSpan w:val="4"/>
          </w:tcPr>
          <w:p w:rsidR="0012542D" w:rsidRPr="004B7487" w:rsidRDefault="0012542D" w:rsidP="007775F6">
            <w:pPr>
              <w:jc w:val="both"/>
              <w:rPr>
                <w:sz w:val="20"/>
              </w:rPr>
            </w:pPr>
            <w:r w:rsidRPr="004B7487">
              <w:rPr>
                <w:sz w:val="20"/>
              </w:rPr>
              <w:t>The applicant, Mr. Waksdale, worked for the respondent Swegon North America Inc., for eight months before being let go without cause. Swegon provided two weeks’ salary, relying on the terms of a “termination without cause” provision in the employment agreement. Mr. Waksdale sued Swegon for wrongful dismissal and failure to provide reasonable notice in the form of six months of salary. Mr. Waksdale argued that another provision in the employment agreement, governing situations of termination for cause, was invalid and thus rendered the entire agreement (or at least, all provisions dealing with termination issues) void and unenforceable. He filed a motion for summary judgment against Swegon, which in turn sought to dismiss his action.</w:t>
            </w:r>
          </w:p>
          <w:p w:rsidR="0012542D" w:rsidRPr="004B7487" w:rsidRDefault="0012542D" w:rsidP="007775F6">
            <w:pPr>
              <w:jc w:val="both"/>
              <w:rPr>
                <w:sz w:val="20"/>
              </w:rPr>
            </w:pPr>
          </w:p>
          <w:p w:rsidR="0012542D" w:rsidRPr="004B7487" w:rsidRDefault="0012542D" w:rsidP="007775F6">
            <w:pPr>
              <w:jc w:val="both"/>
              <w:rPr>
                <w:sz w:val="20"/>
              </w:rPr>
            </w:pPr>
            <w:r w:rsidRPr="004B7487">
              <w:rPr>
                <w:sz w:val="20"/>
              </w:rPr>
              <w:t>The motion judge dismissed Mr. Waksdale’s motion for summary judgment, and dismissed his action against Swegon, concluding that the termination without cause provision was enforceable and separate from the unenforceable termination with cause provision; the employer had therefore acted within its rights and consistent with its obligations under the agreement. The Court of Appeal overturned this decision and remitted the matter back to the motion judge for determination of the quantum of damages, finding that both termination provisions were unenforceable.</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October 3, 2019</w:t>
            </w:r>
          </w:p>
          <w:p w:rsidR="0012542D" w:rsidRPr="004B7487" w:rsidRDefault="0012542D" w:rsidP="007775F6">
            <w:pPr>
              <w:jc w:val="both"/>
              <w:rPr>
                <w:sz w:val="20"/>
              </w:rPr>
            </w:pPr>
            <w:r w:rsidRPr="004B7487">
              <w:rPr>
                <w:sz w:val="20"/>
              </w:rPr>
              <w:t>Ontario Superior Court of Justice</w:t>
            </w:r>
          </w:p>
          <w:p w:rsidR="0012542D" w:rsidRPr="004B7487" w:rsidRDefault="0012542D" w:rsidP="007775F6">
            <w:pPr>
              <w:jc w:val="both"/>
              <w:rPr>
                <w:sz w:val="20"/>
              </w:rPr>
            </w:pPr>
            <w:r w:rsidRPr="004B7487">
              <w:rPr>
                <w:sz w:val="20"/>
              </w:rPr>
              <w:t>(Morgan J.)</w:t>
            </w:r>
          </w:p>
          <w:p w:rsidR="0012542D" w:rsidRPr="004B7487" w:rsidRDefault="004B7487" w:rsidP="007775F6">
            <w:pPr>
              <w:jc w:val="both"/>
              <w:rPr>
                <w:sz w:val="20"/>
              </w:rPr>
            </w:pPr>
            <w:hyperlink r:id="rId49" w:history="1">
              <w:r w:rsidR="0012542D" w:rsidRPr="004B7487">
                <w:rPr>
                  <w:rStyle w:val="Hyperlink"/>
                  <w:sz w:val="20"/>
                </w:rPr>
                <w:t>2019 ONSC 5705</w:t>
              </w:r>
            </w:hyperlink>
            <w:r w:rsidR="0012542D" w:rsidRPr="004B7487">
              <w:rPr>
                <w:sz w:val="20"/>
              </w:rPr>
              <w:t xml:space="preserve"> </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 xml:space="preserve">Mr. Waksdale’s motion for summary judgment dismissed; </w:t>
            </w:r>
          </w:p>
          <w:p w:rsidR="0012542D" w:rsidRPr="004B7487" w:rsidRDefault="0012542D" w:rsidP="007775F6">
            <w:pPr>
              <w:jc w:val="both"/>
              <w:rPr>
                <w:sz w:val="20"/>
              </w:rPr>
            </w:pPr>
            <w:r w:rsidRPr="004B7487">
              <w:rPr>
                <w:sz w:val="20"/>
              </w:rPr>
              <w:t xml:space="preserve">Mr. Waksdale’s action against </w:t>
            </w:r>
            <w:proofErr w:type="gramStart"/>
            <w:r w:rsidRPr="004B7487">
              <w:rPr>
                <w:sz w:val="20"/>
              </w:rPr>
              <w:t>Swegon  dismissed</w:t>
            </w:r>
            <w:proofErr w:type="gramEnd"/>
            <w:r w:rsidRPr="004B7487">
              <w:rPr>
                <w:sz w:val="20"/>
              </w:rPr>
              <w:t xml:space="preserve">. </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June 17, 2020</w:t>
            </w:r>
          </w:p>
          <w:p w:rsidR="0012542D" w:rsidRPr="004B7487" w:rsidRDefault="0012542D" w:rsidP="007775F6">
            <w:pPr>
              <w:jc w:val="both"/>
              <w:rPr>
                <w:sz w:val="20"/>
              </w:rPr>
            </w:pPr>
            <w:r w:rsidRPr="004B7487">
              <w:rPr>
                <w:sz w:val="20"/>
              </w:rPr>
              <w:t>Court of Appeal for Ontario</w:t>
            </w:r>
          </w:p>
          <w:p w:rsidR="0012542D" w:rsidRPr="004B7487" w:rsidRDefault="0012542D" w:rsidP="007775F6">
            <w:pPr>
              <w:jc w:val="both"/>
              <w:rPr>
                <w:sz w:val="20"/>
              </w:rPr>
            </w:pPr>
            <w:r w:rsidRPr="004B7487">
              <w:rPr>
                <w:sz w:val="20"/>
              </w:rPr>
              <w:t>(Pepall, Hourigan and Roberts JJ.A.)</w:t>
            </w:r>
          </w:p>
          <w:p w:rsidR="0012542D" w:rsidRPr="004B7487" w:rsidRDefault="004B7487" w:rsidP="007775F6">
            <w:pPr>
              <w:jc w:val="both"/>
              <w:rPr>
                <w:sz w:val="20"/>
              </w:rPr>
            </w:pPr>
            <w:hyperlink r:id="rId50" w:history="1">
              <w:r w:rsidR="0012542D" w:rsidRPr="004B7487">
                <w:rPr>
                  <w:rStyle w:val="Hyperlink"/>
                  <w:sz w:val="20"/>
                </w:rPr>
                <w:t>2020 ONCA 391</w:t>
              </w:r>
            </w:hyperlink>
            <w:r w:rsidR="0012542D" w:rsidRPr="004B7487">
              <w:rPr>
                <w:sz w:val="20"/>
              </w:rPr>
              <w:t xml:space="preserve"> </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Mr. Waksdale’s appeal allowed; motion judge’s order set aside, and matter remitted to motion judge for determination of quantum of damages.</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September 16, 2020</w:t>
            </w:r>
          </w:p>
          <w:p w:rsidR="0012542D" w:rsidRPr="004B7487" w:rsidRDefault="0012542D" w:rsidP="007775F6">
            <w:pPr>
              <w:jc w:val="both"/>
              <w:rPr>
                <w:sz w:val="20"/>
              </w:rPr>
            </w:pPr>
            <w:r w:rsidRPr="004B7487">
              <w:rPr>
                <w:sz w:val="20"/>
              </w:rPr>
              <w:t>Supreme Court of Canada</w:t>
            </w: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Application for leave to appeal filed by Swegon</w:t>
            </w:r>
          </w:p>
        </w:tc>
      </w:tr>
    </w:tbl>
    <w:p w:rsidR="0012542D" w:rsidRPr="004B7487" w:rsidRDefault="0012542D" w:rsidP="007775F6">
      <w:pPr>
        <w:jc w:val="both"/>
        <w:rPr>
          <w:sz w:val="20"/>
        </w:rPr>
      </w:pPr>
    </w:p>
    <w:p w:rsidR="0028519E" w:rsidRPr="004B7487" w:rsidRDefault="004B7487" w:rsidP="007775F6">
      <w:pPr>
        <w:jc w:val="both"/>
        <w:rPr>
          <w:sz w:val="20"/>
        </w:rPr>
      </w:pPr>
      <w:r w:rsidRPr="004B7487">
        <w:rPr>
          <w:sz w:val="20"/>
        </w:rPr>
        <w:pict>
          <v:rect id="_x0000_i1039" style="width:2in;height:1pt" o:hrpct="0" o:hralign="center" o:hrstd="t" o:hrnoshade="t" o:hr="t" fillcolor="black [3213]" stroked="f"/>
        </w:pict>
      </w:r>
    </w:p>
    <w:p w:rsidR="0028519E" w:rsidRPr="004B7487" w:rsidRDefault="0028519E" w:rsidP="007775F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39326</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Swegon North America Inc. c. Benjamin Waksdale</w:t>
            </w:r>
          </w:p>
          <w:p w:rsidR="0012542D" w:rsidRPr="004B7487" w:rsidRDefault="0012542D" w:rsidP="007775F6">
            <w:pPr>
              <w:jc w:val="both"/>
              <w:rPr>
                <w:sz w:val="20"/>
              </w:rPr>
            </w:pPr>
            <w:r w:rsidRPr="004B7487">
              <w:rPr>
                <w:sz w:val="20"/>
              </w:rPr>
              <w:t>(Ont.) (Civile) (Sur autorisation)</w:t>
            </w: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 xml:space="preserve">Droit de l’emploi — Obligation de donner un préavis raisonnable — Contrats — Contrat de travail — Employé congédié sans motif valable au bout de huit mois — Employeur s’appuyant sur la clause du contrat de travail relative au congédiement sans motif valable et donnant deux semaines de salaire en guise de préavis — Employé soutenant qu’une autre clause, laquelle porte sur le licenciement motivé, est nulle et inexécutoire, ce qui invalide la clause sur le congédiement sans motif valable — Rejet par le juge de première instance de la motion de l’employé en jugement </w:t>
            </w:r>
            <w:r w:rsidRPr="004B7487">
              <w:rPr>
                <w:sz w:val="20"/>
                <w:lang w:val="fr-CA"/>
              </w:rPr>
              <w:lastRenderedPageBreak/>
              <w:t>sommaire et de l’action intentée contre l’employeur — Cour d’appel accueillant l’appel de l’employé, annulant l’ordonnance et renvoyant l’affaire au juge de première instance pour qu’il fixe le montant des dommages</w:t>
            </w:r>
            <w:r w:rsidRPr="004B7487">
              <w:rPr>
                <w:sz w:val="20"/>
                <w:lang w:val="fr-CA"/>
              </w:rPr>
              <w:noBreakHyphen/>
              <w:t>intérêts — L’illégalité de la clause sur le licenciement motivé influe</w:t>
            </w:r>
            <w:r w:rsidRPr="004B7487">
              <w:rPr>
                <w:sz w:val="20"/>
                <w:lang w:val="fr-CA"/>
              </w:rPr>
              <w:noBreakHyphen/>
              <w:t>telle sur l’applicabilité de la clause relative au congédiement sans motif valable, ou y a</w:t>
            </w:r>
            <w:r w:rsidRPr="004B7487">
              <w:rPr>
                <w:sz w:val="20"/>
                <w:lang w:val="fr-CA"/>
              </w:rPr>
              <w:noBreakHyphen/>
              <w:t>t</w:t>
            </w:r>
            <w:r w:rsidRPr="004B7487">
              <w:rPr>
                <w:sz w:val="20"/>
                <w:lang w:val="fr-CA"/>
              </w:rPr>
              <w:noBreakHyphen/>
              <w:t xml:space="preserve">il lieu d’examiner les clauses séparément? — </w:t>
            </w:r>
            <w:r w:rsidRPr="004B7487">
              <w:rPr>
                <w:i/>
                <w:sz w:val="20"/>
                <w:lang w:val="fr-CA"/>
              </w:rPr>
              <w:t>Loi de 2000 sur les normes d’emploi</w:t>
            </w:r>
            <w:r w:rsidRPr="004B7487">
              <w:rPr>
                <w:sz w:val="20"/>
                <w:lang w:val="fr-CA"/>
              </w:rPr>
              <w:t xml:space="preserve">, L.O. 2000, c. 41 — </w:t>
            </w:r>
            <w:r w:rsidRPr="004B7487">
              <w:rPr>
                <w:i/>
                <w:sz w:val="20"/>
                <w:lang w:val="fr-CA"/>
              </w:rPr>
              <w:t>Licenciement et cessation d’emploi</w:t>
            </w:r>
            <w:r w:rsidRPr="004B7487">
              <w:rPr>
                <w:sz w:val="20"/>
                <w:lang w:val="fr-CA"/>
              </w:rPr>
              <w:t xml:space="preserve">, sous le régime de la </w:t>
            </w:r>
            <w:r w:rsidRPr="004B7487">
              <w:rPr>
                <w:i/>
                <w:sz w:val="20"/>
                <w:lang w:val="fr-CA"/>
              </w:rPr>
              <w:t>Loi de 2000 sur les normes d’emploi</w:t>
            </w:r>
            <w:r w:rsidRPr="004B7487">
              <w:rPr>
                <w:sz w:val="20"/>
                <w:lang w:val="fr-CA"/>
              </w:rPr>
              <w:t>, L.O. 2000, c. 41, Règl. de l’Ont. 288/01.</w:t>
            </w:r>
          </w:p>
        </w:tc>
      </w:tr>
      <w:tr w:rsidR="0012542D" w:rsidRPr="004B7487" w:rsidTr="0012542D">
        <w:tc>
          <w:tcPr>
            <w:tcW w:w="5000" w:type="pct"/>
            <w:gridSpan w:val="4"/>
          </w:tcPr>
          <w:p w:rsidR="0012542D" w:rsidRPr="004B7487" w:rsidRDefault="0012542D" w:rsidP="007775F6">
            <w:pPr>
              <w:jc w:val="both"/>
              <w:rPr>
                <w:sz w:val="20"/>
                <w:lang w:val="fr-CA"/>
              </w:rPr>
            </w:pP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Le demandeur, M. Waksdale, a travaillé pour l’intimée Swegon North America Inc. pendant huit mois avant d’être congédié sans motif valable. Swegon lui a donné deux semaines de salaire en guise de préavis en s’appuyant sur les modalités d’une clause de « congédiement sans motif valable » contenue dans le contrat de travail. M. Waksdale a poursuivi Swegon pour congédiement injustifié et défaut de donner un préavis raisonnable sous forme de six mois de salaire. M. Waksdale a soutenu qu’une autre clause du contrat de travail, laquelle régit les cas de licenciement motivé, était invalide et emportait donc nullité et inapplicabilité de tout le contrat (ou au moins de l’ensemble des clauses sur le congédiement). Il a déposé une motion en jugement sommaire contre Swegon, qui à son tour a sollicité le rejet de son action.</w:t>
            </w:r>
          </w:p>
          <w:p w:rsidR="0012542D" w:rsidRPr="004B7487" w:rsidRDefault="0012542D" w:rsidP="007775F6">
            <w:pPr>
              <w:jc w:val="both"/>
              <w:rPr>
                <w:sz w:val="20"/>
                <w:lang w:val="fr-CA"/>
              </w:rPr>
            </w:pPr>
          </w:p>
          <w:p w:rsidR="0012542D" w:rsidRPr="004B7487" w:rsidRDefault="0012542D" w:rsidP="007775F6">
            <w:pPr>
              <w:jc w:val="both"/>
              <w:rPr>
                <w:sz w:val="20"/>
                <w:lang w:val="fr-CA"/>
              </w:rPr>
            </w:pPr>
            <w:r w:rsidRPr="004B7487">
              <w:rPr>
                <w:sz w:val="20"/>
                <w:lang w:val="fr-CA"/>
              </w:rPr>
              <w:t>Le juge de première instance a rejeté la motion de M. Waksdale en jugement sommaire de même que l’action qu’il a intentée contre Swegon, concluant que la clause de congédiement sans motif valable était exécutoire et distincte de la clause inexécutoire sur le licenciement motivé; l’employeur avait donc le droit d’agir comme il l’a fait et avait respecté les obligations que lui impose le contrat. Après avoir jugé inexécutoires les deux clauses en matière de congédiement, la Cour d’appel a infirmé cette décision et renvoyé l’affaire au juge de première instance pour qu’il fixe le montant des dommages</w:t>
            </w:r>
            <w:r w:rsidRPr="004B7487">
              <w:rPr>
                <w:sz w:val="20"/>
                <w:lang w:val="fr-CA"/>
              </w:rPr>
              <w:noBreakHyphen/>
              <w:t>intérêts.</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3 octobre 2019</w:t>
            </w:r>
          </w:p>
          <w:p w:rsidR="0012542D" w:rsidRPr="004B7487" w:rsidRDefault="0012542D" w:rsidP="007775F6">
            <w:pPr>
              <w:jc w:val="both"/>
              <w:rPr>
                <w:sz w:val="20"/>
                <w:lang w:val="fr-CA"/>
              </w:rPr>
            </w:pPr>
            <w:r w:rsidRPr="004B7487">
              <w:rPr>
                <w:sz w:val="20"/>
                <w:lang w:val="fr-CA"/>
              </w:rPr>
              <w:t xml:space="preserve">Cour supérieure de justice de l’Ontario </w:t>
            </w:r>
          </w:p>
          <w:p w:rsidR="0012542D" w:rsidRPr="004B7487" w:rsidRDefault="0012542D" w:rsidP="007775F6">
            <w:pPr>
              <w:jc w:val="both"/>
              <w:rPr>
                <w:sz w:val="20"/>
              </w:rPr>
            </w:pPr>
            <w:r w:rsidRPr="004B7487">
              <w:rPr>
                <w:sz w:val="20"/>
              </w:rPr>
              <w:t>(Juge Morgan)</w:t>
            </w:r>
          </w:p>
          <w:p w:rsidR="0012542D" w:rsidRPr="004B7487" w:rsidRDefault="004B7487" w:rsidP="007775F6">
            <w:pPr>
              <w:jc w:val="both"/>
              <w:rPr>
                <w:sz w:val="20"/>
              </w:rPr>
            </w:pPr>
            <w:hyperlink r:id="rId51" w:history="1">
              <w:r w:rsidR="0012542D" w:rsidRPr="004B7487">
                <w:rPr>
                  <w:rStyle w:val="Hyperlink"/>
                  <w:sz w:val="20"/>
                </w:rPr>
                <w:t>2019 ONSC 5705</w:t>
              </w:r>
            </w:hyperlink>
            <w:r w:rsidR="0012542D" w:rsidRPr="004B7487">
              <w:rPr>
                <w:sz w:val="20"/>
              </w:rPr>
              <w:t xml:space="preserve"> </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 xml:space="preserve">Rejet de la motion de M. Waksdale en jugement sommaire; rejet de l’action intentée par M. Waksdale contre Swegon. </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17 juin 2020</w:t>
            </w:r>
          </w:p>
          <w:p w:rsidR="0012542D" w:rsidRPr="004B7487" w:rsidRDefault="0012542D" w:rsidP="007775F6">
            <w:pPr>
              <w:jc w:val="both"/>
              <w:rPr>
                <w:sz w:val="20"/>
                <w:lang w:val="fr-CA"/>
              </w:rPr>
            </w:pPr>
            <w:r w:rsidRPr="004B7487">
              <w:rPr>
                <w:sz w:val="20"/>
                <w:lang w:val="fr-CA"/>
              </w:rPr>
              <w:t>Cour d’appel de l’Ontario</w:t>
            </w:r>
          </w:p>
          <w:p w:rsidR="0012542D" w:rsidRPr="004B7487" w:rsidRDefault="0012542D" w:rsidP="007775F6">
            <w:pPr>
              <w:jc w:val="both"/>
              <w:rPr>
                <w:sz w:val="20"/>
                <w:lang w:val="fr-CA"/>
              </w:rPr>
            </w:pPr>
            <w:r w:rsidRPr="004B7487">
              <w:rPr>
                <w:sz w:val="20"/>
                <w:lang w:val="fr-CA"/>
              </w:rPr>
              <w:t>(Juges Pepall, Hourigan et Roberts)</w:t>
            </w:r>
          </w:p>
          <w:p w:rsidR="0012542D" w:rsidRPr="004B7487" w:rsidRDefault="004B7487" w:rsidP="007775F6">
            <w:pPr>
              <w:jc w:val="both"/>
              <w:rPr>
                <w:sz w:val="20"/>
              </w:rPr>
            </w:pPr>
            <w:hyperlink r:id="rId52" w:history="1">
              <w:r w:rsidR="0012542D" w:rsidRPr="004B7487">
                <w:rPr>
                  <w:rStyle w:val="Hyperlink"/>
                  <w:sz w:val="20"/>
                </w:rPr>
                <w:t>2020 ONCA 391</w:t>
              </w:r>
            </w:hyperlink>
            <w:r w:rsidR="0012542D" w:rsidRPr="004B7487">
              <w:rPr>
                <w:sz w:val="20"/>
              </w:rPr>
              <w:t xml:space="preserve"> </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Appel de M. Waksdale accueilli; annulation de l’ordonnance rendue par le juge de première instance, et renvoi de l’affaire à ce dernier pour qu’il fixe le montant des dommages</w:t>
            </w:r>
            <w:r w:rsidRPr="004B7487">
              <w:rPr>
                <w:sz w:val="20"/>
                <w:lang w:val="fr-CA"/>
              </w:rPr>
              <w:noBreakHyphen/>
              <w:t>intérêts.</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16 septembre 2020</w:t>
            </w:r>
          </w:p>
          <w:p w:rsidR="0012542D" w:rsidRPr="004B7487" w:rsidRDefault="0012542D" w:rsidP="007775F6">
            <w:pPr>
              <w:jc w:val="both"/>
              <w:rPr>
                <w:sz w:val="20"/>
                <w:lang w:val="fr-CA"/>
              </w:rPr>
            </w:pPr>
            <w:r w:rsidRPr="004B7487">
              <w:rPr>
                <w:sz w:val="20"/>
                <w:lang w:val="fr-CA"/>
              </w:rPr>
              <w:t>Cour suprême du Canada</w:t>
            </w: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Dépôt par Swegon de la demande d’autorisation d’appel.</w:t>
            </w:r>
          </w:p>
        </w:tc>
      </w:tr>
    </w:tbl>
    <w:p w:rsidR="0012542D" w:rsidRPr="004B7487" w:rsidRDefault="0012542D" w:rsidP="007775F6">
      <w:pPr>
        <w:jc w:val="both"/>
        <w:rPr>
          <w:sz w:val="20"/>
          <w:lang w:val="fr-CA"/>
        </w:rPr>
      </w:pPr>
    </w:p>
    <w:p w:rsidR="0028519E" w:rsidRPr="004B7487" w:rsidRDefault="004B7487" w:rsidP="007775F6">
      <w:pPr>
        <w:jc w:val="both"/>
        <w:rPr>
          <w:sz w:val="20"/>
          <w:lang w:val="fr-CA"/>
        </w:rPr>
      </w:pPr>
      <w:r w:rsidRPr="004B7487">
        <w:rPr>
          <w:sz w:val="20"/>
        </w:rPr>
        <w:pict>
          <v:rect id="_x0000_i1040" style="width:2in;height:1pt" o:hrpct="0" o:hralign="center" o:hrstd="t" o:hrnoshade="t" o:hr="t" fillcolor="black [3213]" stroked="f"/>
        </w:pict>
      </w:r>
    </w:p>
    <w:p w:rsidR="0012542D" w:rsidRPr="004B7487" w:rsidRDefault="0012542D"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39343</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Roman Catholic Episcopal Corporation of St. John’s v. John Doe (G.E.B. #25), John Doe (G.E.B. #26), John Doe (G.E.B. #33), John Doe (G.E.B. #50)</w:t>
            </w:r>
          </w:p>
          <w:p w:rsidR="0012542D" w:rsidRPr="004B7487" w:rsidRDefault="0012542D" w:rsidP="007775F6">
            <w:pPr>
              <w:jc w:val="both"/>
              <w:rPr>
                <w:sz w:val="20"/>
              </w:rPr>
            </w:pPr>
            <w:r w:rsidRPr="004B7487">
              <w:rPr>
                <w:sz w:val="20"/>
              </w:rPr>
              <w:t>(N.L.) (Civil) (By Leave)</w:t>
            </w:r>
          </w:p>
        </w:tc>
      </w:tr>
      <w:tr w:rsidR="0012542D" w:rsidRPr="004B7487" w:rsidTr="0012542D">
        <w:tc>
          <w:tcPr>
            <w:tcW w:w="5000" w:type="pct"/>
            <w:gridSpan w:val="4"/>
          </w:tcPr>
          <w:p w:rsidR="0012542D" w:rsidRPr="004B7487" w:rsidRDefault="0012542D" w:rsidP="007775F6">
            <w:pPr>
              <w:jc w:val="both"/>
              <w:rPr>
                <w:sz w:val="20"/>
              </w:rPr>
            </w:pPr>
            <w:r w:rsidRPr="004B7487">
              <w:rPr>
                <w:sz w:val="20"/>
              </w:rPr>
              <w:t>Torts — Vicarious liability — Former students of orphanage claiming damages for sexual abuse against both religious order who operated orphanage and archdiocese where orphanage was located — Court of Appeal holding archdiocese vicariously liable — Where an entity plays a limited role in the establishment, funding and general support of an institution, but is not an employer and has no control over its day to day operations, and does nothing to materially enhance the risk undertaken, is it appropriate that it be deemed to be vicariously liable for the institution?</w:t>
            </w:r>
          </w:p>
        </w:tc>
      </w:tr>
      <w:tr w:rsidR="0012542D" w:rsidRPr="004B7487" w:rsidTr="0012542D">
        <w:tc>
          <w:tcPr>
            <w:tcW w:w="5000" w:type="pct"/>
            <w:gridSpan w:val="4"/>
          </w:tcPr>
          <w:p w:rsidR="0012542D" w:rsidRPr="004B7487" w:rsidRDefault="0012542D" w:rsidP="007775F6">
            <w:pPr>
              <w:jc w:val="both"/>
              <w:rPr>
                <w:sz w:val="20"/>
              </w:rPr>
            </w:pPr>
          </w:p>
        </w:tc>
      </w:tr>
      <w:tr w:rsidR="0012542D" w:rsidRPr="004B7487" w:rsidTr="0012542D">
        <w:tc>
          <w:tcPr>
            <w:tcW w:w="5000" w:type="pct"/>
            <w:gridSpan w:val="4"/>
          </w:tcPr>
          <w:p w:rsidR="0012542D" w:rsidRPr="004B7487" w:rsidRDefault="0012542D" w:rsidP="007775F6">
            <w:pPr>
              <w:jc w:val="both"/>
              <w:rPr>
                <w:sz w:val="20"/>
              </w:rPr>
            </w:pPr>
            <w:r w:rsidRPr="004B7487">
              <w:rPr>
                <w:sz w:val="20"/>
              </w:rPr>
              <w:t>In a suit filed in 1999, the respondents, who suffered sexual abuse while they were boys living at Mount Cashel orphanage in St. John’s during the 1950s, claimed against the applicant, the Roman Catholic Episcopal Corporation of St. John’s (the “Archdiocese”) and the Christian Brothers Institute Inc. (the “Brothers”) for damages. The respondents’ evidence implicated five Brothers. The Brothers had been in Newfoundland since 1875 for the purpose of educating Roman Catholic boys and had control over the day</w:t>
            </w:r>
            <w:r w:rsidRPr="004B7487">
              <w:rPr>
                <w:sz w:val="20"/>
              </w:rPr>
              <w:noBreakHyphen/>
              <w:t>to</w:t>
            </w:r>
            <w:r w:rsidRPr="004B7487">
              <w:rPr>
                <w:sz w:val="20"/>
              </w:rPr>
              <w:noBreakHyphen/>
              <w:t xml:space="preserve">day activities at Mount Cashel. The Brothers did not participate in the trial as bankruptcy proceedings had resulted in liquidation of their assets. </w:t>
            </w:r>
          </w:p>
          <w:p w:rsidR="0012542D" w:rsidRPr="004B7487" w:rsidRDefault="0012542D" w:rsidP="007775F6">
            <w:pPr>
              <w:jc w:val="both"/>
              <w:rPr>
                <w:sz w:val="20"/>
              </w:rPr>
            </w:pPr>
          </w:p>
          <w:p w:rsidR="0012542D" w:rsidRPr="004B7487" w:rsidRDefault="0012542D" w:rsidP="007775F6">
            <w:pPr>
              <w:jc w:val="both"/>
              <w:rPr>
                <w:sz w:val="20"/>
              </w:rPr>
            </w:pPr>
            <w:r w:rsidRPr="004B7487">
              <w:rPr>
                <w:sz w:val="20"/>
              </w:rPr>
              <w:lastRenderedPageBreak/>
              <w:t>The trial judge held that the Archdiocese could not be found vicariously liable for the tortious conduct of the Brothers. The Court of Appeal concluded that the trial judge made errors of law on this point. It conducted its own assessment of the evidence and concluded both that the relationship between the Archdiocese and the Brothers was sufficiently close to justify imposing vicarious liability on the Archdiocese and that the Brothers’ sexual assaults of the respondents were sufficiently connected to their assigned task of caring for them for the assaults to be regarded as a materialization of the risks created by the Archdiocese. It therefore held that the Archdiocese was vicariously liable for the Brothers’ abuse of the respondents.</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lastRenderedPageBreak/>
              <w:t>March 16, 2018</w:t>
            </w:r>
          </w:p>
          <w:p w:rsidR="0012542D" w:rsidRPr="004B7487" w:rsidRDefault="0012542D" w:rsidP="007775F6">
            <w:pPr>
              <w:jc w:val="both"/>
              <w:rPr>
                <w:sz w:val="20"/>
              </w:rPr>
            </w:pPr>
            <w:r w:rsidRPr="004B7487">
              <w:rPr>
                <w:sz w:val="20"/>
              </w:rPr>
              <w:t xml:space="preserve">Supreme Court of Newfoundland and </w:t>
            </w:r>
          </w:p>
          <w:p w:rsidR="0012542D" w:rsidRPr="004B7487" w:rsidRDefault="0012542D" w:rsidP="007775F6">
            <w:pPr>
              <w:jc w:val="both"/>
              <w:rPr>
                <w:sz w:val="20"/>
              </w:rPr>
            </w:pPr>
            <w:r w:rsidRPr="004B7487">
              <w:rPr>
                <w:sz w:val="20"/>
              </w:rPr>
              <w:t>Labrador, General Division</w:t>
            </w:r>
          </w:p>
          <w:p w:rsidR="0012542D" w:rsidRPr="004B7487" w:rsidRDefault="0012542D" w:rsidP="007775F6">
            <w:pPr>
              <w:jc w:val="both"/>
              <w:rPr>
                <w:sz w:val="20"/>
              </w:rPr>
            </w:pPr>
            <w:r w:rsidRPr="004B7487">
              <w:rPr>
                <w:sz w:val="20"/>
              </w:rPr>
              <w:t>(</w:t>
            </w:r>
            <w:proofErr w:type="spellStart"/>
            <w:r w:rsidRPr="004B7487">
              <w:rPr>
                <w:sz w:val="20"/>
              </w:rPr>
              <w:t>Faour</w:t>
            </w:r>
            <w:proofErr w:type="spellEnd"/>
            <w:r w:rsidRPr="004B7487">
              <w:rPr>
                <w:sz w:val="20"/>
              </w:rPr>
              <w:t xml:space="preserve"> J.)</w:t>
            </w:r>
          </w:p>
          <w:p w:rsidR="0012542D" w:rsidRPr="004B7487" w:rsidRDefault="004B7487" w:rsidP="007775F6">
            <w:pPr>
              <w:jc w:val="both"/>
              <w:rPr>
                <w:sz w:val="20"/>
              </w:rPr>
            </w:pPr>
            <w:hyperlink r:id="rId53" w:history="1">
              <w:r w:rsidR="0012542D" w:rsidRPr="004B7487">
                <w:rPr>
                  <w:rStyle w:val="Hyperlink"/>
                  <w:sz w:val="20"/>
                </w:rPr>
                <w:t>2018 NLSC 60</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 xml:space="preserve">Respondents’ claims for damages against the applicant dismissed; applicant not vicariously liable for acts of abuse committed. </w:t>
            </w:r>
          </w:p>
        </w:tc>
      </w:tr>
      <w:tr w:rsidR="0012542D" w:rsidRPr="004B7487" w:rsidTr="0012542D">
        <w:tc>
          <w:tcPr>
            <w:tcW w:w="2427" w:type="pct"/>
            <w:gridSpan w:val="2"/>
          </w:tcPr>
          <w:p w:rsidR="0012542D" w:rsidRPr="004B7487" w:rsidRDefault="0012542D" w:rsidP="007775F6">
            <w:pPr>
              <w:jc w:val="both"/>
              <w:rPr>
                <w:sz w:val="20"/>
              </w:rPr>
            </w:pPr>
            <w:r w:rsidRPr="004B7487">
              <w:rPr>
                <w:sz w:val="20"/>
              </w:rPr>
              <w:t>July 28, 2020</w:t>
            </w:r>
          </w:p>
          <w:p w:rsidR="0012542D" w:rsidRPr="004B7487" w:rsidRDefault="0012542D" w:rsidP="007775F6">
            <w:pPr>
              <w:jc w:val="both"/>
              <w:rPr>
                <w:sz w:val="20"/>
              </w:rPr>
            </w:pPr>
            <w:r w:rsidRPr="004B7487">
              <w:rPr>
                <w:sz w:val="20"/>
              </w:rPr>
              <w:t xml:space="preserve">Court of Appeal of Newfoundland and </w:t>
            </w:r>
          </w:p>
          <w:p w:rsidR="0012542D" w:rsidRPr="004B7487" w:rsidRDefault="0012542D" w:rsidP="007775F6">
            <w:pPr>
              <w:jc w:val="both"/>
              <w:rPr>
                <w:sz w:val="20"/>
              </w:rPr>
            </w:pPr>
            <w:r w:rsidRPr="004B7487">
              <w:rPr>
                <w:sz w:val="20"/>
              </w:rPr>
              <w:t>Labrador</w:t>
            </w:r>
          </w:p>
          <w:p w:rsidR="0012542D" w:rsidRPr="004B7487" w:rsidRDefault="0012542D" w:rsidP="007775F6">
            <w:pPr>
              <w:jc w:val="both"/>
              <w:rPr>
                <w:sz w:val="20"/>
              </w:rPr>
            </w:pPr>
            <w:r w:rsidRPr="004B7487">
              <w:rPr>
                <w:sz w:val="20"/>
              </w:rPr>
              <w:t>(Fry C.J.N.L., Hoegg and O’Brien JJ.A.)</w:t>
            </w:r>
          </w:p>
          <w:p w:rsidR="0012542D" w:rsidRPr="004B7487" w:rsidRDefault="004B7487" w:rsidP="007775F6">
            <w:pPr>
              <w:jc w:val="both"/>
              <w:rPr>
                <w:rStyle w:val="Hyperlink"/>
                <w:sz w:val="20"/>
              </w:rPr>
            </w:pPr>
            <w:hyperlink r:id="rId54" w:anchor="document" w:history="1">
              <w:r w:rsidR="0012542D" w:rsidRPr="004B7487">
                <w:rPr>
                  <w:rStyle w:val="Hyperlink"/>
                  <w:sz w:val="20"/>
                </w:rPr>
                <w:t>2020 NLCA 27</w:t>
              </w:r>
            </w:hyperlink>
            <w:r w:rsidR="0012542D" w:rsidRPr="004B7487">
              <w:rPr>
                <w:rStyle w:val="Hyperlink"/>
                <w:sz w:val="20"/>
              </w:rPr>
              <w:t xml:space="preserve"> (Docket Numbers: </w:t>
            </w:r>
          </w:p>
          <w:p w:rsidR="0012542D" w:rsidRPr="004B7487" w:rsidRDefault="0012542D" w:rsidP="007775F6">
            <w:pPr>
              <w:jc w:val="both"/>
              <w:rPr>
                <w:rStyle w:val="Hyperlink"/>
                <w:sz w:val="20"/>
              </w:rPr>
            </w:pPr>
            <w:r w:rsidRPr="004B7487">
              <w:rPr>
                <w:rStyle w:val="Hyperlink"/>
                <w:sz w:val="20"/>
              </w:rPr>
              <w:t>201801H0028 and 201801H0045)</w:t>
            </w:r>
          </w:p>
          <w:p w:rsidR="0012542D" w:rsidRPr="004B7487" w:rsidRDefault="0012542D" w:rsidP="007775F6">
            <w:pPr>
              <w:jc w:val="both"/>
              <w:rPr>
                <w:color w:val="0000FF" w:themeColor="hyperlink"/>
                <w:sz w:val="20"/>
                <w:u w:val="single"/>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Appeal allowed; applicant vicariously liable for sexual abuse of the respondents.</w:t>
            </w:r>
          </w:p>
        </w:tc>
      </w:tr>
      <w:tr w:rsidR="0012542D" w:rsidRPr="004B7487" w:rsidTr="0012542D">
        <w:tc>
          <w:tcPr>
            <w:tcW w:w="2427" w:type="pct"/>
            <w:gridSpan w:val="2"/>
          </w:tcPr>
          <w:p w:rsidR="0012542D" w:rsidRPr="004B7487" w:rsidRDefault="0012542D" w:rsidP="007775F6">
            <w:pPr>
              <w:jc w:val="both"/>
              <w:rPr>
                <w:sz w:val="20"/>
              </w:rPr>
            </w:pPr>
            <w:r w:rsidRPr="004B7487">
              <w:rPr>
                <w:sz w:val="20"/>
              </w:rPr>
              <w:t>September 23, 2020</w:t>
            </w:r>
          </w:p>
          <w:p w:rsidR="0012542D" w:rsidRPr="004B7487" w:rsidRDefault="0012542D" w:rsidP="0028519E">
            <w:pPr>
              <w:jc w:val="both"/>
              <w:rPr>
                <w:sz w:val="20"/>
              </w:rPr>
            </w:pPr>
            <w:r w:rsidRPr="004B7487">
              <w:rPr>
                <w:sz w:val="20"/>
              </w:rPr>
              <w:t>Supreme Court of Canada</w:t>
            </w: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Application for leave to appeal filed.</w:t>
            </w:r>
          </w:p>
          <w:p w:rsidR="0012542D" w:rsidRPr="004B7487" w:rsidRDefault="0012542D" w:rsidP="007775F6">
            <w:pPr>
              <w:jc w:val="both"/>
              <w:rPr>
                <w:sz w:val="20"/>
              </w:rPr>
            </w:pPr>
          </w:p>
        </w:tc>
      </w:tr>
    </w:tbl>
    <w:p w:rsidR="0012542D" w:rsidRPr="004B7487" w:rsidRDefault="0012542D" w:rsidP="007775F6">
      <w:pPr>
        <w:jc w:val="both"/>
        <w:rPr>
          <w:sz w:val="20"/>
        </w:rPr>
      </w:pPr>
    </w:p>
    <w:p w:rsidR="0028519E" w:rsidRPr="004B7487" w:rsidRDefault="004B7487" w:rsidP="007775F6">
      <w:pPr>
        <w:jc w:val="both"/>
        <w:rPr>
          <w:sz w:val="20"/>
        </w:rPr>
      </w:pPr>
      <w:r w:rsidRPr="004B7487">
        <w:rPr>
          <w:sz w:val="20"/>
        </w:rPr>
        <w:pict>
          <v:rect id="_x0000_i1041" style="width:2in;height:1pt" o:hrpct="0" o:hralign="center" o:hrstd="t" o:hrnoshade="t" o:hr="t" fillcolor="black [3213]" stroked="f"/>
        </w:pict>
      </w:r>
    </w:p>
    <w:p w:rsidR="0028519E" w:rsidRPr="004B7487" w:rsidRDefault="0028519E" w:rsidP="007775F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lang w:val="fr-CA"/>
              </w:rPr>
            </w:pPr>
            <w:r w:rsidRPr="004B7487">
              <w:rPr>
                <w:rStyle w:val="SCCFileNumberChar"/>
                <w:sz w:val="20"/>
                <w:szCs w:val="20"/>
                <w:lang w:val="fr-CA"/>
              </w:rPr>
              <w:t>39343</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Roman Catholic Episcopal Corporation of St. John’s c. John Doe (G.E.B. #25), John Doe (G.E.B. #26), John Doe (G.E.B. #33), John Doe (G.E.B. #50)</w:t>
            </w:r>
          </w:p>
          <w:p w:rsidR="0012542D" w:rsidRPr="004B7487" w:rsidRDefault="0012542D" w:rsidP="007775F6">
            <w:pPr>
              <w:jc w:val="both"/>
              <w:rPr>
                <w:sz w:val="20"/>
                <w:lang w:val="fr-CA"/>
              </w:rPr>
            </w:pPr>
            <w:r w:rsidRPr="004B7487">
              <w:rPr>
                <w:sz w:val="20"/>
                <w:lang w:val="fr-CA"/>
              </w:rPr>
              <w:t>(T.-N.-L.) (Civile) (Sur autorisation)</w:t>
            </w: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Responsabilité délictuelle — Responsabilité du fait d’autrui — Des anciens élèves d’un orphelinat réclament des dommages-intérêts pour agression sexuelle contre l’ordre religieux qui exploitait l’orphelinat et l’archidiocèse de la région — La cour d’appel a conclu à la responsabilité du fait d’autrui de l’archidiocèse — Si une entité joue un rôle limité en ce qui a trait à la mise sur pied, le financement et le soutien général d’un établissement, mais n’en est pas l’employeur et n’a pas le contrôle de ses opérations quotidiennes, et ne fait rien pour sensiblement accroître le risque assumé, convient-il qu’elle soit réputée être responsable du fait d’autrui pour les actes de l’établissement ?</w:t>
            </w:r>
          </w:p>
        </w:tc>
      </w:tr>
      <w:tr w:rsidR="0012542D" w:rsidRPr="004B7487" w:rsidTr="0012542D">
        <w:tc>
          <w:tcPr>
            <w:tcW w:w="5000" w:type="pct"/>
            <w:gridSpan w:val="4"/>
          </w:tcPr>
          <w:p w:rsidR="0012542D" w:rsidRPr="004B7487" w:rsidRDefault="0012542D" w:rsidP="007775F6">
            <w:pPr>
              <w:jc w:val="both"/>
              <w:rPr>
                <w:sz w:val="20"/>
                <w:lang w:val="fr-CA"/>
              </w:rPr>
            </w:pP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Dans une poursuite intentée en 1999, les intimés, qui ont été victimes d’agression sexuelle alors qu’ils étaient garçons et habitaient l’orphelinat Mount Cashel à St. John’s durant les années 1950, ont intenté une action en dommages-intérêts contre la demanderesse, Roman Catholic Episcopal Corporation of St. John’s (l’« Archidiocèse »), et Christian Brothers Institute Inc. (« Christian Brothers »). La preuve des intimés impliquait cinq frères membres de Christian Brothers. À Terre</w:t>
            </w:r>
            <w:r w:rsidRPr="004B7487">
              <w:rPr>
                <w:sz w:val="20"/>
                <w:lang w:val="fr-CA"/>
              </w:rPr>
              <w:noBreakHyphen/>
              <w:t xml:space="preserve">Neuve depuis 1875, Christian Brothers avait pour objectif d’éduquer les garçons catholiques et avait le contrôle des activités quotidiennes se déroulant à Mount Cashel. Christian Brothers n’a pas pris part au procès puisqu’une instance en faillite avait entraîné la liquidation de son actif. </w:t>
            </w:r>
          </w:p>
          <w:p w:rsidR="0012542D" w:rsidRPr="004B7487" w:rsidRDefault="0012542D" w:rsidP="007775F6">
            <w:pPr>
              <w:jc w:val="both"/>
              <w:rPr>
                <w:sz w:val="20"/>
                <w:lang w:val="fr-CA"/>
              </w:rPr>
            </w:pPr>
          </w:p>
          <w:p w:rsidR="0012542D" w:rsidRPr="004B7487" w:rsidRDefault="0012542D" w:rsidP="007775F6">
            <w:pPr>
              <w:jc w:val="both"/>
              <w:rPr>
                <w:sz w:val="20"/>
                <w:lang w:val="fr-CA"/>
              </w:rPr>
            </w:pPr>
            <w:r w:rsidRPr="004B7487">
              <w:rPr>
                <w:sz w:val="20"/>
                <w:lang w:val="fr-CA"/>
              </w:rPr>
              <w:t>Le juge de première instance a déterminé que l’Archidiocèse ne pouvait être tenu responsable du fait d’autrui pour la conduite délictuelle des membres de Christian Brothers. La Cour d’appel a conclu que le juge de première instance avait commis des erreurs de droit à cet égard. Après avoir effectué sa propre appréciation de la preuve, elle a conclu à la fois que la relation entre l’Archidiocèse et les membres de Christian Brothers était suffisamment étroite pour justifier l’imputation de la responsabilité du fait d’autrui à l’Archidiocèse, et que l’agression sexuelle des intimés par les membres de Christian Brothers était suffisamment liée à leur tâche assignée de prendre soin de ces derniers pour que l’agression soit considérée comme la matérialisation des risques créés par l’Archidiocèse. Par conséquent, la Cour d’appel a conclu que l’Archidiocèse était responsable du fait d’autrui pour l’agression sexuelle des intimés par les membres de Christian Brothers.</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16 mars 2018</w:t>
            </w:r>
          </w:p>
          <w:p w:rsidR="0012542D" w:rsidRPr="004B7487" w:rsidRDefault="0012542D" w:rsidP="007775F6">
            <w:pPr>
              <w:jc w:val="both"/>
              <w:rPr>
                <w:sz w:val="20"/>
                <w:lang w:val="fr-CA"/>
              </w:rPr>
            </w:pPr>
            <w:r w:rsidRPr="004B7487">
              <w:rPr>
                <w:sz w:val="20"/>
                <w:lang w:val="fr-CA"/>
              </w:rPr>
              <w:lastRenderedPageBreak/>
              <w:t>Cour suprême de Terre</w:t>
            </w:r>
            <w:r w:rsidRPr="004B7487">
              <w:rPr>
                <w:sz w:val="20"/>
                <w:lang w:val="fr-CA"/>
              </w:rPr>
              <w:noBreakHyphen/>
              <w:t>Neuve</w:t>
            </w:r>
            <w:r w:rsidRPr="004B7487">
              <w:rPr>
                <w:sz w:val="20"/>
                <w:lang w:val="fr-CA"/>
              </w:rPr>
              <w:noBreakHyphen/>
              <w:t>et</w:t>
            </w:r>
            <w:r w:rsidRPr="004B7487">
              <w:rPr>
                <w:sz w:val="20"/>
                <w:lang w:val="fr-CA"/>
              </w:rPr>
              <w:noBreakHyphen/>
              <w:t>Labrador, Division générale</w:t>
            </w:r>
          </w:p>
          <w:p w:rsidR="0012542D" w:rsidRPr="004B7487" w:rsidRDefault="0012542D" w:rsidP="007775F6">
            <w:pPr>
              <w:jc w:val="both"/>
              <w:rPr>
                <w:sz w:val="20"/>
                <w:lang w:val="fr-CA"/>
              </w:rPr>
            </w:pPr>
            <w:r w:rsidRPr="004B7487">
              <w:rPr>
                <w:sz w:val="20"/>
                <w:lang w:val="fr-CA"/>
              </w:rPr>
              <w:t xml:space="preserve">(Juge </w:t>
            </w:r>
            <w:proofErr w:type="spellStart"/>
            <w:r w:rsidRPr="004B7487">
              <w:rPr>
                <w:sz w:val="20"/>
                <w:lang w:val="fr-CA"/>
              </w:rPr>
              <w:t>Faour</w:t>
            </w:r>
            <w:proofErr w:type="spellEnd"/>
            <w:r w:rsidRPr="004B7487">
              <w:rPr>
                <w:sz w:val="20"/>
                <w:lang w:val="fr-CA"/>
              </w:rPr>
              <w:t>)</w:t>
            </w:r>
          </w:p>
          <w:p w:rsidR="0012542D" w:rsidRPr="004B7487" w:rsidRDefault="004B7487" w:rsidP="007775F6">
            <w:pPr>
              <w:jc w:val="both"/>
              <w:rPr>
                <w:sz w:val="20"/>
                <w:lang w:val="fr-CA"/>
              </w:rPr>
            </w:pPr>
            <w:hyperlink r:id="rId55" w:history="1">
              <w:r w:rsidR="0012542D" w:rsidRPr="004B7487">
                <w:rPr>
                  <w:rStyle w:val="Hyperlink"/>
                  <w:sz w:val="20"/>
                  <w:lang w:val="fr-CA"/>
                </w:rPr>
                <w:t>2018 NLSC 60</w:t>
              </w:r>
            </w:hyperlink>
          </w:p>
          <w:p w:rsidR="0012542D" w:rsidRPr="004B7487" w:rsidRDefault="0012542D" w:rsidP="007775F6">
            <w:pPr>
              <w:jc w:val="both"/>
              <w:rPr>
                <w:sz w:val="20"/>
                <w:lang w:val="fr-CA"/>
              </w:rPr>
            </w:pP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 xml:space="preserve">L’action en dommages-intérêts intentée par les intimés contre la demanderesse est rejetée; la demanderesse </w:t>
            </w:r>
            <w:r w:rsidRPr="004B7487">
              <w:rPr>
                <w:sz w:val="20"/>
                <w:lang w:val="fr-CA"/>
              </w:rPr>
              <w:lastRenderedPageBreak/>
              <w:t xml:space="preserve">n’est pas responsable du fait d’autrui pour les sévices commis. </w:t>
            </w: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lastRenderedPageBreak/>
              <w:t>28 juillet 2020</w:t>
            </w:r>
          </w:p>
          <w:p w:rsidR="0012542D" w:rsidRPr="004B7487" w:rsidRDefault="0012542D" w:rsidP="007775F6">
            <w:pPr>
              <w:jc w:val="both"/>
              <w:rPr>
                <w:sz w:val="20"/>
                <w:lang w:val="fr-CA"/>
              </w:rPr>
            </w:pPr>
            <w:r w:rsidRPr="004B7487">
              <w:rPr>
                <w:sz w:val="20"/>
                <w:lang w:val="fr-CA"/>
              </w:rPr>
              <w:t>Cour d’appel de Terre-Neuve-et-Labrador</w:t>
            </w:r>
          </w:p>
          <w:p w:rsidR="0012542D" w:rsidRPr="004B7487" w:rsidRDefault="0012542D" w:rsidP="007775F6">
            <w:pPr>
              <w:jc w:val="both"/>
              <w:rPr>
                <w:sz w:val="20"/>
                <w:lang w:val="fr-CA"/>
              </w:rPr>
            </w:pPr>
            <w:r w:rsidRPr="004B7487">
              <w:rPr>
                <w:sz w:val="20"/>
                <w:lang w:val="fr-CA"/>
              </w:rPr>
              <w:t>(Juge en chef Fry, juges Hoegg et O’Brien)</w:t>
            </w:r>
          </w:p>
          <w:p w:rsidR="0012542D" w:rsidRPr="004B7487" w:rsidRDefault="004B7487" w:rsidP="007775F6">
            <w:pPr>
              <w:jc w:val="both"/>
              <w:rPr>
                <w:rStyle w:val="Hyperlink"/>
                <w:sz w:val="20"/>
                <w:lang w:val="fr-CA"/>
              </w:rPr>
            </w:pPr>
            <w:hyperlink r:id="rId56" w:anchor="document" w:history="1">
              <w:r w:rsidR="0012542D" w:rsidRPr="004B7487">
                <w:rPr>
                  <w:rStyle w:val="Hyperlink"/>
                  <w:sz w:val="20"/>
                  <w:lang w:val="fr-CA"/>
                </w:rPr>
                <w:t>2020 NLCA 27</w:t>
              </w:r>
            </w:hyperlink>
            <w:r w:rsidR="0012542D" w:rsidRPr="004B7487">
              <w:rPr>
                <w:rStyle w:val="Hyperlink"/>
                <w:sz w:val="20"/>
                <w:lang w:val="fr-CA"/>
              </w:rPr>
              <w:t xml:space="preserve"> (Numéros de dossier : </w:t>
            </w:r>
          </w:p>
          <w:p w:rsidR="0012542D" w:rsidRPr="004B7487" w:rsidRDefault="0012542D" w:rsidP="007775F6">
            <w:pPr>
              <w:jc w:val="both"/>
              <w:rPr>
                <w:rStyle w:val="Hyperlink"/>
                <w:sz w:val="20"/>
                <w:lang w:val="fr-CA"/>
              </w:rPr>
            </w:pPr>
            <w:r w:rsidRPr="004B7487">
              <w:rPr>
                <w:rStyle w:val="Hyperlink"/>
                <w:sz w:val="20"/>
                <w:lang w:val="fr-CA"/>
              </w:rPr>
              <w:t>201801H0028 et 201801H0045)</w:t>
            </w:r>
          </w:p>
          <w:p w:rsidR="0012542D" w:rsidRPr="004B7487" w:rsidRDefault="0012542D" w:rsidP="007775F6">
            <w:pPr>
              <w:jc w:val="both"/>
              <w:rPr>
                <w:color w:val="0000FF" w:themeColor="hyperlink"/>
                <w:sz w:val="20"/>
                <w:u w:val="single"/>
                <w:lang w:val="fr-CA"/>
              </w:rPr>
            </w:pP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L’appel est accueilli; la demanderesse est responsable du fait d’autrui pour l’agression sexuelle des intimés.</w:t>
            </w: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23 septembre 2020</w:t>
            </w:r>
          </w:p>
          <w:p w:rsidR="0012542D" w:rsidRPr="004B7487" w:rsidRDefault="0012542D" w:rsidP="0028519E">
            <w:pPr>
              <w:jc w:val="both"/>
              <w:rPr>
                <w:sz w:val="20"/>
                <w:lang w:val="fr-CA"/>
              </w:rPr>
            </w:pPr>
            <w:r w:rsidRPr="004B7487">
              <w:rPr>
                <w:sz w:val="20"/>
                <w:lang w:val="fr-CA"/>
              </w:rPr>
              <w:t>Cour suprême du Canada</w:t>
            </w: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La demande d’autorisation d’appel est présentée.</w:t>
            </w:r>
          </w:p>
          <w:p w:rsidR="0012542D" w:rsidRPr="004B7487" w:rsidRDefault="0012542D" w:rsidP="007775F6">
            <w:pPr>
              <w:jc w:val="both"/>
              <w:rPr>
                <w:sz w:val="20"/>
                <w:lang w:val="fr-CA"/>
              </w:rPr>
            </w:pPr>
          </w:p>
        </w:tc>
      </w:tr>
    </w:tbl>
    <w:p w:rsidR="0012542D" w:rsidRPr="004B7487" w:rsidRDefault="0012542D" w:rsidP="007775F6">
      <w:pPr>
        <w:jc w:val="both"/>
        <w:rPr>
          <w:sz w:val="20"/>
          <w:lang w:val="fr-CA"/>
        </w:rPr>
      </w:pPr>
    </w:p>
    <w:p w:rsidR="0028519E" w:rsidRPr="004B7487" w:rsidRDefault="004B7487" w:rsidP="007775F6">
      <w:pPr>
        <w:jc w:val="both"/>
        <w:rPr>
          <w:sz w:val="20"/>
          <w:lang w:val="fr-CA"/>
        </w:rPr>
      </w:pPr>
      <w:r w:rsidRPr="004B7487">
        <w:rPr>
          <w:sz w:val="20"/>
        </w:rPr>
        <w:pict>
          <v:rect id="_x0000_i1042" style="width:2in;height:1pt" o:hrpct="0" o:hralign="center" o:hrstd="t" o:hrnoshade="t" o:hr="t" fillcolor="black [3213]" stroked="f"/>
        </w:pict>
      </w:r>
    </w:p>
    <w:p w:rsidR="0012542D" w:rsidRPr="004B7487" w:rsidRDefault="0012542D"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39313</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Jian Hu (James) Wu v. Her Majesty the Queen</w:t>
            </w:r>
          </w:p>
          <w:p w:rsidR="0012542D" w:rsidRPr="004B7487" w:rsidRDefault="0012542D" w:rsidP="007775F6">
            <w:pPr>
              <w:jc w:val="both"/>
              <w:rPr>
                <w:sz w:val="20"/>
              </w:rPr>
            </w:pPr>
            <w:r w:rsidRPr="004B7487">
              <w:rPr>
                <w:sz w:val="20"/>
              </w:rPr>
              <w:t>(B.C.) (Criminal) (By Leave)</w:t>
            </w:r>
          </w:p>
        </w:tc>
      </w:tr>
      <w:tr w:rsidR="0012542D" w:rsidRPr="004B7487" w:rsidTr="0012542D">
        <w:tc>
          <w:tcPr>
            <w:tcW w:w="5000" w:type="pct"/>
            <w:gridSpan w:val="4"/>
          </w:tcPr>
          <w:p w:rsidR="0012542D" w:rsidRPr="004B7487" w:rsidRDefault="0012542D" w:rsidP="007775F6">
            <w:pPr>
              <w:pStyle w:val="SCCBanSummary"/>
              <w:rPr>
                <w:sz w:val="20"/>
                <w:szCs w:val="20"/>
              </w:rPr>
            </w:pPr>
            <w:r w:rsidRPr="004B7487">
              <w:rPr>
                <w:sz w:val="20"/>
                <w:szCs w:val="20"/>
              </w:rPr>
              <w:t>(Publication ban in case)</w:t>
            </w:r>
          </w:p>
          <w:p w:rsidR="0012542D" w:rsidRPr="004B7487" w:rsidRDefault="0012542D" w:rsidP="007775F6">
            <w:pPr>
              <w:jc w:val="both"/>
              <w:rPr>
                <w:sz w:val="20"/>
              </w:rPr>
            </w:pPr>
          </w:p>
        </w:tc>
      </w:tr>
      <w:tr w:rsidR="0012542D" w:rsidRPr="004B7487" w:rsidTr="0012542D">
        <w:tc>
          <w:tcPr>
            <w:tcW w:w="5000" w:type="pct"/>
            <w:gridSpan w:val="4"/>
          </w:tcPr>
          <w:p w:rsidR="0012542D" w:rsidRPr="004B7487" w:rsidRDefault="0012542D" w:rsidP="007775F6">
            <w:pPr>
              <w:jc w:val="both"/>
              <w:rPr>
                <w:sz w:val="20"/>
              </w:rPr>
            </w:pPr>
            <w:r w:rsidRPr="004B7487">
              <w:rPr>
                <w:sz w:val="20"/>
              </w:rPr>
              <w:t xml:space="preserve">Criminal law — Offences — Elements of Offence — Jury Charge — </w:t>
            </w:r>
            <w:r w:rsidRPr="004B7487">
              <w:rPr>
                <w:color w:val="000000"/>
                <w:sz w:val="20"/>
              </w:rPr>
              <w:t>Did the jury instructions relating to manslaughter, in the context of an objective analysis of foreseeability and causation, foreclose a decision path for the jury to consider a conviction for dissociative act manslaughter?</w:t>
            </w:r>
          </w:p>
          <w:p w:rsidR="0012542D" w:rsidRPr="004B7487" w:rsidRDefault="0012542D" w:rsidP="007775F6">
            <w:pPr>
              <w:jc w:val="both"/>
              <w:rPr>
                <w:sz w:val="20"/>
              </w:rPr>
            </w:pPr>
          </w:p>
        </w:tc>
      </w:tr>
      <w:tr w:rsidR="0012542D" w:rsidRPr="004B7487" w:rsidTr="0012542D">
        <w:tc>
          <w:tcPr>
            <w:tcW w:w="5000" w:type="pct"/>
            <w:gridSpan w:val="4"/>
          </w:tcPr>
          <w:p w:rsidR="0012542D" w:rsidRPr="004B7487" w:rsidRDefault="0012542D" w:rsidP="007775F6">
            <w:pPr>
              <w:jc w:val="both"/>
              <w:rPr>
                <w:iCs/>
                <w:sz w:val="20"/>
                <w:lang w:val="en"/>
              </w:rPr>
            </w:pPr>
            <w:r w:rsidRPr="004B7487">
              <w:rPr>
                <w:sz w:val="20"/>
                <w:lang w:val="en"/>
              </w:rPr>
              <w:t xml:space="preserve">The applicant stabbed his wife in a prolonged attack that began in their apartment, and continued in a hallway outside of their apartment. His wife suffered at least 250 knife wounds, and bled to death. </w:t>
            </w:r>
            <w:r w:rsidRPr="004B7487">
              <w:rPr>
                <w:iCs/>
                <w:sz w:val="20"/>
                <w:lang w:val="en"/>
              </w:rPr>
              <w:t>At trial, the applicant submitted that the evidence of intent, including the expert evidence of two doctors who opined that the applicant was likely in an abnormal dissociative mental state at the time of the killing, went no further than manslaughter.</w:t>
            </w:r>
            <w:r w:rsidRPr="004B7487">
              <w:rPr>
                <w:sz w:val="20"/>
              </w:rPr>
              <w:t xml:space="preserve"> After a trial by judge and jury, the applicant was convicted of second</w:t>
            </w:r>
            <w:r w:rsidRPr="004B7487">
              <w:rPr>
                <w:sz w:val="20"/>
              </w:rPr>
              <w:noBreakHyphen/>
              <w:t>degree murder, and he was sentenced to life imprisonment. The applicant’s motion to adduce new evidence and his conviction appeal were dismissed.</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October 17, 2017</w:t>
            </w:r>
          </w:p>
          <w:p w:rsidR="0012542D" w:rsidRPr="004B7487" w:rsidRDefault="0012542D" w:rsidP="007775F6">
            <w:pPr>
              <w:jc w:val="both"/>
              <w:rPr>
                <w:sz w:val="20"/>
              </w:rPr>
            </w:pPr>
            <w:r w:rsidRPr="004B7487">
              <w:rPr>
                <w:sz w:val="20"/>
              </w:rPr>
              <w:t>Supreme Court of British Columbia</w:t>
            </w:r>
          </w:p>
          <w:p w:rsidR="0012542D" w:rsidRPr="004B7487" w:rsidRDefault="0012542D" w:rsidP="007775F6">
            <w:pPr>
              <w:jc w:val="both"/>
              <w:rPr>
                <w:sz w:val="20"/>
              </w:rPr>
            </w:pPr>
            <w:r w:rsidRPr="004B7487">
              <w:rPr>
                <w:sz w:val="20"/>
              </w:rPr>
              <w:t>(Watchuk J.)</w:t>
            </w:r>
          </w:p>
          <w:p w:rsidR="0012542D" w:rsidRPr="004B7487" w:rsidRDefault="0012542D" w:rsidP="007775F6">
            <w:pPr>
              <w:jc w:val="both"/>
              <w:rPr>
                <w:sz w:val="20"/>
              </w:rPr>
            </w:pPr>
            <w:r w:rsidRPr="004B7487">
              <w:rPr>
                <w:sz w:val="20"/>
              </w:rPr>
              <w:t>(unreported)</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Conviction entered: second</w:t>
            </w:r>
            <w:r w:rsidRPr="004B7487">
              <w:rPr>
                <w:sz w:val="20"/>
              </w:rPr>
              <w:noBreakHyphen/>
              <w:t>degree murder</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December 6, 2017</w:t>
            </w:r>
          </w:p>
          <w:p w:rsidR="0012542D" w:rsidRPr="004B7487" w:rsidRDefault="0012542D" w:rsidP="007775F6">
            <w:pPr>
              <w:jc w:val="both"/>
              <w:rPr>
                <w:sz w:val="20"/>
              </w:rPr>
            </w:pPr>
            <w:r w:rsidRPr="004B7487">
              <w:rPr>
                <w:sz w:val="20"/>
              </w:rPr>
              <w:t>Supreme Court of British Columbia</w:t>
            </w:r>
          </w:p>
          <w:p w:rsidR="0012542D" w:rsidRPr="004B7487" w:rsidRDefault="0012542D" w:rsidP="007775F6">
            <w:pPr>
              <w:jc w:val="both"/>
              <w:rPr>
                <w:sz w:val="20"/>
              </w:rPr>
            </w:pPr>
            <w:r w:rsidRPr="004B7487">
              <w:rPr>
                <w:sz w:val="20"/>
              </w:rPr>
              <w:t>(Watchuk J.)</w:t>
            </w:r>
          </w:p>
          <w:p w:rsidR="0012542D" w:rsidRPr="004B7487" w:rsidRDefault="004B7487" w:rsidP="007775F6">
            <w:pPr>
              <w:jc w:val="both"/>
              <w:rPr>
                <w:sz w:val="20"/>
              </w:rPr>
            </w:pPr>
            <w:hyperlink r:id="rId57" w:history="1">
              <w:r w:rsidR="0012542D" w:rsidRPr="004B7487">
                <w:rPr>
                  <w:rStyle w:val="Hyperlink"/>
                  <w:sz w:val="20"/>
                </w:rPr>
                <w:t>2017 BCSC 2271</w:t>
              </w:r>
            </w:hyperlink>
            <w:r w:rsidR="0012542D" w:rsidRPr="004B7487">
              <w:rPr>
                <w:sz w:val="20"/>
              </w:rPr>
              <w:t xml:space="preserve"> </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Sentence imposed: life imprisonment</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May 8, 2020</w:t>
            </w:r>
          </w:p>
          <w:p w:rsidR="0012542D" w:rsidRPr="004B7487" w:rsidRDefault="0012542D" w:rsidP="007775F6">
            <w:pPr>
              <w:jc w:val="both"/>
              <w:rPr>
                <w:sz w:val="20"/>
              </w:rPr>
            </w:pPr>
            <w:r w:rsidRPr="004B7487">
              <w:rPr>
                <w:sz w:val="20"/>
              </w:rPr>
              <w:t xml:space="preserve">Court of Appeal for British Columbia </w:t>
            </w:r>
          </w:p>
          <w:p w:rsidR="0012542D" w:rsidRPr="004B7487" w:rsidRDefault="0012542D" w:rsidP="007775F6">
            <w:pPr>
              <w:jc w:val="both"/>
              <w:rPr>
                <w:sz w:val="20"/>
              </w:rPr>
            </w:pPr>
            <w:r w:rsidRPr="004B7487">
              <w:rPr>
                <w:sz w:val="20"/>
              </w:rPr>
              <w:t>(Vancouver)</w:t>
            </w:r>
          </w:p>
          <w:p w:rsidR="0012542D" w:rsidRPr="004B7487" w:rsidRDefault="0012542D" w:rsidP="007775F6">
            <w:pPr>
              <w:jc w:val="both"/>
              <w:rPr>
                <w:sz w:val="20"/>
              </w:rPr>
            </w:pPr>
            <w:r w:rsidRPr="004B7487">
              <w:rPr>
                <w:sz w:val="20"/>
              </w:rPr>
              <w:t>(Harris, Butler, DeWitt-Van Oosten JJ.A.)</w:t>
            </w:r>
          </w:p>
          <w:p w:rsidR="0012542D" w:rsidRPr="004B7487" w:rsidRDefault="004B7487" w:rsidP="007775F6">
            <w:pPr>
              <w:jc w:val="both"/>
              <w:rPr>
                <w:sz w:val="20"/>
              </w:rPr>
            </w:pPr>
            <w:hyperlink r:id="rId58" w:history="1">
              <w:r w:rsidR="0012542D" w:rsidRPr="004B7487">
                <w:rPr>
                  <w:rStyle w:val="Hyperlink"/>
                  <w:sz w:val="20"/>
                </w:rPr>
                <w:t>2020 BCCA 128</w:t>
              </w:r>
            </w:hyperlink>
            <w:r w:rsidR="0012542D" w:rsidRPr="004B7487">
              <w:rPr>
                <w:sz w:val="20"/>
              </w:rPr>
              <w:t xml:space="preserve">; CA45019 </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Motion to adduce new evidence dismissed; appeal from conviction dismissed</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August 28, 2020</w:t>
            </w:r>
          </w:p>
          <w:p w:rsidR="0012542D" w:rsidRPr="004B7487" w:rsidRDefault="0012542D" w:rsidP="007775F6">
            <w:pPr>
              <w:jc w:val="both"/>
              <w:rPr>
                <w:sz w:val="20"/>
              </w:rPr>
            </w:pPr>
            <w:r w:rsidRPr="004B7487">
              <w:rPr>
                <w:sz w:val="20"/>
              </w:rPr>
              <w:t>Supreme Court of Canada</w:t>
            </w:r>
          </w:p>
        </w:tc>
        <w:tc>
          <w:tcPr>
            <w:tcW w:w="243" w:type="pct"/>
          </w:tcPr>
          <w:p w:rsidR="0012542D" w:rsidRPr="004B7487" w:rsidRDefault="0012542D" w:rsidP="007775F6">
            <w:pPr>
              <w:jc w:val="both"/>
              <w:rPr>
                <w:sz w:val="20"/>
              </w:rPr>
            </w:pPr>
          </w:p>
        </w:tc>
        <w:tc>
          <w:tcPr>
            <w:tcW w:w="2330" w:type="pct"/>
          </w:tcPr>
          <w:p w:rsidR="0012542D" w:rsidRPr="004B7487" w:rsidRDefault="0012542D" w:rsidP="0028519E">
            <w:pPr>
              <w:jc w:val="both"/>
              <w:rPr>
                <w:sz w:val="20"/>
              </w:rPr>
            </w:pPr>
            <w:r w:rsidRPr="004B7487">
              <w:rPr>
                <w:sz w:val="20"/>
              </w:rPr>
              <w:t>Motion for an extension of time to serve and file the application for leave to appeal and application for leave to appeal filed</w:t>
            </w:r>
          </w:p>
        </w:tc>
      </w:tr>
    </w:tbl>
    <w:p w:rsidR="0012542D" w:rsidRPr="004B7487" w:rsidRDefault="0012542D" w:rsidP="007775F6">
      <w:pPr>
        <w:jc w:val="both"/>
        <w:rPr>
          <w:sz w:val="20"/>
        </w:rPr>
      </w:pPr>
    </w:p>
    <w:p w:rsidR="0028519E" w:rsidRPr="004B7487" w:rsidRDefault="004B7487" w:rsidP="007775F6">
      <w:pPr>
        <w:jc w:val="both"/>
        <w:rPr>
          <w:sz w:val="20"/>
        </w:rPr>
      </w:pPr>
      <w:r w:rsidRPr="004B7487">
        <w:rPr>
          <w:sz w:val="20"/>
        </w:rPr>
        <w:pict>
          <v:rect id="_x0000_i1043" style="width:2in;height:1pt" o:hrpct="0" o:hralign="center" o:hrstd="t" o:hrnoshade="t" o:hr="t" fillcolor="black [3213]" stroked="f"/>
        </w:pict>
      </w:r>
    </w:p>
    <w:p w:rsidR="0028519E" w:rsidRPr="004B7487" w:rsidRDefault="0028519E" w:rsidP="007775F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lang w:val="fr-CA"/>
              </w:rPr>
            </w:pPr>
            <w:r w:rsidRPr="004B7487">
              <w:rPr>
                <w:rStyle w:val="SCCFileNumberChar"/>
                <w:sz w:val="20"/>
                <w:szCs w:val="20"/>
                <w:lang w:val="fr-CA"/>
              </w:rPr>
              <w:t>39313</w:t>
            </w:r>
          </w:p>
        </w:tc>
        <w:tc>
          <w:tcPr>
            <w:tcW w:w="4457" w:type="pct"/>
            <w:gridSpan w:val="3"/>
          </w:tcPr>
          <w:p w:rsidR="0012542D" w:rsidRPr="004B7487" w:rsidRDefault="0012542D" w:rsidP="007775F6">
            <w:pPr>
              <w:pStyle w:val="SCCLsocParty"/>
              <w:jc w:val="both"/>
              <w:rPr>
                <w:b/>
                <w:sz w:val="20"/>
                <w:szCs w:val="20"/>
              </w:rPr>
            </w:pPr>
            <w:r w:rsidRPr="004B7487">
              <w:rPr>
                <w:b/>
                <w:sz w:val="20"/>
                <w:szCs w:val="20"/>
              </w:rPr>
              <w:t>Jian Hu (James) Wu c. Sa Majesté la Reine</w:t>
            </w:r>
          </w:p>
          <w:p w:rsidR="0012542D" w:rsidRPr="004B7487" w:rsidRDefault="0012542D" w:rsidP="007775F6">
            <w:pPr>
              <w:jc w:val="both"/>
              <w:rPr>
                <w:sz w:val="20"/>
                <w:lang w:val="fr-CA"/>
              </w:rPr>
            </w:pPr>
            <w:r w:rsidRPr="004B7487">
              <w:rPr>
                <w:sz w:val="20"/>
                <w:lang w:val="fr-CA"/>
              </w:rPr>
              <w:t>(C.</w:t>
            </w:r>
            <w:r w:rsidRPr="004B7487">
              <w:rPr>
                <w:sz w:val="20"/>
                <w:lang w:val="fr-CA"/>
              </w:rPr>
              <w:noBreakHyphen/>
              <w:t>B.) (Criminelle) (Sur autorisation)</w:t>
            </w:r>
          </w:p>
        </w:tc>
      </w:tr>
      <w:tr w:rsidR="0012542D" w:rsidRPr="004B7487" w:rsidTr="0012542D">
        <w:tc>
          <w:tcPr>
            <w:tcW w:w="5000" w:type="pct"/>
            <w:gridSpan w:val="4"/>
          </w:tcPr>
          <w:p w:rsidR="0012542D" w:rsidRPr="004B7487" w:rsidRDefault="0028519E" w:rsidP="007775F6">
            <w:pPr>
              <w:jc w:val="both"/>
              <w:rPr>
                <w:sz w:val="20"/>
                <w:lang w:val="fr-CA"/>
              </w:rPr>
            </w:pPr>
            <w:r w:rsidRPr="004B7487">
              <w:rPr>
                <w:sz w:val="20"/>
                <w:lang w:val="fr-CA"/>
              </w:rPr>
              <w:lastRenderedPageBreak/>
              <w:t>(</w:t>
            </w:r>
            <w:r w:rsidRPr="004B7487">
              <w:rPr>
                <w:smallCaps/>
                <w:sz w:val="20"/>
                <w:lang w:val="fr-CA"/>
              </w:rPr>
              <w:t>Ordonnance de non</w:t>
            </w:r>
            <w:r w:rsidRPr="004B7487">
              <w:rPr>
                <w:smallCaps/>
                <w:sz w:val="20"/>
                <w:lang w:val="fr-CA"/>
              </w:rPr>
              <w:noBreakHyphen/>
              <w:t>publication dans le dossier</w:t>
            </w:r>
            <w:r w:rsidRPr="004B7487">
              <w:rPr>
                <w:sz w:val="20"/>
                <w:lang w:val="fr-CA"/>
              </w:rPr>
              <w:t>) </w:t>
            </w:r>
          </w:p>
          <w:p w:rsidR="0012542D" w:rsidRPr="004B7487" w:rsidRDefault="0012542D" w:rsidP="007775F6">
            <w:pPr>
              <w:jc w:val="both"/>
              <w:rPr>
                <w:sz w:val="20"/>
                <w:lang w:val="fr-CA"/>
              </w:rPr>
            </w:pP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Droit criminel — Infractions — Éléments de l’infraction — Exposé au jury — Les directives données au jury concernant l’homicide involontaire coupable</w:t>
            </w:r>
            <w:r w:rsidRPr="004B7487">
              <w:rPr>
                <w:color w:val="000000"/>
                <w:sz w:val="20"/>
                <w:lang w:val="fr-CA"/>
              </w:rPr>
              <w:t>, dans le contexte d’une analyse objective des questions de prévisibilité et de lien de causalité, ont</w:t>
            </w:r>
            <w:r w:rsidRPr="004B7487">
              <w:rPr>
                <w:color w:val="000000"/>
                <w:sz w:val="20"/>
                <w:lang w:val="fr-CA"/>
              </w:rPr>
              <w:noBreakHyphen/>
              <w:t>elles exclu la possibilité pour le jury d’envisager une déclaration de culpabilité pour homicide involontaire coupable commis dans un état de dissociation ?</w:t>
            </w:r>
          </w:p>
          <w:p w:rsidR="0012542D" w:rsidRPr="004B7487" w:rsidRDefault="0012542D" w:rsidP="007775F6">
            <w:pPr>
              <w:jc w:val="both"/>
              <w:rPr>
                <w:sz w:val="20"/>
                <w:lang w:val="fr-CA"/>
              </w:rPr>
            </w:pPr>
          </w:p>
        </w:tc>
      </w:tr>
      <w:tr w:rsidR="0012542D" w:rsidRPr="004B7487" w:rsidTr="0012542D">
        <w:tc>
          <w:tcPr>
            <w:tcW w:w="5000" w:type="pct"/>
            <w:gridSpan w:val="4"/>
          </w:tcPr>
          <w:p w:rsidR="0012542D" w:rsidRPr="004B7487" w:rsidRDefault="0012542D" w:rsidP="007775F6">
            <w:pPr>
              <w:jc w:val="both"/>
              <w:rPr>
                <w:iCs/>
                <w:sz w:val="20"/>
                <w:lang w:val="fr-CA"/>
              </w:rPr>
            </w:pPr>
            <w:r w:rsidRPr="004B7487">
              <w:rPr>
                <w:sz w:val="20"/>
                <w:lang w:val="fr-CA"/>
              </w:rPr>
              <w:t>Le demandeur a poignardé son épouse lors d’une attaque prolongée qui a commencé dans leur appartement et s’est poursuivi dans le corridor à l’extérieur de celui</w:t>
            </w:r>
            <w:r w:rsidRPr="004B7487">
              <w:rPr>
                <w:sz w:val="20"/>
                <w:lang w:val="fr-CA"/>
              </w:rPr>
              <w:noBreakHyphen/>
              <w:t xml:space="preserve">ci. Son épouse a subi au moins 250 coups de couteau et a saigné à mort. </w:t>
            </w:r>
            <w:r w:rsidRPr="004B7487">
              <w:rPr>
                <w:iCs/>
                <w:sz w:val="20"/>
                <w:lang w:val="fr-CA"/>
              </w:rPr>
              <w:t>Au procès, le demandeur a soutenu que la preuve d’intention, notamment le témoignage d’expert de deux docteurs qui étaient d’avis que le demandeur était vraisemblablement dans un état anormal de dissociation mentale au moment du meurtre, n’établissait pas plus que l’homicide involontaire coupable.</w:t>
            </w:r>
            <w:r w:rsidRPr="004B7487">
              <w:rPr>
                <w:sz w:val="20"/>
                <w:lang w:val="fr-CA"/>
              </w:rPr>
              <w:t xml:space="preserve"> À la suite d’un procès avec juge et jury, le demandeur a été déclaré coupable de meurtre au deuxième degré et a été condamné à l’emprisonnement à perpétuité. La requête du demandeur en vue de présenter de nouveaux éléments de preuve et son appel de la déclaration de culpabilité ont été rejetés.</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17 octobre 2017</w:t>
            </w:r>
          </w:p>
          <w:p w:rsidR="0012542D" w:rsidRPr="004B7487" w:rsidRDefault="0012542D" w:rsidP="007775F6">
            <w:pPr>
              <w:jc w:val="both"/>
              <w:rPr>
                <w:sz w:val="20"/>
                <w:lang w:val="fr-CA"/>
              </w:rPr>
            </w:pPr>
            <w:r w:rsidRPr="004B7487">
              <w:rPr>
                <w:sz w:val="20"/>
                <w:lang w:val="fr-CA"/>
              </w:rPr>
              <w:t>Cour suprême de la Colombie</w:t>
            </w:r>
            <w:r w:rsidRPr="004B7487">
              <w:rPr>
                <w:sz w:val="20"/>
                <w:lang w:val="fr-CA"/>
              </w:rPr>
              <w:noBreakHyphen/>
              <w:t>Britannique</w:t>
            </w:r>
          </w:p>
          <w:p w:rsidR="0012542D" w:rsidRPr="004B7487" w:rsidRDefault="0012542D" w:rsidP="007775F6">
            <w:pPr>
              <w:jc w:val="both"/>
              <w:rPr>
                <w:sz w:val="20"/>
                <w:lang w:val="fr-CA"/>
              </w:rPr>
            </w:pPr>
            <w:r w:rsidRPr="004B7487">
              <w:rPr>
                <w:sz w:val="20"/>
                <w:lang w:val="fr-CA"/>
              </w:rPr>
              <w:t xml:space="preserve">(Juge </w:t>
            </w:r>
            <w:proofErr w:type="spellStart"/>
            <w:r w:rsidRPr="004B7487">
              <w:rPr>
                <w:sz w:val="20"/>
                <w:lang w:val="fr-CA"/>
              </w:rPr>
              <w:t>Watchuk</w:t>
            </w:r>
            <w:proofErr w:type="spellEnd"/>
            <w:r w:rsidRPr="004B7487">
              <w:rPr>
                <w:sz w:val="20"/>
                <w:lang w:val="fr-CA"/>
              </w:rPr>
              <w:t>)</w:t>
            </w:r>
          </w:p>
          <w:p w:rsidR="0012542D" w:rsidRPr="004B7487" w:rsidRDefault="0012542D" w:rsidP="007775F6">
            <w:pPr>
              <w:jc w:val="both"/>
              <w:rPr>
                <w:sz w:val="20"/>
                <w:lang w:val="fr-CA"/>
              </w:rPr>
            </w:pPr>
            <w:r w:rsidRPr="004B7487">
              <w:rPr>
                <w:sz w:val="20"/>
                <w:lang w:val="fr-CA"/>
              </w:rPr>
              <w:t>(Non publié)</w:t>
            </w:r>
          </w:p>
          <w:p w:rsidR="0012542D" w:rsidRPr="004B7487" w:rsidRDefault="0012542D" w:rsidP="007775F6">
            <w:pPr>
              <w:jc w:val="both"/>
              <w:rPr>
                <w:sz w:val="20"/>
                <w:lang w:val="fr-CA"/>
              </w:rPr>
            </w:pP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Déclaration de culpabilité prononcée : meurtre au deuxième degré.</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6 décembre 2017</w:t>
            </w:r>
          </w:p>
          <w:p w:rsidR="0012542D" w:rsidRPr="004B7487" w:rsidRDefault="0012542D" w:rsidP="007775F6">
            <w:pPr>
              <w:jc w:val="both"/>
              <w:rPr>
                <w:sz w:val="20"/>
                <w:lang w:val="fr-CA"/>
              </w:rPr>
            </w:pPr>
            <w:r w:rsidRPr="004B7487">
              <w:rPr>
                <w:sz w:val="20"/>
                <w:lang w:val="fr-CA"/>
              </w:rPr>
              <w:t>Cour suprême de la Colombie</w:t>
            </w:r>
            <w:r w:rsidRPr="004B7487">
              <w:rPr>
                <w:sz w:val="20"/>
                <w:lang w:val="fr-CA"/>
              </w:rPr>
              <w:noBreakHyphen/>
              <w:t>Britannique</w:t>
            </w:r>
          </w:p>
          <w:p w:rsidR="0012542D" w:rsidRPr="004B7487" w:rsidRDefault="0012542D" w:rsidP="007775F6">
            <w:pPr>
              <w:jc w:val="both"/>
              <w:rPr>
                <w:sz w:val="20"/>
                <w:lang w:val="fr-CA"/>
              </w:rPr>
            </w:pPr>
            <w:r w:rsidRPr="004B7487">
              <w:rPr>
                <w:sz w:val="20"/>
                <w:lang w:val="fr-CA"/>
              </w:rPr>
              <w:t xml:space="preserve">(Juge </w:t>
            </w:r>
            <w:proofErr w:type="spellStart"/>
            <w:r w:rsidRPr="004B7487">
              <w:rPr>
                <w:sz w:val="20"/>
                <w:lang w:val="fr-CA"/>
              </w:rPr>
              <w:t>Watchuk</w:t>
            </w:r>
            <w:proofErr w:type="spellEnd"/>
            <w:r w:rsidRPr="004B7487">
              <w:rPr>
                <w:sz w:val="20"/>
                <w:lang w:val="fr-CA"/>
              </w:rPr>
              <w:t>)</w:t>
            </w:r>
          </w:p>
          <w:p w:rsidR="0012542D" w:rsidRPr="004B7487" w:rsidRDefault="004B7487" w:rsidP="007775F6">
            <w:pPr>
              <w:jc w:val="both"/>
              <w:rPr>
                <w:sz w:val="20"/>
                <w:lang w:val="fr-CA"/>
              </w:rPr>
            </w:pPr>
            <w:hyperlink r:id="rId59" w:history="1">
              <w:r w:rsidR="0012542D" w:rsidRPr="004B7487">
                <w:rPr>
                  <w:rStyle w:val="Hyperlink"/>
                  <w:sz w:val="20"/>
                  <w:lang w:val="fr-CA"/>
                </w:rPr>
                <w:t>2017 BCSC 2271</w:t>
              </w:r>
            </w:hyperlink>
            <w:r w:rsidR="0012542D" w:rsidRPr="004B7487">
              <w:rPr>
                <w:sz w:val="20"/>
                <w:lang w:val="fr-CA"/>
              </w:rPr>
              <w:t xml:space="preserve"> </w:t>
            </w:r>
          </w:p>
          <w:p w:rsidR="0012542D" w:rsidRPr="004B7487" w:rsidRDefault="0012542D" w:rsidP="007775F6">
            <w:pPr>
              <w:jc w:val="both"/>
              <w:rPr>
                <w:sz w:val="20"/>
                <w:lang w:val="fr-CA"/>
              </w:rPr>
            </w:pP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Peine imposée : emprisonnement à perpétuité.</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8 mai 2020</w:t>
            </w:r>
          </w:p>
          <w:p w:rsidR="0012542D" w:rsidRPr="004B7487" w:rsidRDefault="0012542D" w:rsidP="007775F6">
            <w:pPr>
              <w:jc w:val="both"/>
              <w:rPr>
                <w:sz w:val="20"/>
                <w:lang w:val="fr-CA"/>
              </w:rPr>
            </w:pPr>
            <w:r w:rsidRPr="004B7487">
              <w:rPr>
                <w:sz w:val="20"/>
                <w:lang w:val="fr-CA"/>
              </w:rPr>
              <w:t>Cour d’appel de la Colombie</w:t>
            </w:r>
            <w:r w:rsidRPr="004B7487">
              <w:rPr>
                <w:sz w:val="20"/>
                <w:lang w:val="fr-CA"/>
              </w:rPr>
              <w:noBreakHyphen/>
              <w:t xml:space="preserve">Britannique </w:t>
            </w:r>
          </w:p>
          <w:p w:rsidR="0012542D" w:rsidRPr="004B7487" w:rsidRDefault="0012542D" w:rsidP="007775F6">
            <w:pPr>
              <w:jc w:val="both"/>
              <w:rPr>
                <w:sz w:val="20"/>
                <w:lang w:val="fr-CA"/>
              </w:rPr>
            </w:pPr>
            <w:r w:rsidRPr="004B7487">
              <w:rPr>
                <w:sz w:val="20"/>
                <w:lang w:val="fr-CA"/>
              </w:rPr>
              <w:t>(Vancouver)</w:t>
            </w:r>
          </w:p>
          <w:p w:rsidR="0012542D" w:rsidRPr="004B7487" w:rsidRDefault="0012542D" w:rsidP="007775F6">
            <w:pPr>
              <w:jc w:val="both"/>
              <w:rPr>
                <w:sz w:val="20"/>
                <w:lang w:val="fr-CA"/>
              </w:rPr>
            </w:pPr>
            <w:r w:rsidRPr="004B7487">
              <w:rPr>
                <w:sz w:val="20"/>
                <w:lang w:val="fr-CA"/>
              </w:rPr>
              <w:t>(Juges Harris, Butler, DeWitt</w:t>
            </w:r>
            <w:r w:rsidRPr="004B7487">
              <w:rPr>
                <w:sz w:val="20"/>
                <w:lang w:val="fr-CA"/>
              </w:rPr>
              <w:noBreakHyphen/>
              <w:t>Van Oosten)</w:t>
            </w:r>
          </w:p>
          <w:p w:rsidR="0012542D" w:rsidRPr="004B7487" w:rsidRDefault="004B7487" w:rsidP="007775F6">
            <w:pPr>
              <w:jc w:val="both"/>
              <w:rPr>
                <w:sz w:val="20"/>
                <w:lang w:val="fr-CA"/>
              </w:rPr>
            </w:pPr>
            <w:hyperlink r:id="rId60" w:history="1">
              <w:r w:rsidR="0012542D" w:rsidRPr="004B7487">
                <w:rPr>
                  <w:rStyle w:val="Hyperlink"/>
                  <w:sz w:val="20"/>
                  <w:lang w:val="fr-CA"/>
                </w:rPr>
                <w:t>2020 BCCA 128</w:t>
              </w:r>
            </w:hyperlink>
            <w:r w:rsidR="0012542D" w:rsidRPr="004B7487">
              <w:rPr>
                <w:sz w:val="20"/>
                <w:lang w:val="fr-CA"/>
              </w:rPr>
              <w:t xml:space="preserve">; CA45019 </w:t>
            </w:r>
          </w:p>
          <w:p w:rsidR="0012542D" w:rsidRPr="004B7487" w:rsidRDefault="0012542D" w:rsidP="007775F6">
            <w:pPr>
              <w:jc w:val="both"/>
              <w:rPr>
                <w:sz w:val="20"/>
                <w:lang w:val="fr-CA"/>
              </w:rPr>
            </w:pP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Requête en vue de présenter de nouveaux éléments de preuve rejetée; appel de la déclaration de culpabilité rejeté.</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28 août 2020</w:t>
            </w:r>
          </w:p>
          <w:p w:rsidR="0012542D" w:rsidRPr="004B7487" w:rsidRDefault="0012542D" w:rsidP="007775F6">
            <w:pPr>
              <w:jc w:val="both"/>
              <w:rPr>
                <w:sz w:val="20"/>
                <w:lang w:val="fr-CA"/>
              </w:rPr>
            </w:pPr>
            <w:r w:rsidRPr="004B7487">
              <w:rPr>
                <w:sz w:val="20"/>
                <w:lang w:val="fr-CA"/>
              </w:rPr>
              <w:t>Cour suprême du Canada</w:t>
            </w: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28519E">
            <w:pPr>
              <w:jc w:val="both"/>
              <w:rPr>
                <w:sz w:val="20"/>
                <w:lang w:val="fr-CA"/>
              </w:rPr>
            </w:pPr>
            <w:r w:rsidRPr="004B7487">
              <w:rPr>
                <w:sz w:val="20"/>
                <w:lang w:val="fr-CA"/>
              </w:rPr>
              <w:t>La requête en prorogation du délai de signification et de dépôt de la demande d’autorisation d’appel et la demande d’autoris</w:t>
            </w:r>
            <w:r w:rsidR="0028519E" w:rsidRPr="004B7487">
              <w:rPr>
                <w:sz w:val="20"/>
                <w:lang w:val="fr-CA"/>
              </w:rPr>
              <w:t>ation d’appel sont présentées.</w:t>
            </w:r>
          </w:p>
        </w:tc>
      </w:tr>
    </w:tbl>
    <w:p w:rsidR="0012542D" w:rsidRPr="004B7487" w:rsidRDefault="0012542D" w:rsidP="007775F6">
      <w:pPr>
        <w:jc w:val="both"/>
        <w:rPr>
          <w:sz w:val="20"/>
          <w:lang w:val="fr-CA"/>
        </w:rPr>
      </w:pPr>
    </w:p>
    <w:p w:rsidR="0028519E" w:rsidRPr="004B7487" w:rsidRDefault="004B7487" w:rsidP="007775F6">
      <w:pPr>
        <w:jc w:val="both"/>
        <w:rPr>
          <w:sz w:val="20"/>
          <w:lang w:val="fr-CA"/>
        </w:rPr>
      </w:pPr>
      <w:r w:rsidRPr="004B7487">
        <w:rPr>
          <w:sz w:val="20"/>
        </w:rPr>
        <w:pict>
          <v:rect id="_x0000_i1044" style="width:2in;height:1pt" o:hrpct="0" o:hralign="center" o:hrstd="t" o:hrnoshade="t" o:hr="t" fillcolor="black [3213]" stroked="f"/>
        </w:pict>
      </w:r>
    </w:p>
    <w:p w:rsidR="0012542D" w:rsidRPr="004B7487" w:rsidRDefault="0012542D"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lang w:val="en-CA"/>
              </w:rPr>
            </w:pPr>
            <w:r w:rsidRPr="004B7487">
              <w:rPr>
                <w:rStyle w:val="SCCFileNumberChar"/>
                <w:sz w:val="20"/>
                <w:szCs w:val="20"/>
              </w:rPr>
              <w:t>39306</w:t>
            </w:r>
          </w:p>
        </w:tc>
        <w:tc>
          <w:tcPr>
            <w:tcW w:w="4457" w:type="pct"/>
            <w:gridSpan w:val="3"/>
          </w:tcPr>
          <w:p w:rsidR="0012542D" w:rsidRPr="004B7487" w:rsidRDefault="0012542D" w:rsidP="007775F6">
            <w:pPr>
              <w:pStyle w:val="SCCLsocParty"/>
              <w:jc w:val="both"/>
              <w:rPr>
                <w:b/>
                <w:sz w:val="20"/>
                <w:szCs w:val="20"/>
                <w:lang w:val="en-CA"/>
              </w:rPr>
            </w:pPr>
            <w:r w:rsidRPr="004B7487">
              <w:rPr>
                <w:b/>
                <w:sz w:val="20"/>
                <w:szCs w:val="20"/>
                <w:lang w:val="en-CA"/>
              </w:rPr>
              <w:t>Roch Guimont, Constance Guimont v. The Canadian Press, Stéphanie Marin, Le Groupe Capitales Médias inc., Mishmash Media inc., Transcontinental Media Inc.</w:t>
            </w:r>
          </w:p>
          <w:p w:rsidR="0012542D" w:rsidRPr="004B7487" w:rsidRDefault="0012542D" w:rsidP="007775F6">
            <w:pPr>
              <w:jc w:val="both"/>
              <w:rPr>
                <w:sz w:val="20"/>
                <w:lang w:val="en-CA"/>
              </w:rPr>
            </w:pPr>
            <w:r w:rsidRPr="004B7487">
              <w:rPr>
                <w:sz w:val="20"/>
                <w:lang w:val="en-CA"/>
              </w:rPr>
              <w:t>(Que.) (Civil) (By Leave)</w:t>
            </w:r>
          </w:p>
        </w:tc>
      </w:tr>
      <w:tr w:rsidR="0012542D" w:rsidRPr="004B7487" w:rsidTr="0012542D">
        <w:tc>
          <w:tcPr>
            <w:tcW w:w="5000" w:type="pct"/>
            <w:gridSpan w:val="4"/>
          </w:tcPr>
          <w:p w:rsidR="0012542D" w:rsidRPr="004B7487" w:rsidRDefault="0012542D" w:rsidP="007775F6">
            <w:pPr>
              <w:jc w:val="both"/>
              <w:rPr>
                <w:sz w:val="20"/>
                <w:lang w:val="en-CA"/>
              </w:rPr>
            </w:pPr>
            <w:r w:rsidRPr="004B7487">
              <w:rPr>
                <w:sz w:val="20"/>
                <w:lang w:val="en-CA"/>
              </w:rPr>
              <w:t xml:space="preserve">Civil liability — Defamation — Freedom of the press — Open court principle — Facts reported accurately and in good faith — Civil procedure — Action with no chance of success — Procedure that is frivolous or intended to delay — New evidence — </w:t>
            </w:r>
            <w:r w:rsidRPr="004B7487">
              <w:rPr>
                <w:i/>
                <w:sz w:val="20"/>
                <w:lang w:val="en-CA"/>
              </w:rPr>
              <w:t>Press Act</w:t>
            </w:r>
            <w:r w:rsidRPr="004B7487">
              <w:rPr>
                <w:sz w:val="20"/>
                <w:lang w:val="en-CA"/>
              </w:rPr>
              <w:t>, CQLR, c. P</w:t>
            </w:r>
            <w:r w:rsidRPr="004B7487">
              <w:rPr>
                <w:sz w:val="20"/>
                <w:lang w:val="en-CA"/>
              </w:rPr>
              <w:noBreakHyphen/>
              <w:t xml:space="preserve">19, s. 10 — </w:t>
            </w:r>
            <w:r w:rsidRPr="004B7487">
              <w:rPr>
                <w:i/>
                <w:sz w:val="20"/>
                <w:lang w:val="en-CA"/>
              </w:rPr>
              <w:t>Code of Civil Procedure</w:t>
            </w:r>
            <w:r w:rsidRPr="004B7487">
              <w:rPr>
                <w:sz w:val="20"/>
                <w:lang w:val="en-CA"/>
              </w:rPr>
              <w:t>, CQLR, c. C</w:t>
            </w:r>
            <w:r w:rsidRPr="004B7487">
              <w:rPr>
                <w:sz w:val="20"/>
                <w:lang w:val="en-CA"/>
              </w:rPr>
              <w:noBreakHyphen/>
              <w:t>25.01, arts. 51, 380.</w:t>
            </w:r>
          </w:p>
        </w:tc>
      </w:tr>
      <w:tr w:rsidR="0012542D" w:rsidRPr="004B7487" w:rsidTr="0012542D">
        <w:tc>
          <w:tcPr>
            <w:tcW w:w="5000" w:type="pct"/>
            <w:gridSpan w:val="4"/>
          </w:tcPr>
          <w:p w:rsidR="0012542D" w:rsidRPr="004B7487" w:rsidRDefault="0012542D" w:rsidP="007775F6">
            <w:pPr>
              <w:jc w:val="both"/>
              <w:rPr>
                <w:sz w:val="20"/>
                <w:lang w:val="en-CA"/>
              </w:rPr>
            </w:pPr>
          </w:p>
          <w:p w:rsidR="0012542D" w:rsidRPr="004B7487" w:rsidRDefault="0012542D" w:rsidP="007775F6">
            <w:pPr>
              <w:jc w:val="both"/>
              <w:rPr>
                <w:sz w:val="20"/>
                <w:lang w:val="en-CA"/>
              </w:rPr>
            </w:pPr>
            <w:r w:rsidRPr="004B7487">
              <w:rPr>
                <w:sz w:val="20"/>
                <w:lang w:val="en-CA"/>
              </w:rPr>
              <w:t xml:space="preserve">The applicants brought an action in damages for defamatory libel against the respondents, a reporter who had written an article and the newspapers that had published it. The article related a decision in which the Court of Appeal had set aside a guilty finding against the applicants and ordered a stay of proceedings in a case against them concerning the possession and exportation of controlled goods. The applicants alleged that the article did not accurately relate the Court of Appeal’s decision, that it contained defamatory comments and that the respondents had committed a fault in not obtaining their version of the facts. The Superior Court found that the reporter had related the content of the Court of Appeal’s decision accurately and in good faith, without misrepresenting its content, and that the respondents’ application to dismiss the applicants’ action </w:t>
            </w:r>
            <w:proofErr w:type="gramStart"/>
            <w:r w:rsidRPr="004B7487">
              <w:rPr>
                <w:sz w:val="20"/>
                <w:lang w:val="en-CA"/>
              </w:rPr>
              <w:t>was therefore well founded</w:t>
            </w:r>
            <w:proofErr w:type="gramEnd"/>
            <w:r w:rsidRPr="004B7487">
              <w:rPr>
                <w:sz w:val="20"/>
                <w:lang w:val="en-CA"/>
              </w:rPr>
              <w:t xml:space="preserve">. Finding that the applicants’ action had no chance of success whatsoever and that their proceeding was clearly unfounded, the court reserved the respondents’ right to claim their fees and disbursements. The Court of Appeal dismissed the applicants’ motion to </w:t>
            </w:r>
            <w:r w:rsidRPr="004B7487">
              <w:rPr>
                <w:sz w:val="20"/>
                <w:lang w:val="en-CA"/>
              </w:rPr>
              <w:lastRenderedPageBreak/>
              <w:t>present new evidence and dismissed their appeal, finding that the documents the applicants wished to produce were irrelevant or did not constitute new evidence, and concluding that the applicants’ action had no chance of success.</w:t>
            </w:r>
          </w:p>
        </w:tc>
      </w:tr>
      <w:tr w:rsidR="0012542D" w:rsidRPr="004B7487" w:rsidTr="0012542D">
        <w:tc>
          <w:tcPr>
            <w:tcW w:w="5000" w:type="pct"/>
            <w:gridSpan w:val="4"/>
          </w:tcPr>
          <w:p w:rsidR="0012542D" w:rsidRPr="004B7487" w:rsidRDefault="0012542D" w:rsidP="007775F6">
            <w:pPr>
              <w:jc w:val="both"/>
              <w:rPr>
                <w:sz w:val="20"/>
                <w:lang w:val="en-CA"/>
              </w:rPr>
            </w:pPr>
          </w:p>
        </w:tc>
      </w:tr>
      <w:tr w:rsidR="0012542D" w:rsidRPr="004B7487" w:rsidTr="0012542D">
        <w:tc>
          <w:tcPr>
            <w:tcW w:w="2427" w:type="pct"/>
            <w:gridSpan w:val="2"/>
          </w:tcPr>
          <w:p w:rsidR="0012542D" w:rsidRPr="004B7487" w:rsidRDefault="0012542D" w:rsidP="007775F6">
            <w:pPr>
              <w:jc w:val="both"/>
              <w:rPr>
                <w:sz w:val="20"/>
                <w:lang w:val="en-CA"/>
              </w:rPr>
            </w:pPr>
            <w:r w:rsidRPr="004B7487">
              <w:rPr>
                <w:sz w:val="20"/>
                <w:lang w:val="en-CA"/>
              </w:rPr>
              <w:t>April 30, 2018</w:t>
            </w:r>
          </w:p>
          <w:p w:rsidR="0012542D" w:rsidRPr="004B7487" w:rsidRDefault="0012542D" w:rsidP="007775F6">
            <w:pPr>
              <w:jc w:val="both"/>
              <w:rPr>
                <w:sz w:val="20"/>
                <w:lang w:val="en-CA"/>
              </w:rPr>
            </w:pPr>
            <w:r w:rsidRPr="004B7487">
              <w:rPr>
                <w:sz w:val="20"/>
                <w:lang w:val="en-CA"/>
              </w:rPr>
              <w:t>Quebec Superior Court</w:t>
            </w:r>
          </w:p>
          <w:p w:rsidR="0012542D" w:rsidRPr="004B7487" w:rsidRDefault="0012542D" w:rsidP="007775F6">
            <w:pPr>
              <w:jc w:val="both"/>
              <w:rPr>
                <w:sz w:val="20"/>
                <w:lang w:val="en-CA"/>
              </w:rPr>
            </w:pPr>
            <w:r w:rsidRPr="004B7487">
              <w:rPr>
                <w:sz w:val="20"/>
                <w:lang w:val="en-CA"/>
              </w:rPr>
              <w:t>(Babin J.)</w:t>
            </w:r>
          </w:p>
          <w:p w:rsidR="0012542D" w:rsidRPr="004B7487" w:rsidRDefault="0012542D" w:rsidP="007775F6">
            <w:pPr>
              <w:jc w:val="both"/>
              <w:rPr>
                <w:sz w:val="20"/>
                <w:lang w:val="en-CA"/>
              </w:rPr>
            </w:pPr>
            <w:r w:rsidRPr="004B7487">
              <w:rPr>
                <w:sz w:val="20"/>
                <w:lang w:val="en-CA"/>
              </w:rPr>
              <w:t>200</w:t>
            </w:r>
            <w:r w:rsidRPr="004B7487">
              <w:rPr>
                <w:sz w:val="20"/>
                <w:lang w:val="en-CA"/>
              </w:rPr>
              <w:noBreakHyphen/>
              <w:t>17</w:t>
            </w:r>
            <w:r w:rsidRPr="004B7487">
              <w:rPr>
                <w:sz w:val="20"/>
                <w:lang w:val="en-CA"/>
              </w:rPr>
              <w:noBreakHyphen/>
              <w:t>027217</w:t>
            </w:r>
            <w:r w:rsidRPr="004B7487">
              <w:rPr>
                <w:sz w:val="20"/>
                <w:lang w:val="en-CA"/>
              </w:rPr>
              <w:noBreakHyphen/>
              <w:t>181</w:t>
            </w:r>
          </w:p>
          <w:p w:rsidR="0012542D" w:rsidRPr="004B7487" w:rsidRDefault="004B7487" w:rsidP="007775F6">
            <w:pPr>
              <w:jc w:val="both"/>
              <w:rPr>
                <w:sz w:val="20"/>
                <w:lang w:val="en-CA"/>
              </w:rPr>
            </w:pPr>
            <w:hyperlink r:id="rId61" w:history="1">
              <w:r w:rsidR="0012542D" w:rsidRPr="004B7487">
                <w:rPr>
                  <w:rStyle w:val="Hyperlink"/>
                  <w:sz w:val="20"/>
                  <w:lang w:val="en-CA"/>
                </w:rPr>
                <w:t>2018 QCCS 2325</w:t>
              </w:r>
            </w:hyperlink>
          </w:p>
          <w:p w:rsidR="0012542D" w:rsidRPr="004B7487" w:rsidRDefault="0012542D" w:rsidP="007775F6">
            <w:pPr>
              <w:jc w:val="both"/>
              <w:rPr>
                <w:sz w:val="20"/>
                <w:lang w:val="en-CA"/>
              </w:rPr>
            </w:pPr>
          </w:p>
        </w:tc>
        <w:tc>
          <w:tcPr>
            <w:tcW w:w="243" w:type="pct"/>
          </w:tcPr>
          <w:p w:rsidR="0012542D" w:rsidRPr="004B7487" w:rsidRDefault="0012542D" w:rsidP="007775F6">
            <w:pPr>
              <w:jc w:val="both"/>
              <w:rPr>
                <w:sz w:val="20"/>
                <w:lang w:val="en-CA"/>
              </w:rPr>
            </w:pPr>
          </w:p>
        </w:tc>
        <w:tc>
          <w:tcPr>
            <w:tcW w:w="2330" w:type="pct"/>
          </w:tcPr>
          <w:p w:rsidR="0012542D" w:rsidRPr="004B7487" w:rsidRDefault="0012542D" w:rsidP="007775F6">
            <w:pPr>
              <w:jc w:val="both"/>
              <w:rPr>
                <w:sz w:val="20"/>
                <w:lang w:val="en-CA"/>
              </w:rPr>
            </w:pPr>
            <w:r w:rsidRPr="004B7487">
              <w:rPr>
                <w:sz w:val="20"/>
                <w:lang w:val="en-CA"/>
              </w:rPr>
              <w:t xml:space="preserve">Application to dismiss action granted; action dismissed and declared to be clearly unfounded and abusive; respondents’ right to claim their fees and disbursements as damages reserved; with costs </w:t>
            </w:r>
          </w:p>
        </w:tc>
      </w:tr>
      <w:tr w:rsidR="0012542D" w:rsidRPr="004B7487" w:rsidTr="0012542D">
        <w:tc>
          <w:tcPr>
            <w:tcW w:w="2427" w:type="pct"/>
            <w:gridSpan w:val="2"/>
          </w:tcPr>
          <w:p w:rsidR="0012542D" w:rsidRPr="004B7487" w:rsidRDefault="0012542D" w:rsidP="007775F6">
            <w:pPr>
              <w:jc w:val="both"/>
              <w:rPr>
                <w:sz w:val="20"/>
                <w:lang w:val="en-CA"/>
              </w:rPr>
            </w:pPr>
            <w:r w:rsidRPr="004B7487">
              <w:rPr>
                <w:sz w:val="20"/>
                <w:lang w:val="en-CA"/>
              </w:rPr>
              <w:t>February 17, 2020</w:t>
            </w:r>
          </w:p>
          <w:p w:rsidR="0012542D" w:rsidRPr="004B7487" w:rsidRDefault="0012542D" w:rsidP="007775F6">
            <w:pPr>
              <w:jc w:val="both"/>
              <w:rPr>
                <w:sz w:val="20"/>
                <w:lang w:val="en-CA"/>
              </w:rPr>
            </w:pPr>
            <w:r w:rsidRPr="004B7487">
              <w:rPr>
                <w:sz w:val="20"/>
                <w:lang w:val="en-CA"/>
              </w:rPr>
              <w:t>Quebec Court of Appeal (Québec)</w:t>
            </w:r>
          </w:p>
          <w:p w:rsidR="0012542D" w:rsidRPr="004B7487" w:rsidRDefault="0012542D" w:rsidP="007775F6">
            <w:pPr>
              <w:jc w:val="both"/>
              <w:rPr>
                <w:sz w:val="20"/>
                <w:lang w:val="en-CA"/>
              </w:rPr>
            </w:pPr>
            <w:r w:rsidRPr="004B7487">
              <w:rPr>
                <w:sz w:val="20"/>
                <w:lang w:val="en-CA"/>
              </w:rPr>
              <w:t>(Chamberland, Rancourt and Cotnam JJ.A.)</w:t>
            </w:r>
          </w:p>
          <w:p w:rsidR="0012542D" w:rsidRPr="004B7487" w:rsidRDefault="0012542D" w:rsidP="007775F6">
            <w:pPr>
              <w:jc w:val="both"/>
              <w:rPr>
                <w:sz w:val="20"/>
                <w:lang w:val="en-CA"/>
              </w:rPr>
            </w:pPr>
            <w:r w:rsidRPr="004B7487">
              <w:rPr>
                <w:sz w:val="20"/>
                <w:lang w:val="en-CA"/>
              </w:rPr>
              <w:t>200</w:t>
            </w:r>
            <w:r w:rsidRPr="004B7487">
              <w:rPr>
                <w:sz w:val="20"/>
                <w:lang w:val="en-CA"/>
              </w:rPr>
              <w:noBreakHyphen/>
              <w:t>09</w:t>
            </w:r>
            <w:r w:rsidRPr="004B7487">
              <w:rPr>
                <w:sz w:val="20"/>
                <w:lang w:val="en-CA"/>
              </w:rPr>
              <w:noBreakHyphen/>
              <w:t>009786</w:t>
            </w:r>
            <w:r w:rsidRPr="004B7487">
              <w:rPr>
                <w:sz w:val="20"/>
                <w:lang w:val="en-CA"/>
              </w:rPr>
              <w:noBreakHyphen/>
              <w:t>184</w:t>
            </w:r>
          </w:p>
          <w:p w:rsidR="0012542D" w:rsidRPr="004B7487" w:rsidRDefault="004B7487" w:rsidP="007775F6">
            <w:pPr>
              <w:jc w:val="both"/>
              <w:rPr>
                <w:sz w:val="20"/>
                <w:lang w:val="en-CA"/>
              </w:rPr>
            </w:pPr>
            <w:hyperlink r:id="rId62" w:history="1">
              <w:r w:rsidR="0012542D" w:rsidRPr="004B7487">
                <w:rPr>
                  <w:rStyle w:val="Hyperlink"/>
                  <w:sz w:val="20"/>
                  <w:lang w:val="en-CA"/>
                </w:rPr>
                <w:t>2020 QCCA 254</w:t>
              </w:r>
            </w:hyperlink>
          </w:p>
          <w:p w:rsidR="0012542D" w:rsidRPr="004B7487" w:rsidRDefault="0012542D" w:rsidP="007775F6">
            <w:pPr>
              <w:jc w:val="both"/>
              <w:rPr>
                <w:sz w:val="20"/>
                <w:lang w:val="en-CA"/>
              </w:rPr>
            </w:pPr>
          </w:p>
        </w:tc>
        <w:tc>
          <w:tcPr>
            <w:tcW w:w="243" w:type="pct"/>
          </w:tcPr>
          <w:p w:rsidR="0012542D" w:rsidRPr="004B7487" w:rsidRDefault="0012542D" w:rsidP="007775F6">
            <w:pPr>
              <w:jc w:val="both"/>
              <w:rPr>
                <w:sz w:val="20"/>
                <w:lang w:val="en-CA"/>
              </w:rPr>
            </w:pPr>
          </w:p>
        </w:tc>
        <w:tc>
          <w:tcPr>
            <w:tcW w:w="2330" w:type="pct"/>
          </w:tcPr>
          <w:p w:rsidR="0012542D" w:rsidRPr="004B7487" w:rsidRDefault="0012542D" w:rsidP="007775F6">
            <w:pPr>
              <w:jc w:val="both"/>
              <w:rPr>
                <w:sz w:val="20"/>
                <w:lang w:val="en-CA"/>
              </w:rPr>
            </w:pPr>
            <w:r w:rsidRPr="004B7487">
              <w:rPr>
                <w:sz w:val="20"/>
                <w:lang w:val="en-CA"/>
              </w:rPr>
              <w:t>Motion to present new evidence dismissed, appeal dismissed, with costs</w:t>
            </w:r>
          </w:p>
        </w:tc>
      </w:tr>
      <w:tr w:rsidR="0012542D" w:rsidRPr="004B7487" w:rsidTr="0012542D">
        <w:tc>
          <w:tcPr>
            <w:tcW w:w="2427" w:type="pct"/>
            <w:gridSpan w:val="2"/>
          </w:tcPr>
          <w:p w:rsidR="0012542D" w:rsidRPr="004B7487" w:rsidRDefault="0012542D" w:rsidP="007775F6">
            <w:pPr>
              <w:jc w:val="both"/>
              <w:rPr>
                <w:sz w:val="20"/>
                <w:lang w:val="en-CA"/>
              </w:rPr>
            </w:pPr>
            <w:r w:rsidRPr="004B7487">
              <w:rPr>
                <w:sz w:val="20"/>
                <w:lang w:val="en-CA"/>
              </w:rPr>
              <w:t>April 15, 2020</w:t>
            </w:r>
          </w:p>
          <w:p w:rsidR="0012542D" w:rsidRPr="004B7487" w:rsidRDefault="0012542D" w:rsidP="007775F6">
            <w:pPr>
              <w:jc w:val="both"/>
              <w:rPr>
                <w:sz w:val="20"/>
                <w:lang w:val="en-CA"/>
              </w:rPr>
            </w:pPr>
            <w:r w:rsidRPr="004B7487">
              <w:rPr>
                <w:sz w:val="20"/>
                <w:lang w:val="en-CA"/>
              </w:rPr>
              <w:t>Supreme Court of Canada</w:t>
            </w:r>
          </w:p>
        </w:tc>
        <w:tc>
          <w:tcPr>
            <w:tcW w:w="243" w:type="pct"/>
          </w:tcPr>
          <w:p w:rsidR="0012542D" w:rsidRPr="004B7487" w:rsidRDefault="0012542D" w:rsidP="007775F6">
            <w:pPr>
              <w:jc w:val="both"/>
              <w:rPr>
                <w:sz w:val="20"/>
                <w:lang w:val="en-CA"/>
              </w:rPr>
            </w:pPr>
          </w:p>
        </w:tc>
        <w:tc>
          <w:tcPr>
            <w:tcW w:w="2330" w:type="pct"/>
          </w:tcPr>
          <w:p w:rsidR="0012542D" w:rsidRPr="004B7487" w:rsidRDefault="0012542D" w:rsidP="007775F6">
            <w:pPr>
              <w:jc w:val="both"/>
              <w:rPr>
                <w:sz w:val="20"/>
                <w:lang w:val="en-CA"/>
              </w:rPr>
            </w:pPr>
            <w:r w:rsidRPr="004B7487">
              <w:rPr>
                <w:sz w:val="20"/>
                <w:lang w:val="en-CA"/>
              </w:rPr>
              <w:t>Application for leave to appeal filed</w:t>
            </w:r>
          </w:p>
          <w:p w:rsidR="0012542D" w:rsidRPr="004B7487" w:rsidRDefault="0012542D" w:rsidP="007775F6">
            <w:pPr>
              <w:jc w:val="both"/>
              <w:rPr>
                <w:sz w:val="20"/>
                <w:lang w:val="en-CA"/>
              </w:rPr>
            </w:pPr>
          </w:p>
        </w:tc>
      </w:tr>
    </w:tbl>
    <w:p w:rsidR="0012542D" w:rsidRPr="004B7487" w:rsidRDefault="0012542D" w:rsidP="007775F6">
      <w:pPr>
        <w:jc w:val="both"/>
        <w:rPr>
          <w:sz w:val="20"/>
          <w:lang w:val="en-CA"/>
        </w:rPr>
      </w:pPr>
    </w:p>
    <w:p w:rsidR="0028519E" w:rsidRPr="004B7487" w:rsidRDefault="004B7487" w:rsidP="007775F6">
      <w:pPr>
        <w:jc w:val="both"/>
        <w:rPr>
          <w:sz w:val="20"/>
          <w:lang w:val="en-CA"/>
        </w:rPr>
      </w:pPr>
      <w:r w:rsidRPr="004B7487">
        <w:rPr>
          <w:sz w:val="20"/>
        </w:rPr>
        <w:pict>
          <v:rect id="_x0000_i1045" style="width:2in;height:1pt" o:hrpct="0" o:hralign="center" o:hrstd="t" o:hrnoshade="t" o:hr="t" fillcolor="black [3213]" stroked="f"/>
        </w:pict>
      </w:r>
    </w:p>
    <w:p w:rsidR="0028519E" w:rsidRPr="004B7487" w:rsidRDefault="0028519E" w:rsidP="007775F6">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39306</w:t>
            </w:r>
          </w:p>
        </w:tc>
        <w:tc>
          <w:tcPr>
            <w:tcW w:w="4457" w:type="pct"/>
            <w:gridSpan w:val="3"/>
          </w:tcPr>
          <w:p w:rsidR="0012542D" w:rsidRPr="004B7487" w:rsidRDefault="0012542D" w:rsidP="007775F6">
            <w:pPr>
              <w:pStyle w:val="SCCLsocParty"/>
              <w:jc w:val="both"/>
              <w:rPr>
                <w:b/>
                <w:sz w:val="20"/>
                <w:szCs w:val="20"/>
              </w:rPr>
            </w:pPr>
            <w:r w:rsidRPr="004B7487">
              <w:rPr>
                <w:b/>
                <w:sz w:val="20"/>
                <w:szCs w:val="20"/>
              </w:rPr>
              <w:t>Roch Guimont, Constance Guimont c. La Presse Canadienne, Stéphanie Marin, Le Groupe Capitales Médias inc., Mishmash Media inc., Média Transcontinental inc.</w:t>
            </w:r>
          </w:p>
          <w:p w:rsidR="0012542D" w:rsidRPr="004B7487" w:rsidRDefault="0012542D" w:rsidP="007775F6">
            <w:pPr>
              <w:jc w:val="both"/>
              <w:rPr>
                <w:sz w:val="20"/>
              </w:rPr>
            </w:pPr>
            <w:r w:rsidRPr="004B7487">
              <w:rPr>
                <w:sz w:val="20"/>
              </w:rPr>
              <w:t>(Qc) (Civile) (Autorisation)</w:t>
            </w: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 xml:space="preserve">Responsabilité civile — Diffamation — Liberté de presse — Publicité des débats judiciaires — Faits rapportés exactement et de bonne foi — Procédure civile — Action vouée à l’échec — Procédure frivole ou dilatoire — Preuve nouvelle — </w:t>
            </w:r>
            <w:r w:rsidRPr="004B7487">
              <w:rPr>
                <w:i/>
                <w:sz w:val="20"/>
                <w:lang w:val="fr-CA"/>
              </w:rPr>
              <w:t>Loi sur la presse,</w:t>
            </w:r>
            <w:r w:rsidRPr="004B7487">
              <w:rPr>
                <w:sz w:val="20"/>
                <w:lang w:val="fr-CA"/>
              </w:rPr>
              <w:t xml:space="preserve"> RLRQ, c. P</w:t>
            </w:r>
            <w:r w:rsidRPr="004B7487">
              <w:rPr>
                <w:sz w:val="20"/>
                <w:lang w:val="fr-CA"/>
              </w:rPr>
              <w:noBreakHyphen/>
              <w:t xml:space="preserve">19, art. 10 — </w:t>
            </w:r>
            <w:r w:rsidRPr="004B7487">
              <w:rPr>
                <w:i/>
                <w:sz w:val="20"/>
                <w:lang w:val="fr-CA"/>
              </w:rPr>
              <w:t>Code de procédure civile</w:t>
            </w:r>
            <w:r w:rsidRPr="004B7487">
              <w:rPr>
                <w:sz w:val="20"/>
                <w:lang w:val="fr-CA"/>
              </w:rPr>
              <w:t>, RLRQ c. C</w:t>
            </w:r>
            <w:r w:rsidRPr="004B7487">
              <w:rPr>
                <w:sz w:val="20"/>
                <w:lang w:val="fr-CA"/>
              </w:rPr>
              <w:noBreakHyphen/>
              <w:t>25.01, art. 51, 380.</w:t>
            </w:r>
          </w:p>
        </w:tc>
      </w:tr>
      <w:tr w:rsidR="0012542D" w:rsidRPr="004B7487" w:rsidTr="0012542D">
        <w:tc>
          <w:tcPr>
            <w:tcW w:w="5000" w:type="pct"/>
            <w:gridSpan w:val="4"/>
          </w:tcPr>
          <w:p w:rsidR="0012542D" w:rsidRPr="004B7487" w:rsidRDefault="0012542D" w:rsidP="007775F6">
            <w:pPr>
              <w:jc w:val="both"/>
              <w:rPr>
                <w:sz w:val="20"/>
                <w:lang w:val="fr-CA"/>
              </w:rPr>
            </w:pPr>
          </w:p>
          <w:p w:rsidR="0012542D" w:rsidRPr="004B7487" w:rsidRDefault="0012542D" w:rsidP="007775F6">
            <w:pPr>
              <w:jc w:val="both"/>
              <w:rPr>
                <w:sz w:val="20"/>
                <w:lang w:val="fr-CA"/>
              </w:rPr>
            </w:pPr>
            <w:r w:rsidRPr="004B7487">
              <w:rPr>
                <w:sz w:val="20"/>
                <w:lang w:val="fr-CA"/>
              </w:rPr>
              <w:t>Les demandeurs intentent une action en dommages et intérêts pour libelle diffamatoire contre les intimées, une journaliste ayant rédigé un article ainsi que les journaux qui l’ont publié. L’article rapporte une décision par laquelle la Cour d’appel cassait la déclaration de culpabilité des demandeurs et ordonnait l’arrêt des procédures à leur égard dans une affaire de possession et d’exportation de marchandises contrôlées. Les demandeurs allèguent que l’article ne rapporte pas fidèlement l’arrêt de la Cour d’appel en plus de contenir des propos à caractère diffamatoire et ils reprochent aux intimées d’avoir commis une faute en n’obtenant pas leur version des faits. La Cour supérieure conclut que la journaliste a fidèlement et de bonne foi rapporté le contenu de la décision de la Cour d’appel, sans en déformer le contenu et qu’en conséquence la demande des intimées en rejet de l’action des demandeurs est fondée. Considérant que l’action des demandeurs était définitivement vouée à l’échec et que leur procédure était manifestement mal fondée, la cour réserve aux intimées le droit de réclamer les honoraires et débours engagés. La Cour d’appel rejette la requête pour preuve nouvelle des demandeurs et rejette leur appel, déterminant que les documents que les demandeurs souhaitent produire ne sont pas pertinents ou ne constituent pas une preuve nouvelle et concluant que l’action intentée par les demandeurs est vouée à l’échec.</w:t>
            </w:r>
          </w:p>
        </w:tc>
      </w:tr>
      <w:tr w:rsidR="0012542D" w:rsidRPr="004B7487" w:rsidTr="0012542D">
        <w:tc>
          <w:tcPr>
            <w:tcW w:w="5000" w:type="pct"/>
            <w:gridSpan w:val="4"/>
          </w:tcPr>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Le 30 avril 2018</w:t>
            </w:r>
          </w:p>
          <w:p w:rsidR="0012542D" w:rsidRPr="004B7487" w:rsidRDefault="0012542D" w:rsidP="007775F6">
            <w:pPr>
              <w:jc w:val="both"/>
              <w:rPr>
                <w:sz w:val="20"/>
                <w:lang w:val="fr-CA"/>
              </w:rPr>
            </w:pPr>
            <w:r w:rsidRPr="004B7487">
              <w:rPr>
                <w:sz w:val="20"/>
                <w:lang w:val="fr-CA"/>
              </w:rPr>
              <w:t>Cour supérieure du Québec</w:t>
            </w:r>
          </w:p>
          <w:p w:rsidR="0012542D" w:rsidRPr="004B7487" w:rsidRDefault="0012542D" w:rsidP="007775F6">
            <w:pPr>
              <w:jc w:val="both"/>
              <w:rPr>
                <w:sz w:val="20"/>
              </w:rPr>
            </w:pPr>
            <w:r w:rsidRPr="004B7487">
              <w:rPr>
                <w:sz w:val="20"/>
              </w:rPr>
              <w:t>(Le juge Babin)</w:t>
            </w:r>
          </w:p>
          <w:p w:rsidR="0012542D" w:rsidRPr="004B7487" w:rsidRDefault="0012542D" w:rsidP="007775F6">
            <w:pPr>
              <w:jc w:val="both"/>
              <w:rPr>
                <w:sz w:val="20"/>
              </w:rPr>
            </w:pPr>
            <w:r w:rsidRPr="004B7487">
              <w:rPr>
                <w:sz w:val="20"/>
              </w:rPr>
              <w:t>200</w:t>
            </w:r>
            <w:r w:rsidRPr="004B7487">
              <w:rPr>
                <w:sz w:val="20"/>
              </w:rPr>
              <w:noBreakHyphen/>
              <w:t>17</w:t>
            </w:r>
            <w:r w:rsidRPr="004B7487">
              <w:rPr>
                <w:sz w:val="20"/>
              </w:rPr>
              <w:noBreakHyphen/>
              <w:t>027217</w:t>
            </w:r>
            <w:r w:rsidRPr="004B7487">
              <w:rPr>
                <w:sz w:val="20"/>
              </w:rPr>
              <w:noBreakHyphen/>
              <w:t>181</w:t>
            </w:r>
          </w:p>
          <w:p w:rsidR="0012542D" w:rsidRPr="004B7487" w:rsidRDefault="004B7487" w:rsidP="007775F6">
            <w:pPr>
              <w:jc w:val="both"/>
              <w:rPr>
                <w:sz w:val="20"/>
              </w:rPr>
            </w:pPr>
            <w:hyperlink r:id="rId63" w:history="1">
              <w:r w:rsidR="0012542D" w:rsidRPr="004B7487">
                <w:rPr>
                  <w:rStyle w:val="Hyperlink"/>
                  <w:sz w:val="20"/>
                </w:rPr>
                <w:t>2018 QCCS 2325</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 xml:space="preserve">Demande en rejet d’action accueillie; action rejetée et déclarée manifestement mal fondée et abusive; droit des intimées de réclamer en dommages les honoraires et les débours encourus réservé; avec frais de justice. </w:t>
            </w: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Le 17 février 2020</w:t>
            </w:r>
          </w:p>
          <w:p w:rsidR="0012542D" w:rsidRPr="004B7487" w:rsidRDefault="0012542D" w:rsidP="007775F6">
            <w:pPr>
              <w:jc w:val="both"/>
              <w:rPr>
                <w:sz w:val="20"/>
                <w:lang w:val="fr-CA"/>
              </w:rPr>
            </w:pPr>
            <w:r w:rsidRPr="004B7487">
              <w:rPr>
                <w:sz w:val="20"/>
                <w:lang w:val="fr-CA"/>
              </w:rPr>
              <w:t>Cour d’appel du Québec (Québec)</w:t>
            </w:r>
          </w:p>
          <w:p w:rsidR="0012542D" w:rsidRPr="004B7487" w:rsidRDefault="0012542D" w:rsidP="007775F6">
            <w:pPr>
              <w:jc w:val="both"/>
              <w:rPr>
                <w:sz w:val="20"/>
                <w:lang w:val="fr-CA"/>
              </w:rPr>
            </w:pPr>
            <w:r w:rsidRPr="004B7487">
              <w:rPr>
                <w:sz w:val="20"/>
                <w:lang w:val="fr-CA"/>
              </w:rPr>
              <w:t>(Les juges Chamberland, Rancourt, Cotnam)</w:t>
            </w:r>
          </w:p>
          <w:p w:rsidR="0012542D" w:rsidRPr="004B7487" w:rsidRDefault="0012542D" w:rsidP="007775F6">
            <w:pPr>
              <w:jc w:val="both"/>
              <w:rPr>
                <w:sz w:val="20"/>
              </w:rPr>
            </w:pPr>
            <w:r w:rsidRPr="004B7487">
              <w:rPr>
                <w:sz w:val="20"/>
              </w:rPr>
              <w:t>200</w:t>
            </w:r>
            <w:r w:rsidRPr="004B7487">
              <w:rPr>
                <w:sz w:val="20"/>
              </w:rPr>
              <w:noBreakHyphen/>
              <w:t>09</w:t>
            </w:r>
            <w:r w:rsidRPr="004B7487">
              <w:rPr>
                <w:sz w:val="20"/>
              </w:rPr>
              <w:noBreakHyphen/>
              <w:t>009786</w:t>
            </w:r>
            <w:r w:rsidRPr="004B7487">
              <w:rPr>
                <w:sz w:val="20"/>
              </w:rPr>
              <w:noBreakHyphen/>
              <w:t>184</w:t>
            </w:r>
          </w:p>
          <w:p w:rsidR="0012542D" w:rsidRPr="004B7487" w:rsidRDefault="004B7487" w:rsidP="007775F6">
            <w:pPr>
              <w:jc w:val="both"/>
              <w:rPr>
                <w:sz w:val="20"/>
              </w:rPr>
            </w:pPr>
            <w:hyperlink r:id="rId64" w:history="1">
              <w:r w:rsidR="0012542D" w:rsidRPr="004B7487">
                <w:rPr>
                  <w:rStyle w:val="Hyperlink"/>
                  <w:sz w:val="20"/>
                </w:rPr>
                <w:t>2020 QCCA 254</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Requête pour preuve nouvelle rejetée, appel rejeté, avec frais de justice.</w:t>
            </w: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Le 15 avril 2020</w:t>
            </w:r>
          </w:p>
          <w:p w:rsidR="0012542D" w:rsidRPr="004B7487" w:rsidRDefault="0012542D" w:rsidP="007775F6">
            <w:pPr>
              <w:jc w:val="both"/>
              <w:rPr>
                <w:sz w:val="20"/>
                <w:lang w:val="fr-CA"/>
              </w:rPr>
            </w:pPr>
            <w:r w:rsidRPr="004B7487">
              <w:rPr>
                <w:sz w:val="20"/>
                <w:lang w:val="fr-CA"/>
              </w:rPr>
              <w:t>Cour suprême du Canada</w:t>
            </w: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rPr>
            </w:pPr>
            <w:r w:rsidRPr="004B7487">
              <w:rPr>
                <w:sz w:val="20"/>
              </w:rPr>
              <w:t>Demande d’autorisation d’appel déposée.</w:t>
            </w:r>
          </w:p>
          <w:p w:rsidR="0012542D" w:rsidRPr="004B7487" w:rsidRDefault="0012542D" w:rsidP="007775F6">
            <w:pPr>
              <w:jc w:val="both"/>
              <w:rPr>
                <w:sz w:val="20"/>
              </w:rPr>
            </w:pPr>
          </w:p>
        </w:tc>
      </w:tr>
    </w:tbl>
    <w:p w:rsidR="0012542D" w:rsidRPr="004B7487" w:rsidRDefault="0012542D" w:rsidP="007775F6">
      <w:pPr>
        <w:jc w:val="both"/>
        <w:rPr>
          <w:sz w:val="20"/>
        </w:rPr>
      </w:pPr>
    </w:p>
    <w:p w:rsidR="0028519E" w:rsidRPr="004B7487" w:rsidRDefault="004B7487" w:rsidP="007775F6">
      <w:pPr>
        <w:jc w:val="both"/>
        <w:rPr>
          <w:sz w:val="20"/>
        </w:rPr>
      </w:pPr>
      <w:r w:rsidRPr="004B7487">
        <w:rPr>
          <w:sz w:val="20"/>
        </w:rPr>
        <w:pict>
          <v:rect id="_x0000_i1046" style="width:2in;height:1pt" o:hrpct="0" o:hralign="center" o:hrstd="t" o:hrnoshade="t" o:hr="t" fillcolor="black [3213]" stroked="f"/>
        </w:pict>
      </w:r>
    </w:p>
    <w:p w:rsidR="0012542D" w:rsidRPr="004B7487" w:rsidRDefault="0012542D"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39320</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Shidan Ashraf v. Gabor Zinner, Zinner Law Office</w:t>
            </w:r>
          </w:p>
          <w:p w:rsidR="0012542D" w:rsidRPr="004B7487" w:rsidRDefault="0012542D" w:rsidP="007775F6">
            <w:pPr>
              <w:jc w:val="both"/>
              <w:rPr>
                <w:sz w:val="20"/>
              </w:rPr>
            </w:pPr>
            <w:r w:rsidRPr="004B7487">
              <w:rPr>
                <w:sz w:val="20"/>
              </w:rPr>
              <w:t>(Alta.) (Civil) (By Leave)</w:t>
            </w:r>
          </w:p>
        </w:tc>
      </w:tr>
      <w:tr w:rsidR="0012542D" w:rsidRPr="004B7487" w:rsidTr="0012542D">
        <w:tc>
          <w:tcPr>
            <w:tcW w:w="5000" w:type="pct"/>
            <w:gridSpan w:val="4"/>
          </w:tcPr>
          <w:p w:rsidR="0012542D" w:rsidRPr="004B7487" w:rsidRDefault="00D57A8E" w:rsidP="007775F6">
            <w:pPr>
              <w:jc w:val="both"/>
              <w:rPr>
                <w:color w:val="373739"/>
                <w:sz w:val="20"/>
              </w:rPr>
            </w:pPr>
            <w:r w:rsidRPr="004B7487">
              <w:rPr>
                <w:sz w:val="20"/>
              </w:rPr>
              <w:t>Torts — Solicitor’s breach of contractual and professional duties of care — Liability for damages, psychological injuries and exacerbation of physical illnesses — Breach of fiduciary duty –—Negligence in excluding constructive dismissal claim from statement of claim — Negligence in advice about a limitation period — Whether taint of client’s legal interests continued after Court of Appeal decision — Whether negligence caused client to settle prematurely or precluded argument on damages?</w:t>
            </w:r>
          </w:p>
          <w:p w:rsidR="0012542D" w:rsidRPr="004B7487" w:rsidRDefault="0012542D" w:rsidP="007775F6">
            <w:pPr>
              <w:jc w:val="both"/>
              <w:rPr>
                <w:sz w:val="20"/>
              </w:rPr>
            </w:pPr>
          </w:p>
        </w:tc>
      </w:tr>
      <w:tr w:rsidR="0012542D" w:rsidRPr="004B7487" w:rsidTr="0012542D">
        <w:tc>
          <w:tcPr>
            <w:tcW w:w="5000" w:type="pct"/>
            <w:gridSpan w:val="4"/>
          </w:tcPr>
          <w:p w:rsidR="0012542D" w:rsidRPr="004B7487" w:rsidRDefault="00D57A8E" w:rsidP="007775F6">
            <w:pPr>
              <w:pStyle w:val="felskynumbering12"/>
              <w:jc w:val="both"/>
              <w:rPr>
                <w:sz w:val="20"/>
                <w:szCs w:val="20"/>
              </w:rPr>
            </w:pPr>
            <w:r w:rsidRPr="004B7487">
              <w:rPr>
                <w:sz w:val="20"/>
                <w:szCs w:val="20"/>
              </w:rPr>
              <w:t>Mr. Zinner and Zinner Law Office advised and represented Mr. Ashraf in a claim against his employer but failed to include a claim for constructive dismissal in a statement of claim. Mr. Ashraf suffered costs and stress in subsequent efforts to amend the claim to plead constructive dismissal, including mental suffering, psychological injuries and exacerbation of physical injuries. The Court of Appeal restored the action in February 2015. Mr. Ashraf sued Mr. Zinner and Zinner Law Office for negligence, breach of contract, breach of trust, and breach of fiduciary duty. The trial judge found breach of contractual duties and breach of professional duties of care, and liability for damages, psychological injuries and exacerbation of physical illnesses up to February 2015, and otherwise dismissed the claim. The Court of Appeal dismissed an appeal.</w:t>
            </w:r>
          </w:p>
        </w:tc>
      </w:tr>
      <w:tr w:rsidR="0012542D" w:rsidRPr="004B7487" w:rsidTr="0012542D">
        <w:tc>
          <w:tcPr>
            <w:tcW w:w="5000" w:type="pct"/>
            <w:gridSpan w:val="4"/>
          </w:tcPr>
          <w:p w:rsidR="0012542D" w:rsidRPr="004B7487" w:rsidRDefault="0012542D" w:rsidP="007775F6">
            <w:pPr>
              <w:jc w:val="both"/>
              <w:rPr>
                <w:rStyle w:val="IntenseReference"/>
                <w:b w:val="0"/>
                <w:color w:val="auto"/>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May 24, 2019</w:t>
            </w:r>
          </w:p>
          <w:p w:rsidR="0012542D" w:rsidRPr="004B7487" w:rsidRDefault="0012542D" w:rsidP="007775F6">
            <w:pPr>
              <w:jc w:val="both"/>
              <w:rPr>
                <w:sz w:val="20"/>
              </w:rPr>
            </w:pPr>
            <w:r w:rsidRPr="004B7487">
              <w:rPr>
                <w:sz w:val="20"/>
              </w:rPr>
              <w:t>Court of Queen’s Bench of Alberta</w:t>
            </w:r>
          </w:p>
          <w:p w:rsidR="0012542D" w:rsidRPr="004B7487" w:rsidRDefault="0012542D" w:rsidP="007775F6">
            <w:pPr>
              <w:jc w:val="both"/>
              <w:rPr>
                <w:sz w:val="20"/>
              </w:rPr>
            </w:pPr>
            <w:r w:rsidRPr="004B7487">
              <w:rPr>
                <w:sz w:val="20"/>
              </w:rPr>
              <w:t>(Labrenz J.)</w:t>
            </w:r>
          </w:p>
          <w:p w:rsidR="0012542D" w:rsidRPr="004B7487" w:rsidRDefault="004B7487" w:rsidP="007775F6">
            <w:pPr>
              <w:jc w:val="both"/>
              <w:rPr>
                <w:rStyle w:val="Hyperlink"/>
                <w:sz w:val="20"/>
              </w:rPr>
            </w:pPr>
            <w:hyperlink r:id="rId65" w:history="1">
              <w:r w:rsidR="0012542D" w:rsidRPr="004B7487">
                <w:rPr>
                  <w:rStyle w:val="Hyperlink"/>
                  <w:sz w:val="20"/>
                </w:rPr>
                <w:t>2019 ABQB 389</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pStyle w:val="felskynumbering12"/>
              <w:jc w:val="both"/>
              <w:rPr>
                <w:sz w:val="20"/>
                <w:szCs w:val="20"/>
              </w:rPr>
            </w:pPr>
            <w:r w:rsidRPr="004B7487">
              <w:rPr>
                <w:sz w:val="20"/>
                <w:szCs w:val="20"/>
              </w:rPr>
              <w:t>Finding of breach of</w:t>
            </w:r>
            <w:r w:rsidRPr="004B7487">
              <w:rPr>
                <w:sz w:val="20"/>
                <w:szCs w:val="20"/>
                <w:lang w:val="en"/>
              </w:rPr>
              <w:t xml:space="preserve"> contractual duties and breach of professional duties of care, Finding of liability for damages, psychological injuries and exacerbation of physical illnesses up to February 2015</w:t>
            </w:r>
          </w:p>
        </w:tc>
      </w:tr>
      <w:tr w:rsidR="0012542D" w:rsidRPr="004B7487" w:rsidTr="0012542D">
        <w:tc>
          <w:tcPr>
            <w:tcW w:w="2427" w:type="pct"/>
            <w:gridSpan w:val="2"/>
          </w:tcPr>
          <w:p w:rsidR="0012542D" w:rsidRPr="004B7487" w:rsidRDefault="0012542D" w:rsidP="007775F6">
            <w:pPr>
              <w:jc w:val="both"/>
              <w:rPr>
                <w:sz w:val="20"/>
              </w:rPr>
            </w:pPr>
            <w:r w:rsidRPr="004B7487">
              <w:rPr>
                <w:sz w:val="20"/>
              </w:rPr>
              <w:t>May 14, 2020</w:t>
            </w:r>
          </w:p>
          <w:p w:rsidR="0012542D" w:rsidRPr="004B7487" w:rsidRDefault="0012542D" w:rsidP="007775F6">
            <w:pPr>
              <w:jc w:val="both"/>
              <w:rPr>
                <w:sz w:val="20"/>
              </w:rPr>
            </w:pPr>
            <w:r w:rsidRPr="004B7487">
              <w:rPr>
                <w:sz w:val="20"/>
              </w:rPr>
              <w:t>Court of Appeal of Alberta (Calgary)</w:t>
            </w:r>
          </w:p>
          <w:p w:rsidR="0012542D" w:rsidRPr="004B7487" w:rsidRDefault="0012542D" w:rsidP="007775F6">
            <w:pPr>
              <w:jc w:val="both"/>
              <w:rPr>
                <w:sz w:val="20"/>
              </w:rPr>
            </w:pPr>
            <w:r w:rsidRPr="004B7487">
              <w:rPr>
                <w:sz w:val="20"/>
              </w:rPr>
              <w:t xml:space="preserve">(Veldhuis, Crighton, Antonio JJ.A.) </w:t>
            </w:r>
          </w:p>
          <w:p w:rsidR="0012542D" w:rsidRPr="004B7487" w:rsidRDefault="0012542D" w:rsidP="007775F6">
            <w:pPr>
              <w:jc w:val="both"/>
              <w:rPr>
                <w:sz w:val="20"/>
              </w:rPr>
            </w:pPr>
            <w:r w:rsidRPr="004B7487">
              <w:rPr>
                <w:sz w:val="20"/>
              </w:rPr>
              <w:t>Unreported; 1901</w:t>
            </w:r>
            <w:r w:rsidRPr="004B7487">
              <w:rPr>
                <w:sz w:val="20"/>
              </w:rPr>
              <w:noBreakHyphen/>
              <w:t>0192</w:t>
            </w:r>
            <w:r w:rsidRPr="004B7487">
              <w:rPr>
                <w:sz w:val="20"/>
              </w:rPr>
              <w:noBreakHyphen/>
              <w:t>AC</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Appeal dismissed</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July 29, 2020</w:t>
            </w:r>
          </w:p>
          <w:p w:rsidR="0012542D" w:rsidRPr="004B7487" w:rsidRDefault="0012542D" w:rsidP="007775F6">
            <w:pPr>
              <w:jc w:val="both"/>
              <w:rPr>
                <w:sz w:val="20"/>
              </w:rPr>
            </w:pPr>
            <w:r w:rsidRPr="004B7487">
              <w:rPr>
                <w:sz w:val="20"/>
              </w:rPr>
              <w:t>Supreme Court of Canada</w:t>
            </w: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Application for leave to appeal filed</w:t>
            </w:r>
          </w:p>
          <w:p w:rsidR="0012542D" w:rsidRPr="004B7487" w:rsidRDefault="0012542D" w:rsidP="007775F6">
            <w:pPr>
              <w:jc w:val="both"/>
              <w:rPr>
                <w:sz w:val="20"/>
              </w:rPr>
            </w:pPr>
          </w:p>
        </w:tc>
      </w:tr>
    </w:tbl>
    <w:p w:rsidR="0012542D" w:rsidRPr="004B7487" w:rsidRDefault="0012542D" w:rsidP="007775F6">
      <w:pPr>
        <w:jc w:val="both"/>
        <w:rPr>
          <w:sz w:val="20"/>
        </w:rPr>
      </w:pPr>
    </w:p>
    <w:p w:rsidR="001002D2" w:rsidRPr="004B7487" w:rsidRDefault="004B7487" w:rsidP="007775F6">
      <w:pPr>
        <w:jc w:val="both"/>
        <w:rPr>
          <w:sz w:val="20"/>
        </w:rPr>
      </w:pPr>
      <w:r w:rsidRPr="004B7487">
        <w:rPr>
          <w:sz w:val="20"/>
        </w:rPr>
        <w:pict>
          <v:rect id="_x0000_i1047" style="width:2in;height:1pt" o:hrpct="0" o:hralign="center" o:hrstd="t" o:hrnoshade="t" o:hr="t" fillcolor="black [3213]" stroked="f"/>
        </w:pict>
      </w:r>
    </w:p>
    <w:p w:rsidR="001002D2" w:rsidRPr="004B7487" w:rsidRDefault="001002D2" w:rsidP="007775F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lang w:val="fr-CA"/>
              </w:rPr>
            </w:pPr>
            <w:r w:rsidRPr="004B7487">
              <w:rPr>
                <w:rStyle w:val="SCCFileNumberChar"/>
                <w:sz w:val="20"/>
                <w:szCs w:val="20"/>
                <w:lang w:val="fr-CA"/>
              </w:rPr>
              <w:t>39320</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Shidan Ashraf c. Gabor Zinner, Zinner Law Office</w:t>
            </w:r>
          </w:p>
          <w:p w:rsidR="0012542D" w:rsidRPr="004B7487" w:rsidRDefault="0012542D" w:rsidP="007775F6">
            <w:pPr>
              <w:jc w:val="both"/>
              <w:rPr>
                <w:sz w:val="20"/>
                <w:lang w:val="fr-CA"/>
              </w:rPr>
            </w:pPr>
            <w:r w:rsidRPr="004B7487">
              <w:rPr>
                <w:sz w:val="20"/>
                <w:lang w:val="fr-CA"/>
              </w:rPr>
              <w:t>(Alb.) (Civile) (Autorisation)</w:t>
            </w:r>
          </w:p>
        </w:tc>
      </w:tr>
      <w:tr w:rsidR="0012542D" w:rsidRPr="004B7487" w:rsidTr="0012542D">
        <w:tc>
          <w:tcPr>
            <w:tcW w:w="5000" w:type="pct"/>
            <w:gridSpan w:val="4"/>
          </w:tcPr>
          <w:p w:rsidR="0012542D" w:rsidRPr="004B7487" w:rsidRDefault="00D57A8E" w:rsidP="007775F6">
            <w:pPr>
              <w:jc w:val="both"/>
              <w:rPr>
                <w:sz w:val="20"/>
                <w:lang w:val="fr-CA"/>
              </w:rPr>
            </w:pPr>
            <w:r w:rsidRPr="004B7487">
              <w:rPr>
                <w:sz w:val="20"/>
                <w:lang w:val="fr-CA"/>
              </w:rPr>
              <w:t xml:space="preserve">Délits — Manquement par un avocat à ses obligations contractuelles et professionnelles de diligence — Responsabilité pour les dommages intérêts, les préjudices psychologiques et l’aggravation de maladies physiques — Manquement à l’obligation de fiduciaire — Négligence pour ne pas avoir inclus une allégation de congédiement déguisé dans une déclaration — Négligence dans les conseils relatifs au délai de prescription — Les intérêts juridiques du client </w:t>
            </w:r>
            <w:proofErr w:type="spellStart"/>
            <w:r w:rsidRPr="004B7487">
              <w:rPr>
                <w:sz w:val="20"/>
                <w:lang w:val="fr-CA"/>
              </w:rPr>
              <w:t>ont ils</w:t>
            </w:r>
            <w:proofErr w:type="spellEnd"/>
            <w:r w:rsidRPr="004B7487">
              <w:rPr>
                <w:sz w:val="20"/>
                <w:lang w:val="fr-CA"/>
              </w:rPr>
              <w:t xml:space="preserve"> continué à être entachés après l’arrêt de la Cour d’appel? — La négligence a </w:t>
            </w:r>
            <w:proofErr w:type="spellStart"/>
            <w:r w:rsidRPr="004B7487">
              <w:rPr>
                <w:sz w:val="20"/>
                <w:lang w:val="fr-CA"/>
              </w:rPr>
              <w:t>t elle</w:t>
            </w:r>
            <w:proofErr w:type="spellEnd"/>
            <w:r w:rsidRPr="004B7487">
              <w:rPr>
                <w:sz w:val="20"/>
                <w:lang w:val="fr-CA"/>
              </w:rPr>
              <w:t xml:space="preserve"> amené le client à régler prématurément le dossier ou empêché </w:t>
            </w:r>
            <w:proofErr w:type="spellStart"/>
            <w:r w:rsidRPr="004B7487">
              <w:rPr>
                <w:sz w:val="20"/>
                <w:lang w:val="fr-CA"/>
              </w:rPr>
              <w:t>celui ci</w:t>
            </w:r>
            <w:proofErr w:type="spellEnd"/>
            <w:r w:rsidRPr="004B7487">
              <w:rPr>
                <w:sz w:val="20"/>
                <w:lang w:val="fr-CA"/>
              </w:rPr>
              <w:t xml:space="preserve"> de faire valoir des arguments sur les dommages intérêts?</w:t>
            </w:r>
          </w:p>
          <w:p w:rsidR="0012542D" w:rsidRPr="004B7487" w:rsidRDefault="0012542D" w:rsidP="007775F6">
            <w:pPr>
              <w:jc w:val="both"/>
              <w:rPr>
                <w:sz w:val="20"/>
                <w:lang w:val="fr-CA"/>
              </w:rPr>
            </w:pPr>
          </w:p>
        </w:tc>
      </w:tr>
      <w:tr w:rsidR="0012542D" w:rsidRPr="004B7487" w:rsidTr="0012542D">
        <w:tc>
          <w:tcPr>
            <w:tcW w:w="5000" w:type="pct"/>
            <w:gridSpan w:val="4"/>
          </w:tcPr>
          <w:p w:rsidR="0012542D" w:rsidRPr="004B7487" w:rsidRDefault="00D57A8E" w:rsidP="007775F6">
            <w:pPr>
              <w:pStyle w:val="felskynumbering12"/>
              <w:jc w:val="both"/>
              <w:rPr>
                <w:sz w:val="20"/>
                <w:szCs w:val="20"/>
                <w:lang w:val="fr-CA"/>
              </w:rPr>
            </w:pPr>
            <w:r w:rsidRPr="004B7487">
              <w:rPr>
                <w:sz w:val="20"/>
                <w:szCs w:val="20"/>
                <w:lang w:val="fr-CA"/>
              </w:rPr>
              <w:t>M. Zinner et le Zinner Law Office ont conseillé et représenté M. Ashraf dans un recours contre son employeur, mais ils ont omis d’inclure une allégation de congédiement déguisé dans la déclaration. M. Ashraf a subi des frais et du stress lorsqu’il a essayé par la suite de modifier la demande pour invoquer le congédiement déguisé, y compris la souffrance morale, les préjudices psychologiques et l’aggravation de préjudices physiques. La Cour d’appel a rétabli l’action en février 2015. M. Ashraf a poursuivi M. Zinner et le Zinner Law Office pour négligence, violation de contrat, abus de confiance et manquement à l’obligation de fiduciaire. Le juge de première instance a conclu à un manquement aux obligations contractuelles et à un manquement aux obligations professionnelles de diligence, ainsi qu’à une responsabilité pour les dommages intérêts, les préjudices psychologiques et l’aggravation de maladies physiques jusqu’en février 2015, et a rejeté la demande pour le reste. La Cour d’appel a rejeté un appel.</w:t>
            </w:r>
          </w:p>
        </w:tc>
      </w:tr>
      <w:tr w:rsidR="0012542D" w:rsidRPr="004B7487" w:rsidTr="0012542D">
        <w:tc>
          <w:tcPr>
            <w:tcW w:w="5000" w:type="pct"/>
            <w:gridSpan w:val="4"/>
          </w:tcPr>
          <w:p w:rsidR="0012542D" w:rsidRPr="004B7487" w:rsidRDefault="0012542D" w:rsidP="007775F6">
            <w:pPr>
              <w:jc w:val="both"/>
              <w:rPr>
                <w:rStyle w:val="IntenseReference"/>
                <w:b w:val="0"/>
                <w:color w:val="auto"/>
                <w:sz w:val="20"/>
                <w:lang w:val="fr-CA"/>
              </w:rPr>
            </w:pPr>
          </w:p>
        </w:tc>
      </w:tr>
      <w:tr w:rsidR="0012542D" w:rsidRPr="004B7487" w:rsidTr="001002D2">
        <w:trPr>
          <w:trHeight w:val="1562"/>
        </w:trPr>
        <w:tc>
          <w:tcPr>
            <w:tcW w:w="2427" w:type="pct"/>
            <w:gridSpan w:val="2"/>
          </w:tcPr>
          <w:p w:rsidR="0012542D" w:rsidRPr="004B7487" w:rsidRDefault="0012542D" w:rsidP="007775F6">
            <w:pPr>
              <w:jc w:val="both"/>
              <w:rPr>
                <w:sz w:val="20"/>
                <w:lang w:val="fr-CA"/>
              </w:rPr>
            </w:pPr>
            <w:r w:rsidRPr="004B7487">
              <w:rPr>
                <w:sz w:val="20"/>
                <w:lang w:val="fr-CA"/>
              </w:rPr>
              <w:lastRenderedPageBreak/>
              <w:t>24 mai 2019</w:t>
            </w:r>
          </w:p>
          <w:p w:rsidR="0012542D" w:rsidRPr="004B7487" w:rsidRDefault="0012542D" w:rsidP="007775F6">
            <w:pPr>
              <w:jc w:val="both"/>
              <w:rPr>
                <w:sz w:val="20"/>
                <w:lang w:val="fr-CA"/>
              </w:rPr>
            </w:pPr>
            <w:r w:rsidRPr="004B7487">
              <w:rPr>
                <w:sz w:val="20"/>
                <w:lang w:val="fr-CA"/>
              </w:rPr>
              <w:t>Cour du Banc de la Reine de l’Alberta</w:t>
            </w:r>
          </w:p>
          <w:p w:rsidR="0012542D" w:rsidRPr="004B7487" w:rsidRDefault="0012542D" w:rsidP="007775F6">
            <w:pPr>
              <w:jc w:val="both"/>
              <w:rPr>
                <w:sz w:val="20"/>
                <w:lang w:val="fr-CA"/>
              </w:rPr>
            </w:pPr>
            <w:r w:rsidRPr="004B7487">
              <w:rPr>
                <w:sz w:val="20"/>
                <w:lang w:val="fr-CA"/>
              </w:rPr>
              <w:t>(Juge Labrenz)</w:t>
            </w:r>
          </w:p>
          <w:p w:rsidR="0012542D" w:rsidRPr="004B7487" w:rsidRDefault="004B7487" w:rsidP="007775F6">
            <w:pPr>
              <w:jc w:val="both"/>
              <w:rPr>
                <w:color w:val="0000FF"/>
                <w:sz w:val="20"/>
                <w:u w:val="single"/>
                <w:lang w:val="fr-CA"/>
              </w:rPr>
            </w:pPr>
            <w:hyperlink r:id="rId66" w:history="1">
              <w:r w:rsidR="0012542D" w:rsidRPr="004B7487">
                <w:rPr>
                  <w:rStyle w:val="Hyperlink"/>
                  <w:sz w:val="20"/>
                  <w:lang w:val="fr-CA"/>
                </w:rPr>
                <w:t>2019 ABQB 389</w:t>
              </w:r>
            </w:hyperlink>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1002D2">
            <w:pPr>
              <w:pStyle w:val="felskynumbering12"/>
              <w:spacing w:before="0" w:beforeAutospacing="0" w:after="0" w:afterAutospacing="0"/>
              <w:jc w:val="both"/>
              <w:rPr>
                <w:sz w:val="20"/>
                <w:szCs w:val="20"/>
                <w:lang w:val="fr-CA"/>
              </w:rPr>
            </w:pPr>
            <w:r w:rsidRPr="004B7487">
              <w:rPr>
                <w:sz w:val="20"/>
                <w:szCs w:val="20"/>
                <w:lang w:val="fr-CA"/>
              </w:rPr>
              <w:t>Jugement concluant à un manquement aux obligations contractuelles et à un manquement aux obligations professionnelles de diligence, ainsi qu’à une responsabilité pour les dommages</w:t>
            </w:r>
            <w:r w:rsidRPr="004B7487">
              <w:rPr>
                <w:sz w:val="20"/>
                <w:szCs w:val="20"/>
                <w:lang w:val="fr-CA"/>
              </w:rPr>
              <w:noBreakHyphen/>
              <w:t>intérêts, les préjudices psychologiques et l’aggravation des maladies physiques jusqu’en février 2015</w:t>
            </w:r>
          </w:p>
          <w:p w:rsidR="001002D2" w:rsidRPr="004B7487" w:rsidRDefault="001002D2" w:rsidP="001002D2">
            <w:pPr>
              <w:pStyle w:val="felskynumbering12"/>
              <w:spacing w:before="0" w:beforeAutospacing="0" w:after="0" w:afterAutospacing="0"/>
              <w:jc w:val="both"/>
              <w:rPr>
                <w:sz w:val="20"/>
                <w:szCs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14 mai 2020</w:t>
            </w:r>
          </w:p>
          <w:p w:rsidR="0012542D" w:rsidRPr="004B7487" w:rsidRDefault="0012542D" w:rsidP="007775F6">
            <w:pPr>
              <w:jc w:val="both"/>
              <w:rPr>
                <w:sz w:val="20"/>
                <w:lang w:val="fr-CA"/>
              </w:rPr>
            </w:pPr>
            <w:r w:rsidRPr="004B7487">
              <w:rPr>
                <w:sz w:val="20"/>
                <w:lang w:val="fr-CA"/>
              </w:rPr>
              <w:t>Cour d’appel de l’Alberta (Calgary)</w:t>
            </w:r>
          </w:p>
          <w:p w:rsidR="0012542D" w:rsidRPr="004B7487" w:rsidRDefault="0012542D" w:rsidP="007775F6">
            <w:pPr>
              <w:jc w:val="both"/>
              <w:rPr>
                <w:sz w:val="20"/>
                <w:lang w:val="fr-CA"/>
              </w:rPr>
            </w:pPr>
            <w:r w:rsidRPr="004B7487">
              <w:rPr>
                <w:sz w:val="20"/>
                <w:lang w:val="fr-CA"/>
              </w:rPr>
              <w:t xml:space="preserve">(Juges Veldhuis, Crighton et Antonio) </w:t>
            </w:r>
          </w:p>
          <w:p w:rsidR="0012542D" w:rsidRPr="004B7487" w:rsidRDefault="0012542D" w:rsidP="007775F6">
            <w:pPr>
              <w:jc w:val="both"/>
              <w:rPr>
                <w:sz w:val="20"/>
                <w:lang w:val="fr-CA"/>
              </w:rPr>
            </w:pPr>
            <w:r w:rsidRPr="004B7487">
              <w:rPr>
                <w:sz w:val="20"/>
                <w:lang w:val="fr-CA"/>
              </w:rPr>
              <w:t>Non publié; 1901</w:t>
            </w:r>
            <w:r w:rsidRPr="004B7487">
              <w:rPr>
                <w:sz w:val="20"/>
                <w:lang w:val="fr-CA"/>
              </w:rPr>
              <w:noBreakHyphen/>
              <w:t>0192</w:t>
            </w:r>
            <w:r w:rsidRPr="004B7487">
              <w:rPr>
                <w:sz w:val="20"/>
                <w:lang w:val="fr-CA"/>
              </w:rPr>
              <w:noBreakHyphen/>
              <w:t>AC</w:t>
            </w:r>
          </w:p>
          <w:p w:rsidR="0012542D" w:rsidRPr="004B7487" w:rsidRDefault="0012542D" w:rsidP="007775F6">
            <w:pPr>
              <w:jc w:val="both"/>
              <w:rPr>
                <w:sz w:val="20"/>
                <w:lang w:val="fr-CA"/>
              </w:rPr>
            </w:pP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Rejet de l’appel</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29 juillet 2020</w:t>
            </w:r>
          </w:p>
          <w:p w:rsidR="0012542D" w:rsidRPr="004B7487" w:rsidRDefault="0012542D" w:rsidP="007775F6">
            <w:pPr>
              <w:jc w:val="both"/>
              <w:rPr>
                <w:sz w:val="20"/>
                <w:lang w:val="fr-CA"/>
              </w:rPr>
            </w:pPr>
            <w:r w:rsidRPr="004B7487">
              <w:rPr>
                <w:sz w:val="20"/>
                <w:lang w:val="fr-CA"/>
              </w:rPr>
              <w:t>Cour suprême du Canada</w:t>
            </w: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Dépôt d’une demande d’autorisation d’appel</w:t>
            </w:r>
          </w:p>
          <w:p w:rsidR="0012542D" w:rsidRPr="004B7487" w:rsidRDefault="0012542D" w:rsidP="007775F6">
            <w:pPr>
              <w:jc w:val="both"/>
              <w:rPr>
                <w:sz w:val="20"/>
                <w:lang w:val="fr-CA"/>
              </w:rPr>
            </w:pPr>
          </w:p>
        </w:tc>
      </w:tr>
    </w:tbl>
    <w:p w:rsidR="0012542D" w:rsidRPr="004B7487" w:rsidRDefault="0012542D" w:rsidP="007775F6">
      <w:pPr>
        <w:jc w:val="both"/>
        <w:rPr>
          <w:sz w:val="20"/>
          <w:lang w:val="fr-CA"/>
        </w:rPr>
      </w:pPr>
    </w:p>
    <w:p w:rsidR="001002D2" w:rsidRPr="004B7487" w:rsidRDefault="004B7487" w:rsidP="007775F6">
      <w:pPr>
        <w:jc w:val="both"/>
        <w:rPr>
          <w:sz w:val="20"/>
          <w:lang w:val="fr-CA"/>
        </w:rPr>
      </w:pPr>
      <w:r w:rsidRPr="004B7487">
        <w:rPr>
          <w:sz w:val="20"/>
        </w:rPr>
        <w:pict>
          <v:rect id="_x0000_i1048" style="width:2in;height:1pt" o:hrpct="0" o:hralign="center" o:hrstd="t" o:hrnoshade="t" o:hr="t" fillcolor="black [3213]" stroked="f"/>
        </w:pict>
      </w:r>
    </w:p>
    <w:p w:rsidR="0012542D" w:rsidRPr="004B7487" w:rsidRDefault="0012542D"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lang w:val="en-CA"/>
              </w:rPr>
            </w:pPr>
            <w:r w:rsidRPr="004B7487">
              <w:rPr>
                <w:rStyle w:val="SCCFileNumberChar"/>
                <w:sz w:val="20"/>
                <w:szCs w:val="20"/>
              </w:rPr>
              <w:t>39242</w:t>
            </w:r>
          </w:p>
        </w:tc>
        <w:tc>
          <w:tcPr>
            <w:tcW w:w="4457" w:type="pct"/>
            <w:gridSpan w:val="3"/>
          </w:tcPr>
          <w:p w:rsidR="0012542D" w:rsidRPr="004B7487" w:rsidRDefault="0012542D" w:rsidP="007775F6">
            <w:pPr>
              <w:pStyle w:val="SCCLsocParty"/>
              <w:jc w:val="both"/>
              <w:rPr>
                <w:b/>
                <w:sz w:val="20"/>
                <w:szCs w:val="20"/>
                <w:lang w:val="en-CA"/>
              </w:rPr>
            </w:pPr>
            <w:r w:rsidRPr="004B7487">
              <w:rPr>
                <w:b/>
                <w:sz w:val="20"/>
                <w:szCs w:val="20"/>
                <w:lang w:val="en-CA"/>
              </w:rPr>
              <w:t>Xiao Len Lu v. Her Majesty the Queen</w:t>
            </w:r>
          </w:p>
          <w:p w:rsidR="0012542D" w:rsidRPr="004B7487" w:rsidRDefault="001002D2" w:rsidP="007775F6">
            <w:pPr>
              <w:jc w:val="both"/>
              <w:rPr>
                <w:sz w:val="20"/>
                <w:lang w:val="en-CA"/>
              </w:rPr>
            </w:pPr>
            <w:r w:rsidRPr="004B7487">
              <w:rPr>
                <w:sz w:val="20"/>
                <w:lang w:val="en-CA"/>
              </w:rPr>
              <w:t>(Que.) (Criminal) (By Leave)</w:t>
            </w:r>
          </w:p>
        </w:tc>
      </w:tr>
      <w:tr w:rsidR="0012542D" w:rsidRPr="004B7487" w:rsidTr="0012542D">
        <w:tc>
          <w:tcPr>
            <w:tcW w:w="5000" w:type="pct"/>
            <w:gridSpan w:val="4"/>
          </w:tcPr>
          <w:p w:rsidR="0012542D" w:rsidRPr="004B7487" w:rsidRDefault="0012542D" w:rsidP="007775F6">
            <w:pPr>
              <w:jc w:val="both"/>
              <w:rPr>
                <w:sz w:val="20"/>
                <w:lang w:val="en-CA"/>
              </w:rPr>
            </w:pPr>
            <w:proofErr w:type="gramStart"/>
            <w:r w:rsidRPr="004B7487">
              <w:rPr>
                <w:sz w:val="20"/>
                <w:lang w:val="en-CA"/>
              </w:rPr>
              <w:t xml:space="preserve">Charter of Rights — Right to an interpreter — Criminal law — Reasonable verdict — Whether manner in which witness uses services of interpreter can be relied on as factor in assessing his or her credibility — Whether Court of Appeal erred in law in finding that guilty verdict entered at trial on count of fraud was reasonable — </w:t>
            </w:r>
            <w:r w:rsidRPr="004B7487">
              <w:rPr>
                <w:i/>
                <w:sz w:val="20"/>
                <w:lang w:val="en-CA"/>
              </w:rPr>
              <w:t>Canadian Charter of Rights and Freedoms</w:t>
            </w:r>
            <w:r w:rsidRPr="004B7487">
              <w:rPr>
                <w:sz w:val="20"/>
                <w:lang w:val="en-CA"/>
              </w:rPr>
              <w:t>,</w:t>
            </w:r>
            <w:r w:rsidRPr="004B7487">
              <w:rPr>
                <w:i/>
                <w:sz w:val="20"/>
                <w:lang w:val="en-CA"/>
              </w:rPr>
              <w:t xml:space="preserve"> </w:t>
            </w:r>
            <w:r w:rsidRPr="004B7487">
              <w:rPr>
                <w:sz w:val="20"/>
                <w:lang w:val="en-CA"/>
              </w:rPr>
              <w:t>s. 14.</w:t>
            </w:r>
            <w:proofErr w:type="gramEnd"/>
          </w:p>
        </w:tc>
      </w:tr>
      <w:tr w:rsidR="0012542D" w:rsidRPr="004B7487" w:rsidTr="0012542D">
        <w:tc>
          <w:tcPr>
            <w:tcW w:w="5000" w:type="pct"/>
            <w:gridSpan w:val="4"/>
          </w:tcPr>
          <w:p w:rsidR="0012542D" w:rsidRPr="004B7487" w:rsidRDefault="0012542D" w:rsidP="007775F6">
            <w:pPr>
              <w:jc w:val="both"/>
              <w:rPr>
                <w:sz w:val="20"/>
                <w:lang w:val="en-CA"/>
              </w:rPr>
            </w:pPr>
          </w:p>
        </w:tc>
      </w:tr>
      <w:tr w:rsidR="0012542D" w:rsidRPr="004B7487" w:rsidTr="0012542D">
        <w:tc>
          <w:tcPr>
            <w:tcW w:w="5000" w:type="pct"/>
            <w:gridSpan w:val="4"/>
          </w:tcPr>
          <w:p w:rsidR="0012542D" w:rsidRPr="004B7487" w:rsidRDefault="0012542D" w:rsidP="007775F6">
            <w:pPr>
              <w:jc w:val="both"/>
              <w:rPr>
                <w:sz w:val="20"/>
                <w:lang w:val="en-CA"/>
              </w:rPr>
            </w:pPr>
            <w:r w:rsidRPr="004B7487">
              <w:rPr>
                <w:sz w:val="20"/>
                <w:lang w:val="en-CA"/>
              </w:rPr>
              <w:t xml:space="preserve">The respondent Crown alleged that the applicant, Ms. Lu, had committed fraud over $5,000 on the government and had conspired with one Ms. Zhao to commit that fraud. The offences </w:t>
            </w:r>
            <w:proofErr w:type="gramStart"/>
            <w:r w:rsidRPr="004B7487">
              <w:rPr>
                <w:sz w:val="20"/>
                <w:lang w:val="en-CA"/>
              </w:rPr>
              <w:t>were connected</w:t>
            </w:r>
            <w:proofErr w:type="gramEnd"/>
            <w:r w:rsidRPr="004B7487">
              <w:rPr>
                <w:sz w:val="20"/>
                <w:lang w:val="en-CA"/>
              </w:rPr>
              <w:t xml:space="preserve"> with the purchase of a daycare centre involving Ms. Zhao.</w:t>
            </w:r>
          </w:p>
          <w:p w:rsidR="0012542D" w:rsidRPr="004B7487" w:rsidRDefault="0012542D" w:rsidP="007775F6">
            <w:pPr>
              <w:jc w:val="both"/>
              <w:rPr>
                <w:sz w:val="20"/>
                <w:lang w:val="en-CA"/>
              </w:rPr>
            </w:pPr>
          </w:p>
          <w:p w:rsidR="0012542D" w:rsidRPr="004B7487" w:rsidRDefault="0012542D" w:rsidP="007775F6">
            <w:pPr>
              <w:jc w:val="both"/>
              <w:rPr>
                <w:sz w:val="20"/>
                <w:lang w:val="en-CA"/>
              </w:rPr>
            </w:pPr>
            <w:r w:rsidRPr="004B7487">
              <w:rPr>
                <w:sz w:val="20"/>
                <w:lang w:val="en-CA"/>
              </w:rPr>
              <w:t xml:space="preserve">The Court of Québec found that Ms. Zhao had, at Ms. Lu’s request, served as a </w:t>
            </w:r>
            <w:r w:rsidRPr="004B7487">
              <w:rPr>
                <w:i/>
                <w:sz w:val="20"/>
                <w:lang w:val="en-CA"/>
              </w:rPr>
              <w:t>prête</w:t>
            </w:r>
            <w:r w:rsidRPr="004B7487">
              <w:rPr>
                <w:i/>
                <w:sz w:val="20"/>
                <w:lang w:val="en-CA"/>
              </w:rPr>
              <w:noBreakHyphen/>
              <w:t>nom</w:t>
            </w:r>
            <w:r w:rsidRPr="004B7487">
              <w:rPr>
                <w:sz w:val="20"/>
                <w:lang w:val="en-CA"/>
              </w:rPr>
              <w:t xml:space="preserve"> for the purchase of the daycare centre and that the prosecution had shown that Ms. Lu had intentionally participated in a scheme to deceive the government, a scheme that had in fact caused it economic loss. Ms. Lu </w:t>
            </w:r>
            <w:proofErr w:type="gramStart"/>
            <w:r w:rsidRPr="004B7487">
              <w:rPr>
                <w:sz w:val="20"/>
                <w:lang w:val="en-CA"/>
              </w:rPr>
              <w:t>was convicted</w:t>
            </w:r>
            <w:proofErr w:type="gramEnd"/>
            <w:r w:rsidRPr="004B7487">
              <w:rPr>
                <w:sz w:val="20"/>
                <w:lang w:val="en-CA"/>
              </w:rPr>
              <w:t xml:space="preserve"> of the fraud and conspiracy charges laid against her. The Court of Appeal unanimously allowed the appeal in part, set aside the conviction on the count of conspiracy and dismissed the appeal on the count of fraud. It found that the judge had not erred in assessing Ms. Lu’s credibility and that the guilty verdict on the count of fraud was reasonable in light of the evidence.</w:t>
            </w:r>
          </w:p>
          <w:p w:rsidR="0012542D" w:rsidRPr="004B7487" w:rsidRDefault="0012542D" w:rsidP="007775F6">
            <w:pPr>
              <w:jc w:val="both"/>
              <w:rPr>
                <w:sz w:val="20"/>
                <w:lang w:val="en-CA"/>
              </w:rPr>
            </w:pPr>
          </w:p>
        </w:tc>
      </w:tr>
      <w:tr w:rsidR="0012542D" w:rsidRPr="004B7487" w:rsidTr="0012542D">
        <w:tc>
          <w:tcPr>
            <w:tcW w:w="2427" w:type="pct"/>
            <w:gridSpan w:val="2"/>
          </w:tcPr>
          <w:p w:rsidR="0012542D" w:rsidRPr="004B7487" w:rsidRDefault="0012542D" w:rsidP="007775F6">
            <w:pPr>
              <w:jc w:val="both"/>
              <w:rPr>
                <w:sz w:val="20"/>
                <w:lang w:val="en-CA"/>
              </w:rPr>
            </w:pPr>
            <w:r w:rsidRPr="004B7487">
              <w:rPr>
                <w:sz w:val="20"/>
                <w:lang w:val="en-CA"/>
              </w:rPr>
              <w:t>October 24, 2018</w:t>
            </w:r>
          </w:p>
          <w:p w:rsidR="0012542D" w:rsidRPr="004B7487" w:rsidRDefault="0012542D" w:rsidP="007775F6">
            <w:pPr>
              <w:jc w:val="both"/>
              <w:rPr>
                <w:sz w:val="20"/>
                <w:lang w:val="en-CA"/>
              </w:rPr>
            </w:pPr>
            <w:r w:rsidRPr="004B7487">
              <w:rPr>
                <w:sz w:val="20"/>
                <w:lang w:val="en-CA"/>
              </w:rPr>
              <w:t>Court of Québec</w:t>
            </w:r>
          </w:p>
          <w:p w:rsidR="0012542D" w:rsidRPr="004B7487" w:rsidRDefault="0012542D" w:rsidP="007775F6">
            <w:pPr>
              <w:jc w:val="both"/>
              <w:rPr>
                <w:sz w:val="20"/>
                <w:lang w:val="en-CA"/>
              </w:rPr>
            </w:pPr>
            <w:r w:rsidRPr="004B7487">
              <w:rPr>
                <w:sz w:val="20"/>
                <w:lang w:val="en-CA"/>
              </w:rPr>
              <w:t>(Judge Beauchemin)</w:t>
            </w:r>
          </w:p>
          <w:p w:rsidR="0012542D" w:rsidRPr="004B7487" w:rsidRDefault="0012542D" w:rsidP="007775F6">
            <w:pPr>
              <w:jc w:val="both"/>
              <w:rPr>
                <w:sz w:val="20"/>
                <w:lang w:val="en-CA"/>
              </w:rPr>
            </w:pPr>
            <w:r w:rsidRPr="004B7487">
              <w:rPr>
                <w:sz w:val="20"/>
                <w:lang w:val="en-CA"/>
              </w:rPr>
              <w:t>505</w:t>
            </w:r>
            <w:r w:rsidRPr="004B7487">
              <w:rPr>
                <w:sz w:val="20"/>
                <w:lang w:val="en-CA"/>
              </w:rPr>
              <w:noBreakHyphen/>
              <w:t>01</w:t>
            </w:r>
            <w:r w:rsidRPr="004B7487">
              <w:rPr>
                <w:sz w:val="20"/>
                <w:lang w:val="en-CA"/>
              </w:rPr>
              <w:noBreakHyphen/>
              <w:t>135143</w:t>
            </w:r>
            <w:r w:rsidRPr="004B7487">
              <w:rPr>
                <w:sz w:val="20"/>
                <w:lang w:val="en-CA"/>
              </w:rPr>
              <w:noBreakHyphen/>
              <w:t>168</w:t>
            </w:r>
          </w:p>
          <w:p w:rsidR="0012542D" w:rsidRPr="004B7487" w:rsidRDefault="0012542D" w:rsidP="007775F6">
            <w:pPr>
              <w:jc w:val="both"/>
              <w:rPr>
                <w:sz w:val="20"/>
                <w:lang w:val="en-CA"/>
              </w:rPr>
            </w:pPr>
          </w:p>
        </w:tc>
        <w:tc>
          <w:tcPr>
            <w:tcW w:w="243" w:type="pct"/>
          </w:tcPr>
          <w:p w:rsidR="0012542D" w:rsidRPr="004B7487" w:rsidRDefault="0012542D" w:rsidP="007775F6">
            <w:pPr>
              <w:jc w:val="both"/>
              <w:rPr>
                <w:sz w:val="20"/>
                <w:lang w:val="en-CA"/>
              </w:rPr>
            </w:pPr>
          </w:p>
        </w:tc>
        <w:tc>
          <w:tcPr>
            <w:tcW w:w="2330" w:type="pct"/>
          </w:tcPr>
          <w:p w:rsidR="0012542D" w:rsidRPr="004B7487" w:rsidRDefault="0012542D" w:rsidP="007775F6">
            <w:pPr>
              <w:jc w:val="both"/>
              <w:rPr>
                <w:sz w:val="20"/>
                <w:lang w:val="en-CA"/>
              </w:rPr>
            </w:pPr>
            <w:r w:rsidRPr="004B7487">
              <w:rPr>
                <w:sz w:val="20"/>
                <w:lang w:val="en-CA"/>
              </w:rPr>
              <w:t>Applicant convicted of fraud and conspiracy</w:t>
            </w:r>
          </w:p>
          <w:p w:rsidR="0012542D" w:rsidRPr="004B7487" w:rsidRDefault="0012542D" w:rsidP="007775F6">
            <w:pPr>
              <w:jc w:val="both"/>
              <w:rPr>
                <w:sz w:val="20"/>
                <w:lang w:val="en-CA"/>
              </w:rPr>
            </w:pPr>
          </w:p>
        </w:tc>
      </w:tr>
      <w:tr w:rsidR="0012542D" w:rsidRPr="004B7487" w:rsidTr="0012542D">
        <w:tc>
          <w:tcPr>
            <w:tcW w:w="2427" w:type="pct"/>
            <w:gridSpan w:val="2"/>
          </w:tcPr>
          <w:p w:rsidR="0012542D" w:rsidRPr="004B7487" w:rsidRDefault="0012542D" w:rsidP="007775F6">
            <w:pPr>
              <w:jc w:val="both"/>
              <w:rPr>
                <w:sz w:val="20"/>
                <w:lang w:val="en-CA"/>
              </w:rPr>
            </w:pPr>
            <w:r w:rsidRPr="004B7487">
              <w:rPr>
                <w:sz w:val="20"/>
                <w:lang w:val="en-CA"/>
              </w:rPr>
              <w:t>May 1, 2020</w:t>
            </w:r>
          </w:p>
          <w:p w:rsidR="0012542D" w:rsidRPr="004B7487" w:rsidRDefault="0012542D" w:rsidP="007775F6">
            <w:pPr>
              <w:jc w:val="both"/>
              <w:rPr>
                <w:sz w:val="20"/>
                <w:lang w:val="en-CA"/>
              </w:rPr>
            </w:pPr>
            <w:r w:rsidRPr="004B7487">
              <w:rPr>
                <w:sz w:val="20"/>
                <w:lang w:val="en-CA"/>
              </w:rPr>
              <w:t>Quebec Court of Appeal (Montréal)</w:t>
            </w:r>
          </w:p>
          <w:p w:rsidR="0012542D" w:rsidRPr="004B7487" w:rsidRDefault="0012542D" w:rsidP="007775F6">
            <w:pPr>
              <w:jc w:val="both"/>
              <w:rPr>
                <w:sz w:val="20"/>
                <w:lang w:val="en-CA"/>
              </w:rPr>
            </w:pPr>
            <w:r w:rsidRPr="004B7487">
              <w:rPr>
                <w:sz w:val="20"/>
                <w:lang w:val="en-CA"/>
              </w:rPr>
              <w:t>(Doyon, Roy and Cotnam JJ.A.)</w:t>
            </w:r>
          </w:p>
          <w:p w:rsidR="0012542D" w:rsidRPr="004B7487" w:rsidRDefault="004B7487" w:rsidP="007775F6">
            <w:pPr>
              <w:jc w:val="both"/>
              <w:rPr>
                <w:sz w:val="20"/>
                <w:lang w:val="en-CA"/>
              </w:rPr>
            </w:pPr>
            <w:hyperlink r:id="rId67" w:history="1">
              <w:r w:rsidR="0012542D" w:rsidRPr="004B7487">
                <w:rPr>
                  <w:rStyle w:val="Hyperlink"/>
                  <w:sz w:val="20"/>
                  <w:lang w:val="en-CA"/>
                </w:rPr>
                <w:t>2020 QCCA 625</w:t>
              </w:r>
            </w:hyperlink>
          </w:p>
          <w:p w:rsidR="0012542D" w:rsidRPr="004B7487" w:rsidRDefault="0012542D" w:rsidP="007775F6">
            <w:pPr>
              <w:jc w:val="both"/>
              <w:rPr>
                <w:sz w:val="20"/>
                <w:lang w:val="en-CA"/>
              </w:rPr>
            </w:pPr>
          </w:p>
        </w:tc>
        <w:tc>
          <w:tcPr>
            <w:tcW w:w="243" w:type="pct"/>
          </w:tcPr>
          <w:p w:rsidR="0012542D" w:rsidRPr="004B7487" w:rsidRDefault="0012542D" w:rsidP="007775F6">
            <w:pPr>
              <w:jc w:val="both"/>
              <w:rPr>
                <w:sz w:val="20"/>
                <w:lang w:val="en-CA"/>
              </w:rPr>
            </w:pPr>
          </w:p>
        </w:tc>
        <w:tc>
          <w:tcPr>
            <w:tcW w:w="2330" w:type="pct"/>
          </w:tcPr>
          <w:p w:rsidR="0012542D" w:rsidRPr="004B7487" w:rsidRDefault="0012542D" w:rsidP="007775F6">
            <w:pPr>
              <w:jc w:val="both"/>
              <w:rPr>
                <w:sz w:val="20"/>
                <w:lang w:val="en-CA"/>
              </w:rPr>
            </w:pPr>
            <w:r w:rsidRPr="004B7487">
              <w:rPr>
                <w:sz w:val="20"/>
                <w:lang w:val="en-CA"/>
              </w:rPr>
              <w:t>Appeal allowed in part and conviction on count of conspiracy set aside</w:t>
            </w:r>
          </w:p>
          <w:p w:rsidR="0012542D" w:rsidRPr="004B7487" w:rsidRDefault="0012542D" w:rsidP="007775F6">
            <w:pPr>
              <w:jc w:val="both"/>
              <w:rPr>
                <w:sz w:val="20"/>
                <w:lang w:val="en-CA"/>
              </w:rPr>
            </w:pPr>
          </w:p>
        </w:tc>
      </w:tr>
      <w:tr w:rsidR="0012542D" w:rsidRPr="004B7487" w:rsidTr="0012542D">
        <w:tc>
          <w:tcPr>
            <w:tcW w:w="2427" w:type="pct"/>
            <w:gridSpan w:val="2"/>
          </w:tcPr>
          <w:p w:rsidR="0012542D" w:rsidRPr="004B7487" w:rsidRDefault="0012542D" w:rsidP="007775F6">
            <w:pPr>
              <w:jc w:val="both"/>
              <w:rPr>
                <w:sz w:val="20"/>
                <w:lang w:val="en-CA"/>
              </w:rPr>
            </w:pPr>
            <w:r w:rsidRPr="004B7487">
              <w:rPr>
                <w:sz w:val="20"/>
                <w:lang w:val="en-CA"/>
              </w:rPr>
              <w:t>June 30, 2020</w:t>
            </w:r>
          </w:p>
          <w:p w:rsidR="0012542D" w:rsidRPr="004B7487" w:rsidRDefault="0012542D" w:rsidP="007775F6">
            <w:pPr>
              <w:jc w:val="both"/>
              <w:rPr>
                <w:sz w:val="20"/>
                <w:lang w:val="en-CA"/>
              </w:rPr>
            </w:pPr>
            <w:r w:rsidRPr="004B7487">
              <w:rPr>
                <w:sz w:val="20"/>
                <w:lang w:val="en-CA"/>
              </w:rPr>
              <w:t>Supreme Court of Canada</w:t>
            </w:r>
          </w:p>
        </w:tc>
        <w:tc>
          <w:tcPr>
            <w:tcW w:w="243" w:type="pct"/>
          </w:tcPr>
          <w:p w:rsidR="0012542D" w:rsidRPr="004B7487" w:rsidRDefault="0012542D" w:rsidP="007775F6">
            <w:pPr>
              <w:jc w:val="both"/>
              <w:rPr>
                <w:sz w:val="20"/>
                <w:lang w:val="en-CA"/>
              </w:rPr>
            </w:pPr>
          </w:p>
        </w:tc>
        <w:tc>
          <w:tcPr>
            <w:tcW w:w="2330" w:type="pct"/>
          </w:tcPr>
          <w:p w:rsidR="0012542D" w:rsidRPr="004B7487" w:rsidRDefault="0012542D" w:rsidP="007775F6">
            <w:pPr>
              <w:jc w:val="both"/>
              <w:rPr>
                <w:sz w:val="20"/>
                <w:lang w:val="en-CA"/>
              </w:rPr>
            </w:pPr>
            <w:r w:rsidRPr="004B7487">
              <w:rPr>
                <w:sz w:val="20"/>
                <w:lang w:val="en-CA"/>
              </w:rPr>
              <w:t>Application for leave to appeal filed</w:t>
            </w:r>
          </w:p>
          <w:p w:rsidR="0012542D" w:rsidRPr="004B7487" w:rsidRDefault="0012542D" w:rsidP="007775F6">
            <w:pPr>
              <w:jc w:val="both"/>
              <w:rPr>
                <w:sz w:val="20"/>
                <w:lang w:val="en-CA"/>
              </w:rPr>
            </w:pPr>
          </w:p>
        </w:tc>
      </w:tr>
    </w:tbl>
    <w:p w:rsidR="0012542D" w:rsidRPr="004B7487" w:rsidRDefault="0012542D" w:rsidP="007775F6">
      <w:pPr>
        <w:jc w:val="both"/>
        <w:rPr>
          <w:sz w:val="20"/>
          <w:lang w:val="en-CA"/>
        </w:rPr>
      </w:pPr>
    </w:p>
    <w:p w:rsidR="001002D2" w:rsidRPr="004B7487" w:rsidRDefault="004B7487" w:rsidP="007775F6">
      <w:pPr>
        <w:jc w:val="both"/>
        <w:rPr>
          <w:sz w:val="20"/>
          <w:lang w:val="en-CA"/>
        </w:rPr>
      </w:pPr>
      <w:r w:rsidRPr="004B7487">
        <w:rPr>
          <w:sz w:val="20"/>
        </w:rPr>
        <w:pict>
          <v:rect id="_x0000_i1049" style="width:2in;height:1pt" o:hrpct="0" o:hralign="center" o:hrstd="t" o:hrnoshade="t" o:hr="t" fillcolor="black [3213]" stroked="f"/>
        </w:pict>
      </w:r>
    </w:p>
    <w:p w:rsidR="001002D2" w:rsidRPr="004B7487" w:rsidRDefault="001002D2" w:rsidP="007775F6">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39242</w:t>
            </w:r>
          </w:p>
        </w:tc>
        <w:tc>
          <w:tcPr>
            <w:tcW w:w="4457" w:type="pct"/>
            <w:gridSpan w:val="3"/>
          </w:tcPr>
          <w:p w:rsidR="0012542D" w:rsidRPr="004B7487" w:rsidRDefault="0012542D" w:rsidP="007775F6">
            <w:pPr>
              <w:pStyle w:val="SCCLsocParty"/>
              <w:jc w:val="both"/>
              <w:rPr>
                <w:b/>
                <w:sz w:val="20"/>
                <w:szCs w:val="20"/>
              </w:rPr>
            </w:pPr>
            <w:r w:rsidRPr="004B7487">
              <w:rPr>
                <w:b/>
                <w:sz w:val="20"/>
                <w:szCs w:val="20"/>
              </w:rPr>
              <w:t>Xiao Len Lu c. Sa Majesté la Reine</w:t>
            </w:r>
          </w:p>
          <w:p w:rsidR="0012542D" w:rsidRPr="004B7487" w:rsidRDefault="0012542D" w:rsidP="007775F6">
            <w:pPr>
              <w:jc w:val="both"/>
              <w:rPr>
                <w:sz w:val="20"/>
              </w:rPr>
            </w:pPr>
            <w:r w:rsidRPr="004B7487">
              <w:rPr>
                <w:sz w:val="20"/>
              </w:rPr>
              <w:t>(</w:t>
            </w:r>
            <w:r w:rsidR="001002D2" w:rsidRPr="004B7487">
              <w:rPr>
                <w:sz w:val="20"/>
              </w:rPr>
              <w:t>Qc) (Criminelle) (Autorisation)</w:t>
            </w:r>
          </w:p>
        </w:tc>
      </w:tr>
      <w:tr w:rsidR="0012542D" w:rsidRPr="004B7487" w:rsidTr="0012542D">
        <w:tc>
          <w:tcPr>
            <w:tcW w:w="5000" w:type="pct"/>
            <w:gridSpan w:val="4"/>
          </w:tcPr>
          <w:p w:rsidR="0012542D" w:rsidRPr="004B7487" w:rsidRDefault="0012542D" w:rsidP="007775F6">
            <w:pPr>
              <w:jc w:val="both"/>
              <w:rPr>
                <w:sz w:val="20"/>
                <w:lang w:val="fr-CA"/>
              </w:rPr>
            </w:pPr>
            <w:r w:rsidRPr="004B7487">
              <w:rPr>
                <w:i/>
                <w:sz w:val="20"/>
                <w:lang w:val="fr-CA"/>
              </w:rPr>
              <w:t>Charte des droits</w:t>
            </w:r>
            <w:r w:rsidRPr="004B7487">
              <w:rPr>
                <w:sz w:val="20"/>
                <w:lang w:val="fr-CA"/>
              </w:rPr>
              <w:t xml:space="preserve"> — Droit à un interprète — Droit criminel — Verdict raisonnable — Est</w:t>
            </w:r>
            <w:r w:rsidRPr="004B7487">
              <w:rPr>
                <w:sz w:val="20"/>
                <w:lang w:val="fr-CA"/>
              </w:rPr>
              <w:noBreakHyphen/>
              <w:t xml:space="preserve">il loisible de se fonder sur la manière dont un témoin recourt aux services d’un interprète à titre d’élément pour évaluer sa crédibilité? — La </w:t>
            </w:r>
            <w:r w:rsidRPr="004B7487">
              <w:rPr>
                <w:sz w:val="20"/>
                <w:lang w:val="fr-CA"/>
              </w:rPr>
              <w:lastRenderedPageBreak/>
              <w:t>Cour d’appel a</w:t>
            </w:r>
            <w:r w:rsidRPr="004B7487">
              <w:rPr>
                <w:sz w:val="20"/>
                <w:lang w:val="fr-CA"/>
              </w:rPr>
              <w:noBreakHyphen/>
              <w:t>t</w:t>
            </w:r>
            <w:r w:rsidRPr="004B7487">
              <w:rPr>
                <w:sz w:val="20"/>
                <w:lang w:val="fr-CA"/>
              </w:rPr>
              <w:noBreakHyphen/>
              <w:t xml:space="preserve">elle commis une erreur de droit en concluant que le verdict de culpabilité prononcé en première instance sur le chef de fraude était raisonnable? — </w:t>
            </w:r>
            <w:r w:rsidRPr="004B7487">
              <w:rPr>
                <w:i/>
                <w:sz w:val="20"/>
                <w:lang w:val="fr-CA"/>
              </w:rPr>
              <w:t>Charte canadienne des droits et libertés</w:t>
            </w:r>
            <w:r w:rsidRPr="004B7487">
              <w:rPr>
                <w:sz w:val="20"/>
                <w:lang w:val="fr-CA"/>
              </w:rPr>
              <w:t>,</w:t>
            </w:r>
            <w:r w:rsidRPr="004B7487">
              <w:rPr>
                <w:i/>
                <w:sz w:val="20"/>
                <w:lang w:val="fr-CA"/>
              </w:rPr>
              <w:t xml:space="preserve"> </w:t>
            </w:r>
            <w:r w:rsidRPr="004B7487">
              <w:rPr>
                <w:sz w:val="20"/>
                <w:lang w:val="fr-CA"/>
              </w:rPr>
              <w:t>art. 14.</w:t>
            </w:r>
          </w:p>
        </w:tc>
      </w:tr>
      <w:tr w:rsidR="0012542D" w:rsidRPr="004B7487" w:rsidTr="0012542D">
        <w:tc>
          <w:tcPr>
            <w:tcW w:w="5000" w:type="pct"/>
            <w:gridSpan w:val="4"/>
          </w:tcPr>
          <w:p w:rsidR="0012542D" w:rsidRPr="004B7487" w:rsidRDefault="0012542D" w:rsidP="007775F6">
            <w:pPr>
              <w:jc w:val="both"/>
              <w:rPr>
                <w:sz w:val="20"/>
                <w:lang w:val="fr-CA"/>
              </w:rPr>
            </w:pP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La Couronne intimée reproche à la demanderesse Mme Lu d’avoir commis une fraude excédant 5000$ à l’encontre du gouvernement, et d’avoir comploté avec une Mme Zhao afin de commettre cette fraude — le tout en lien avec l’achat d’une garderie impliquant Mme Zhao.</w:t>
            </w:r>
          </w:p>
          <w:p w:rsidR="0012542D" w:rsidRPr="004B7487" w:rsidRDefault="0012542D" w:rsidP="007775F6">
            <w:pPr>
              <w:jc w:val="both"/>
              <w:rPr>
                <w:sz w:val="20"/>
                <w:lang w:val="fr-CA"/>
              </w:rPr>
            </w:pPr>
          </w:p>
          <w:p w:rsidR="0012542D" w:rsidRPr="004B7487" w:rsidRDefault="0012542D" w:rsidP="007775F6">
            <w:pPr>
              <w:jc w:val="both"/>
              <w:rPr>
                <w:sz w:val="20"/>
                <w:lang w:val="fr-CA"/>
              </w:rPr>
            </w:pPr>
            <w:r w:rsidRPr="004B7487">
              <w:rPr>
                <w:sz w:val="20"/>
                <w:lang w:val="fr-CA"/>
              </w:rPr>
              <w:t>La Cour du Québec conclut que Mme Zhao a servi de prête</w:t>
            </w:r>
            <w:r w:rsidRPr="004B7487">
              <w:rPr>
                <w:sz w:val="20"/>
                <w:lang w:val="fr-CA"/>
              </w:rPr>
              <w:noBreakHyphen/>
              <w:t>nom pour l’achat de la garderie, à la demande de Mme Lu, et que la poursuite a démontré la participation intentionnelle de Mme Lu à un stratagème visant à tromper le gouvernement, ce qui a effectivement occasionné à celui</w:t>
            </w:r>
            <w:r w:rsidRPr="004B7487">
              <w:rPr>
                <w:sz w:val="20"/>
                <w:lang w:val="fr-CA"/>
              </w:rPr>
              <w:noBreakHyphen/>
              <w:t>ci un préjudice financier. Mme Lu est déclarée coupable des accusations de fraude et de complot portées contre elle. La Cour d’appel, unanime, accueille l’appel en partie, infirmant la déclaration de culpabilité sur le chef de complot et rejetant l’appel visant le chef de fraude. La cour considère que la juge n’a pas erré dans son évaluation de la crédibilité de Mme Lu, et que le verdict de culpabilité pour fraude était raisonnable en regard de la preuve.</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Le 24 octobre 2018</w:t>
            </w:r>
          </w:p>
          <w:p w:rsidR="0012542D" w:rsidRPr="004B7487" w:rsidRDefault="0012542D" w:rsidP="007775F6">
            <w:pPr>
              <w:jc w:val="both"/>
              <w:rPr>
                <w:sz w:val="20"/>
                <w:lang w:val="fr-CA"/>
              </w:rPr>
            </w:pPr>
            <w:r w:rsidRPr="004B7487">
              <w:rPr>
                <w:sz w:val="20"/>
                <w:lang w:val="fr-CA"/>
              </w:rPr>
              <w:t>Cour du Québec</w:t>
            </w:r>
          </w:p>
          <w:p w:rsidR="0012542D" w:rsidRPr="004B7487" w:rsidRDefault="0012542D" w:rsidP="007775F6">
            <w:pPr>
              <w:jc w:val="both"/>
              <w:rPr>
                <w:sz w:val="20"/>
                <w:lang w:val="fr-CA"/>
              </w:rPr>
            </w:pPr>
            <w:r w:rsidRPr="004B7487">
              <w:rPr>
                <w:sz w:val="20"/>
                <w:lang w:val="fr-CA"/>
              </w:rPr>
              <w:t>(la juge Beauchemin)</w:t>
            </w:r>
          </w:p>
          <w:p w:rsidR="0012542D" w:rsidRPr="004B7487" w:rsidRDefault="0012542D" w:rsidP="007775F6">
            <w:pPr>
              <w:jc w:val="both"/>
              <w:rPr>
                <w:sz w:val="20"/>
              </w:rPr>
            </w:pPr>
            <w:r w:rsidRPr="004B7487">
              <w:rPr>
                <w:sz w:val="20"/>
              </w:rPr>
              <w:t>505</w:t>
            </w:r>
            <w:r w:rsidRPr="004B7487">
              <w:rPr>
                <w:sz w:val="20"/>
              </w:rPr>
              <w:noBreakHyphen/>
              <w:t>01</w:t>
            </w:r>
            <w:r w:rsidRPr="004B7487">
              <w:rPr>
                <w:sz w:val="20"/>
              </w:rPr>
              <w:noBreakHyphen/>
              <w:t>135143</w:t>
            </w:r>
            <w:r w:rsidRPr="004B7487">
              <w:rPr>
                <w:sz w:val="20"/>
              </w:rPr>
              <w:noBreakHyphen/>
              <w:t>168</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Demanderesse déclarée coupable de fraude et de complot</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Le 1 mai 2020</w:t>
            </w:r>
          </w:p>
          <w:p w:rsidR="0012542D" w:rsidRPr="004B7487" w:rsidRDefault="0012542D" w:rsidP="007775F6">
            <w:pPr>
              <w:jc w:val="both"/>
              <w:rPr>
                <w:sz w:val="20"/>
                <w:lang w:val="fr-CA"/>
              </w:rPr>
            </w:pPr>
            <w:r w:rsidRPr="004B7487">
              <w:rPr>
                <w:sz w:val="20"/>
                <w:lang w:val="fr-CA"/>
              </w:rPr>
              <w:t>Cour d’appel du Québec (Montréal)</w:t>
            </w:r>
          </w:p>
          <w:p w:rsidR="0012542D" w:rsidRPr="004B7487" w:rsidRDefault="0012542D" w:rsidP="007775F6">
            <w:pPr>
              <w:jc w:val="both"/>
              <w:rPr>
                <w:sz w:val="20"/>
                <w:lang w:val="fr-CA"/>
              </w:rPr>
            </w:pPr>
            <w:r w:rsidRPr="004B7487">
              <w:rPr>
                <w:sz w:val="20"/>
                <w:lang w:val="fr-CA"/>
              </w:rPr>
              <w:t>(les juges Doyon, Roy et Cotnam)</w:t>
            </w:r>
          </w:p>
          <w:p w:rsidR="0012542D" w:rsidRPr="004B7487" w:rsidRDefault="004B7487" w:rsidP="007775F6">
            <w:pPr>
              <w:jc w:val="both"/>
              <w:rPr>
                <w:sz w:val="20"/>
              </w:rPr>
            </w:pPr>
            <w:hyperlink r:id="rId68" w:history="1">
              <w:r w:rsidR="0012542D" w:rsidRPr="004B7487">
                <w:rPr>
                  <w:rStyle w:val="Hyperlink"/>
                  <w:sz w:val="20"/>
                </w:rPr>
                <w:t>2020 QCCA 625</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Appel accueilli en partie, déclaration de culpabilité sur le chef de complot infirmée</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Le 30 juin 2020</w:t>
            </w:r>
          </w:p>
          <w:p w:rsidR="0012542D" w:rsidRPr="004B7487" w:rsidRDefault="0012542D" w:rsidP="007775F6">
            <w:pPr>
              <w:jc w:val="both"/>
              <w:rPr>
                <w:sz w:val="20"/>
                <w:lang w:val="fr-CA"/>
              </w:rPr>
            </w:pPr>
            <w:r w:rsidRPr="004B7487">
              <w:rPr>
                <w:sz w:val="20"/>
                <w:lang w:val="fr-CA"/>
              </w:rPr>
              <w:t>Cour suprême du Canada</w:t>
            </w: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rPr>
            </w:pPr>
            <w:r w:rsidRPr="004B7487">
              <w:rPr>
                <w:sz w:val="20"/>
              </w:rPr>
              <w:t>Demande d’autorisation d’appel déposée</w:t>
            </w:r>
          </w:p>
          <w:p w:rsidR="0012542D" w:rsidRPr="004B7487" w:rsidRDefault="0012542D" w:rsidP="007775F6">
            <w:pPr>
              <w:jc w:val="both"/>
              <w:rPr>
                <w:sz w:val="20"/>
              </w:rPr>
            </w:pPr>
          </w:p>
        </w:tc>
      </w:tr>
    </w:tbl>
    <w:p w:rsidR="0012542D" w:rsidRPr="004B7487" w:rsidRDefault="0012542D" w:rsidP="007775F6">
      <w:pPr>
        <w:jc w:val="both"/>
        <w:rPr>
          <w:sz w:val="20"/>
        </w:rPr>
      </w:pPr>
    </w:p>
    <w:p w:rsidR="0012542D" w:rsidRPr="004B7487" w:rsidRDefault="004B7487" w:rsidP="007775F6">
      <w:pPr>
        <w:widowControl w:val="0"/>
        <w:jc w:val="both"/>
        <w:rPr>
          <w:sz w:val="20"/>
          <w:lang w:val="fr-CA"/>
        </w:rPr>
      </w:pPr>
      <w:r w:rsidRPr="004B7487">
        <w:rPr>
          <w:sz w:val="20"/>
        </w:rPr>
        <w:pict>
          <v:rect id="_x0000_i1050" style="width:2in;height:1pt" o:hrpct="0" o:hralign="center" o:hrstd="t" o:hrnoshade="t" o:hr="t" fillcolor="black [3213]" stroked="f"/>
        </w:pict>
      </w:r>
    </w:p>
    <w:p w:rsidR="001002D2" w:rsidRPr="004B7487" w:rsidRDefault="001002D2"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39346</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Her Majesty the Queen in Right of Canada v. Cheyenne Sharma</w:t>
            </w:r>
          </w:p>
          <w:p w:rsidR="0012542D" w:rsidRPr="004B7487" w:rsidRDefault="0012542D" w:rsidP="007775F6">
            <w:pPr>
              <w:jc w:val="both"/>
              <w:rPr>
                <w:sz w:val="20"/>
              </w:rPr>
            </w:pPr>
            <w:r w:rsidRPr="004B7487">
              <w:rPr>
                <w:sz w:val="20"/>
              </w:rPr>
              <w:t>(Ont.) (Criminal) (By Leave)</w:t>
            </w:r>
          </w:p>
        </w:tc>
      </w:tr>
      <w:tr w:rsidR="0012542D" w:rsidRPr="004B7487" w:rsidTr="0012542D">
        <w:tc>
          <w:tcPr>
            <w:tcW w:w="5000" w:type="pct"/>
            <w:gridSpan w:val="4"/>
          </w:tcPr>
          <w:p w:rsidR="0012542D" w:rsidRPr="004B7487" w:rsidRDefault="0012542D" w:rsidP="007775F6">
            <w:pPr>
              <w:jc w:val="both"/>
              <w:rPr>
                <w:sz w:val="20"/>
              </w:rPr>
            </w:pPr>
            <w:r w:rsidRPr="004B7487">
              <w:rPr>
                <w:i/>
                <w:sz w:val="20"/>
              </w:rPr>
              <w:t>Charter of rights</w:t>
            </w:r>
            <w:r w:rsidRPr="004B7487">
              <w:rPr>
                <w:sz w:val="20"/>
              </w:rPr>
              <w:t xml:space="preserve"> — Right to life, liberty and security of the person — Right to equality – Discrimination based on race — Criminal law — Sentencing — Whether ss. 742.1(c) and 742.1(e)(ii) of the </w:t>
            </w:r>
            <w:r w:rsidRPr="004B7487">
              <w:rPr>
                <w:i/>
                <w:sz w:val="20"/>
              </w:rPr>
              <w:t>Criminal Code</w:t>
            </w:r>
            <w:r w:rsidRPr="004B7487">
              <w:rPr>
                <w:sz w:val="20"/>
              </w:rPr>
              <w:t xml:space="preserve"> infringe the right to equality of Indigenous offenders under s. 15 of the </w:t>
            </w:r>
            <w:r w:rsidRPr="004B7487">
              <w:rPr>
                <w:i/>
                <w:sz w:val="20"/>
              </w:rPr>
              <w:t>Charter</w:t>
            </w:r>
            <w:r w:rsidRPr="004B7487">
              <w:rPr>
                <w:sz w:val="20"/>
              </w:rPr>
              <w:t xml:space="preserve"> — Whether the introduction of conditional sentences in the 1996 amendments to the </w:t>
            </w:r>
            <w:r w:rsidRPr="004B7487">
              <w:rPr>
                <w:i/>
                <w:sz w:val="20"/>
              </w:rPr>
              <w:t xml:space="preserve">Criminal Code </w:t>
            </w:r>
            <w:r w:rsidRPr="004B7487">
              <w:rPr>
                <w:sz w:val="20"/>
              </w:rPr>
              <w:t xml:space="preserve">created a “benefit” for Indigenous offenders from which Parliament cannot derogate without violating s. 15 of the </w:t>
            </w:r>
            <w:r w:rsidRPr="004B7487">
              <w:rPr>
                <w:i/>
                <w:sz w:val="20"/>
              </w:rPr>
              <w:t>Charter</w:t>
            </w:r>
            <w:r w:rsidRPr="004B7487">
              <w:rPr>
                <w:sz w:val="20"/>
              </w:rPr>
              <w:t xml:space="preserve"> —Whether limiting the availability of conditional sentences for serious offences as defined by their maximum penalty is overbroad in violation of s. 7 of the </w:t>
            </w:r>
            <w:r w:rsidRPr="004B7487">
              <w:rPr>
                <w:i/>
                <w:sz w:val="20"/>
              </w:rPr>
              <w:t>Charter</w:t>
            </w:r>
            <w:r w:rsidRPr="004B7487">
              <w:rPr>
                <w:sz w:val="20"/>
              </w:rPr>
              <w:t xml:space="preserve"> — Whether any breach of s. 7 or 15 can be justified under s. 1 — </w:t>
            </w:r>
            <w:r w:rsidRPr="004B7487">
              <w:rPr>
                <w:i/>
                <w:sz w:val="20"/>
              </w:rPr>
              <w:t>Criminal Code</w:t>
            </w:r>
            <w:r w:rsidRPr="004B7487">
              <w:rPr>
                <w:sz w:val="20"/>
              </w:rPr>
              <w:t>, R.S.C. 1985, c. C</w:t>
            </w:r>
            <w:r w:rsidRPr="004B7487">
              <w:rPr>
                <w:sz w:val="20"/>
              </w:rPr>
              <w:noBreakHyphen/>
              <w:t>46, ss. 742.1(c) and 742.1(e)(ii).</w:t>
            </w:r>
          </w:p>
        </w:tc>
      </w:tr>
      <w:tr w:rsidR="0012542D" w:rsidRPr="004B7487" w:rsidTr="0012542D">
        <w:tc>
          <w:tcPr>
            <w:tcW w:w="5000" w:type="pct"/>
            <w:gridSpan w:val="4"/>
          </w:tcPr>
          <w:p w:rsidR="0012542D" w:rsidRPr="004B7487" w:rsidRDefault="0012542D" w:rsidP="007775F6">
            <w:pPr>
              <w:jc w:val="both"/>
              <w:rPr>
                <w:sz w:val="20"/>
              </w:rPr>
            </w:pPr>
          </w:p>
          <w:p w:rsidR="0012542D" w:rsidRPr="004B7487" w:rsidRDefault="0012542D" w:rsidP="007775F6">
            <w:pPr>
              <w:jc w:val="both"/>
              <w:rPr>
                <w:sz w:val="20"/>
              </w:rPr>
            </w:pPr>
            <w:r w:rsidRPr="004B7487">
              <w:rPr>
                <w:sz w:val="20"/>
              </w:rPr>
              <w:t xml:space="preserve">In 2016, the respondent, an Indigenous woman, pled guilty to importing two kilograms of cocaine, contrary to s. 6(1) of the </w:t>
            </w:r>
            <w:r w:rsidRPr="004B7487">
              <w:rPr>
                <w:i/>
                <w:sz w:val="20"/>
              </w:rPr>
              <w:t xml:space="preserve">Controlled Drugs and Substances Act </w:t>
            </w:r>
            <w:r w:rsidRPr="004B7487">
              <w:rPr>
                <w:sz w:val="20"/>
              </w:rPr>
              <w:t>(“</w:t>
            </w:r>
            <w:r w:rsidRPr="004B7487">
              <w:rPr>
                <w:i/>
                <w:sz w:val="20"/>
              </w:rPr>
              <w:t>CDSA</w:t>
            </w:r>
            <w:r w:rsidRPr="004B7487">
              <w:rPr>
                <w:sz w:val="20"/>
              </w:rPr>
              <w:t xml:space="preserve">”). At the time of the commission of the offence, the respondent was 20 years old and had no prior criminal record. A </w:t>
            </w:r>
            <w:r w:rsidRPr="004B7487">
              <w:rPr>
                <w:i/>
                <w:sz w:val="20"/>
              </w:rPr>
              <w:t xml:space="preserve">Gladue </w:t>
            </w:r>
            <w:r w:rsidRPr="004B7487">
              <w:rPr>
                <w:sz w:val="20"/>
              </w:rPr>
              <w:t>report was prepared, and expert evidence was tendered on sentencing to explain the link between colonialism and racism to the criminalization of Indigenous women. After initially recommending a sentence in the range of 6 years, the Crown reduced its recommendation during the sentencing hearing to 18 months imprisonment. The respondent sought a conditional sentence of imprisonment, and challenged the constitutional validity of the two</w:t>
            </w:r>
            <w:r w:rsidRPr="004B7487">
              <w:rPr>
                <w:sz w:val="20"/>
              </w:rPr>
              <w:noBreakHyphen/>
              <w:t xml:space="preserve">year mandatory minimum sentence under s. 6(3)(a.1) of the </w:t>
            </w:r>
            <w:r w:rsidRPr="004B7487">
              <w:rPr>
                <w:i/>
                <w:sz w:val="20"/>
              </w:rPr>
              <w:t>CDSA</w:t>
            </w:r>
            <w:r w:rsidRPr="004B7487">
              <w:rPr>
                <w:sz w:val="20"/>
              </w:rPr>
              <w:t xml:space="preserve"> and of ss. 742.1(b) and 742.1(c) of the </w:t>
            </w:r>
            <w:r w:rsidRPr="004B7487">
              <w:rPr>
                <w:i/>
                <w:sz w:val="20"/>
              </w:rPr>
              <w:t>Criminal Code</w:t>
            </w:r>
            <w:r w:rsidRPr="004B7487">
              <w:rPr>
                <w:sz w:val="20"/>
              </w:rPr>
              <w:t>, which make conditional sentences unavailable in certain situations.</w:t>
            </w:r>
          </w:p>
          <w:p w:rsidR="0012542D" w:rsidRPr="004B7487" w:rsidRDefault="0012542D" w:rsidP="007775F6">
            <w:pPr>
              <w:jc w:val="both"/>
              <w:rPr>
                <w:sz w:val="20"/>
              </w:rPr>
            </w:pPr>
          </w:p>
          <w:p w:rsidR="0012542D" w:rsidRPr="004B7487" w:rsidRDefault="0012542D" w:rsidP="007775F6">
            <w:pPr>
              <w:jc w:val="both"/>
              <w:rPr>
                <w:sz w:val="20"/>
              </w:rPr>
            </w:pPr>
            <w:r w:rsidRPr="004B7487">
              <w:rPr>
                <w:sz w:val="20"/>
              </w:rPr>
              <w:t>The sentencing judge found that the two</w:t>
            </w:r>
            <w:r w:rsidRPr="004B7487">
              <w:rPr>
                <w:sz w:val="20"/>
              </w:rPr>
              <w:noBreakHyphen/>
              <w:t>year mandatory minimum sentence under s. 6(3</w:t>
            </w:r>
            <w:proofErr w:type="gramStart"/>
            <w:r w:rsidRPr="004B7487">
              <w:rPr>
                <w:sz w:val="20"/>
              </w:rPr>
              <w:t>)(</w:t>
            </w:r>
            <w:proofErr w:type="gramEnd"/>
            <w:r w:rsidRPr="004B7487">
              <w:rPr>
                <w:sz w:val="20"/>
              </w:rPr>
              <w:t xml:space="preserve">a.1) of the </w:t>
            </w:r>
            <w:r w:rsidRPr="004B7487">
              <w:rPr>
                <w:i/>
                <w:sz w:val="20"/>
              </w:rPr>
              <w:t xml:space="preserve">CDSA </w:t>
            </w:r>
            <w:r w:rsidRPr="004B7487">
              <w:rPr>
                <w:sz w:val="20"/>
              </w:rPr>
              <w:t xml:space="preserve">violated s. 12 of the </w:t>
            </w:r>
            <w:r w:rsidRPr="004B7487">
              <w:rPr>
                <w:i/>
                <w:sz w:val="20"/>
              </w:rPr>
              <w:t>Charter</w:t>
            </w:r>
            <w:r w:rsidRPr="004B7487">
              <w:rPr>
                <w:sz w:val="20"/>
              </w:rPr>
              <w:t xml:space="preserve"> and could not be saved under s. 1. The judge therefore declined to address the constitutional challenge to s. 742.1(b), and he dismissed the s. 15 challenge to s. 742.1(c). The respondent was sentenced to 18 months imprisonment, less one month for pre</w:t>
            </w:r>
            <w:r w:rsidRPr="004B7487">
              <w:rPr>
                <w:sz w:val="20"/>
              </w:rPr>
              <w:noBreakHyphen/>
              <w:t>sentence custody and other factors.</w:t>
            </w:r>
          </w:p>
          <w:p w:rsidR="0012542D" w:rsidRPr="004B7487" w:rsidRDefault="0012542D" w:rsidP="007775F6">
            <w:pPr>
              <w:jc w:val="both"/>
              <w:rPr>
                <w:sz w:val="20"/>
              </w:rPr>
            </w:pPr>
          </w:p>
          <w:p w:rsidR="0012542D" w:rsidRPr="004B7487" w:rsidRDefault="0012542D" w:rsidP="007775F6">
            <w:pPr>
              <w:jc w:val="both"/>
              <w:rPr>
                <w:sz w:val="20"/>
              </w:rPr>
            </w:pPr>
            <w:r w:rsidRPr="004B7487">
              <w:rPr>
                <w:sz w:val="20"/>
              </w:rPr>
              <w:lastRenderedPageBreak/>
              <w:t>The respondent appealed and, with the Crown’s consent, also brought a constitutional challenge to s. 742.1(e</w:t>
            </w:r>
            <w:proofErr w:type="gramStart"/>
            <w:r w:rsidRPr="004B7487">
              <w:rPr>
                <w:sz w:val="20"/>
              </w:rPr>
              <w:t>)(</w:t>
            </w:r>
            <w:proofErr w:type="gramEnd"/>
            <w:r w:rsidRPr="004B7487">
              <w:rPr>
                <w:sz w:val="20"/>
              </w:rPr>
              <w:t xml:space="preserve">ii) of the </w:t>
            </w:r>
            <w:r w:rsidRPr="004B7487">
              <w:rPr>
                <w:i/>
                <w:sz w:val="20"/>
              </w:rPr>
              <w:t>Criminal Code</w:t>
            </w:r>
            <w:r w:rsidRPr="004B7487">
              <w:rPr>
                <w:sz w:val="20"/>
              </w:rPr>
              <w:t>. A majority of the Court of Appeal allowed the appeal. Sections 742.1(c) and 742.1(e</w:t>
            </w:r>
            <w:proofErr w:type="gramStart"/>
            <w:r w:rsidRPr="004B7487">
              <w:rPr>
                <w:sz w:val="20"/>
              </w:rPr>
              <w:t>)(</w:t>
            </w:r>
            <w:proofErr w:type="gramEnd"/>
            <w:r w:rsidRPr="004B7487">
              <w:rPr>
                <w:sz w:val="20"/>
              </w:rPr>
              <w:t xml:space="preserve">ii) were found to infringe both ss. 7 and 15(1) of the </w:t>
            </w:r>
            <w:r w:rsidRPr="004B7487">
              <w:rPr>
                <w:i/>
                <w:sz w:val="20"/>
              </w:rPr>
              <w:t>Charter</w:t>
            </w:r>
            <w:r w:rsidRPr="004B7487">
              <w:rPr>
                <w:sz w:val="20"/>
              </w:rPr>
              <w:t>, and the infringement could not be justified under s. 1. The majority held that the appropriate sentence would have been a conditional sentence of 24 months less one day, but as the custodial sentence had already been completed, a sentence of time served was substituted. Miller J.A., dissenting, would have dismissed the appeal and upheld the sentence of imprisonment.</w:t>
            </w:r>
          </w:p>
        </w:tc>
      </w:tr>
      <w:tr w:rsidR="0012542D" w:rsidRPr="004B7487" w:rsidTr="0012542D">
        <w:tc>
          <w:tcPr>
            <w:tcW w:w="5000" w:type="pct"/>
            <w:gridSpan w:val="4"/>
          </w:tcPr>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February 20, 2020</w:t>
            </w:r>
          </w:p>
          <w:p w:rsidR="0012542D" w:rsidRPr="004B7487" w:rsidRDefault="0012542D" w:rsidP="007775F6">
            <w:pPr>
              <w:jc w:val="both"/>
              <w:rPr>
                <w:sz w:val="20"/>
              </w:rPr>
            </w:pPr>
            <w:r w:rsidRPr="004B7487">
              <w:rPr>
                <w:sz w:val="20"/>
              </w:rPr>
              <w:t>Ontario Superior Court of Justice</w:t>
            </w:r>
          </w:p>
          <w:p w:rsidR="0012542D" w:rsidRPr="004B7487" w:rsidRDefault="0012542D" w:rsidP="007775F6">
            <w:pPr>
              <w:jc w:val="both"/>
              <w:rPr>
                <w:sz w:val="20"/>
              </w:rPr>
            </w:pPr>
            <w:r w:rsidRPr="004B7487">
              <w:rPr>
                <w:sz w:val="20"/>
              </w:rPr>
              <w:t>(Hill J.)</w:t>
            </w:r>
          </w:p>
          <w:p w:rsidR="0012542D" w:rsidRPr="004B7487" w:rsidRDefault="004B7487" w:rsidP="007775F6">
            <w:pPr>
              <w:jc w:val="both"/>
              <w:rPr>
                <w:sz w:val="20"/>
                <w:lang w:eastAsia="en-CA"/>
              </w:rPr>
            </w:pPr>
            <w:hyperlink r:id="rId69" w:history="1">
              <w:r w:rsidR="0012542D" w:rsidRPr="004B7487">
                <w:rPr>
                  <w:color w:val="0000FF" w:themeColor="hyperlink"/>
                  <w:sz w:val="20"/>
                  <w:u w:val="single"/>
                  <w:lang w:eastAsia="en-CA"/>
                </w:rPr>
                <w:t>2018 ONSC 1141</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eastAsia="en-CA"/>
              </w:rPr>
            </w:pPr>
            <w:r w:rsidRPr="004B7487">
              <w:rPr>
                <w:sz w:val="20"/>
                <w:lang w:eastAsia="en-CA"/>
              </w:rPr>
              <w:t xml:space="preserve">Section 6(3)(a.1) of the </w:t>
            </w:r>
            <w:r w:rsidRPr="004B7487">
              <w:rPr>
                <w:i/>
                <w:sz w:val="20"/>
                <w:lang w:eastAsia="en-CA"/>
              </w:rPr>
              <w:t>Controlled Drugs and Substances Act</w:t>
            </w:r>
            <w:r w:rsidRPr="004B7487">
              <w:rPr>
                <w:sz w:val="20"/>
                <w:lang w:eastAsia="en-CA"/>
              </w:rPr>
              <w:t xml:space="preserve"> contravenes s. 12 of the </w:t>
            </w:r>
            <w:r w:rsidRPr="004B7487">
              <w:rPr>
                <w:i/>
                <w:sz w:val="20"/>
                <w:lang w:eastAsia="en-CA"/>
              </w:rPr>
              <w:t>Charter</w:t>
            </w:r>
            <w:r w:rsidRPr="004B7487">
              <w:rPr>
                <w:sz w:val="20"/>
                <w:lang w:eastAsia="en-CA"/>
              </w:rPr>
              <w:t xml:space="preserve"> and is not justified under s. 1; constitutional challenge to ss. 742.1(b) and (c) of the </w:t>
            </w:r>
            <w:r w:rsidRPr="004B7487">
              <w:rPr>
                <w:i/>
                <w:sz w:val="20"/>
                <w:lang w:eastAsia="en-CA"/>
              </w:rPr>
              <w:t>Criminal Code</w:t>
            </w:r>
            <w:r w:rsidRPr="004B7487">
              <w:rPr>
                <w:sz w:val="20"/>
                <w:lang w:eastAsia="en-CA"/>
              </w:rPr>
              <w:t xml:space="preserve"> dismissed. Sentence of 17 months imprisonment.</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July 24, 2020</w:t>
            </w:r>
          </w:p>
          <w:p w:rsidR="0012542D" w:rsidRPr="004B7487" w:rsidRDefault="0012542D" w:rsidP="007775F6">
            <w:pPr>
              <w:jc w:val="both"/>
              <w:rPr>
                <w:sz w:val="20"/>
              </w:rPr>
            </w:pPr>
            <w:r w:rsidRPr="004B7487">
              <w:rPr>
                <w:sz w:val="20"/>
              </w:rPr>
              <w:t>Court of Appeal for Ontario</w:t>
            </w:r>
          </w:p>
          <w:p w:rsidR="0012542D" w:rsidRPr="004B7487" w:rsidRDefault="0012542D" w:rsidP="007775F6">
            <w:pPr>
              <w:jc w:val="both"/>
              <w:rPr>
                <w:sz w:val="20"/>
              </w:rPr>
            </w:pPr>
            <w:r w:rsidRPr="004B7487">
              <w:rPr>
                <w:sz w:val="20"/>
              </w:rPr>
              <w:t xml:space="preserve">(Feldman and Gillese </w:t>
            </w:r>
            <w:proofErr w:type="gramStart"/>
            <w:r w:rsidRPr="004B7487">
              <w:rPr>
                <w:sz w:val="20"/>
              </w:rPr>
              <w:t>JJ.A.;</w:t>
            </w:r>
            <w:proofErr w:type="gramEnd"/>
            <w:r w:rsidRPr="004B7487">
              <w:rPr>
                <w:sz w:val="20"/>
              </w:rPr>
              <w:t xml:space="preserve"> Miller J.A. </w:t>
            </w:r>
          </w:p>
          <w:p w:rsidR="0012542D" w:rsidRPr="004B7487" w:rsidRDefault="0012542D" w:rsidP="007775F6">
            <w:pPr>
              <w:jc w:val="both"/>
              <w:rPr>
                <w:sz w:val="20"/>
              </w:rPr>
            </w:pPr>
            <w:r w:rsidRPr="004B7487">
              <w:rPr>
                <w:sz w:val="20"/>
              </w:rPr>
              <w:t>(dissenting))</w:t>
            </w:r>
          </w:p>
          <w:p w:rsidR="0012542D" w:rsidRPr="004B7487" w:rsidRDefault="004B7487" w:rsidP="007775F6">
            <w:pPr>
              <w:jc w:val="both"/>
              <w:rPr>
                <w:rStyle w:val="Hyperlink"/>
                <w:sz w:val="20"/>
              </w:rPr>
            </w:pPr>
            <w:hyperlink r:id="rId70" w:history="1">
              <w:r w:rsidR="0012542D" w:rsidRPr="004B7487">
                <w:rPr>
                  <w:rStyle w:val="Hyperlink"/>
                  <w:sz w:val="20"/>
                </w:rPr>
                <w:t>2020 ONCA 478</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Respondent’s appeal allowed; ss. 742.1(c) and 742.1(e</w:t>
            </w:r>
            <w:proofErr w:type="gramStart"/>
            <w:r w:rsidRPr="004B7487">
              <w:rPr>
                <w:sz w:val="20"/>
              </w:rPr>
              <w:t>)(</w:t>
            </w:r>
            <w:proofErr w:type="gramEnd"/>
            <w:r w:rsidRPr="004B7487">
              <w:rPr>
                <w:sz w:val="20"/>
              </w:rPr>
              <w:t xml:space="preserve">ii) of the </w:t>
            </w:r>
            <w:r w:rsidRPr="004B7487">
              <w:rPr>
                <w:i/>
                <w:sz w:val="20"/>
              </w:rPr>
              <w:t xml:space="preserve">Criminal Code </w:t>
            </w:r>
            <w:r w:rsidRPr="004B7487">
              <w:rPr>
                <w:sz w:val="20"/>
              </w:rPr>
              <w:t xml:space="preserve">contravene ss. 7 and 15 of the </w:t>
            </w:r>
            <w:r w:rsidRPr="004B7487">
              <w:rPr>
                <w:i/>
                <w:sz w:val="20"/>
              </w:rPr>
              <w:t>Charter</w:t>
            </w:r>
            <w:r w:rsidRPr="004B7487">
              <w:rPr>
                <w:sz w:val="20"/>
              </w:rPr>
              <w:t xml:space="preserve"> and are not saved by s. 1; conditional sentence of 24 months less a day substituted.</w:t>
            </w:r>
          </w:p>
        </w:tc>
      </w:tr>
      <w:tr w:rsidR="0012542D" w:rsidRPr="004B7487" w:rsidTr="0012542D">
        <w:tc>
          <w:tcPr>
            <w:tcW w:w="2427" w:type="pct"/>
            <w:gridSpan w:val="2"/>
          </w:tcPr>
          <w:p w:rsidR="0012542D" w:rsidRPr="004B7487" w:rsidRDefault="0012542D" w:rsidP="007775F6">
            <w:pPr>
              <w:jc w:val="both"/>
              <w:rPr>
                <w:sz w:val="20"/>
              </w:rPr>
            </w:pPr>
            <w:r w:rsidRPr="004B7487">
              <w:rPr>
                <w:sz w:val="20"/>
              </w:rPr>
              <w:t>September 29, 2020</w:t>
            </w:r>
          </w:p>
          <w:p w:rsidR="0012542D" w:rsidRPr="004B7487" w:rsidRDefault="0012542D" w:rsidP="007775F6">
            <w:pPr>
              <w:jc w:val="both"/>
              <w:rPr>
                <w:sz w:val="20"/>
              </w:rPr>
            </w:pPr>
            <w:r w:rsidRPr="004B7487">
              <w:rPr>
                <w:sz w:val="20"/>
              </w:rPr>
              <w:t>Supreme Court of Canada</w:t>
            </w: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Application for leave to appeal filed</w:t>
            </w:r>
          </w:p>
          <w:p w:rsidR="0012542D" w:rsidRPr="004B7487" w:rsidRDefault="0012542D" w:rsidP="007775F6">
            <w:pPr>
              <w:jc w:val="both"/>
              <w:rPr>
                <w:sz w:val="20"/>
              </w:rPr>
            </w:pPr>
          </w:p>
        </w:tc>
      </w:tr>
    </w:tbl>
    <w:p w:rsidR="0012542D" w:rsidRPr="004B7487" w:rsidRDefault="0012542D" w:rsidP="007775F6">
      <w:pPr>
        <w:jc w:val="both"/>
        <w:rPr>
          <w:sz w:val="20"/>
        </w:rPr>
      </w:pPr>
    </w:p>
    <w:p w:rsidR="001002D2" w:rsidRPr="004B7487" w:rsidRDefault="004B7487" w:rsidP="007775F6">
      <w:pPr>
        <w:jc w:val="both"/>
        <w:rPr>
          <w:sz w:val="20"/>
        </w:rPr>
      </w:pPr>
      <w:r w:rsidRPr="004B7487">
        <w:rPr>
          <w:sz w:val="20"/>
        </w:rPr>
        <w:pict>
          <v:rect id="_x0000_i1051" style="width:2in;height:1pt" o:hrpct="0" o:hralign="center" o:hrstd="t" o:hrnoshade="t" o:hr="t" fillcolor="black [3213]" stroked="f"/>
        </w:pict>
      </w:r>
    </w:p>
    <w:p w:rsidR="001002D2" w:rsidRPr="004B7487" w:rsidRDefault="001002D2" w:rsidP="004B7487">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4B7487" w:rsidRPr="004B7487" w:rsidTr="00A87CB0">
        <w:tc>
          <w:tcPr>
            <w:tcW w:w="543" w:type="pct"/>
          </w:tcPr>
          <w:p w:rsidR="004B7487" w:rsidRPr="004B7487" w:rsidRDefault="004B7487" w:rsidP="004B7487">
            <w:pPr>
              <w:jc w:val="both"/>
              <w:rPr>
                <w:sz w:val="20"/>
                <w:lang w:val="fr-CA"/>
              </w:rPr>
            </w:pPr>
            <w:r w:rsidRPr="004B7487">
              <w:rPr>
                <w:rStyle w:val="SCCFileNumberChar"/>
                <w:sz w:val="20"/>
                <w:szCs w:val="20"/>
                <w:lang w:val="fr-CA"/>
              </w:rPr>
              <w:t>39346</w:t>
            </w:r>
          </w:p>
        </w:tc>
        <w:tc>
          <w:tcPr>
            <w:tcW w:w="4457" w:type="pct"/>
            <w:gridSpan w:val="3"/>
          </w:tcPr>
          <w:p w:rsidR="004B7487" w:rsidRPr="004B7487" w:rsidRDefault="004B7487" w:rsidP="004B7487">
            <w:pPr>
              <w:pStyle w:val="SCCLsocParty"/>
              <w:jc w:val="both"/>
              <w:rPr>
                <w:b/>
                <w:sz w:val="20"/>
                <w:szCs w:val="20"/>
              </w:rPr>
            </w:pPr>
            <w:r w:rsidRPr="004B7487">
              <w:rPr>
                <w:b/>
                <w:sz w:val="20"/>
                <w:szCs w:val="20"/>
              </w:rPr>
              <w:t>Sa Majesté la Reine du chef du Canada c. Cheyenne Sharma</w:t>
            </w:r>
          </w:p>
          <w:p w:rsidR="004B7487" w:rsidRPr="004B7487" w:rsidRDefault="004B7487" w:rsidP="004B7487">
            <w:pPr>
              <w:jc w:val="both"/>
              <w:rPr>
                <w:sz w:val="20"/>
                <w:lang w:val="fr-CA"/>
              </w:rPr>
            </w:pPr>
            <w:r w:rsidRPr="004B7487">
              <w:rPr>
                <w:sz w:val="20"/>
                <w:lang w:val="fr-CA"/>
              </w:rPr>
              <w:t>(Ont.) (Criminelle) (Sur autorisation)</w:t>
            </w:r>
          </w:p>
        </w:tc>
      </w:tr>
      <w:tr w:rsidR="004B7487" w:rsidRPr="004B7487" w:rsidTr="00A87CB0">
        <w:tc>
          <w:tcPr>
            <w:tcW w:w="5000" w:type="pct"/>
            <w:gridSpan w:val="4"/>
          </w:tcPr>
          <w:p w:rsidR="004B7487" w:rsidRPr="004B7487" w:rsidRDefault="004B7487" w:rsidP="004B7487">
            <w:pPr>
              <w:jc w:val="both"/>
              <w:rPr>
                <w:sz w:val="20"/>
                <w:lang w:val="fr-CA"/>
              </w:rPr>
            </w:pPr>
            <w:r w:rsidRPr="004B7487">
              <w:rPr>
                <w:i/>
                <w:sz w:val="20"/>
                <w:lang w:val="fr-CA"/>
              </w:rPr>
              <w:t>Charte des droits</w:t>
            </w:r>
            <w:r w:rsidRPr="004B7487">
              <w:rPr>
                <w:sz w:val="20"/>
                <w:lang w:val="fr-CA"/>
              </w:rPr>
              <w:t xml:space="preserve"> — Droit à la vie, à la liberté et à la sécurité de la personne — Droit à l’égalité – Discrimination fondée sur la race — Droit criminel — Détermination de la peine — L’alinéa 742.1c) et le sous</w:t>
            </w:r>
            <w:r w:rsidRPr="004B7487">
              <w:rPr>
                <w:sz w:val="20"/>
                <w:lang w:val="fr-CA"/>
              </w:rPr>
              <w:noBreakHyphen/>
              <w:t>alinéa 742.1e)(ii) du</w:t>
            </w:r>
            <w:r w:rsidRPr="004B7487">
              <w:rPr>
                <w:i/>
                <w:sz w:val="20"/>
                <w:lang w:val="fr-CA"/>
              </w:rPr>
              <w:t xml:space="preserve"> Code criminel</w:t>
            </w:r>
            <w:r w:rsidRPr="004B7487">
              <w:rPr>
                <w:sz w:val="20"/>
                <w:lang w:val="fr-CA"/>
              </w:rPr>
              <w:t xml:space="preserve"> portent</w:t>
            </w:r>
            <w:r w:rsidRPr="004B7487">
              <w:rPr>
                <w:sz w:val="20"/>
                <w:lang w:val="fr-CA"/>
              </w:rPr>
              <w:noBreakHyphen/>
              <w:t xml:space="preserve">ils atteinte au droit à l’égalité des délinquants autochtones en vertu de l’art. 15 de la </w:t>
            </w:r>
            <w:r w:rsidRPr="004B7487">
              <w:rPr>
                <w:i/>
                <w:sz w:val="20"/>
                <w:lang w:val="fr-CA"/>
              </w:rPr>
              <w:t>Charte ?</w:t>
            </w:r>
            <w:r w:rsidRPr="004B7487">
              <w:rPr>
                <w:sz w:val="20"/>
                <w:lang w:val="fr-CA"/>
              </w:rPr>
              <w:t xml:space="preserve"> — L’introduction de peines d’emprisonnement avec sursis dans les modifications apportées au </w:t>
            </w:r>
            <w:r w:rsidRPr="004B7487">
              <w:rPr>
                <w:i/>
                <w:sz w:val="20"/>
                <w:lang w:val="fr-CA"/>
              </w:rPr>
              <w:t>Code criminel</w:t>
            </w:r>
            <w:r w:rsidRPr="004B7487">
              <w:rPr>
                <w:sz w:val="20"/>
                <w:lang w:val="fr-CA"/>
              </w:rPr>
              <w:t xml:space="preserve"> en 1996 a</w:t>
            </w:r>
            <w:r w:rsidRPr="004B7487">
              <w:rPr>
                <w:sz w:val="20"/>
                <w:lang w:val="fr-CA"/>
              </w:rPr>
              <w:noBreakHyphen/>
              <w:t>t</w:t>
            </w:r>
            <w:r w:rsidRPr="004B7487">
              <w:rPr>
                <w:sz w:val="20"/>
                <w:lang w:val="fr-CA"/>
              </w:rPr>
              <w:noBreakHyphen/>
              <w:t xml:space="preserve">elle créé en faveur des délinquants autochtones un « avantage » auquel le Parlement ne peut déroger sans contrevenir à l’art. 15 de la </w:t>
            </w:r>
            <w:r w:rsidRPr="004B7487">
              <w:rPr>
                <w:i/>
                <w:sz w:val="20"/>
                <w:lang w:val="fr-CA"/>
              </w:rPr>
              <w:t>Charte ?</w:t>
            </w:r>
            <w:r w:rsidRPr="004B7487">
              <w:rPr>
                <w:sz w:val="20"/>
                <w:lang w:val="fr-CA"/>
              </w:rPr>
              <w:t xml:space="preserve"> — Le fait de limiter la possibilité d’infliger des peines d’emprisonnement avec sursis dans le cas d’infractions graves définies selon la peine maximale y afférente est</w:t>
            </w:r>
            <w:r w:rsidRPr="004B7487">
              <w:rPr>
                <w:sz w:val="20"/>
                <w:lang w:val="fr-CA"/>
              </w:rPr>
              <w:noBreakHyphen/>
              <w:t xml:space="preserve">il contraire à l’art. 7 de la </w:t>
            </w:r>
            <w:r w:rsidRPr="004B7487">
              <w:rPr>
                <w:i/>
                <w:sz w:val="20"/>
                <w:lang w:val="fr-CA"/>
              </w:rPr>
              <w:t>Charte</w:t>
            </w:r>
            <w:r w:rsidRPr="004B7487">
              <w:rPr>
                <w:sz w:val="20"/>
                <w:lang w:val="fr-CA"/>
              </w:rPr>
              <w:t xml:space="preserve"> en raison d’une portée excessive ? — Est</w:t>
            </w:r>
            <w:r w:rsidRPr="004B7487">
              <w:rPr>
                <w:sz w:val="20"/>
                <w:lang w:val="fr-CA"/>
              </w:rPr>
              <w:noBreakHyphen/>
              <w:t xml:space="preserve">ce que toute violation de l’art. 7 ou de l’art. 15 est susceptible de justification en vertu de l’article premier ? — </w:t>
            </w:r>
            <w:r w:rsidRPr="004B7487">
              <w:rPr>
                <w:i/>
                <w:sz w:val="20"/>
                <w:lang w:val="fr-CA"/>
              </w:rPr>
              <w:t>Code criminel</w:t>
            </w:r>
            <w:r w:rsidRPr="004B7487">
              <w:rPr>
                <w:sz w:val="20"/>
                <w:lang w:val="fr-CA"/>
              </w:rPr>
              <w:t>, L.R.C. 1985, ch. C</w:t>
            </w:r>
            <w:r w:rsidRPr="004B7487">
              <w:rPr>
                <w:sz w:val="20"/>
                <w:lang w:val="fr-CA"/>
              </w:rPr>
              <w:noBreakHyphen/>
              <w:t>46, art. 742.1c) et 742.1e</w:t>
            </w:r>
            <w:proofErr w:type="gramStart"/>
            <w:r w:rsidRPr="004B7487">
              <w:rPr>
                <w:sz w:val="20"/>
                <w:lang w:val="fr-CA"/>
              </w:rPr>
              <w:t>)(</w:t>
            </w:r>
            <w:proofErr w:type="gramEnd"/>
            <w:r w:rsidRPr="004B7487">
              <w:rPr>
                <w:sz w:val="20"/>
                <w:lang w:val="fr-CA"/>
              </w:rPr>
              <w:t>ii).</w:t>
            </w:r>
          </w:p>
        </w:tc>
      </w:tr>
      <w:tr w:rsidR="004B7487" w:rsidRPr="004B7487" w:rsidTr="00A87CB0">
        <w:tc>
          <w:tcPr>
            <w:tcW w:w="5000" w:type="pct"/>
            <w:gridSpan w:val="4"/>
          </w:tcPr>
          <w:p w:rsidR="004B7487" w:rsidRPr="004B7487" w:rsidRDefault="004B7487" w:rsidP="004B7487">
            <w:pPr>
              <w:jc w:val="both"/>
              <w:rPr>
                <w:sz w:val="20"/>
                <w:lang w:val="fr-CA"/>
              </w:rPr>
            </w:pPr>
          </w:p>
          <w:p w:rsidR="004B7487" w:rsidRPr="004B7487" w:rsidRDefault="004B7487" w:rsidP="004B7487">
            <w:pPr>
              <w:jc w:val="both"/>
              <w:rPr>
                <w:sz w:val="20"/>
                <w:lang w:val="fr-CA"/>
              </w:rPr>
            </w:pPr>
            <w:r w:rsidRPr="004B7487">
              <w:rPr>
                <w:sz w:val="20"/>
                <w:lang w:val="fr-CA"/>
              </w:rPr>
              <w:t xml:space="preserve">En 2016, l’intimée, une femme autochtone, a plaidé coupable à l’accusation d’importation de deux kilogrammes de cocaïne, en contravention du par. 6(1) de la </w:t>
            </w:r>
            <w:r w:rsidRPr="004B7487">
              <w:rPr>
                <w:i/>
                <w:sz w:val="20"/>
                <w:lang w:val="fr-CA"/>
              </w:rPr>
              <w:t xml:space="preserve">Loi réglementant certaines drogues et autres substances </w:t>
            </w:r>
            <w:r w:rsidRPr="004B7487">
              <w:rPr>
                <w:sz w:val="20"/>
                <w:lang w:val="fr-CA"/>
              </w:rPr>
              <w:t>(« </w:t>
            </w:r>
            <w:r w:rsidRPr="004B7487">
              <w:rPr>
                <w:i/>
                <w:sz w:val="20"/>
                <w:lang w:val="fr-CA"/>
              </w:rPr>
              <w:t>LRCDAS</w:t>
            </w:r>
            <w:r w:rsidRPr="004B7487">
              <w:rPr>
                <w:sz w:val="20"/>
                <w:lang w:val="fr-CA"/>
              </w:rPr>
              <w:t xml:space="preserve"> »). Au moment de la commission de l’infraction, l’intimée était âgée de 20 ans et n’avait pas de casier judiciaire. Un rapport </w:t>
            </w:r>
            <w:r w:rsidRPr="004B7487">
              <w:rPr>
                <w:i/>
                <w:sz w:val="20"/>
                <w:lang w:val="fr-CA"/>
              </w:rPr>
              <w:t xml:space="preserve">Gladue </w:t>
            </w:r>
            <w:r w:rsidRPr="004B7487">
              <w:rPr>
                <w:sz w:val="20"/>
                <w:lang w:val="fr-CA"/>
              </w:rPr>
              <w:t xml:space="preserve">a été préparé, et le témoignage d’un expert a été présenté lors de la détermination de la peine afin d’expliquer le lien entre le colonialisme et le racisme et la criminalisation des femmes autochtones. Après avoir initialement recommandé une peine de l’ordre de 6 ans, lors de l’audience de détermination de la peine, la Couronne a réduit sa recommandation à 18 mois d’emprisonnement. L’intimée </w:t>
            </w:r>
            <w:proofErr w:type="gramStart"/>
            <w:r w:rsidRPr="004B7487">
              <w:rPr>
                <w:sz w:val="20"/>
                <w:lang w:val="fr-CA"/>
              </w:rPr>
              <w:t>a</w:t>
            </w:r>
            <w:proofErr w:type="gramEnd"/>
            <w:r w:rsidRPr="004B7487">
              <w:rPr>
                <w:sz w:val="20"/>
                <w:lang w:val="fr-CA"/>
              </w:rPr>
              <w:t xml:space="preserve"> demandé une peine d’emprisonnement avec sursis, et elle a contesté la constitutionnalité de la peine minimale obligatoire de 2 ans prévue à l’al. 6(3</w:t>
            </w:r>
            <w:proofErr w:type="gramStart"/>
            <w:r w:rsidRPr="004B7487">
              <w:rPr>
                <w:sz w:val="20"/>
                <w:lang w:val="fr-CA"/>
              </w:rPr>
              <w:t>)a.1</w:t>
            </w:r>
            <w:proofErr w:type="gramEnd"/>
            <w:r w:rsidRPr="004B7487">
              <w:rPr>
                <w:sz w:val="20"/>
                <w:lang w:val="fr-CA"/>
              </w:rPr>
              <w:t xml:space="preserve">) de la </w:t>
            </w:r>
            <w:r w:rsidRPr="004B7487">
              <w:rPr>
                <w:i/>
                <w:sz w:val="20"/>
                <w:lang w:val="fr-CA"/>
              </w:rPr>
              <w:t>LRCDAS</w:t>
            </w:r>
            <w:r w:rsidRPr="004B7487">
              <w:rPr>
                <w:sz w:val="20"/>
                <w:lang w:val="fr-CA"/>
              </w:rPr>
              <w:t xml:space="preserve"> et des alinéas 742.1b) et 742.1c) du </w:t>
            </w:r>
            <w:r w:rsidRPr="004B7487">
              <w:rPr>
                <w:i/>
                <w:sz w:val="20"/>
                <w:lang w:val="fr-CA"/>
              </w:rPr>
              <w:t>Code criminel</w:t>
            </w:r>
            <w:r w:rsidRPr="004B7487">
              <w:rPr>
                <w:sz w:val="20"/>
                <w:lang w:val="fr-CA"/>
              </w:rPr>
              <w:t>, qui ont pour effet d'interdire l'infliction de peines d’emprisonnement avec sursis dans certaines circonstances.</w:t>
            </w:r>
          </w:p>
          <w:p w:rsidR="004B7487" w:rsidRPr="004B7487" w:rsidRDefault="004B7487" w:rsidP="004B7487">
            <w:pPr>
              <w:jc w:val="both"/>
              <w:rPr>
                <w:sz w:val="20"/>
                <w:lang w:val="fr-CA"/>
              </w:rPr>
            </w:pPr>
          </w:p>
          <w:p w:rsidR="004B7487" w:rsidRPr="004B7487" w:rsidRDefault="004B7487" w:rsidP="004B7487">
            <w:pPr>
              <w:jc w:val="both"/>
              <w:rPr>
                <w:sz w:val="20"/>
                <w:lang w:val="fr-CA"/>
              </w:rPr>
            </w:pPr>
            <w:r w:rsidRPr="004B7487">
              <w:rPr>
                <w:sz w:val="20"/>
                <w:lang w:val="fr-CA"/>
              </w:rPr>
              <w:t>Le juge de la peine a déterminé que la peine minimale obligatoire de 2 ans prévue à l’al. 6(3</w:t>
            </w:r>
            <w:proofErr w:type="gramStart"/>
            <w:r w:rsidRPr="004B7487">
              <w:rPr>
                <w:sz w:val="20"/>
                <w:lang w:val="fr-CA"/>
              </w:rPr>
              <w:t>)a.1</w:t>
            </w:r>
            <w:proofErr w:type="gramEnd"/>
            <w:r w:rsidRPr="004B7487">
              <w:rPr>
                <w:sz w:val="20"/>
                <w:lang w:val="fr-CA"/>
              </w:rPr>
              <w:t xml:space="preserve">) de </w:t>
            </w:r>
            <w:r w:rsidRPr="004B7487">
              <w:rPr>
                <w:i/>
                <w:sz w:val="20"/>
                <w:lang w:val="fr-CA"/>
              </w:rPr>
              <w:t>LRCDAS</w:t>
            </w:r>
            <w:r w:rsidRPr="004B7487">
              <w:rPr>
                <w:sz w:val="20"/>
                <w:lang w:val="fr-CA"/>
              </w:rPr>
              <w:t xml:space="preserve"> contrevenait à l’art. 12 de la </w:t>
            </w:r>
            <w:r w:rsidRPr="004B7487">
              <w:rPr>
                <w:i/>
                <w:sz w:val="20"/>
                <w:lang w:val="fr-CA"/>
              </w:rPr>
              <w:t>Charte</w:t>
            </w:r>
            <w:r w:rsidRPr="004B7487">
              <w:rPr>
                <w:sz w:val="20"/>
                <w:lang w:val="fr-CA"/>
              </w:rPr>
              <w:t xml:space="preserve"> et ne pouvait être sauvegardée par application de l’article premier. Par conséquent, le juge a refusé de se pencher sur la contestation constitutionnelle de l’al. 742.1b), et il a rejeté la contestation de l’al. 742.1c) fondée sur l’art. 15. L’intimée a été condamnée à une peine d’emprisonnement de 18 mois, moins un mois en raison d’une détention présentencielle et d’autres facteurs.</w:t>
            </w:r>
          </w:p>
          <w:p w:rsidR="004B7487" w:rsidRPr="004B7487" w:rsidRDefault="004B7487" w:rsidP="004B7487">
            <w:pPr>
              <w:jc w:val="both"/>
              <w:rPr>
                <w:sz w:val="20"/>
                <w:lang w:val="fr-CA"/>
              </w:rPr>
            </w:pPr>
          </w:p>
          <w:p w:rsidR="004B7487" w:rsidRPr="004B7487" w:rsidRDefault="004B7487" w:rsidP="004B7487">
            <w:pPr>
              <w:jc w:val="both"/>
              <w:rPr>
                <w:sz w:val="20"/>
                <w:lang w:val="fr-CA"/>
              </w:rPr>
            </w:pPr>
            <w:r w:rsidRPr="004B7487">
              <w:rPr>
                <w:sz w:val="20"/>
                <w:lang w:val="fr-CA"/>
              </w:rPr>
              <w:t>L’intimée a fait appel de la décision et, avec le consentement de la Couronne, elle a également présenté une contestation constitutionnelle du s.</w:t>
            </w:r>
            <w:r w:rsidRPr="004B7487">
              <w:rPr>
                <w:sz w:val="20"/>
                <w:lang w:val="fr-CA"/>
              </w:rPr>
              <w:noBreakHyphen/>
              <w:t>al. 742.1e</w:t>
            </w:r>
            <w:proofErr w:type="gramStart"/>
            <w:r w:rsidRPr="004B7487">
              <w:rPr>
                <w:sz w:val="20"/>
                <w:lang w:val="fr-CA"/>
              </w:rPr>
              <w:t>)(</w:t>
            </w:r>
            <w:proofErr w:type="gramEnd"/>
            <w:r w:rsidRPr="004B7487">
              <w:rPr>
                <w:sz w:val="20"/>
                <w:lang w:val="fr-CA"/>
              </w:rPr>
              <w:t xml:space="preserve">ii) du </w:t>
            </w:r>
            <w:r w:rsidRPr="004B7487">
              <w:rPr>
                <w:i/>
                <w:sz w:val="20"/>
                <w:lang w:val="fr-CA"/>
              </w:rPr>
              <w:t>Code criminel</w:t>
            </w:r>
            <w:r w:rsidRPr="004B7487">
              <w:rPr>
                <w:sz w:val="20"/>
                <w:lang w:val="fr-CA"/>
              </w:rPr>
              <w:t>. Les juges majoritaires de la Cour d’appel ont accueilli l’appel. Elles ont statué que l’al. 742.1c) et le s.</w:t>
            </w:r>
            <w:r w:rsidRPr="004B7487">
              <w:rPr>
                <w:sz w:val="20"/>
                <w:lang w:val="fr-CA"/>
              </w:rPr>
              <w:noBreakHyphen/>
              <w:t>al. 742.1e</w:t>
            </w:r>
            <w:proofErr w:type="gramStart"/>
            <w:r w:rsidRPr="004B7487">
              <w:rPr>
                <w:sz w:val="20"/>
                <w:lang w:val="fr-CA"/>
              </w:rPr>
              <w:t>)(</w:t>
            </w:r>
            <w:proofErr w:type="gramEnd"/>
            <w:r w:rsidRPr="004B7487">
              <w:rPr>
                <w:sz w:val="20"/>
                <w:lang w:val="fr-CA"/>
              </w:rPr>
              <w:t xml:space="preserve">ii) portaient atteinte à la fois à l’art. 7 et au </w:t>
            </w:r>
            <w:proofErr w:type="spellStart"/>
            <w:r w:rsidRPr="004B7487">
              <w:rPr>
                <w:sz w:val="20"/>
                <w:lang w:val="fr-CA"/>
              </w:rPr>
              <w:lastRenderedPageBreak/>
              <w:t>par</w:t>
            </w:r>
            <w:proofErr w:type="spellEnd"/>
            <w:r w:rsidRPr="004B7487">
              <w:rPr>
                <w:sz w:val="20"/>
                <w:lang w:val="fr-CA"/>
              </w:rPr>
              <w:t xml:space="preserve">. 15(1) de la </w:t>
            </w:r>
            <w:r w:rsidRPr="004B7487">
              <w:rPr>
                <w:i/>
                <w:sz w:val="20"/>
                <w:lang w:val="fr-CA"/>
              </w:rPr>
              <w:t>Charte</w:t>
            </w:r>
            <w:r w:rsidRPr="004B7487">
              <w:rPr>
                <w:sz w:val="20"/>
                <w:lang w:val="fr-CA"/>
              </w:rPr>
              <w:t xml:space="preserve"> et que cette atteinte ne pouvait être justifiée en vertu de l’article premier. Les juges majoritaires ont conclu que la peine appropriée aurait été une peine d’emprisonnement avec sursis de 24 mois moins un jour, mais puisque la peine de détention avait déjà été purgée, une peine correspondant à la période de détention purgée lui a été substituée. Le juge Miller, dissident, aurait rejeté l’appel et confirmé la peine d’emprisonnement.</w:t>
            </w:r>
          </w:p>
        </w:tc>
      </w:tr>
      <w:tr w:rsidR="004B7487" w:rsidRPr="004B7487" w:rsidTr="00A87CB0">
        <w:tc>
          <w:tcPr>
            <w:tcW w:w="5000" w:type="pct"/>
            <w:gridSpan w:val="4"/>
          </w:tcPr>
          <w:p w:rsidR="004B7487" w:rsidRPr="004B7487" w:rsidRDefault="004B7487" w:rsidP="004B7487">
            <w:pPr>
              <w:jc w:val="both"/>
              <w:rPr>
                <w:sz w:val="20"/>
                <w:lang w:val="fr-CA"/>
              </w:rPr>
            </w:pPr>
          </w:p>
        </w:tc>
      </w:tr>
      <w:tr w:rsidR="004B7487" w:rsidRPr="004B7487" w:rsidTr="00A87CB0">
        <w:tc>
          <w:tcPr>
            <w:tcW w:w="2427" w:type="pct"/>
            <w:gridSpan w:val="2"/>
          </w:tcPr>
          <w:p w:rsidR="004B7487" w:rsidRPr="004B7487" w:rsidRDefault="004B7487" w:rsidP="004B7487">
            <w:pPr>
              <w:jc w:val="both"/>
              <w:rPr>
                <w:sz w:val="20"/>
                <w:lang w:val="fr-CA"/>
              </w:rPr>
            </w:pPr>
            <w:r w:rsidRPr="004B7487">
              <w:rPr>
                <w:sz w:val="20"/>
                <w:lang w:val="fr-CA"/>
              </w:rPr>
              <w:t>20 février 2020</w:t>
            </w:r>
          </w:p>
          <w:p w:rsidR="004B7487" w:rsidRPr="004B7487" w:rsidRDefault="004B7487" w:rsidP="004B7487">
            <w:pPr>
              <w:jc w:val="both"/>
              <w:rPr>
                <w:sz w:val="20"/>
                <w:lang w:val="fr-CA"/>
              </w:rPr>
            </w:pPr>
            <w:r w:rsidRPr="004B7487">
              <w:rPr>
                <w:sz w:val="20"/>
                <w:lang w:val="fr-CA"/>
              </w:rPr>
              <w:t>Cour supérieure de justice de l’Ontario</w:t>
            </w:r>
          </w:p>
          <w:p w:rsidR="004B7487" w:rsidRPr="004B7487" w:rsidRDefault="004B7487" w:rsidP="004B7487">
            <w:pPr>
              <w:jc w:val="both"/>
              <w:rPr>
                <w:sz w:val="20"/>
                <w:lang w:val="fr-CA"/>
              </w:rPr>
            </w:pPr>
            <w:r w:rsidRPr="004B7487">
              <w:rPr>
                <w:sz w:val="20"/>
                <w:lang w:val="fr-CA"/>
              </w:rPr>
              <w:t>(Juge Hill)</w:t>
            </w:r>
          </w:p>
          <w:p w:rsidR="004B7487" w:rsidRPr="004B7487" w:rsidRDefault="004B7487" w:rsidP="004B7487">
            <w:pPr>
              <w:jc w:val="both"/>
              <w:rPr>
                <w:sz w:val="20"/>
                <w:lang w:val="fr-CA" w:eastAsia="en-CA"/>
              </w:rPr>
            </w:pPr>
            <w:hyperlink r:id="rId71" w:history="1">
              <w:r w:rsidRPr="004B7487">
                <w:rPr>
                  <w:color w:val="0000FF" w:themeColor="hyperlink"/>
                  <w:sz w:val="20"/>
                  <w:u w:val="single"/>
                  <w:lang w:val="fr-CA" w:eastAsia="en-CA"/>
                </w:rPr>
                <w:t>2018 ONSC 1141</w:t>
              </w:r>
            </w:hyperlink>
          </w:p>
          <w:p w:rsidR="004B7487" w:rsidRPr="004B7487" w:rsidRDefault="004B7487" w:rsidP="004B7487">
            <w:pPr>
              <w:jc w:val="both"/>
              <w:rPr>
                <w:sz w:val="20"/>
                <w:lang w:val="fr-CA"/>
              </w:rPr>
            </w:pPr>
          </w:p>
        </w:tc>
        <w:tc>
          <w:tcPr>
            <w:tcW w:w="243" w:type="pct"/>
          </w:tcPr>
          <w:p w:rsidR="004B7487" w:rsidRPr="004B7487" w:rsidRDefault="004B7487" w:rsidP="004B7487">
            <w:pPr>
              <w:jc w:val="both"/>
              <w:rPr>
                <w:sz w:val="20"/>
                <w:lang w:val="fr-CA"/>
              </w:rPr>
            </w:pPr>
          </w:p>
        </w:tc>
        <w:tc>
          <w:tcPr>
            <w:tcW w:w="2330" w:type="pct"/>
          </w:tcPr>
          <w:p w:rsidR="004B7487" w:rsidRPr="004B7487" w:rsidRDefault="004B7487" w:rsidP="004B7487">
            <w:pPr>
              <w:jc w:val="both"/>
              <w:rPr>
                <w:sz w:val="20"/>
                <w:lang w:val="fr-CA" w:eastAsia="en-CA"/>
              </w:rPr>
            </w:pPr>
            <w:r w:rsidRPr="004B7487">
              <w:rPr>
                <w:sz w:val="20"/>
                <w:lang w:val="fr-CA" w:eastAsia="en-CA"/>
              </w:rPr>
              <w:t>L’alinéa 6(3</w:t>
            </w:r>
            <w:proofErr w:type="gramStart"/>
            <w:r w:rsidRPr="004B7487">
              <w:rPr>
                <w:sz w:val="20"/>
                <w:lang w:val="fr-CA" w:eastAsia="en-CA"/>
              </w:rPr>
              <w:t>)a.1</w:t>
            </w:r>
            <w:proofErr w:type="gramEnd"/>
            <w:r w:rsidRPr="004B7487">
              <w:rPr>
                <w:sz w:val="20"/>
                <w:lang w:val="fr-CA" w:eastAsia="en-CA"/>
              </w:rPr>
              <w:t xml:space="preserve">) de la </w:t>
            </w:r>
            <w:r w:rsidRPr="004B7487">
              <w:rPr>
                <w:i/>
                <w:sz w:val="20"/>
                <w:lang w:val="fr-CA" w:eastAsia="en-CA"/>
              </w:rPr>
              <w:t>Loi réglementant certaines drogues et autres substances</w:t>
            </w:r>
            <w:r w:rsidRPr="004B7487">
              <w:rPr>
                <w:sz w:val="20"/>
                <w:lang w:val="fr-CA" w:eastAsia="en-CA"/>
              </w:rPr>
              <w:t xml:space="preserve"> porte atteinte à l’art. 12 de la </w:t>
            </w:r>
            <w:r w:rsidRPr="004B7487">
              <w:rPr>
                <w:i/>
                <w:sz w:val="20"/>
                <w:lang w:val="fr-CA" w:eastAsia="en-CA"/>
              </w:rPr>
              <w:t>Charte</w:t>
            </w:r>
            <w:r w:rsidRPr="004B7487">
              <w:rPr>
                <w:sz w:val="20"/>
                <w:lang w:val="fr-CA" w:eastAsia="en-CA"/>
              </w:rPr>
              <w:t xml:space="preserve">, et cette atteinte n’est pas justifiée en vertu de l’article premier; la contestation constitutionnelle des al. 742.1b) et c) du </w:t>
            </w:r>
            <w:r w:rsidRPr="004B7487">
              <w:rPr>
                <w:i/>
                <w:sz w:val="20"/>
                <w:lang w:val="fr-CA" w:eastAsia="en-CA"/>
              </w:rPr>
              <w:t>Code criminel</w:t>
            </w:r>
            <w:r w:rsidRPr="004B7487">
              <w:rPr>
                <w:sz w:val="20"/>
                <w:lang w:val="fr-CA" w:eastAsia="en-CA"/>
              </w:rPr>
              <w:t xml:space="preserve"> est rejetée. Une peine d’emprisonnement de 17 mois est imposée.</w:t>
            </w:r>
          </w:p>
          <w:p w:rsidR="004B7487" w:rsidRPr="004B7487" w:rsidRDefault="004B7487" w:rsidP="004B7487">
            <w:pPr>
              <w:jc w:val="both"/>
              <w:rPr>
                <w:sz w:val="20"/>
                <w:lang w:val="fr-CA"/>
              </w:rPr>
            </w:pPr>
          </w:p>
        </w:tc>
      </w:tr>
      <w:tr w:rsidR="004B7487" w:rsidRPr="004B7487" w:rsidTr="00A87CB0">
        <w:tc>
          <w:tcPr>
            <w:tcW w:w="2427" w:type="pct"/>
            <w:gridSpan w:val="2"/>
          </w:tcPr>
          <w:p w:rsidR="004B7487" w:rsidRPr="004B7487" w:rsidRDefault="004B7487" w:rsidP="004B7487">
            <w:pPr>
              <w:jc w:val="both"/>
              <w:rPr>
                <w:sz w:val="20"/>
                <w:lang w:val="fr-CA"/>
              </w:rPr>
            </w:pPr>
            <w:r w:rsidRPr="004B7487">
              <w:rPr>
                <w:sz w:val="20"/>
                <w:lang w:val="fr-CA"/>
              </w:rPr>
              <w:t>24 juillet 2020</w:t>
            </w:r>
          </w:p>
          <w:p w:rsidR="004B7487" w:rsidRPr="004B7487" w:rsidRDefault="004B7487" w:rsidP="004B7487">
            <w:pPr>
              <w:jc w:val="both"/>
              <w:rPr>
                <w:sz w:val="20"/>
                <w:lang w:val="fr-CA"/>
              </w:rPr>
            </w:pPr>
            <w:r w:rsidRPr="004B7487">
              <w:rPr>
                <w:sz w:val="20"/>
                <w:lang w:val="fr-CA"/>
              </w:rPr>
              <w:t>Cour d’appel de l’Ontario</w:t>
            </w:r>
          </w:p>
          <w:p w:rsidR="004B7487" w:rsidRPr="004B7487" w:rsidRDefault="004B7487" w:rsidP="004B7487">
            <w:pPr>
              <w:jc w:val="both"/>
              <w:rPr>
                <w:sz w:val="20"/>
                <w:lang w:val="fr-CA"/>
              </w:rPr>
            </w:pPr>
            <w:r w:rsidRPr="004B7487">
              <w:rPr>
                <w:sz w:val="20"/>
                <w:lang w:val="fr-CA"/>
              </w:rPr>
              <w:t xml:space="preserve">(Juges Feldman et Gillese; juge Miller </w:t>
            </w:r>
          </w:p>
          <w:p w:rsidR="004B7487" w:rsidRPr="004B7487" w:rsidRDefault="004B7487" w:rsidP="004B7487">
            <w:pPr>
              <w:jc w:val="both"/>
              <w:rPr>
                <w:sz w:val="20"/>
                <w:lang w:val="fr-CA"/>
              </w:rPr>
            </w:pPr>
            <w:r w:rsidRPr="004B7487">
              <w:rPr>
                <w:sz w:val="20"/>
                <w:lang w:val="fr-CA"/>
              </w:rPr>
              <w:t>(dissident))</w:t>
            </w:r>
          </w:p>
          <w:p w:rsidR="004B7487" w:rsidRPr="004B7487" w:rsidRDefault="004B7487" w:rsidP="004B7487">
            <w:pPr>
              <w:jc w:val="both"/>
              <w:rPr>
                <w:rStyle w:val="Hyperlink"/>
                <w:sz w:val="20"/>
                <w:lang w:val="fr-CA"/>
              </w:rPr>
            </w:pPr>
            <w:hyperlink r:id="rId72" w:history="1">
              <w:r w:rsidRPr="004B7487">
                <w:rPr>
                  <w:rStyle w:val="Hyperlink"/>
                  <w:sz w:val="20"/>
                  <w:lang w:val="fr-CA"/>
                </w:rPr>
                <w:t>2020 ONCA 478</w:t>
              </w:r>
            </w:hyperlink>
          </w:p>
          <w:p w:rsidR="004B7487" w:rsidRPr="004B7487" w:rsidRDefault="004B7487" w:rsidP="004B7487">
            <w:pPr>
              <w:jc w:val="both"/>
              <w:rPr>
                <w:sz w:val="20"/>
                <w:lang w:val="fr-CA"/>
              </w:rPr>
            </w:pPr>
          </w:p>
        </w:tc>
        <w:tc>
          <w:tcPr>
            <w:tcW w:w="243" w:type="pct"/>
          </w:tcPr>
          <w:p w:rsidR="004B7487" w:rsidRPr="004B7487" w:rsidRDefault="004B7487" w:rsidP="004B7487">
            <w:pPr>
              <w:jc w:val="both"/>
              <w:rPr>
                <w:sz w:val="20"/>
                <w:lang w:val="fr-CA"/>
              </w:rPr>
            </w:pPr>
          </w:p>
        </w:tc>
        <w:tc>
          <w:tcPr>
            <w:tcW w:w="2330" w:type="pct"/>
          </w:tcPr>
          <w:p w:rsidR="004B7487" w:rsidRPr="004B7487" w:rsidRDefault="004B7487" w:rsidP="004B7487">
            <w:pPr>
              <w:jc w:val="both"/>
              <w:rPr>
                <w:sz w:val="20"/>
                <w:lang w:val="fr-CA"/>
              </w:rPr>
            </w:pPr>
            <w:r w:rsidRPr="004B7487">
              <w:rPr>
                <w:sz w:val="20"/>
                <w:lang w:val="fr-CA"/>
              </w:rPr>
              <w:t>L’appel de l’intimée est accueilli; l’al. 742.1c) et le s.</w:t>
            </w:r>
            <w:r w:rsidRPr="004B7487">
              <w:rPr>
                <w:sz w:val="20"/>
                <w:lang w:val="fr-CA"/>
              </w:rPr>
              <w:noBreakHyphen/>
              <w:t>al. 742.1e</w:t>
            </w:r>
            <w:proofErr w:type="gramStart"/>
            <w:r w:rsidRPr="004B7487">
              <w:rPr>
                <w:sz w:val="20"/>
                <w:lang w:val="fr-CA"/>
              </w:rPr>
              <w:t>)(</w:t>
            </w:r>
            <w:proofErr w:type="gramEnd"/>
            <w:r w:rsidRPr="004B7487">
              <w:rPr>
                <w:sz w:val="20"/>
                <w:lang w:val="fr-CA"/>
              </w:rPr>
              <w:t>ii) du</w:t>
            </w:r>
            <w:r w:rsidRPr="004B7487">
              <w:rPr>
                <w:i/>
                <w:sz w:val="20"/>
                <w:lang w:val="fr-CA"/>
              </w:rPr>
              <w:t xml:space="preserve"> Code criminel </w:t>
            </w:r>
            <w:r w:rsidRPr="004B7487">
              <w:rPr>
                <w:sz w:val="20"/>
                <w:lang w:val="fr-CA"/>
              </w:rPr>
              <w:t xml:space="preserve">portent atteinte aux art. 7 et 15 de la </w:t>
            </w:r>
            <w:r w:rsidRPr="004B7487">
              <w:rPr>
                <w:i/>
                <w:sz w:val="20"/>
                <w:lang w:val="fr-CA"/>
              </w:rPr>
              <w:t xml:space="preserve">Charte </w:t>
            </w:r>
            <w:r w:rsidRPr="004B7487">
              <w:rPr>
                <w:sz w:val="20"/>
                <w:lang w:val="fr-CA"/>
              </w:rPr>
              <w:t>et ne peuvent être sauvegardés par application de l’article premier; une peine d’emprisonnement avec sursis de 24 mois moins un jour est substituée à la peine qui avait été imposée auparavant.</w:t>
            </w:r>
          </w:p>
          <w:p w:rsidR="004B7487" w:rsidRPr="004B7487" w:rsidRDefault="004B7487" w:rsidP="004B7487">
            <w:pPr>
              <w:jc w:val="both"/>
              <w:rPr>
                <w:sz w:val="20"/>
                <w:lang w:val="fr-CA"/>
              </w:rPr>
            </w:pPr>
          </w:p>
        </w:tc>
      </w:tr>
      <w:tr w:rsidR="004B7487" w:rsidRPr="004B7487" w:rsidTr="00A87CB0">
        <w:tc>
          <w:tcPr>
            <w:tcW w:w="2427" w:type="pct"/>
            <w:gridSpan w:val="2"/>
          </w:tcPr>
          <w:p w:rsidR="004B7487" w:rsidRPr="004B7487" w:rsidRDefault="004B7487" w:rsidP="004B7487">
            <w:pPr>
              <w:jc w:val="both"/>
              <w:rPr>
                <w:sz w:val="20"/>
                <w:lang w:val="fr-CA"/>
              </w:rPr>
            </w:pPr>
            <w:r w:rsidRPr="004B7487">
              <w:rPr>
                <w:sz w:val="20"/>
                <w:lang w:val="fr-CA"/>
              </w:rPr>
              <w:t>29 septembre 2020</w:t>
            </w:r>
          </w:p>
          <w:p w:rsidR="004B7487" w:rsidRPr="004B7487" w:rsidRDefault="004B7487" w:rsidP="004B7487">
            <w:pPr>
              <w:jc w:val="both"/>
              <w:rPr>
                <w:sz w:val="20"/>
                <w:lang w:val="fr-CA"/>
              </w:rPr>
            </w:pPr>
            <w:r w:rsidRPr="004B7487">
              <w:rPr>
                <w:sz w:val="20"/>
                <w:lang w:val="fr-CA"/>
              </w:rPr>
              <w:t>Cour suprême du Canada</w:t>
            </w:r>
          </w:p>
        </w:tc>
        <w:tc>
          <w:tcPr>
            <w:tcW w:w="243" w:type="pct"/>
          </w:tcPr>
          <w:p w:rsidR="004B7487" w:rsidRPr="004B7487" w:rsidRDefault="004B7487" w:rsidP="004B7487">
            <w:pPr>
              <w:jc w:val="both"/>
              <w:rPr>
                <w:sz w:val="20"/>
                <w:lang w:val="fr-CA"/>
              </w:rPr>
            </w:pPr>
          </w:p>
        </w:tc>
        <w:tc>
          <w:tcPr>
            <w:tcW w:w="2330" w:type="pct"/>
          </w:tcPr>
          <w:p w:rsidR="004B7487" w:rsidRPr="004B7487" w:rsidRDefault="004B7487" w:rsidP="004B7487">
            <w:pPr>
              <w:jc w:val="both"/>
              <w:rPr>
                <w:sz w:val="20"/>
                <w:lang w:val="fr-CA"/>
              </w:rPr>
            </w:pPr>
            <w:r w:rsidRPr="004B7487">
              <w:rPr>
                <w:sz w:val="20"/>
                <w:lang w:val="fr-CA"/>
              </w:rPr>
              <w:t>Demande d’autorisation d’appel présentée.</w:t>
            </w:r>
          </w:p>
          <w:p w:rsidR="004B7487" w:rsidRPr="004B7487" w:rsidRDefault="004B7487" w:rsidP="004B7487">
            <w:pPr>
              <w:jc w:val="both"/>
              <w:rPr>
                <w:sz w:val="20"/>
                <w:lang w:val="fr-CA"/>
              </w:rPr>
            </w:pPr>
          </w:p>
        </w:tc>
      </w:tr>
    </w:tbl>
    <w:p w:rsidR="0012542D" w:rsidRPr="004B7487" w:rsidRDefault="0012542D" w:rsidP="007775F6">
      <w:pPr>
        <w:jc w:val="both"/>
        <w:rPr>
          <w:sz w:val="20"/>
          <w:lang w:val="fr-CA"/>
        </w:rPr>
      </w:pPr>
    </w:p>
    <w:p w:rsidR="001002D2" w:rsidRPr="004B7487" w:rsidRDefault="004B7487" w:rsidP="007775F6">
      <w:pPr>
        <w:jc w:val="both"/>
        <w:rPr>
          <w:sz w:val="20"/>
          <w:lang w:val="fr-CA"/>
        </w:rPr>
      </w:pPr>
      <w:r w:rsidRPr="004B7487">
        <w:rPr>
          <w:sz w:val="20"/>
        </w:rPr>
        <w:pict>
          <v:rect id="_x0000_i1052" style="width:2in;height:1pt" o:hrpct="0" o:hralign="center" o:hrstd="t" o:hrnoshade="t" o:hr="t" fillcolor="black [3213]" stroked="f"/>
        </w:pict>
      </w:r>
    </w:p>
    <w:p w:rsidR="0012542D" w:rsidRPr="004B7487" w:rsidRDefault="0012542D"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39274</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Meranda Leigh Dingwall v. Her Majesty the Queen</w:t>
            </w:r>
          </w:p>
          <w:p w:rsidR="0012542D" w:rsidRPr="004B7487" w:rsidRDefault="0012542D" w:rsidP="007775F6">
            <w:pPr>
              <w:pStyle w:val="SCCLsocSubfileSeparator"/>
              <w:rPr>
                <w:sz w:val="20"/>
                <w:szCs w:val="20"/>
              </w:rPr>
            </w:pPr>
            <w:r w:rsidRPr="004B7487">
              <w:rPr>
                <w:sz w:val="20"/>
                <w:szCs w:val="20"/>
              </w:rPr>
              <w:t>- and between -</w:t>
            </w:r>
          </w:p>
          <w:p w:rsidR="0012542D" w:rsidRPr="004B7487" w:rsidRDefault="0012542D" w:rsidP="007775F6">
            <w:pPr>
              <w:pStyle w:val="SCCLsocParty"/>
              <w:jc w:val="both"/>
              <w:rPr>
                <w:b/>
                <w:sz w:val="20"/>
                <w:szCs w:val="20"/>
                <w:lang w:val="en-US"/>
              </w:rPr>
            </w:pPr>
            <w:r w:rsidRPr="004B7487">
              <w:rPr>
                <w:b/>
                <w:sz w:val="20"/>
                <w:szCs w:val="20"/>
                <w:lang w:val="en-US"/>
              </w:rPr>
              <w:t>Christopher Ryan Russell v. Her Majesty the Queen</w:t>
            </w:r>
          </w:p>
          <w:p w:rsidR="0012542D" w:rsidRPr="004B7487" w:rsidRDefault="0012542D" w:rsidP="007775F6">
            <w:pPr>
              <w:pStyle w:val="SCCLsocSubfileSeparator"/>
              <w:rPr>
                <w:sz w:val="20"/>
                <w:szCs w:val="20"/>
              </w:rPr>
            </w:pPr>
            <w:r w:rsidRPr="004B7487">
              <w:rPr>
                <w:sz w:val="20"/>
                <w:szCs w:val="20"/>
              </w:rPr>
              <w:t>- and between -</w:t>
            </w:r>
          </w:p>
          <w:p w:rsidR="0012542D" w:rsidRPr="004B7487" w:rsidRDefault="0012542D" w:rsidP="007775F6">
            <w:pPr>
              <w:pStyle w:val="SCCLsocParty"/>
              <w:jc w:val="both"/>
              <w:rPr>
                <w:b/>
                <w:sz w:val="20"/>
                <w:szCs w:val="20"/>
                <w:lang w:val="en-US"/>
              </w:rPr>
            </w:pPr>
            <w:r w:rsidRPr="004B7487">
              <w:rPr>
                <w:b/>
                <w:sz w:val="20"/>
                <w:szCs w:val="20"/>
                <w:lang w:val="en-US"/>
              </w:rPr>
              <w:t>Kelly Michael Richet v. Her Majesty the Queen</w:t>
            </w:r>
          </w:p>
          <w:p w:rsidR="0012542D" w:rsidRPr="004B7487" w:rsidRDefault="0012542D" w:rsidP="007775F6">
            <w:pPr>
              <w:jc w:val="both"/>
              <w:rPr>
                <w:sz w:val="20"/>
              </w:rPr>
            </w:pPr>
            <w:r w:rsidRPr="004B7487">
              <w:rPr>
                <w:sz w:val="20"/>
              </w:rPr>
              <w:t>(B.C.) (Criminal) (By Leave)</w:t>
            </w:r>
          </w:p>
        </w:tc>
      </w:tr>
      <w:tr w:rsidR="0012542D" w:rsidRPr="004B7487" w:rsidTr="0012542D">
        <w:tc>
          <w:tcPr>
            <w:tcW w:w="5000" w:type="pct"/>
            <w:gridSpan w:val="4"/>
          </w:tcPr>
          <w:p w:rsidR="0012542D" w:rsidRPr="004B7487" w:rsidRDefault="0012542D" w:rsidP="007775F6">
            <w:pPr>
              <w:widowControl w:val="0"/>
              <w:jc w:val="both"/>
              <w:rPr>
                <w:sz w:val="20"/>
              </w:rPr>
            </w:pPr>
            <w:r w:rsidRPr="004B7487">
              <w:rPr>
                <w:sz w:val="20"/>
              </w:rPr>
              <w:t xml:space="preserve">Criminal law — Appeals — Unreasonable verdict — Circumstantial evidence —Parties to offence — Whether Justice Butler’s analysis in dissent applies with equal force to Mr. Russell and Mr. Richet —  Whether the British Columbia Court of Appeal erred in its interpretation and application of this Court’s decision in </w:t>
            </w:r>
            <w:r w:rsidRPr="004B7487">
              <w:rPr>
                <w:i/>
                <w:sz w:val="20"/>
              </w:rPr>
              <w:t>R. v. Thatcher</w:t>
            </w:r>
            <w:r w:rsidRPr="004B7487">
              <w:rPr>
                <w:sz w:val="20"/>
              </w:rPr>
              <w:t>, [1987] 1 S.C.R. 652?</w:t>
            </w:r>
          </w:p>
        </w:tc>
      </w:tr>
      <w:tr w:rsidR="0012542D" w:rsidRPr="004B7487" w:rsidTr="0012542D">
        <w:tc>
          <w:tcPr>
            <w:tcW w:w="5000" w:type="pct"/>
            <w:gridSpan w:val="4"/>
          </w:tcPr>
          <w:p w:rsidR="0012542D" w:rsidRPr="004B7487" w:rsidRDefault="0012542D" w:rsidP="007775F6">
            <w:pPr>
              <w:jc w:val="both"/>
              <w:rPr>
                <w:sz w:val="20"/>
              </w:rPr>
            </w:pPr>
          </w:p>
        </w:tc>
      </w:tr>
      <w:tr w:rsidR="0012542D" w:rsidRPr="004B7487" w:rsidTr="0012542D">
        <w:tc>
          <w:tcPr>
            <w:tcW w:w="5000" w:type="pct"/>
            <w:gridSpan w:val="4"/>
          </w:tcPr>
          <w:p w:rsidR="0012542D" w:rsidRPr="004B7487" w:rsidRDefault="0012542D" w:rsidP="007775F6">
            <w:pPr>
              <w:widowControl w:val="0"/>
              <w:spacing w:before="60" w:after="60" w:line="0" w:lineRule="atLeast"/>
              <w:jc w:val="both"/>
              <w:rPr>
                <w:sz w:val="20"/>
              </w:rPr>
            </w:pPr>
            <w:r w:rsidRPr="004B7487">
              <w:rPr>
                <w:sz w:val="20"/>
              </w:rPr>
              <w:t>The three applicants, Ms. Dingwall, Mr.</w:t>
            </w:r>
            <w:r w:rsidR="001002D2" w:rsidRPr="004B7487">
              <w:rPr>
                <w:sz w:val="20"/>
              </w:rPr>
              <w:t xml:space="preserve"> </w:t>
            </w:r>
            <w:r w:rsidRPr="004B7487">
              <w:rPr>
                <w:sz w:val="20"/>
              </w:rPr>
              <w:t>Russell, and Mr. Richet, were convicted of aggravated assault and various firearm offences in connection to a drive-by shooting occurring outside a house in Mackenzie, British Columbia. At trial, the Crown’s case was based on circumstantial evidence. T</w:t>
            </w:r>
            <w:r w:rsidRPr="004B7487">
              <w:rPr>
                <w:iCs/>
                <w:sz w:val="20"/>
                <w:lang w:val="en"/>
              </w:rPr>
              <w:t>he trial judge concluded that Mr. Russell and Mr. Richet were guilty as principals or aiders or abettors for all charges. Ms. Dingwall was found guilty as an aider or abettor for the charges relating to the drive-by shooting and as a principal or aider or abettor for the charges related to the burning of a truck.</w:t>
            </w:r>
            <w:r w:rsidRPr="004B7487">
              <w:rPr>
                <w:sz w:val="20"/>
              </w:rPr>
              <w:t xml:space="preserve"> The three applicants appealed their respective convictions. The majority at the Court of Appeal for British Columbia dismissed the appeals. First, the majority held that the verdicts were not unreasonable. There was agreement with the trial judge no inference other than guilt was available given the evidence and absence of evidence, assessed logically, and in light of human experience and common sense. The majority also disagreed with the arguments that (1) there was a failure to consider each accused separately; (2) the principle in </w:t>
            </w:r>
            <w:r w:rsidRPr="004B7487">
              <w:rPr>
                <w:i/>
                <w:sz w:val="20"/>
              </w:rPr>
              <w:t>R. v. Thatcher</w:t>
            </w:r>
            <w:r w:rsidRPr="004B7487">
              <w:rPr>
                <w:sz w:val="20"/>
              </w:rPr>
              <w:t>, [1987] 1 S.C.R. 652</w:t>
            </w:r>
            <w:r w:rsidRPr="004B7487">
              <w:rPr>
                <w:i/>
                <w:sz w:val="20"/>
              </w:rPr>
              <w:t xml:space="preserve"> </w:t>
            </w:r>
            <w:r w:rsidRPr="004B7487">
              <w:rPr>
                <w:sz w:val="20"/>
              </w:rPr>
              <w:t xml:space="preserve">is inapplicable in a trial before judge alone (this principle being that the law is indifferent to whether the accused personally committed the offence as a principal or aided and abetted another, so long as the court is satisfied beyond a reasonable doubt that the accused did one or the other); and (3) there was a failure to provide adequate reasons. In dissent, Butler J.A. disagreed with the disposition of Ms. Dingwall’s appeal relating to the drive-by shooting charges. He would have allowed her appeal with respect to counts 3, 4 (discharging a firearm with intent to wound), count 5 (intentionally discharging a firearm while being reckless as to the life or safety of another person) and count 6 (committing aggravated assault), and directed acquittals for those offences. In his view, the trial judge erred in concluding that the only rational inference to be drawn from the evidence was that Ms. Dingwall aided or abetted in the offences described under those counts. To Butler J.A., the trial judge failed to </w:t>
            </w:r>
            <w:r w:rsidRPr="004B7487">
              <w:rPr>
                <w:sz w:val="20"/>
              </w:rPr>
              <w:lastRenderedPageBreak/>
              <w:t>properly consider the lack of any evidence about Ms. Dingwall’s activities before and during the shooting offences, and failed to consider the absence of evidence given her potential liability as a party, rather than a principal, to those offences. As Ms. Dingwall’s participation in the offences was not the only rational inference on the evidence, the Crown could not be taken to have met its burden of proof and the trial judge’s verdict was therefore unreasonable.</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lastRenderedPageBreak/>
              <w:t>July 21, 2017</w:t>
            </w:r>
          </w:p>
          <w:p w:rsidR="0012542D" w:rsidRPr="004B7487" w:rsidRDefault="0012542D" w:rsidP="007775F6">
            <w:pPr>
              <w:jc w:val="both"/>
              <w:rPr>
                <w:sz w:val="20"/>
              </w:rPr>
            </w:pPr>
            <w:r w:rsidRPr="004B7487">
              <w:rPr>
                <w:sz w:val="20"/>
              </w:rPr>
              <w:t>Supreme Court of British Columbia</w:t>
            </w:r>
          </w:p>
          <w:p w:rsidR="0012542D" w:rsidRPr="004B7487" w:rsidRDefault="0012542D" w:rsidP="007775F6">
            <w:pPr>
              <w:jc w:val="both"/>
              <w:rPr>
                <w:sz w:val="20"/>
              </w:rPr>
            </w:pPr>
            <w:r w:rsidRPr="004B7487">
              <w:rPr>
                <w:sz w:val="20"/>
              </w:rPr>
              <w:t>(Abrioux J.)</w:t>
            </w:r>
          </w:p>
          <w:p w:rsidR="0012542D" w:rsidRPr="004B7487" w:rsidRDefault="004B7487" w:rsidP="007775F6">
            <w:pPr>
              <w:jc w:val="both"/>
              <w:rPr>
                <w:sz w:val="20"/>
              </w:rPr>
            </w:pPr>
            <w:hyperlink r:id="rId73" w:history="1">
              <w:r w:rsidR="0012542D" w:rsidRPr="004B7487">
                <w:rPr>
                  <w:rStyle w:val="Hyperlink"/>
                  <w:sz w:val="20"/>
                </w:rPr>
                <w:t>2017 BCSC 1457</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Convictions for aggravated assault and firearms offences</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April 9, 2020</w:t>
            </w:r>
          </w:p>
          <w:p w:rsidR="0012542D" w:rsidRPr="004B7487" w:rsidRDefault="0012542D" w:rsidP="007775F6">
            <w:pPr>
              <w:jc w:val="both"/>
              <w:rPr>
                <w:sz w:val="20"/>
              </w:rPr>
            </w:pPr>
            <w:r w:rsidRPr="004B7487">
              <w:rPr>
                <w:sz w:val="20"/>
              </w:rPr>
              <w:t xml:space="preserve">Court of Appeal for British Columbia </w:t>
            </w:r>
          </w:p>
          <w:p w:rsidR="0012542D" w:rsidRPr="004B7487" w:rsidRDefault="0012542D" w:rsidP="007775F6">
            <w:pPr>
              <w:jc w:val="both"/>
              <w:rPr>
                <w:sz w:val="20"/>
              </w:rPr>
            </w:pPr>
            <w:r w:rsidRPr="004B7487">
              <w:rPr>
                <w:sz w:val="20"/>
              </w:rPr>
              <w:t>(Vancouver)</w:t>
            </w:r>
          </w:p>
          <w:p w:rsidR="0012542D" w:rsidRPr="004B7487" w:rsidRDefault="0012542D" w:rsidP="007775F6">
            <w:pPr>
              <w:jc w:val="both"/>
              <w:rPr>
                <w:sz w:val="20"/>
              </w:rPr>
            </w:pPr>
            <w:r w:rsidRPr="004B7487">
              <w:rPr>
                <w:sz w:val="20"/>
              </w:rPr>
              <w:t>(Newbury, Willcock and Butler JJ.A.)</w:t>
            </w:r>
          </w:p>
          <w:p w:rsidR="0012542D" w:rsidRPr="004B7487" w:rsidRDefault="004B7487" w:rsidP="007775F6">
            <w:pPr>
              <w:jc w:val="both"/>
              <w:rPr>
                <w:rStyle w:val="Hyperlink"/>
                <w:sz w:val="20"/>
              </w:rPr>
            </w:pPr>
            <w:hyperlink r:id="rId74" w:history="1">
              <w:r w:rsidR="0012542D" w:rsidRPr="004B7487">
                <w:rPr>
                  <w:rStyle w:val="Hyperlink"/>
                  <w:sz w:val="20"/>
                </w:rPr>
                <w:t>2020 BCCA 108</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Appeals dismissed</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August 11, 2020</w:t>
            </w:r>
          </w:p>
          <w:p w:rsidR="0012542D" w:rsidRPr="004B7487" w:rsidRDefault="0012542D" w:rsidP="007775F6">
            <w:pPr>
              <w:jc w:val="both"/>
              <w:rPr>
                <w:sz w:val="20"/>
              </w:rPr>
            </w:pPr>
            <w:r w:rsidRPr="004B7487">
              <w:rPr>
                <w:sz w:val="20"/>
              </w:rPr>
              <w:t>Supreme Court of Canada</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Notice of appeal as of right filed</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August 20, 2020</w:t>
            </w:r>
          </w:p>
          <w:p w:rsidR="0012542D" w:rsidRPr="004B7487" w:rsidRDefault="0012542D" w:rsidP="007775F6">
            <w:pPr>
              <w:jc w:val="both"/>
              <w:rPr>
                <w:sz w:val="20"/>
              </w:rPr>
            </w:pPr>
            <w:r w:rsidRPr="004B7487">
              <w:rPr>
                <w:sz w:val="20"/>
              </w:rPr>
              <w:t>Supreme Court of Canada</w:t>
            </w: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Joint application for leave to appeal filed together with motion for extension of time to serve and file it</w:t>
            </w:r>
          </w:p>
        </w:tc>
      </w:tr>
    </w:tbl>
    <w:p w:rsidR="0012542D" w:rsidRPr="004B7487" w:rsidRDefault="0012542D" w:rsidP="007775F6">
      <w:pPr>
        <w:jc w:val="both"/>
        <w:rPr>
          <w:sz w:val="20"/>
        </w:rPr>
      </w:pPr>
    </w:p>
    <w:p w:rsidR="001002D2" w:rsidRPr="004B7487" w:rsidRDefault="004B7487" w:rsidP="007775F6">
      <w:pPr>
        <w:jc w:val="both"/>
        <w:rPr>
          <w:sz w:val="20"/>
        </w:rPr>
      </w:pPr>
      <w:r w:rsidRPr="004B7487">
        <w:rPr>
          <w:sz w:val="20"/>
        </w:rPr>
        <w:pict>
          <v:rect id="_x0000_i1053" style="width:2in;height:1pt" o:hrpct="0" o:hralign="center" o:hrstd="t" o:hrnoshade="t" o:hr="t" fillcolor="black [3213]" stroked="f"/>
        </w:pict>
      </w:r>
    </w:p>
    <w:p w:rsidR="001002D2" w:rsidRPr="004B7487" w:rsidRDefault="001002D2" w:rsidP="007775F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39274</w:t>
            </w:r>
          </w:p>
        </w:tc>
        <w:tc>
          <w:tcPr>
            <w:tcW w:w="4457" w:type="pct"/>
            <w:gridSpan w:val="3"/>
          </w:tcPr>
          <w:p w:rsidR="0012542D" w:rsidRPr="004B7487" w:rsidRDefault="0012542D" w:rsidP="007775F6">
            <w:pPr>
              <w:pStyle w:val="SCCLsocParty"/>
              <w:jc w:val="both"/>
              <w:rPr>
                <w:b/>
                <w:sz w:val="20"/>
                <w:szCs w:val="20"/>
              </w:rPr>
            </w:pPr>
            <w:r w:rsidRPr="004B7487">
              <w:rPr>
                <w:b/>
                <w:sz w:val="20"/>
                <w:szCs w:val="20"/>
              </w:rPr>
              <w:t>Meranda Leigh Dingwall c. Sa Majesté la Reine</w:t>
            </w:r>
          </w:p>
          <w:p w:rsidR="0012542D" w:rsidRPr="004B7487" w:rsidRDefault="0012542D" w:rsidP="007775F6">
            <w:pPr>
              <w:pStyle w:val="SCCLsocSubfileSeparator"/>
              <w:rPr>
                <w:sz w:val="20"/>
                <w:szCs w:val="20"/>
                <w:lang w:val="fr-CA"/>
              </w:rPr>
            </w:pPr>
            <w:r w:rsidRPr="004B7487">
              <w:rPr>
                <w:sz w:val="20"/>
                <w:szCs w:val="20"/>
                <w:lang w:val="fr-CA"/>
              </w:rPr>
              <w:t>- et entre -</w:t>
            </w:r>
          </w:p>
          <w:p w:rsidR="0012542D" w:rsidRPr="004B7487" w:rsidRDefault="0012542D" w:rsidP="007775F6">
            <w:pPr>
              <w:pStyle w:val="SCCLsocParty"/>
              <w:jc w:val="both"/>
              <w:rPr>
                <w:b/>
                <w:sz w:val="20"/>
                <w:szCs w:val="20"/>
              </w:rPr>
            </w:pPr>
            <w:r w:rsidRPr="004B7487">
              <w:rPr>
                <w:b/>
                <w:sz w:val="20"/>
                <w:szCs w:val="20"/>
              </w:rPr>
              <w:t>Christopher Ryan Russell c. Sa Majesté la Reine</w:t>
            </w:r>
          </w:p>
          <w:p w:rsidR="0012542D" w:rsidRPr="004B7487" w:rsidRDefault="0012542D" w:rsidP="007775F6">
            <w:pPr>
              <w:pStyle w:val="SCCLsocSubfileSeparator"/>
              <w:rPr>
                <w:sz w:val="20"/>
                <w:szCs w:val="20"/>
                <w:lang w:val="fr-CA"/>
              </w:rPr>
            </w:pPr>
            <w:r w:rsidRPr="004B7487">
              <w:rPr>
                <w:sz w:val="20"/>
                <w:szCs w:val="20"/>
                <w:lang w:val="fr-CA"/>
              </w:rPr>
              <w:t>- et entre -</w:t>
            </w:r>
          </w:p>
          <w:p w:rsidR="0012542D" w:rsidRPr="004B7487" w:rsidRDefault="0012542D" w:rsidP="007775F6">
            <w:pPr>
              <w:pStyle w:val="SCCLsocParty"/>
              <w:jc w:val="both"/>
              <w:rPr>
                <w:b/>
                <w:sz w:val="20"/>
                <w:szCs w:val="20"/>
              </w:rPr>
            </w:pPr>
            <w:r w:rsidRPr="004B7487">
              <w:rPr>
                <w:b/>
                <w:sz w:val="20"/>
                <w:szCs w:val="20"/>
              </w:rPr>
              <w:t>Kelly Michael Richet c. Sa Majesté la Reine</w:t>
            </w:r>
          </w:p>
          <w:p w:rsidR="0012542D" w:rsidRPr="004B7487" w:rsidRDefault="0012542D" w:rsidP="007775F6">
            <w:pPr>
              <w:jc w:val="both"/>
              <w:rPr>
                <w:sz w:val="20"/>
                <w:lang w:val="fr-CA"/>
              </w:rPr>
            </w:pPr>
            <w:r w:rsidRPr="004B7487">
              <w:rPr>
                <w:sz w:val="20"/>
                <w:lang w:val="fr-CA"/>
              </w:rPr>
              <w:t>(C.</w:t>
            </w:r>
            <w:r w:rsidRPr="004B7487">
              <w:rPr>
                <w:sz w:val="20"/>
                <w:lang w:val="fr-CA"/>
              </w:rPr>
              <w:noBreakHyphen/>
              <w:t>B.) (Criminelle) (Autorisation)</w:t>
            </w:r>
          </w:p>
        </w:tc>
      </w:tr>
      <w:tr w:rsidR="0012542D" w:rsidRPr="004B7487" w:rsidTr="0012542D">
        <w:tc>
          <w:tcPr>
            <w:tcW w:w="5000" w:type="pct"/>
            <w:gridSpan w:val="4"/>
          </w:tcPr>
          <w:p w:rsidR="0012542D" w:rsidRPr="004B7487" w:rsidRDefault="0012542D" w:rsidP="007775F6">
            <w:pPr>
              <w:widowControl w:val="0"/>
              <w:jc w:val="both"/>
              <w:rPr>
                <w:sz w:val="20"/>
                <w:lang w:val="fr-CA"/>
              </w:rPr>
            </w:pPr>
            <w:r w:rsidRPr="004B7487">
              <w:rPr>
                <w:sz w:val="20"/>
                <w:lang w:val="fr-CA"/>
              </w:rPr>
              <w:t>Droit criminel — Appels — Verdict déraisonnable — Preuve circonstancielle — Participants à une infraction — L’analyse du juge Butler, dissident, s’applique</w:t>
            </w:r>
            <w:r w:rsidRPr="004B7487">
              <w:rPr>
                <w:sz w:val="20"/>
                <w:lang w:val="fr-CA"/>
              </w:rPr>
              <w:noBreakHyphen/>
              <w:t>t</w:t>
            </w:r>
            <w:r w:rsidRPr="004B7487">
              <w:rPr>
                <w:sz w:val="20"/>
                <w:lang w:val="fr-CA"/>
              </w:rPr>
              <w:noBreakHyphen/>
              <w:t>elle de manière égale à M. Russell et à M. Richet? — La Cour d’appel de la Colombie</w:t>
            </w:r>
            <w:r w:rsidRPr="004B7487">
              <w:rPr>
                <w:sz w:val="20"/>
                <w:lang w:val="fr-CA"/>
              </w:rPr>
              <w:noBreakHyphen/>
              <w:t>Britannique a</w:t>
            </w:r>
            <w:r w:rsidRPr="004B7487">
              <w:rPr>
                <w:sz w:val="20"/>
                <w:lang w:val="fr-CA"/>
              </w:rPr>
              <w:noBreakHyphen/>
              <w:t>t</w:t>
            </w:r>
            <w:r w:rsidRPr="004B7487">
              <w:rPr>
                <w:sz w:val="20"/>
                <w:lang w:val="fr-CA"/>
              </w:rPr>
              <w:noBreakHyphen/>
              <w:t xml:space="preserve">elle commis une erreur dans son interprétation et son application de l’arrêt de la Cour </w:t>
            </w:r>
            <w:r w:rsidRPr="004B7487">
              <w:rPr>
                <w:i/>
                <w:sz w:val="20"/>
                <w:lang w:val="fr-CA"/>
              </w:rPr>
              <w:t>R. c. Thatcher</w:t>
            </w:r>
            <w:r w:rsidRPr="004B7487">
              <w:rPr>
                <w:sz w:val="20"/>
                <w:lang w:val="fr-CA"/>
              </w:rPr>
              <w:t>, [1987] 1 R.C.S. 652?</w:t>
            </w:r>
          </w:p>
        </w:tc>
      </w:tr>
      <w:tr w:rsidR="0012542D" w:rsidRPr="004B7487" w:rsidTr="0012542D">
        <w:tc>
          <w:tcPr>
            <w:tcW w:w="5000" w:type="pct"/>
            <w:gridSpan w:val="4"/>
          </w:tcPr>
          <w:p w:rsidR="0012542D" w:rsidRPr="004B7487" w:rsidRDefault="0012542D" w:rsidP="007775F6">
            <w:pPr>
              <w:jc w:val="both"/>
              <w:rPr>
                <w:sz w:val="20"/>
                <w:lang w:val="fr-CA"/>
              </w:rPr>
            </w:pPr>
          </w:p>
        </w:tc>
      </w:tr>
      <w:tr w:rsidR="0012542D" w:rsidRPr="004B7487" w:rsidTr="0012542D">
        <w:tc>
          <w:tcPr>
            <w:tcW w:w="5000" w:type="pct"/>
            <w:gridSpan w:val="4"/>
          </w:tcPr>
          <w:p w:rsidR="0012542D" w:rsidRPr="004B7487" w:rsidRDefault="0012542D" w:rsidP="007775F6">
            <w:pPr>
              <w:widowControl w:val="0"/>
              <w:spacing w:before="60" w:after="60" w:line="0" w:lineRule="atLeast"/>
              <w:jc w:val="both"/>
              <w:rPr>
                <w:iCs/>
                <w:spacing w:val="-3"/>
                <w:sz w:val="20"/>
                <w:lang w:val="fr-CA"/>
              </w:rPr>
            </w:pPr>
            <w:r w:rsidRPr="004B7487">
              <w:rPr>
                <w:sz w:val="20"/>
                <w:lang w:val="fr-CA"/>
              </w:rPr>
              <w:t>Les trois demandeurs, M</w:t>
            </w:r>
            <w:r w:rsidRPr="004B7487">
              <w:rPr>
                <w:sz w:val="20"/>
                <w:vertAlign w:val="superscript"/>
                <w:lang w:val="fr-CA"/>
              </w:rPr>
              <w:t>me</w:t>
            </w:r>
            <w:r w:rsidRPr="004B7487">
              <w:rPr>
                <w:sz w:val="20"/>
                <w:lang w:val="fr-CA"/>
              </w:rPr>
              <w:t> Dingwall, M. Russell et M. Richet ont été déclarés coupables de voies de fait graves et de diverses infractions liées aux armes à feu relativement à une fusillade qui a eu lieu au volant d’une voiture à l’extérieur d’une maison à Mackenzie, en Colombie</w:t>
            </w:r>
            <w:r w:rsidRPr="004B7487">
              <w:rPr>
                <w:sz w:val="20"/>
                <w:lang w:val="fr-CA"/>
              </w:rPr>
              <w:noBreakHyphen/>
              <w:t>Britannique. Lors du procès, la thèse du ministère public reposait sur des preuves circonstancielles.</w:t>
            </w:r>
            <w:r w:rsidRPr="004B7487">
              <w:rPr>
                <w:i/>
                <w:iCs/>
                <w:spacing w:val="-3"/>
                <w:sz w:val="20"/>
                <w:lang w:val="fr-CA"/>
              </w:rPr>
              <w:t xml:space="preserve"> </w:t>
            </w:r>
            <w:r w:rsidRPr="004B7487">
              <w:rPr>
                <w:iCs/>
                <w:spacing w:val="-3"/>
                <w:sz w:val="20"/>
                <w:lang w:val="fr-CA"/>
              </w:rPr>
              <w:t xml:space="preserve">Le juge du procès a conclu que </w:t>
            </w:r>
            <w:r w:rsidRPr="004B7487">
              <w:rPr>
                <w:sz w:val="20"/>
                <w:lang w:val="fr-CA"/>
              </w:rPr>
              <w:t>M. Russell et M. Richet</w:t>
            </w:r>
            <w:r w:rsidRPr="004B7487">
              <w:rPr>
                <w:iCs/>
                <w:spacing w:val="-3"/>
                <w:sz w:val="20"/>
                <w:lang w:val="fr-CA"/>
              </w:rPr>
              <w:t xml:space="preserve"> étaient coupables de toutes les accusations à titre d’auteurs ou de personnes qui ont aidé ou encouragé à commettre les infractions.</w:t>
            </w:r>
            <w:r w:rsidRPr="004B7487">
              <w:rPr>
                <w:sz w:val="20"/>
                <w:lang w:val="fr-CA"/>
              </w:rPr>
              <w:t xml:space="preserve"> M</w:t>
            </w:r>
            <w:r w:rsidRPr="004B7487">
              <w:rPr>
                <w:sz w:val="20"/>
                <w:vertAlign w:val="superscript"/>
                <w:lang w:val="fr-CA"/>
              </w:rPr>
              <w:t>me</w:t>
            </w:r>
            <w:r w:rsidRPr="004B7487">
              <w:rPr>
                <w:sz w:val="20"/>
                <w:lang w:val="fr-CA"/>
              </w:rPr>
              <w:t> Dingwall a été déclarée coupable des accusations liées à la fusillade au volant d’une voiture et à titre d’auteure ou de personne qui a aidé ou encouragé à perpétrer les infractions liées à l’incendie d’un camion. Les trois demandeurs ont interjeté appel de leurs déclarations de culpabilité respectives. Les juges majoritaires de la Cour d’appel de la Colombie</w:t>
            </w:r>
            <w:r w:rsidRPr="004B7487">
              <w:rPr>
                <w:sz w:val="20"/>
                <w:lang w:val="fr-CA"/>
              </w:rPr>
              <w:noBreakHyphen/>
              <w:t xml:space="preserve">Britannique ont rejeté les appels. D’abord, les juges majoritaires ont décidé que les verdicts n’étaient pas déraisonnables. Ils ont souscrit à l’avis du juge du procès qu’aucune inférence autre que la culpabilité ne pouvait être tirée compte tenu d’une appréciation logique de la preuve et de l’absence de preuve, et suivant l’expérience humaine et le bon sens. Ensuite, les juges majoritaires étaient en désaccord avec les arguments selon lesquels (1) il y a eu omission d’examiner chaque accusé séparément; (2) le principe de l’arrêt </w:t>
            </w:r>
            <w:r w:rsidRPr="004B7487">
              <w:rPr>
                <w:i/>
                <w:sz w:val="20"/>
                <w:lang w:val="fr-CA"/>
              </w:rPr>
              <w:t>R. c. Thatcher</w:t>
            </w:r>
            <w:r w:rsidRPr="004B7487">
              <w:rPr>
                <w:sz w:val="20"/>
                <w:lang w:val="fr-CA"/>
              </w:rPr>
              <w:t>, [1987] 1 R.C.S. 652, est inapplicable dans un procès devant un juge siégeant seul (ce principe réside en ce que du point de vue juridique, peu importe que l’accusé ait personnellement commis l’infraction à titre d’auteur ou à titre de personne qui aide et encourage une autre personne, du moment que la cour est convaincue hors de tout doute raisonnable que l’accusé a commis l’infraction à l’un ou l’autre titre); (3) il y a eu omission de fournir des motifs suffisants. Le juge d’appel Butler, dissident, était en désaccord avec la manière dont il a été statué sur l’appel de M</w:t>
            </w:r>
            <w:r w:rsidRPr="004B7487">
              <w:rPr>
                <w:sz w:val="20"/>
                <w:vertAlign w:val="superscript"/>
                <w:lang w:val="fr-CA"/>
              </w:rPr>
              <w:t>me</w:t>
            </w:r>
            <w:r w:rsidRPr="004B7487">
              <w:rPr>
                <w:sz w:val="20"/>
                <w:lang w:val="fr-CA"/>
              </w:rPr>
              <w:t xml:space="preserve"> Dingwall concernant les accusations de fusillade au volant d’une voiture. Il aurait accueilli son appel relativement aux chefs 3, 4 (décharger une arme à feu avec l’intention de blesser), au chef 5 (avoir déchargé intentionnellement une arme à feu sans se </w:t>
            </w:r>
            <w:r w:rsidRPr="004B7487">
              <w:rPr>
                <w:sz w:val="20"/>
                <w:lang w:val="fr-CA"/>
              </w:rPr>
              <w:lastRenderedPageBreak/>
              <w:t>soucier de la vie ou de la sécurité d’autrui), et au chef 6 (avoir commis une voie de fait grave) et ordonné des acquittements pour ces infractions. Selon lui, le juge du procès a commis une erreur en concluant que la seule inférence rationnelle devant être tirée de la preuve était que M</w:t>
            </w:r>
            <w:r w:rsidRPr="004B7487">
              <w:rPr>
                <w:sz w:val="20"/>
                <w:vertAlign w:val="superscript"/>
                <w:lang w:val="fr-CA"/>
              </w:rPr>
              <w:t>me</w:t>
            </w:r>
            <w:r w:rsidRPr="004B7487">
              <w:rPr>
                <w:sz w:val="20"/>
                <w:lang w:val="fr-CA"/>
              </w:rPr>
              <w:t> Dingwall avait aidé ou encouragé la perpétration des infractions décrites au titre de ces chefs d’accusation. Pour le juge d’appel Butler, le juge du procès a omis d’examiner adéquatement l’absence de tout élément de preuve sur les activités de M</w:t>
            </w:r>
            <w:r w:rsidRPr="004B7487">
              <w:rPr>
                <w:sz w:val="20"/>
                <w:vertAlign w:val="superscript"/>
                <w:lang w:val="fr-CA"/>
              </w:rPr>
              <w:t>me</w:t>
            </w:r>
            <w:r w:rsidRPr="004B7487">
              <w:rPr>
                <w:sz w:val="20"/>
                <w:lang w:val="fr-CA"/>
              </w:rPr>
              <w:t> Dingwall avant et pendant les infractions liées à la fusillade et a omis de prendre en considération l’absence de preuve étant donné sa responsabilité potentielle à titre de participante plutôt qu’à titre d’auteure de ces infractions. Comme la participation de M</w:t>
            </w:r>
            <w:r w:rsidRPr="004B7487">
              <w:rPr>
                <w:sz w:val="20"/>
                <w:vertAlign w:val="superscript"/>
                <w:lang w:val="fr-CA"/>
              </w:rPr>
              <w:t>me</w:t>
            </w:r>
            <w:r w:rsidRPr="004B7487">
              <w:rPr>
                <w:sz w:val="20"/>
                <w:lang w:val="fr-CA"/>
              </w:rPr>
              <w:t> Dingwall aux infractions n’était pas la seule inférence rationnelle selon la preuve, on ne pouvait pas estimer que ministère public s’était acquitté du fardeau de la preuve qui lui incombait et la décision du juge du procès était donc déraisonnable.</w:t>
            </w:r>
          </w:p>
          <w:p w:rsidR="0012542D" w:rsidRPr="004B7487" w:rsidRDefault="0012542D" w:rsidP="007775F6">
            <w:pPr>
              <w:widowControl w:val="0"/>
              <w:spacing w:before="60" w:after="60" w:line="0" w:lineRule="atLeast"/>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lastRenderedPageBreak/>
              <w:t>21 juillet 2017</w:t>
            </w:r>
          </w:p>
          <w:p w:rsidR="0012542D" w:rsidRPr="004B7487" w:rsidRDefault="0012542D" w:rsidP="007775F6">
            <w:pPr>
              <w:jc w:val="both"/>
              <w:rPr>
                <w:sz w:val="20"/>
                <w:lang w:val="fr-CA"/>
              </w:rPr>
            </w:pPr>
            <w:r w:rsidRPr="004B7487">
              <w:rPr>
                <w:sz w:val="20"/>
                <w:lang w:val="fr-CA"/>
              </w:rPr>
              <w:t>Cour suprême de la Colombie</w:t>
            </w:r>
            <w:r w:rsidRPr="004B7487">
              <w:rPr>
                <w:sz w:val="20"/>
                <w:lang w:val="fr-CA"/>
              </w:rPr>
              <w:noBreakHyphen/>
              <w:t>Britannique</w:t>
            </w:r>
          </w:p>
          <w:p w:rsidR="0012542D" w:rsidRPr="004B7487" w:rsidRDefault="0012542D" w:rsidP="007775F6">
            <w:pPr>
              <w:jc w:val="both"/>
              <w:rPr>
                <w:sz w:val="20"/>
              </w:rPr>
            </w:pPr>
            <w:r w:rsidRPr="004B7487">
              <w:rPr>
                <w:sz w:val="20"/>
              </w:rPr>
              <w:t>(juge Abrioux)</w:t>
            </w:r>
          </w:p>
          <w:p w:rsidR="0012542D" w:rsidRPr="004B7487" w:rsidRDefault="004B7487" w:rsidP="007775F6">
            <w:pPr>
              <w:jc w:val="both"/>
              <w:rPr>
                <w:sz w:val="20"/>
              </w:rPr>
            </w:pPr>
            <w:hyperlink r:id="rId75" w:history="1">
              <w:r w:rsidR="0012542D" w:rsidRPr="004B7487">
                <w:rPr>
                  <w:rStyle w:val="Hyperlink"/>
                  <w:sz w:val="20"/>
                </w:rPr>
                <w:t>2017 BCSC 1457</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 xml:space="preserve">Déclarations de culpabilité pour voies de fait graves et pour infractions liées aux armes à feu </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9 avril 2020</w:t>
            </w:r>
          </w:p>
          <w:p w:rsidR="0012542D" w:rsidRPr="004B7487" w:rsidRDefault="0012542D" w:rsidP="007775F6">
            <w:pPr>
              <w:jc w:val="both"/>
              <w:rPr>
                <w:sz w:val="20"/>
                <w:lang w:val="fr-CA"/>
              </w:rPr>
            </w:pPr>
            <w:r w:rsidRPr="004B7487">
              <w:rPr>
                <w:sz w:val="20"/>
                <w:lang w:val="fr-CA"/>
              </w:rPr>
              <w:t>Cour d’appel de la Colombie</w:t>
            </w:r>
            <w:r w:rsidRPr="004B7487">
              <w:rPr>
                <w:sz w:val="20"/>
                <w:lang w:val="fr-CA"/>
              </w:rPr>
              <w:noBreakHyphen/>
              <w:t>Britannique</w:t>
            </w:r>
          </w:p>
          <w:p w:rsidR="0012542D" w:rsidRPr="004B7487" w:rsidRDefault="0012542D" w:rsidP="007775F6">
            <w:pPr>
              <w:jc w:val="both"/>
              <w:rPr>
                <w:sz w:val="20"/>
              </w:rPr>
            </w:pPr>
            <w:r w:rsidRPr="004B7487">
              <w:rPr>
                <w:sz w:val="20"/>
              </w:rPr>
              <w:t>(Vancouver)</w:t>
            </w:r>
          </w:p>
          <w:p w:rsidR="0012542D" w:rsidRPr="004B7487" w:rsidRDefault="0012542D" w:rsidP="007775F6">
            <w:pPr>
              <w:jc w:val="both"/>
              <w:rPr>
                <w:sz w:val="20"/>
              </w:rPr>
            </w:pPr>
            <w:r w:rsidRPr="004B7487">
              <w:rPr>
                <w:sz w:val="20"/>
              </w:rPr>
              <w:t>(juges Newbury, Willcock et Butler)</w:t>
            </w:r>
          </w:p>
          <w:p w:rsidR="0012542D" w:rsidRPr="004B7487" w:rsidRDefault="004B7487" w:rsidP="007775F6">
            <w:pPr>
              <w:jc w:val="both"/>
              <w:rPr>
                <w:rStyle w:val="Hyperlink"/>
                <w:sz w:val="20"/>
              </w:rPr>
            </w:pPr>
            <w:hyperlink r:id="rId76" w:history="1">
              <w:r w:rsidR="0012542D" w:rsidRPr="004B7487">
                <w:rPr>
                  <w:rStyle w:val="Hyperlink"/>
                  <w:sz w:val="20"/>
                </w:rPr>
                <w:t>2020 BCCA 108</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 xml:space="preserve">Rejet des appels </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11 août 2020</w:t>
            </w:r>
          </w:p>
          <w:p w:rsidR="0012542D" w:rsidRPr="004B7487" w:rsidRDefault="0012542D" w:rsidP="007775F6">
            <w:pPr>
              <w:jc w:val="both"/>
              <w:rPr>
                <w:sz w:val="20"/>
                <w:lang w:val="fr-CA"/>
              </w:rPr>
            </w:pPr>
            <w:r w:rsidRPr="004B7487">
              <w:rPr>
                <w:sz w:val="20"/>
                <w:lang w:val="fr-CA"/>
              </w:rPr>
              <w:t>Cour suprême du Canada</w:t>
            </w:r>
          </w:p>
          <w:p w:rsidR="0012542D" w:rsidRPr="004B7487" w:rsidRDefault="0012542D" w:rsidP="007775F6">
            <w:pPr>
              <w:jc w:val="both"/>
              <w:rPr>
                <w:sz w:val="20"/>
                <w:lang w:val="fr-CA"/>
              </w:rPr>
            </w:pP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Dépôt de l’avis d’appel de plein droit</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20 août 2020</w:t>
            </w:r>
          </w:p>
          <w:p w:rsidR="0012542D" w:rsidRPr="004B7487" w:rsidRDefault="0012542D" w:rsidP="007775F6">
            <w:pPr>
              <w:jc w:val="both"/>
              <w:rPr>
                <w:sz w:val="20"/>
                <w:lang w:val="fr-CA"/>
              </w:rPr>
            </w:pPr>
            <w:r w:rsidRPr="004B7487">
              <w:rPr>
                <w:sz w:val="20"/>
                <w:lang w:val="fr-CA"/>
              </w:rPr>
              <w:t>Cour suprême du Canada</w:t>
            </w:r>
          </w:p>
        </w:tc>
        <w:tc>
          <w:tcPr>
            <w:tcW w:w="243" w:type="pct"/>
          </w:tcPr>
          <w:p w:rsidR="0012542D" w:rsidRPr="004B7487" w:rsidRDefault="0012542D" w:rsidP="007775F6">
            <w:pPr>
              <w:tabs>
                <w:tab w:val="left" w:pos="428"/>
              </w:tabs>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Dépôt de la demande conjointe d’autorisation d’appel avec une requête en prorogation du délai pour la signifier et la déposer</w:t>
            </w:r>
          </w:p>
        </w:tc>
      </w:tr>
    </w:tbl>
    <w:p w:rsidR="0012542D" w:rsidRPr="004B7487" w:rsidRDefault="0012542D" w:rsidP="007775F6">
      <w:pPr>
        <w:widowControl w:val="0"/>
        <w:jc w:val="both"/>
        <w:rPr>
          <w:sz w:val="20"/>
          <w:lang w:val="fr-CA"/>
        </w:rPr>
      </w:pPr>
    </w:p>
    <w:p w:rsidR="001002D2" w:rsidRPr="004B7487" w:rsidRDefault="004B7487" w:rsidP="007775F6">
      <w:pPr>
        <w:widowControl w:val="0"/>
        <w:jc w:val="both"/>
        <w:rPr>
          <w:sz w:val="20"/>
          <w:lang w:val="fr-CA"/>
        </w:rPr>
      </w:pPr>
      <w:r w:rsidRPr="004B7487">
        <w:rPr>
          <w:sz w:val="20"/>
        </w:rPr>
        <w:pict>
          <v:rect id="_x0000_i1054" style="width:2in;height:1pt" o:hrpct="0" o:hralign="center" o:hrstd="t" o:hrnoshade="t" o:hr="t" fillcolor="black [3213]" stroked="f"/>
        </w:pict>
      </w:r>
    </w:p>
    <w:p w:rsidR="001002D2" w:rsidRPr="004B7487" w:rsidRDefault="001002D2"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002D2">
        <w:tc>
          <w:tcPr>
            <w:tcW w:w="543" w:type="pct"/>
          </w:tcPr>
          <w:p w:rsidR="0012542D" w:rsidRPr="004B7487" w:rsidRDefault="0012542D" w:rsidP="001002D2">
            <w:pPr>
              <w:jc w:val="both"/>
              <w:rPr>
                <w:sz w:val="20"/>
              </w:rPr>
            </w:pPr>
            <w:r w:rsidRPr="004B7487">
              <w:rPr>
                <w:rStyle w:val="SCCFileNumberChar"/>
                <w:sz w:val="20"/>
                <w:szCs w:val="20"/>
              </w:rPr>
              <w:t>39301</w:t>
            </w:r>
          </w:p>
        </w:tc>
        <w:tc>
          <w:tcPr>
            <w:tcW w:w="4457" w:type="pct"/>
            <w:gridSpan w:val="3"/>
          </w:tcPr>
          <w:p w:rsidR="0012542D" w:rsidRPr="004B7487" w:rsidRDefault="0012542D" w:rsidP="001002D2">
            <w:pPr>
              <w:pStyle w:val="SCCLsocParty"/>
              <w:jc w:val="both"/>
              <w:rPr>
                <w:b/>
                <w:sz w:val="20"/>
                <w:szCs w:val="20"/>
                <w:lang w:val="en-US"/>
              </w:rPr>
            </w:pPr>
            <w:r w:rsidRPr="004B7487">
              <w:rPr>
                <w:b/>
                <w:sz w:val="20"/>
                <w:szCs w:val="20"/>
                <w:lang w:val="en-US"/>
              </w:rPr>
              <w:t>Jason William Cowan v. Her Majesty the Queen</w:t>
            </w:r>
          </w:p>
          <w:p w:rsidR="0012542D" w:rsidRPr="004B7487" w:rsidRDefault="0012542D" w:rsidP="001002D2">
            <w:pPr>
              <w:pStyle w:val="SCCLsocParty"/>
              <w:jc w:val="both"/>
              <w:rPr>
                <w:b/>
                <w:sz w:val="20"/>
                <w:szCs w:val="20"/>
                <w:lang w:val="en-US"/>
              </w:rPr>
            </w:pPr>
            <w:r w:rsidRPr="004B7487">
              <w:rPr>
                <w:b/>
                <w:sz w:val="20"/>
                <w:szCs w:val="20"/>
                <w:lang w:val="en-US"/>
              </w:rPr>
              <w:t>- and between -</w:t>
            </w:r>
          </w:p>
          <w:p w:rsidR="0012542D" w:rsidRPr="004B7487" w:rsidRDefault="0012542D" w:rsidP="001002D2">
            <w:pPr>
              <w:pStyle w:val="SCCLsocParty"/>
              <w:jc w:val="both"/>
              <w:rPr>
                <w:b/>
                <w:sz w:val="20"/>
                <w:szCs w:val="20"/>
                <w:lang w:val="en-US"/>
              </w:rPr>
            </w:pPr>
            <w:r w:rsidRPr="004B7487">
              <w:rPr>
                <w:b/>
                <w:sz w:val="20"/>
                <w:szCs w:val="20"/>
                <w:lang w:val="en-US"/>
              </w:rPr>
              <w:t>Her Majesty the Queen v. Jason William Cowan</w:t>
            </w:r>
          </w:p>
          <w:p w:rsidR="0012542D" w:rsidRPr="004B7487" w:rsidRDefault="0012542D" w:rsidP="001002D2">
            <w:pPr>
              <w:jc w:val="both"/>
              <w:rPr>
                <w:sz w:val="20"/>
              </w:rPr>
            </w:pPr>
            <w:r w:rsidRPr="004B7487">
              <w:rPr>
                <w:sz w:val="20"/>
              </w:rPr>
              <w:t>(Sask.) (Criminal) (As of Right / By Leave)</w:t>
            </w:r>
          </w:p>
        </w:tc>
      </w:tr>
      <w:tr w:rsidR="0012542D" w:rsidRPr="004B7487" w:rsidTr="001002D2">
        <w:tc>
          <w:tcPr>
            <w:tcW w:w="5000" w:type="pct"/>
            <w:gridSpan w:val="4"/>
          </w:tcPr>
          <w:p w:rsidR="0012542D" w:rsidRPr="004B7487" w:rsidRDefault="0012542D" w:rsidP="001002D2">
            <w:pPr>
              <w:jc w:val="both"/>
              <w:rPr>
                <w:sz w:val="20"/>
              </w:rPr>
            </w:pPr>
            <w:r w:rsidRPr="004B7487">
              <w:rPr>
                <w:sz w:val="20"/>
              </w:rPr>
              <w:t xml:space="preserve">Criminal law — Appeals — Appeal by Crown against acquittal — Error of law — Parties to offence —Criminal law — Appeals — Powers of Court of Appeal — Whether the majority of the Court of Appeal erred in determining the trial judge committed an error in law by limiting himself to considering two named individuals only, apart from Mr. Cowan, as being principals only to the offence — Whether the majority of the Court of Appeal erred in determining that if the trial judge had so erred, the Crown had discharged the burden upon it to demonstrate that the error might reasonably be thought, in the concrete reality of the case at hand, to have had a material bearing on the acquittal — Whether s. 686(8) of </w:t>
            </w:r>
            <w:r w:rsidRPr="004B7487">
              <w:rPr>
                <w:i/>
                <w:sz w:val="20"/>
              </w:rPr>
              <w:t>Criminal Code</w:t>
            </w:r>
            <w:r w:rsidRPr="004B7487">
              <w:rPr>
                <w:sz w:val="20"/>
              </w:rPr>
              <w:t xml:space="preserve"> empowers the Court of Appeal to order a new trial limited to a specific theory of liability — </w:t>
            </w:r>
            <w:r w:rsidRPr="004B7487">
              <w:rPr>
                <w:i/>
                <w:sz w:val="20"/>
              </w:rPr>
              <w:t>Criminal Code</w:t>
            </w:r>
            <w:r w:rsidRPr="004B7487">
              <w:rPr>
                <w:sz w:val="20"/>
              </w:rPr>
              <w:t>, R.S.C. 1985, c. C</w:t>
            </w:r>
            <w:r w:rsidRPr="004B7487">
              <w:rPr>
                <w:sz w:val="20"/>
              </w:rPr>
              <w:noBreakHyphen/>
              <w:t>46, ss. 21(1)(c), 22(1), 686(8).</w:t>
            </w:r>
          </w:p>
        </w:tc>
      </w:tr>
      <w:tr w:rsidR="0012542D" w:rsidRPr="004B7487" w:rsidTr="001002D2">
        <w:tc>
          <w:tcPr>
            <w:tcW w:w="5000" w:type="pct"/>
            <w:gridSpan w:val="4"/>
          </w:tcPr>
          <w:p w:rsidR="0012542D" w:rsidRPr="004B7487" w:rsidRDefault="0012542D" w:rsidP="001002D2">
            <w:pPr>
              <w:jc w:val="both"/>
              <w:rPr>
                <w:sz w:val="20"/>
              </w:rPr>
            </w:pPr>
          </w:p>
        </w:tc>
      </w:tr>
      <w:tr w:rsidR="0012542D" w:rsidRPr="004B7487" w:rsidTr="001002D2">
        <w:tc>
          <w:tcPr>
            <w:tcW w:w="5000" w:type="pct"/>
            <w:gridSpan w:val="4"/>
          </w:tcPr>
          <w:p w:rsidR="0012542D" w:rsidRPr="004B7487" w:rsidRDefault="0012542D" w:rsidP="001002D2">
            <w:pPr>
              <w:widowControl w:val="0"/>
              <w:jc w:val="both"/>
              <w:rPr>
                <w:sz w:val="20"/>
              </w:rPr>
            </w:pPr>
            <w:r w:rsidRPr="004B7487">
              <w:rPr>
                <w:sz w:val="20"/>
              </w:rPr>
              <w:t xml:space="preserve">Following a trial before a judge sitting alone, Mr. Cowan (appellant on the appeal as of right/respondent on the leave application) was acquitted of armed robbery and of having his face masked with intent to commit robbery. The theories of the Crown (respondent on the appeal as of right/applicant on the leave application) at trial were that Mr. Cowan was the masked robber and, as such, he was guilty as a principal offender, or that Mr. Cowan was guilty as party to the offence because, by providing instruction to the men he named in his warned statement on how to commit a robbery, he encouraged and/or counselled them to commit that offence. The trial judge found that the Crown had failed to prove Mr. Cowan’s guilt on the basis of either theory. </w:t>
            </w:r>
          </w:p>
          <w:p w:rsidR="0012542D" w:rsidRPr="004B7487" w:rsidRDefault="0012542D" w:rsidP="001002D2">
            <w:pPr>
              <w:widowControl w:val="0"/>
              <w:jc w:val="both"/>
              <w:rPr>
                <w:sz w:val="20"/>
              </w:rPr>
            </w:pPr>
          </w:p>
          <w:p w:rsidR="0012542D" w:rsidRPr="004B7487" w:rsidRDefault="0012542D" w:rsidP="001002D2">
            <w:pPr>
              <w:widowControl w:val="0"/>
              <w:jc w:val="both"/>
              <w:rPr>
                <w:sz w:val="20"/>
              </w:rPr>
            </w:pPr>
            <w:r w:rsidRPr="004B7487">
              <w:rPr>
                <w:sz w:val="20"/>
              </w:rPr>
              <w:t xml:space="preserve">A majority of the Court of Appeal allowed the Crown’s appeal from the acquittal on the charge of armed robbery, set aside Mr. Cowan’s acquittal, and ordered a new trial on the robbery charge. Although it dismissed the Crown’s arguments under the principal theory, the majority was satisfied that the trial judge made a legal error in the </w:t>
            </w:r>
            <w:r w:rsidRPr="004B7487">
              <w:rPr>
                <w:sz w:val="20"/>
              </w:rPr>
              <w:lastRenderedPageBreak/>
              <w:t>application of s. 21(1</w:t>
            </w:r>
            <w:proofErr w:type="gramStart"/>
            <w:r w:rsidRPr="004B7487">
              <w:rPr>
                <w:sz w:val="20"/>
              </w:rPr>
              <w:t>)(</w:t>
            </w:r>
            <w:proofErr w:type="gramEnd"/>
            <w:r w:rsidRPr="004B7487">
              <w:rPr>
                <w:sz w:val="20"/>
              </w:rPr>
              <w:t xml:space="preserve">c) and s. 22(1) of the </w:t>
            </w:r>
            <w:r w:rsidRPr="004B7487">
              <w:rPr>
                <w:i/>
                <w:sz w:val="20"/>
              </w:rPr>
              <w:t>Criminal Code</w:t>
            </w:r>
            <w:r w:rsidRPr="004B7487">
              <w:rPr>
                <w:sz w:val="20"/>
              </w:rPr>
              <w:t>, R.S.C. 1985, c. C</w:t>
            </w:r>
            <w:r w:rsidRPr="004B7487">
              <w:rPr>
                <w:sz w:val="20"/>
              </w:rPr>
              <w:noBreakHyphen/>
              <w:t>46, by restricting himself to consideration of whether the Crown had proven that Mr. Cowan abetted or counselled the principal offender(s). That error had a material bearing on Mr. Cowan’s acquittal, because it led the trial judge to overlook relevant and probative evidence which strongly supported a finding of guilt. The majority then considered remedy and held that a new trial should be ordered. It said the Crown’s appeal with respect to the acquittal on the principal theory was dismissed, so the new trial should proceed only on the question of whether Mr. Cowan was guilty of robbery as a party, on the basis of abetting or counseling.</w:t>
            </w:r>
          </w:p>
          <w:p w:rsidR="0012542D" w:rsidRPr="004B7487" w:rsidRDefault="0012542D" w:rsidP="001002D2">
            <w:pPr>
              <w:widowControl w:val="0"/>
              <w:jc w:val="both"/>
              <w:rPr>
                <w:sz w:val="20"/>
              </w:rPr>
            </w:pPr>
          </w:p>
          <w:p w:rsidR="0012542D" w:rsidRPr="004B7487" w:rsidRDefault="0012542D" w:rsidP="001002D2">
            <w:pPr>
              <w:widowControl w:val="0"/>
              <w:jc w:val="both"/>
              <w:rPr>
                <w:sz w:val="20"/>
              </w:rPr>
            </w:pPr>
            <w:r w:rsidRPr="004B7487">
              <w:rPr>
                <w:sz w:val="20"/>
              </w:rPr>
              <w:t>Jackson J.A., dissenting, would have dismissed the Crown’s appeal in its entirety. She agreed with the majority that the Crown had not discharged the burden upon it to justify a new trial on the basis that the trial judge made an error of law when he concluded Mr. Cowan had not personally committed the offence of robbery. However, she also concluded that the trial judge did not err by limiting himself to considering two named individuals only as being principals only to the offence, as he was responding to the evidence and submissions. If the trial judge did commit an error of law, Jackson J.A. was of the view that it was not of sufficient materiality for the court to overturn the acquittal and order a new trial.</w:t>
            </w:r>
          </w:p>
          <w:p w:rsidR="0012542D" w:rsidRPr="004B7487" w:rsidRDefault="0012542D" w:rsidP="001002D2">
            <w:pPr>
              <w:jc w:val="both"/>
              <w:rPr>
                <w:sz w:val="20"/>
              </w:rPr>
            </w:pPr>
          </w:p>
        </w:tc>
      </w:tr>
      <w:tr w:rsidR="0012542D" w:rsidRPr="004B7487" w:rsidTr="001002D2">
        <w:tc>
          <w:tcPr>
            <w:tcW w:w="2427" w:type="pct"/>
            <w:gridSpan w:val="2"/>
          </w:tcPr>
          <w:p w:rsidR="0012542D" w:rsidRPr="004B7487" w:rsidRDefault="0012542D" w:rsidP="001002D2">
            <w:pPr>
              <w:jc w:val="both"/>
              <w:rPr>
                <w:sz w:val="20"/>
              </w:rPr>
            </w:pPr>
            <w:r w:rsidRPr="004B7487">
              <w:rPr>
                <w:sz w:val="20"/>
              </w:rPr>
              <w:lastRenderedPageBreak/>
              <w:t>March 2, 2018</w:t>
            </w:r>
          </w:p>
          <w:p w:rsidR="0012542D" w:rsidRPr="004B7487" w:rsidRDefault="0012542D" w:rsidP="001002D2">
            <w:pPr>
              <w:jc w:val="both"/>
              <w:rPr>
                <w:sz w:val="20"/>
              </w:rPr>
            </w:pPr>
            <w:r w:rsidRPr="004B7487">
              <w:rPr>
                <w:sz w:val="20"/>
              </w:rPr>
              <w:t>Court of Queen’s Bench for Saskatchewan</w:t>
            </w:r>
          </w:p>
          <w:p w:rsidR="0012542D" w:rsidRPr="004B7487" w:rsidRDefault="0012542D" w:rsidP="001002D2">
            <w:pPr>
              <w:jc w:val="both"/>
              <w:rPr>
                <w:sz w:val="20"/>
              </w:rPr>
            </w:pPr>
            <w:r w:rsidRPr="004B7487">
              <w:rPr>
                <w:sz w:val="20"/>
              </w:rPr>
              <w:t>(Zarzeczny J.</w:t>
            </w:r>
            <w:bookmarkStart w:id="0" w:name="13"/>
            <w:bookmarkEnd w:id="0"/>
            <w:r w:rsidRPr="004B7487">
              <w:rPr>
                <w:sz w:val="20"/>
              </w:rPr>
              <w:t>)</w:t>
            </w:r>
          </w:p>
          <w:p w:rsidR="0012542D" w:rsidRPr="004B7487" w:rsidRDefault="004B7487" w:rsidP="001002D2">
            <w:pPr>
              <w:jc w:val="both"/>
              <w:rPr>
                <w:sz w:val="20"/>
              </w:rPr>
            </w:pPr>
            <w:hyperlink r:id="rId77" w:history="1">
              <w:r w:rsidR="0012542D" w:rsidRPr="004B7487">
                <w:rPr>
                  <w:rStyle w:val="Hyperlink"/>
                  <w:sz w:val="20"/>
                </w:rPr>
                <w:t>2018 SKQB 75</w:t>
              </w:r>
            </w:hyperlink>
          </w:p>
          <w:p w:rsidR="0012542D" w:rsidRPr="004B7487" w:rsidRDefault="0012542D" w:rsidP="001002D2">
            <w:pPr>
              <w:jc w:val="both"/>
              <w:rPr>
                <w:sz w:val="20"/>
              </w:rPr>
            </w:pPr>
          </w:p>
        </w:tc>
        <w:tc>
          <w:tcPr>
            <w:tcW w:w="243" w:type="pct"/>
          </w:tcPr>
          <w:p w:rsidR="0012542D" w:rsidRPr="004B7487" w:rsidRDefault="0012542D" w:rsidP="001002D2">
            <w:pPr>
              <w:jc w:val="both"/>
              <w:rPr>
                <w:sz w:val="20"/>
              </w:rPr>
            </w:pPr>
          </w:p>
        </w:tc>
        <w:tc>
          <w:tcPr>
            <w:tcW w:w="2330" w:type="pct"/>
          </w:tcPr>
          <w:p w:rsidR="0012542D" w:rsidRPr="004B7487" w:rsidRDefault="0012542D" w:rsidP="001002D2">
            <w:pPr>
              <w:jc w:val="both"/>
              <w:rPr>
                <w:sz w:val="20"/>
              </w:rPr>
            </w:pPr>
            <w:r w:rsidRPr="004B7487">
              <w:rPr>
                <w:sz w:val="20"/>
              </w:rPr>
              <w:t>Accused acquitted of armed robbery and having his face masked with intent to commit robbery</w:t>
            </w:r>
          </w:p>
          <w:p w:rsidR="0012542D" w:rsidRPr="004B7487" w:rsidRDefault="0012542D" w:rsidP="001002D2">
            <w:pPr>
              <w:jc w:val="both"/>
              <w:rPr>
                <w:sz w:val="20"/>
              </w:rPr>
            </w:pPr>
          </w:p>
        </w:tc>
      </w:tr>
      <w:tr w:rsidR="0012542D" w:rsidRPr="004B7487" w:rsidTr="001002D2">
        <w:tc>
          <w:tcPr>
            <w:tcW w:w="2427" w:type="pct"/>
            <w:gridSpan w:val="2"/>
          </w:tcPr>
          <w:p w:rsidR="0012542D" w:rsidRPr="004B7487" w:rsidRDefault="0012542D" w:rsidP="001002D2">
            <w:pPr>
              <w:jc w:val="both"/>
              <w:rPr>
                <w:sz w:val="20"/>
              </w:rPr>
            </w:pPr>
            <w:r w:rsidRPr="004B7487">
              <w:rPr>
                <w:sz w:val="20"/>
              </w:rPr>
              <w:t>June 26, 2020</w:t>
            </w:r>
          </w:p>
          <w:p w:rsidR="0012542D" w:rsidRPr="004B7487" w:rsidRDefault="0012542D" w:rsidP="001002D2">
            <w:pPr>
              <w:jc w:val="both"/>
              <w:rPr>
                <w:sz w:val="20"/>
              </w:rPr>
            </w:pPr>
            <w:r w:rsidRPr="004B7487">
              <w:rPr>
                <w:sz w:val="20"/>
              </w:rPr>
              <w:t>Court of Appeal for Saskatchewan</w:t>
            </w:r>
          </w:p>
          <w:p w:rsidR="0012542D" w:rsidRPr="004B7487" w:rsidRDefault="0012542D" w:rsidP="001002D2">
            <w:pPr>
              <w:jc w:val="both"/>
              <w:rPr>
                <w:sz w:val="20"/>
              </w:rPr>
            </w:pPr>
            <w:r w:rsidRPr="004B7487">
              <w:rPr>
                <w:sz w:val="20"/>
              </w:rPr>
              <w:t xml:space="preserve">(Jackson Georgina R., Ottenbeit Ralph K., </w:t>
            </w:r>
          </w:p>
          <w:p w:rsidR="0012542D" w:rsidRPr="004B7487" w:rsidRDefault="0012542D" w:rsidP="001002D2">
            <w:pPr>
              <w:jc w:val="both"/>
              <w:rPr>
                <w:sz w:val="20"/>
              </w:rPr>
            </w:pPr>
            <w:r w:rsidRPr="004B7487">
              <w:rPr>
                <w:sz w:val="20"/>
              </w:rPr>
              <w:t>Kalmakoff)</w:t>
            </w:r>
          </w:p>
          <w:p w:rsidR="0012542D" w:rsidRPr="004B7487" w:rsidRDefault="004B7487" w:rsidP="001002D2">
            <w:pPr>
              <w:jc w:val="both"/>
              <w:rPr>
                <w:sz w:val="20"/>
              </w:rPr>
            </w:pPr>
            <w:hyperlink r:id="rId78" w:history="1">
              <w:r w:rsidR="0012542D" w:rsidRPr="004B7487">
                <w:rPr>
                  <w:rStyle w:val="Hyperlink"/>
                  <w:sz w:val="20"/>
                </w:rPr>
                <w:t>2020 SKCA 77</w:t>
              </w:r>
            </w:hyperlink>
          </w:p>
          <w:p w:rsidR="0012542D" w:rsidRPr="004B7487" w:rsidRDefault="0012542D" w:rsidP="001002D2">
            <w:pPr>
              <w:jc w:val="both"/>
              <w:rPr>
                <w:sz w:val="20"/>
              </w:rPr>
            </w:pPr>
          </w:p>
        </w:tc>
        <w:tc>
          <w:tcPr>
            <w:tcW w:w="243" w:type="pct"/>
          </w:tcPr>
          <w:p w:rsidR="0012542D" w:rsidRPr="004B7487" w:rsidRDefault="0012542D" w:rsidP="001002D2">
            <w:pPr>
              <w:jc w:val="both"/>
              <w:rPr>
                <w:sz w:val="20"/>
              </w:rPr>
            </w:pPr>
          </w:p>
        </w:tc>
        <w:tc>
          <w:tcPr>
            <w:tcW w:w="2330" w:type="pct"/>
          </w:tcPr>
          <w:p w:rsidR="0012542D" w:rsidRPr="004B7487" w:rsidRDefault="0012542D" w:rsidP="001002D2">
            <w:pPr>
              <w:jc w:val="both"/>
              <w:rPr>
                <w:sz w:val="20"/>
              </w:rPr>
            </w:pPr>
            <w:r w:rsidRPr="004B7487">
              <w:rPr>
                <w:sz w:val="20"/>
              </w:rPr>
              <w:t>Appeal from the acquittal on the charge of armed robbery allowed; acquittal set aside; new trial ordered</w:t>
            </w:r>
          </w:p>
          <w:p w:rsidR="0012542D" w:rsidRPr="004B7487" w:rsidRDefault="0012542D" w:rsidP="001002D2">
            <w:pPr>
              <w:jc w:val="both"/>
              <w:rPr>
                <w:sz w:val="20"/>
              </w:rPr>
            </w:pPr>
          </w:p>
        </w:tc>
      </w:tr>
      <w:tr w:rsidR="0012542D" w:rsidRPr="004B7487" w:rsidTr="001002D2">
        <w:tc>
          <w:tcPr>
            <w:tcW w:w="2427" w:type="pct"/>
            <w:gridSpan w:val="2"/>
          </w:tcPr>
          <w:p w:rsidR="0012542D" w:rsidRPr="004B7487" w:rsidRDefault="0012542D" w:rsidP="001002D2">
            <w:pPr>
              <w:jc w:val="both"/>
              <w:rPr>
                <w:sz w:val="20"/>
              </w:rPr>
            </w:pPr>
            <w:r w:rsidRPr="004B7487">
              <w:rPr>
                <w:sz w:val="20"/>
              </w:rPr>
              <w:t>August 26, 2020</w:t>
            </w:r>
          </w:p>
          <w:p w:rsidR="0012542D" w:rsidRPr="004B7487" w:rsidRDefault="0012542D" w:rsidP="001002D2">
            <w:pPr>
              <w:jc w:val="both"/>
              <w:rPr>
                <w:sz w:val="20"/>
              </w:rPr>
            </w:pPr>
            <w:r w:rsidRPr="004B7487">
              <w:rPr>
                <w:sz w:val="20"/>
              </w:rPr>
              <w:t>Supreme Court of Canada</w:t>
            </w:r>
          </w:p>
          <w:p w:rsidR="0012542D" w:rsidRPr="004B7487" w:rsidRDefault="0012542D" w:rsidP="001002D2">
            <w:pPr>
              <w:jc w:val="both"/>
              <w:rPr>
                <w:sz w:val="20"/>
              </w:rPr>
            </w:pPr>
          </w:p>
        </w:tc>
        <w:tc>
          <w:tcPr>
            <w:tcW w:w="243" w:type="pct"/>
          </w:tcPr>
          <w:p w:rsidR="0012542D" w:rsidRPr="004B7487" w:rsidRDefault="0012542D" w:rsidP="001002D2">
            <w:pPr>
              <w:jc w:val="both"/>
              <w:rPr>
                <w:sz w:val="20"/>
              </w:rPr>
            </w:pPr>
          </w:p>
        </w:tc>
        <w:tc>
          <w:tcPr>
            <w:tcW w:w="2330" w:type="pct"/>
          </w:tcPr>
          <w:p w:rsidR="0012542D" w:rsidRPr="004B7487" w:rsidRDefault="0012542D" w:rsidP="001002D2">
            <w:pPr>
              <w:jc w:val="both"/>
              <w:rPr>
                <w:sz w:val="20"/>
              </w:rPr>
            </w:pPr>
            <w:r w:rsidRPr="004B7487">
              <w:rPr>
                <w:sz w:val="20"/>
              </w:rPr>
              <w:t>Notice of appeal filed by Mr. Cowan</w:t>
            </w:r>
          </w:p>
          <w:p w:rsidR="0012542D" w:rsidRPr="004B7487" w:rsidRDefault="0012542D" w:rsidP="001002D2">
            <w:pPr>
              <w:jc w:val="both"/>
              <w:rPr>
                <w:sz w:val="20"/>
              </w:rPr>
            </w:pPr>
          </w:p>
        </w:tc>
      </w:tr>
      <w:tr w:rsidR="0012542D" w:rsidRPr="004B7487" w:rsidTr="001002D2">
        <w:tc>
          <w:tcPr>
            <w:tcW w:w="2427" w:type="pct"/>
            <w:gridSpan w:val="2"/>
          </w:tcPr>
          <w:p w:rsidR="0012542D" w:rsidRPr="004B7487" w:rsidRDefault="0012542D" w:rsidP="001002D2">
            <w:pPr>
              <w:jc w:val="both"/>
              <w:rPr>
                <w:sz w:val="20"/>
              </w:rPr>
            </w:pPr>
            <w:r w:rsidRPr="004B7487">
              <w:rPr>
                <w:sz w:val="20"/>
              </w:rPr>
              <w:t>September 25, 2020</w:t>
            </w:r>
          </w:p>
          <w:p w:rsidR="0012542D" w:rsidRPr="004B7487" w:rsidRDefault="0012542D" w:rsidP="001002D2">
            <w:pPr>
              <w:jc w:val="both"/>
              <w:rPr>
                <w:sz w:val="20"/>
              </w:rPr>
            </w:pPr>
            <w:r w:rsidRPr="004B7487">
              <w:rPr>
                <w:sz w:val="20"/>
              </w:rPr>
              <w:t>Supreme Court of Canada</w:t>
            </w:r>
          </w:p>
        </w:tc>
        <w:tc>
          <w:tcPr>
            <w:tcW w:w="243" w:type="pct"/>
          </w:tcPr>
          <w:p w:rsidR="0012542D" w:rsidRPr="004B7487" w:rsidRDefault="0012542D" w:rsidP="001002D2">
            <w:pPr>
              <w:jc w:val="both"/>
              <w:rPr>
                <w:sz w:val="20"/>
              </w:rPr>
            </w:pPr>
          </w:p>
        </w:tc>
        <w:tc>
          <w:tcPr>
            <w:tcW w:w="2330" w:type="pct"/>
          </w:tcPr>
          <w:p w:rsidR="0012542D" w:rsidRPr="004B7487" w:rsidRDefault="0012542D" w:rsidP="001002D2">
            <w:pPr>
              <w:jc w:val="both"/>
              <w:rPr>
                <w:sz w:val="20"/>
              </w:rPr>
            </w:pPr>
            <w:r w:rsidRPr="004B7487">
              <w:rPr>
                <w:sz w:val="20"/>
              </w:rPr>
              <w:t>Application for leave to appeal filed by the Crown</w:t>
            </w:r>
          </w:p>
          <w:p w:rsidR="0012542D" w:rsidRPr="004B7487" w:rsidRDefault="0012542D" w:rsidP="001002D2">
            <w:pPr>
              <w:jc w:val="both"/>
              <w:rPr>
                <w:sz w:val="20"/>
              </w:rPr>
            </w:pPr>
          </w:p>
        </w:tc>
      </w:tr>
    </w:tbl>
    <w:p w:rsidR="0012542D" w:rsidRPr="004B7487" w:rsidRDefault="0012542D" w:rsidP="007775F6">
      <w:pPr>
        <w:jc w:val="both"/>
        <w:rPr>
          <w:sz w:val="20"/>
        </w:rPr>
      </w:pPr>
    </w:p>
    <w:p w:rsidR="001002D2" w:rsidRPr="004B7487" w:rsidRDefault="004B7487" w:rsidP="007775F6">
      <w:pPr>
        <w:jc w:val="both"/>
        <w:rPr>
          <w:sz w:val="20"/>
        </w:rPr>
      </w:pPr>
      <w:r w:rsidRPr="004B7487">
        <w:rPr>
          <w:sz w:val="20"/>
        </w:rPr>
        <w:pict>
          <v:rect id="_x0000_i1055" style="width:2in;height:1pt" o:hrpct="0" o:hralign="center" o:hrstd="t" o:hrnoshade="t" o:hr="t" fillcolor="black [3213]" stroked="f"/>
        </w:pict>
      </w:r>
    </w:p>
    <w:p w:rsidR="001002D2" w:rsidRPr="004B7487" w:rsidRDefault="001002D2" w:rsidP="007775F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002D2">
        <w:tc>
          <w:tcPr>
            <w:tcW w:w="543" w:type="pct"/>
          </w:tcPr>
          <w:p w:rsidR="0012542D" w:rsidRPr="004B7487" w:rsidRDefault="0012542D" w:rsidP="001002D2">
            <w:pPr>
              <w:jc w:val="both"/>
              <w:rPr>
                <w:rStyle w:val="SCCFileNumberChar"/>
                <w:sz w:val="20"/>
                <w:szCs w:val="20"/>
                <w:lang w:val="fr-CA"/>
              </w:rPr>
            </w:pPr>
            <w:r w:rsidRPr="004B7487">
              <w:rPr>
                <w:rStyle w:val="SCCFileNumberChar"/>
                <w:sz w:val="20"/>
                <w:szCs w:val="20"/>
                <w:lang w:val="fr-CA"/>
              </w:rPr>
              <w:t>39301</w:t>
            </w:r>
          </w:p>
          <w:p w:rsidR="0012542D" w:rsidRPr="004B7487" w:rsidRDefault="0012542D" w:rsidP="001002D2">
            <w:pPr>
              <w:jc w:val="both"/>
              <w:rPr>
                <w:rStyle w:val="SCCFileNumberChar"/>
                <w:sz w:val="20"/>
                <w:szCs w:val="20"/>
                <w:lang w:val="fr-CA"/>
              </w:rPr>
            </w:pPr>
          </w:p>
          <w:p w:rsidR="0012542D" w:rsidRPr="004B7487" w:rsidRDefault="0012542D" w:rsidP="001002D2">
            <w:pPr>
              <w:jc w:val="both"/>
              <w:rPr>
                <w:rStyle w:val="SCCFileNumberChar"/>
                <w:sz w:val="20"/>
                <w:szCs w:val="20"/>
                <w:lang w:val="fr-CA"/>
              </w:rPr>
            </w:pPr>
          </w:p>
          <w:p w:rsidR="0012542D" w:rsidRPr="004B7487" w:rsidRDefault="0012542D" w:rsidP="001002D2">
            <w:pPr>
              <w:jc w:val="both"/>
              <w:rPr>
                <w:sz w:val="20"/>
                <w:lang w:val="fr-CA"/>
              </w:rPr>
            </w:pPr>
          </w:p>
        </w:tc>
        <w:tc>
          <w:tcPr>
            <w:tcW w:w="4457" w:type="pct"/>
            <w:gridSpan w:val="3"/>
          </w:tcPr>
          <w:p w:rsidR="0012542D" w:rsidRPr="004B7487" w:rsidRDefault="0012542D" w:rsidP="001002D2">
            <w:pPr>
              <w:pStyle w:val="SCCLsocParty"/>
              <w:jc w:val="both"/>
              <w:rPr>
                <w:b/>
                <w:sz w:val="20"/>
                <w:szCs w:val="20"/>
              </w:rPr>
            </w:pPr>
            <w:r w:rsidRPr="004B7487">
              <w:rPr>
                <w:b/>
                <w:sz w:val="20"/>
                <w:szCs w:val="20"/>
              </w:rPr>
              <w:t>Jason William Cowan c. Sa Majesté la Reine</w:t>
            </w:r>
          </w:p>
          <w:p w:rsidR="0012542D" w:rsidRPr="004B7487" w:rsidRDefault="0012542D" w:rsidP="001002D2">
            <w:pPr>
              <w:pStyle w:val="SCCLsocParty"/>
              <w:tabs>
                <w:tab w:val="left" w:pos="1973"/>
              </w:tabs>
              <w:jc w:val="both"/>
              <w:rPr>
                <w:b/>
                <w:sz w:val="20"/>
                <w:szCs w:val="20"/>
              </w:rPr>
            </w:pPr>
            <w:r w:rsidRPr="004B7487">
              <w:rPr>
                <w:b/>
                <w:sz w:val="20"/>
                <w:szCs w:val="20"/>
              </w:rPr>
              <w:t>- et entre -</w:t>
            </w:r>
          </w:p>
          <w:p w:rsidR="0012542D" w:rsidRPr="004B7487" w:rsidRDefault="0012542D" w:rsidP="001002D2">
            <w:pPr>
              <w:pStyle w:val="SCCLsocParty"/>
              <w:jc w:val="both"/>
              <w:rPr>
                <w:b/>
                <w:sz w:val="20"/>
                <w:szCs w:val="20"/>
              </w:rPr>
            </w:pPr>
            <w:r w:rsidRPr="004B7487">
              <w:rPr>
                <w:b/>
                <w:sz w:val="20"/>
                <w:szCs w:val="20"/>
              </w:rPr>
              <w:t>Sa Majesté la Reine c. Jason William Cowan</w:t>
            </w:r>
          </w:p>
          <w:p w:rsidR="0012542D" w:rsidRPr="004B7487" w:rsidRDefault="0012542D" w:rsidP="001002D2">
            <w:pPr>
              <w:jc w:val="both"/>
              <w:rPr>
                <w:sz w:val="20"/>
                <w:lang w:val="fr-CA"/>
              </w:rPr>
            </w:pPr>
            <w:r w:rsidRPr="004B7487">
              <w:rPr>
                <w:sz w:val="20"/>
                <w:lang w:val="fr-CA"/>
              </w:rPr>
              <w:t>(Sask.) (Criminelle) (De plein droit / Autorisation)</w:t>
            </w:r>
          </w:p>
        </w:tc>
      </w:tr>
      <w:tr w:rsidR="0012542D" w:rsidRPr="004B7487" w:rsidTr="001002D2">
        <w:tc>
          <w:tcPr>
            <w:tcW w:w="5000" w:type="pct"/>
            <w:gridSpan w:val="4"/>
          </w:tcPr>
          <w:p w:rsidR="0012542D" w:rsidRPr="004B7487" w:rsidRDefault="0012542D" w:rsidP="001002D2">
            <w:pPr>
              <w:jc w:val="both"/>
              <w:rPr>
                <w:sz w:val="20"/>
                <w:lang w:val="fr-CA"/>
              </w:rPr>
            </w:pPr>
            <w:r w:rsidRPr="004B7487">
              <w:rPr>
                <w:sz w:val="20"/>
                <w:lang w:val="fr-CA"/>
              </w:rPr>
              <w:t xml:space="preserve">Droit criminel — Appels — Appel d’un acquittement interjeté par la Couronne — Erreur de droit— Participants à l’infraction — Droit criminel — Appels — Pouvoirs de la Cour d’appel — Les juges majoritaires de la Cour d’appel </w:t>
            </w:r>
            <w:proofErr w:type="spellStart"/>
            <w:r w:rsidRPr="004B7487">
              <w:rPr>
                <w:sz w:val="20"/>
                <w:lang w:val="fr-CA"/>
              </w:rPr>
              <w:t>ont</w:t>
            </w:r>
            <w:r w:rsidRPr="004B7487">
              <w:rPr>
                <w:sz w:val="20"/>
                <w:lang w:val="fr-CA"/>
              </w:rPr>
              <w:noBreakHyphen/>
              <w:t>il</w:t>
            </w:r>
            <w:proofErr w:type="spellEnd"/>
            <w:r w:rsidRPr="004B7487">
              <w:rPr>
                <w:sz w:val="20"/>
                <w:lang w:val="fr-CA"/>
              </w:rPr>
              <w:t xml:space="preserve"> eu tort de conclure que le juge du procès avait commis une erreur de droit en ne considérant que deux personnes nommées, autres que M. Cowan, en tant qu’auteurs principaux de l’infraction uniquement? — Les juges majoritaires de la Cour d’appel </w:t>
            </w:r>
            <w:proofErr w:type="spellStart"/>
            <w:r w:rsidRPr="004B7487">
              <w:rPr>
                <w:sz w:val="20"/>
                <w:lang w:val="fr-CA"/>
              </w:rPr>
              <w:t>ont</w:t>
            </w:r>
            <w:r w:rsidRPr="004B7487">
              <w:rPr>
                <w:sz w:val="20"/>
                <w:lang w:val="fr-CA"/>
              </w:rPr>
              <w:noBreakHyphen/>
              <w:t>il</w:t>
            </w:r>
            <w:proofErr w:type="spellEnd"/>
            <w:r w:rsidRPr="004B7487">
              <w:rPr>
                <w:sz w:val="20"/>
                <w:lang w:val="fr-CA"/>
              </w:rPr>
              <w:t xml:space="preserve"> fait erreur en statuant que si le juge du procès avait commis une telle erreur, la Couronne s’était acquittée de son fardeau de démontrer qu’il serait raisonnable de penser, compte tenu des faits concrets de l’affaire, que l’erreur a eu une incidence significative sur le verdict d’acquittement? — Le par. 686(8) du </w:t>
            </w:r>
            <w:r w:rsidRPr="004B7487">
              <w:rPr>
                <w:i/>
                <w:sz w:val="20"/>
                <w:lang w:val="fr-CA"/>
              </w:rPr>
              <w:t>Code criminel</w:t>
            </w:r>
            <w:r w:rsidRPr="004B7487">
              <w:rPr>
                <w:sz w:val="20"/>
                <w:lang w:val="fr-CA"/>
              </w:rPr>
              <w:t xml:space="preserve"> habilite</w:t>
            </w:r>
            <w:r w:rsidRPr="004B7487">
              <w:rPr>
                <w:sz w:val="20"/>
                <w:lang w:val="fr-CA"/>
              </w:rPr>
              <w:noBreakHyphen/>
              <w:t>t</w:t>
            </w:r>
            <w:r w:rsidRPr="004B7487">
              <w:rPr>
                <w:sz w:val="20"/>
                <w:lang w:val="fr-CA"/>
              </w:rPr>
              <w:noBreakHyphen/>
              <w:t xml:space="preserve">il la Cour d’appel à ordonner la tenue d’un nouveau procès portant uniquement sur une thèse particulière relative à la responsabilité? — </w:t>
            </w:r>
            <w:r w:rsidRPr="004B7487">
              <w:rPr>
                <w:i/>
                <w:sz w:val="20"/>
                <w:lang w:val="fr-CA"/>
              </w:rPr>
              <w:t>Code criminel</w:t>
            </w:r>
            <w:r w:rsidRPr="004B7487">
              <w:rPr>
                <w:sz w:val="20"/>
                <w:lang w:val="fr-CA"/>
              </w:rPr>
              <w:t>, L.R.C. 1985, c. C</w:t>
            </w:r>
            <w:r w:rsidRPr="004B7487">
              <w:rPr>
                <w:sz w:val="20"/>
                <w:lang w:val="fr-CA"/>
              </w:rPr>
              <w:noBreakHyphen/>
              <w:t>46, art. 21(1)c), 22(1), 686(8).</w:t>
            </w:r>
          </w:p>
        </w:tc>
      </w:tr>
      <w:tr w:rsidR="0012542D" w:rsidRPr="004B7487" w:rsidTr="001002D2">
        <w:tc>
          <w:tcPr>
            <w:tcW w:w="5000" w:type="pct"/>
            <w:gridSpan w:val="4"/>
          </w:tcPr>
          <w:p w:rsidR="0012542D" w:rsidRPr="004B7487" w:rsidRDefault="0012542D" w:rsidP="001002D2">
            <w:pPr>
              <w:jc w:val="both"/>
              <w:rPr>
                <w:sz w:val="20"/>
                <w:lang w:val="fr-CA"/>
              </w:rPr>
            </w:pPr>
          </w:p>
        </w:tc>
      </w:tr>
      <w:tr w:rsidR="0012542D" w:rsidRPr="004B7487" w:rsidTr="001002D2">
        <w:tc>
          <w:tcPr>
            <w:tcW w:w="5000" w:type="pct"/>
            <w:gridSpan w:val="4"/>
          </w:tcPr>
          <w:p w:rsidR="0012542D" w:rsidRPr="004B7487" w:rsidRDefault="0012542D" w:rsidP="001002D2">
            <w:pPr>
              <w:widowControl w:val="0"/>
              <w:jc w:val="both"/>
              <w:rPr>
                <w:sz w:val="20"/>
                <w:lang w:val="fr-CA"/>
              </w:rPr>
            </w:pPr>
            <w:r w:rsidRPr="004B7487">
              <w:rPr>
                <w:sz w:val="20"/>
                <w:lang w:val="fr-CA"/>
              </w:rPr>
              <w:t xml:space="preserve">À la suite d’un procès devant un juge siégeant seul, M. Cowan (appelant dans l’appel de plein droit/intimé dans la demande d’autorisation) a été acquitté de vol à main armé et d’avoir eu la figure couverte d’un masque dans l’intention de commettre un vol. La Couronne (intimée dans l’appel de plein droit/demanderesse dans la demande d’autorisation) a avancé les thèses suivantes au procès : M. Cowan était le voleur masqué et était donc coupable en tant qu’auteur principal, ou M. Cowan était coupable en qualité de participant à l’infraction parce qu’en donnant des instructions aux hommes qu’il avait nommés dans la déclaration faite après avoir reçu la mise en garde d’usage sur la manière de commettre un vol, il les avait encouragés à commettre cette infraction et/ou leur avait conseillé de le </w:t>
            </w:r>
            <w:r w:rsidRPr="004B7487">
              <w:rPr>
                <w:sz w:val="20"/>
                <w:lang w:val="fr-CA"/>
              </w:rPr>
              <w:lastRenderedPageBreak/>
              <w:t>faire. Le juge du procès a conclu que la Couronne n’avait pas réussi à établir la culpabilité de M. Cowan sur le fondement de l’une ou l’autre thèse.</w:t>
            </w:r>
          </w:p>
          <w:p w:rsidR="0012542D" w:rsidRPr="004B7487" w:rsidRDefault="0012542D" w:rsidP="001002D2">
            <w:pPr>
              <w:widowControl w:val="0"/>
              <w:jc w:val="both"/>
              <w:rPr>
                <w:sz w:val="20"/>
                <w:lang w:val="fr-CA"/>
              </w:rPr>
            </w:pPr>
          </w:p>
          <w:p w:rsidR="0012542D" w:rsidRPr="004B7487" w:rsidRDefault="0012542D" w:rsidP="001002D2">
            <w:pPr>
              <w:widowControl w:val="0"/>
              <w:jc w:val="both"/>
              <w:rPr>
                <w:sz w:val="20"/>
                <w:lang w:val="fr-CA"/>
              </w:rPr>
            </w:pPr>
            <w:r w:rsidRPr="004B7487">
              <w:rPr>
                <w:sz w:val="20"/>
                <w:lang w:val="fr-CA"/>
              </w:rPr>
              <w:t xml:space="preserve">Les juges majoritaires de la Cour d’appel ont fait droit à l’appel interjeté par Couronne contre l’acquittement relatif à l’accusation de vol à main armée, ont annulé l’acquittement de M. Cowan et ont ordonné la tenue d’un nouveau procès sur l’accusation de vol. Bien qu’ils aient rejeté les arguments de la Couronne à l’égard de la thèse de l’auteur principal, les juges majoritaires étaient convaincus que le juge du procès avait commis une erreur de droit dans l’application de l’al. 21(1)c) et du par. 22(1) du </w:t>
            </w:r>
            <w:r w:rsidRPr="004B7487">
              <w:rPr>
                <w:i/>
                <w:sz w:val="20"/>
                <w:lang w:val="fr-CA"/>
              </w:rPr>
              <w:t>Code criminel</w:t>
            </w:r>
            <w:r w:rsidRPr="004B7487">
              <w:rPr>
                <w:sz w:val="20"/>
                <w:lang w:val="fr-CA"/>
              </w:rPr>
              <w:t>, L.R.C. 1985, c. C</w:t>
            </w:r>
            <w:r w:rsidRPr="004B7487">
              <w:rPr>
                <w:sz w:val="20"/>
                <w:lang w:val="fr-CA"/>
              </w:rPr>
              <w:noBreakHyphen/>
              <w:t xml:space="preserve">46, en se demandant uniquement si la Couronne avait démontré que M. Cowan avait encouragé ou conseillé le(s) auteur(s) </w:t>
            </w:r>
            <w:proofErr w:type="gramStart"/>
            <w:r w:rsidRPr="004B7487">
              <w:rPr>
                <w:sz w:val="20"/>
                <w:lang w:val="fr-CA"/>
              </w:rPr>
              <w:t>principal(</w:t>
            </w:r>
            <w:proofErr w:type="gramEnd"/>
            <w:r w:rsidRPr="004B7487">
              <w:rPr>
                <w:sz w:val="20"/>
                <w:lang w:val="fr-CA"/>
              </w:rPr>
              <w:t>aux). Cette erreur a eu une incidence significative sur le verdict d’acquittement de M. Cowan parce qu’elle a amené le juge du procès à ne pas prendre en considération des éléments de preuve pertinents et probants qui militaient fortement en faveur d’une conclusion de culpabilité. Les juges majoritaires se sont ensuite penchés sur la réparation à accorder et ont conclu qu’il y avait lieu d’ordonner un nouveau procès. Ils ont affirmé que l’appel de la Couronne en ce qui a trait à l’acquittement relatif à la thèse de l’auteur principal était rejeté, de sorte que le nouveau procès devait porter uniquement sur la question de savoir si M. Cowan était coupable de vol en tant que participant pour avoir encouragé ou conseillé la perpétration de l’infraction.</w:t>
            </w:r>
          </w:p>
          <w:p w:rsidR="0012542D" w:rsidRPr="004B7487" w:rsidRDefault="0012542D" w:rsidP="001002D2">
            <w:pPr>
              <w:widowControl w:val="0"/>
              <w:jc w:val="both"/>
              <w:rPr>
                <w:sz w:val="20"/>
                <w:lang w:val="fr-CA"/>
              </w:rPr>
            </w:pPr>
          </w:p>
          <w:p w:rsidR="0012542D" w:rsidRPr="004B7487" w:rsidRDefault="0012542D" w:rsidP="001002D2">
            <w:pPr>
              <w:widowControl w:val="0"/>
              <w:jc w:val="both"/>
              <w:rPr>
                <w:sz w:val="20"/>
                <w:lang w:val="fr-CA"/>
              </w:rPr>
            </w:pPr>
            <w:r w:rsidRPr="004B7487">
              <w:rPr>
                <w:sz w:val="20"/>
                <w:lang w:val="fr-CA"/>
              </w:rPr>
              <w:t>La juge Jackson, dissidente, aurait rejeté l’appel de la Couronne dans son entièreté. Elle a convenu avec les juges majoritaires que la Couronne ne s’était pas acquittée du fardeau qui lui incombait de justifier la tenue d’un nouveau procès en établissant que le juge du procès avait commis une erreur de droit lorsqu’il avait conclu que M. Cowan n’avait pas personnellement commis l’infraction de vol. Cependant, elle a également statué que le juge n’avait pas eu tort de ne considérer que deux personnes nommées en tant qu’auteurs principaux de l’infraction uniquement, car il répondait alors à la preuve et aux observations. Selon la juge Jackson, si le juge du procès avait commis une erreur de droit, cette erreur n’était pas suffisamment significative pour permettre à la cour d’annuler l’acquittement et d’ordonner un nouveau procès.</w:t>
            </w:r>
          </w:p>
          <w:p w:rsidR="0012542D" w:rsidRPr="004B7487" w:rsidRDefault="0012542D" w:rsidP="001002D2">
            <w:pPr>
              <w:jc w:val="both"/>
              <w:rPr>
                <w:sz w:val="20"/>
                <w:lang w:val="fr-CA"/>
              </w:rPr>
            </w:pPr>
          </w:p>
        </w:tc>
      </w:tr>
      <w:tr w:rsidR="0012542D" w:rsidRPr="004B7487" w:rsidTr="001002D2">
        <w:tc>
          <w:tcPr>
            <w:tcW w:w="2427" w:type="pct"/>
            <w:gridSpan w:val="2"/>
          </w:tcPr>
          <w:p w:rsidR="0012542D" w:rsidRPr="004B7487" w:rsidRDefault="0012542D" w:rsidP="001002D2">
            <w:pPr>
              <w:jc w:val="both"/>
              <w:rPr>
                <w:sz w:val="20"/>
                <w:lang w:val="fr-CA"/>
              </w:rPr>
            </w:pPr>
            <w:r w:rsidRPr="004B7487">
              <w:rPr>
                <w:sz w:val="20"/>
                <w:lang w:val="fr-CA"/>
              </w:rPr>
              <w:lastRenderedPageBreak/>
              <w:t>2 mars 2018</w:t>
            </w:r>
          </w:p>
          <w:p w:rsidR="0012542D" w:rsidRPr="004B7487" w:rsidRDefault="0012542D" w:rsidP="001002D2">
            <w:pPr>
              <w:jc w:val="both"/>
              <w:rPr>
                <w:sz w:val="20"/>
                <w:lang w:val="fr-CA"/>
              </w:rPr>
            </w:pPr>
            <w:r w:rsidRPr="004B7487">
              <w:rPr>
                <w:sz w:val="20"/>
                <w:lang w:val="fr-CA"/>
              </w:rPr>
              <w:t>Cour du Banc de la Reine de la Saskatchewan</w:t>
            </w:r>
          </w:p>
          <w:p w:rsidR="0012542D" w:rsidRPr="004B7487" w:rsidRDefault="0012542D" w:rsidP="001002D2">
            <w:pPr>
              <w:jc w:val="both"/>
              <w:rPr>
                <w:sz w:val="20"/>
                <w:lang w:val="fr-CA"/>
              </w:rPr>
            </w:pPr>
            <w:r w:rsidRPr="004B7487">
              <w:rPr>
                <w:sz w:val="20"/>
                <w:lang w:val="fr-CA"/>
              </w:rPr>
              <w:t>(Juge Zarzeczny)</w:t>
            </w:r>
          </w:p>
          <w:p w:rsidR="0012542D" w:rsidRPr="004B7487" w:rsidRDefault="004B7487" w:rsidP="001002D2">
            <w:pPr>
              <w:jc w:val="both"/>
              <w:rPr>
                <w:sz w:val="20"/>
                <w:lang w:val="fr-CA"/>
              </w:rPr>
            </w:pPr>
            <w:hyperlink r:id="rId79" w:history="1">
              <w:r w:rsidR="0012542D" w:rsidRPr="004B7487">
                <w:rPr>
                  <w:rStyle w:val="Hyperlink"/>
                  <w:sz w:val="20"/>
                  <w:lang w:val="fr-CA"/>
                </w:rPr>
                <w:t>2018 SKQB 75</w:t>
              </w:r>
            </w:hyperlink>
          </w:p>
          <w:p w:rsidR="0012542D" w:rsidRPr="004B7487" w:rsidRDefault="0012542D" w:rsidP="001002D2">
            <w:pPr>
              <w:jc w:val="both"/>
              <w:rPr>
                <w:sz w:val="20"/>
                <w:lang w:val="fr-CA"/>
              </w:rPr>
            </w:pPr>
          </w:p>
        </w:tc>
        <w:tc>
          <w:tcPr>
            <w:tcW w:w="243" w:type="pct"/>
          </w:tcPr>
          <w:p w:rsidR="0012542D" w:rsidRPr="004B7487" w:rsidRDefault="0012542D" w:rsidP="001002D2">
            <w:pPr>
              <w:jc w:val="both"/>
              <w:rPr>
                <w:sz w:val="20"/>
                <w:lang w:val="fr-CA"/>
              </w:rPr>
            </w:pPr>
          </w:p>
        </w:tc>
        <w:tc>
          <w:tcPr>
            <w:tcW w:w="2330" w:type="pct"/>
          </w:tcPr>
          <w:p w:rsidR="0012542D" w:rsidRPr="004B7487" w:rsidRDefault="0012542D" w:rsidP="001002D2">
            <w:pPr>
              <w:jc w:val="both"/>
              <w:rPr>
                <w:sz w:val="20"/>
                <w:lang w:val="fr-CA"/>
              </w:rPr>
            </w:pPr>
            <w:r w:rsidRPr="004B7487">
              <w:rPr>
                <w:sz w:val="20"/>
                <w:lang w:val="fr-CA"/>
              </w:rPr>
              <w:t>Jugement acquittant l’accusé de vol à main armée et d’avoir eu la figure couverte d’un masque dans l’intention de commettre un vol</w:t>
            </w:r>
          </w:p>
          <w:p w:rsidR="0012542D" w:rsidRPr="004B7487" w:rsidRDefault="0012542D" w:rsidP="001002D2">
            <w:pPr>
              <w:jc w:val="both"/>
              <w:rPr>
                <w:sz w:val="20"/>
                <w:lang w:val="fr-CA"/>
              </w:rPr>
            </w:pPr>
          </w:p>
        </w:tc>
      </w:tr>
      <w:tr w:rsidR="0012542D" w:rsidRPr="004B7487" w:rsidTr="001002D2">
        <w:tc>
          <w:tcPr>
            <w:tcW w:w="2427" w:type="pct"/>
            <w:gridSpan w:val="2"/>
          </w:tcPr>
          <w:p w:rsidR="0012542D" w:rsidRPr="004B7487" w:rsidRDefault="0012542D" w:rsidP="001002D2">
            <w:pPr>
              <w:jc w:val="both"/>
              <w:rPr>
                <w:sz w:val="20"/>
                <w:lang w:val="fr-CA"/>
              </w:rPr>
            </w:pPr>
            <w:r w:rsidRPr="004B7487">
              <w:rPr>
                <w:sz w:val="20"/>
                <w:lang w:val="fr-CA"/>
              </w:rPr>
              <w:t>26 juin 2020</w:t>
            </w:r>
          </w:p>
          <w:p w:rsidR="0012542D" w:rsidRPr="004B7487" w:rsidRDefault="0012542D" w:rsidP="001002D2">
            <w:pPr>
              <w:jc w:val="both"/>
              <w:rPr>
                <w:sz w:val="20"/>
                <w:lang w:val="fr-CA"/>
              </w:rPr>
            </w:pPr>
            <w:r w:rsidRPr="004B7487">
              <w:rPr>
                <w:sz w:val="20"/>
                <w:lang w:val="fr-CA"/>
              </w:rPr>
              <w:t>Cour d’appel de la Saskatchewan</w:t>
            </w:r>
          </w:p>
          <w:p w:rsidR="0012542D" w:rsidRPr="004B7487" w:rsidRDefault="0012542D" w:rsidP="001002D2">
            <w:pPr>
              <w:jc w:val="both"/>
              <w:rPr>
                <w:sz w:val="20"/>
                <w:lang w:val="fr-CA"/>
              </w:rPr>
            </w:pPr>
            <w:r w:rsidRPr="004B7487">
              <w:rPr>
                <w:sz w:val="20"/>
                <w:lang w:val="fr-CA"/>
              </w:rPr>
              <w:t>(Juges Georgina R. Jackson, Ralph K. Ottenbeit et</w:t>
            </w:r>
          </w:p>
          <w:p w:rsidR="0012542D" w:rsidRPr="004B7487" w:rsidRDefault="0012542D" w:rsidP="001002D2">
            <w:pPr>
              <w:jc w:val="both"/>
              <w:rPr>
                <w:sz w:val="20"/>
                <w:lang w:val="fr-CA"/>
              </w:rPr>
            </w:pPr>
            <w:r w:rsidRPr="004B7487">
              <w:rPr>
                <w:sz w:val="20"/>
                <w:lang w:val="fr-CA"/>
              </w:rPr>
              <w:t>Kalmakoff)</w:t>
            </w:r>
          </w:p>
          <w:p w:rsidR="0012542D" w:rsidRPr="004B7487" w:rsidRDefault="004B7487" w:rsidP="001002D2">
            <w:pPr>
              <w:jc w:val="both"/>
              <w:rPr>
                <w:sz w:val="20"/>
                <w:lang w:val="fr-CA"/>
              </w:rPr>
            </w:pPr>
            <w:hyperlink r:id="rId80" w:history="1">
              <w:r w:rsidR="0012542D" w:rsidRPr="004B7487">
                <w:rPr>
                  <w:rStyle w:val="Hyperlink"/>
                  <w:sz w:val="20"/>
                  <w:lang w:val="fr-CA"/>
                </w:rPr>
                <w:t>2020 SKCA 77</w:t>
              </w:r>
            </w:hyperlink>
          </w:p>
          <w:p w:rsidR="0012542D" w:rsidRPr="004B7487" w:rsidRDefault="0012542D" w:rsidP="001002D2">
            <w:pPr>
              <w:jc w:val="both"/>
              <w:rPr>
                <w:sz w:val="20"/>
                <w:lang w:val="fr-CA"/>
              </w:rPr>
            </w:pPr>
          </w:p>
        </w:tc>
        <w:tc>
          <w:tcPr>
            <w:tcW w:w="243" w:type="pct"/>
          </w:tcPr>
          <w:p w:rsidR="0012542D" w:rsidRPr="004B7487" w:rsidRDefault="0012542D" w:rsidP="001002D2">
            <w:pPr>
              <w:jc w:val="both"/>
              <w:rPr>
                <w:sz w:val="20"/>
                <w:lang w:val="fr-CA"/>
              </w:rPr>
            </w:pPr>
          </w:p>
        </w:tc>
        <w:tc>
          <w:tcPr>
            <w:tcW w:w="2330" w:type="pct"/>
          </w:tcPr>
          <w:p w:rsidR="0012542D" w:rsidRPr="004B7487" w:rsidRDefault="0012542D" w:rsidP="001002D2">
            <w:pPr>
              <w:jc w:val="both"/>
              <w:rPr>
                <w:sz w:val="20"/>
                <w:lang w:val="fr-CA"/>
              </w:rPr>
            </w:pPr>
            <w:r w:rsidRPr="004B7487">
              <w:rPr>
                <w:sz w:val="20"/>
                <w:lang w:val="fr-CA"/>
              </w:rPr>
              <w:t>Arrêt accueillant l’appel de l’acquittement relatif à l’accusation de vol à main armée, annulant l’acquittement et ordonnant la tenue d’un nouveau procès</w:t>
            </w:r>
          </w:p>
          <w:p w:rsidR="0012542D" w:rsidRPr="004B7487" w:rsidRDefault="0012542D" w:rsidP="001002D2">
            <w:pPr>
              <w:jc w:val="both"/>
              <w:rPr>
                <w:sz w:val="20"/>
                <w:lang w:val="fr-CA"/>
              </w:rPr>
            </w:pPr>
          </w:p>
        </w:tc>
      </w:tr>
      <w:tr w:rsidR="0012542D" w:rsidRPr="004B7487" w:rsidTr="001002D2">
        <w:tc>
          <w:tcPr>
            <w:tcW w:w="2427" w:type="pct"/>
            <w:gridSpan w:val="2"/>
          </w:tcPr>
          <w:p w:rsidR="0012542D" w:rsidRPr="004B7487" w:rsidRDefault="0012542D" w:rsidP="001002D2">
            <w:pPr>
              <w:jc w:val="both"/>
              <w:rPr>
                <w:sz w:val="20"/>
                <w:lang w:val="fr-CA"/>
              </w:rPr>
            </w:pPr>
            <w:r w:rsidRPr="004B7487">
              <w:rPr>
                <w:sz w:val="20"/>
                <w:lang w:val="fr-CA"/>
              </w:rPr>
              <w:t>26 août 2020</w:t>
            </w:r>
          </w:p>
          <w:p w:rsidR="0012542D" w:rsidRPr="004B7487" w:rsidRDefault="0012542D" w:rsidP="001002D2">
            <w:pPr>
              <w:jc w:val="both"/>
              <w:rPr>
                <w:sz w:val="20"/>
                <w:lang w:val="fr-CA"/>
              </w:rPr>
            </w:pPr>
            <w:r w:rsidRPr="004B7487">
              <w:rPr>
                <w:sz w:val="20"/>
                <w:lang w:val="fr-CA"/>
              </w:rPr>
              <w:t>Cour suprême du Canada</w:t>
            </w:r>
          </w:p>
          <w:p w:rsidR="0012542D" w:rsidRPr="004B7487" w:rsidRDefault="0012542D" w:rsidP="001002D2">
            <w:pPr>
              <w:jc w:val="both"/>
              <w:rPr>
                <w:sz w:val="20"/>
                <w:lang w:val="fr-CA"/>
              </w:rPr>
            </w:pPr>
          </w:p>
        </w:tc>
        <w:tc>
          <w:tcPr>
            <w:tcW w:w="243" w:type="pct"/>
          </w:tcPr>
          <w:p w:rsidR="0012542D" w:rsidRPr="004B7487" w:rsidRDefault="0012542D" w:rsidP="001002D2">
            <w:pPr>
              <w:jc w:val="both"/>
              <w:rPr>
                <w:sz w:val="20"/>
                <w:lang w:val="fr-CA"/>
              </w:rPr>
            </w:pPr>
          </w:p>
        </w:tc>
        <w:tc>
          <w:tcPr>
            <w:tcW w:w="2330" w:type="pct"/>
          </w:tcPr>
          <w:p w:rsidR="0012542D" w:rsidRPr="004B7487" w:rsidRDefault="0012542D" w:rsidP="001002D2">
            <w:pPr>
              <w:jc w:val="both"/>
              <w:rPr>
                <w:sz w:val="20"/>
                <w:lang w:val="fr-CA"/>
              </w:rPr>
            </w:pPr>
            <w:r w:rsidRPr="004B7487">
              <w:rPr>
                <w:sz w:val="20"/>
                <w:lang w:val="fr-CA"/>
              </w:rPr>
              <w:t>Dépôt d’un avis d’appel par M. Cowan</w:t>
            </w:r>
          </w:p>
          <w:p w:rsidR="0012542D" w:rsidRPr="004B7487" w:rsidRDefault="0012542D" w:rsidP="001002D2">
            <w:pPr>
              <w:jc w:val="both"/>
              <w:rPr>
                <w:sz w:val="20"/>
                <w:lang w:val="fr-CA"/>
              </w:rPr>
            </w:pPr>
          </w:p>
        </w:tc>
      </w:tr>
      <w:tr w:rsidR="0012542D" w:rsidRPr="004B7487" w:rsidTr="001002D2">
        <w:tc>
          <w:tcPr>
            <w:tcW w:w="2427" w:type="pct"/>
            <w:gridSpan w:val="2"/>
          </w:tcPr>
          <w:p w:rsidR="0012542D" w:rsidRPr="004B7487" w:rsidRDefault="0012542D" w:rsidP="001002D2">
            <w:pPr>
              <w:jc w:val="both"/>
              <w:rPr>
                <w:sz w:val="20"/>
                <w:lang w:val="fr-CA"/>
              </w:rPr>
            </w:pPr>
            <w:r w:rsidRPr="004B7487">
              <w:rPr>
                <w:sz w:val="20"/>
                <w:lang w:val="fr-CA"/>
              </w:rPr>
              <w:t>25 septembre 2020</w:t>
            </w:r>
          </w:p>
          <w:p w:rsidR="0012542D" w:rsidRPr="004B7487" w:rsidRDefault="0012542D" w:rsidP="001002D2">
            <w:pPr>
              <w:jc w:val="both"/>
              <w:rPr>
                <w:sz w:val="20"/>
                <w:lang w:val="fr-CA"/>
              </w:rPr>
            </w:pPr>
            <w:r w:rsidRPr="004B7487">
              <w:rPr>
                <w:sz w:val="20"/>
                <w:lang w:val="fr-CA"/>
              </w:rPr>
              <w:t>Cour suprême du Canada</w:t>
            </w:r>
          </w:p>
        </w:tc>
        <w:tc>
          <w:tcPr>
            <w:tcW w:w="243" w:type="pct"/>
          </w:tcPr>
          <w:p w:rsidR="0012542D" w:rsidRPr="004B7487" w:rsidRDefault="0012542D" w:rsidP="001002D2">
            <w:pPr>
              <w:jc w:val="both"/>
              <w:rPr>
                <w:sz w:val="20"/>
                <w:lang w:val="fr-CA"/>
              </w:rPr>
            </w:pPr>
          </w:p>
        </w:tc>
        <w:tc>
          <w:tcPr>
            <w:tcW w:w="2330" w:type="pct"/>
          </w:tcPr>
          <w:p w:rsidR="0012542D" w:rsidRPr="004B7487" w:rsidRDefault="0012542D" w:rsidP="001002D2">
            <w:pPr>
              <w:jc w:val="both"/>
              <w:rPr>
                <w:sz w:val="20"/>
                <w:lang w:val="fr-CA"/>
              </w:rPr>
            </w:pPr>
            <w:r w:rsidRPr="004B7487">
              <w:rPr>
                <w:sz w:val="20"/>
                <w:lang w:val="fr-CA"/>
              </w:rPr>
              <w:t>Dépôt d’une demande d’autorisation d’appel par la Couronne</w:t>
            </w:r>
          </w:p>
        </w:tc>
      </w:tr>
    </w:tbl>
    <w:p w:rsidR="0012542D" w:rsidRPr="004B7487" w:rsidRDefault="0012542D" w:rsidP="007775F6">
      <w:pPr>
        <w:jc w:val="both"/>
        <w:rPr>
          <w:sz w:val="20"/>
          <w:lang w:val="fr-CA"/>
        </w:rPr>
      </w:pPr>
    </w:p>
    <w:p w:rsidR="001002D2" w:rsidRPr="004B7487" w:rsidRDefault="004B7487" w:rsidP="007775F6">
      <w:pPr>
        <w:jc w:val="both"/>
        <w:rPr>
          <w:sz w:val="20"/>
          <w:lang w:val="fr-CA"/>
        </w:rPr>
      </w:pPr>
      <w:r w:rsidRPr="004B7487">
        <w:rPr>
          <w:sz w:val="20"/>
        </w:rPr>
        <w:pict>
          <v:rect id="_x0000_i1056" style="width:2in;height:1pt" o:hrpct="0" o:hralign="center" o:hrstd="t" o:hrnoshade="t" o:hr="t" fillcolor="black [3213]" stroked="f"/>
        </w:pict>
      </w:r>
    </w:p>
    <w:p w:rsidR="0012542D" w:rsidRPr="004B7487" w:rsidRDefault="0012542D"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39250</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Wei Wang v. Her Majesty the Queen in Right of Alberta</w:t>
            </w:r>
          </w:p>
          <w:p w:rsidR="0012542D" w:rsidRPr="004B7487" w:rsidRDefault="0012542D" w:rsidP="007775F6">
            <w:pPr>
              <w:jc w:val="both"/>
              <w:rPr>
                <w:sz w:val="20"/>
              </w:rPr>
            </w:pPr>
            <w:r w:rsidRPr="004B7487">
              <w:rPr>
                <w:sz w:val="20"/>
              </w:rPr>
              <w:t>(Alta.) (Civil) (By Leave)</w:t>
            </w:r>
          </w:p>
        </w:tc>
      </w:tr>
      <w:tr w:rsidR="0012542D" w:rsidRPr="004B7487" w:rsidTr="0012542D">
        <w:tc>
          <w:tcPr>
            <w:tcW w:w="5000" w:type="pct"/>
            <w:gridSpan w:val="4"/>
          </w:tcPr>
          <w:p w:rsidR="0012542D" w:rsidRPr="004B7487" w:rsidRDefault="0012542D" w:rsidP="007775F6">
            <w:pPr>
              <w:jc w:val="both"/>
              <w:rPr>
                <w:sz w:val="20"/>
              </w:rPr>
            </w:pPr>
            <w:r w:rsidRPr="004B7487">
              <w:rPr>
                <w:i/>
                <w:sz w:val="20"/>
              </w:rPr>
              <w:t>Charter of Rights</w:t>
            </w:r>
            <w:r w:rsidRPr="004B7487">
              <w:rPr>
                <w:sz w:val="20"/>
              </w:rPr>
              <w:t xml:space="preserve"> — Fundamental justice — Judgments — Summary judgments — Limitation of actions — Applicant’s attempt to note respondent in default set aside — Application for summary judgment against respondent dismissed — Court of Queen’s Bench upholding dismissal of claim against respondent as being time-barred — Court of Appeal affirming decision setting aside applicant’s attempt to note respondent in default and dismissing application for summary judgment, but overturning dismissal of claim based on limitation period — Whether Court of Appeal failed to look into seriousness of respondent’s abuse of power against marginalized employee and of violation of </w:t>
            </w:r>
            <w:r w:rsidRPr="004B7487">
              <w:rPr>
                <w:i/>
                <w:sz w:val="20"/>
              </w:rPr>
              <w:t>Charter</w:t>
            </w:r>
            <w:r w:rsidRPr="004B7487">
              <w:rPr>
                <w:sz w:val="20"/>
              </w:rPr>
              <w:t xml:space="preserve"> rights, </w:t>
            </w:r>
            <w:r w:rsidRPr="004B7487">
              <w:rPr>
                <w:i/>
                <w:sz w:val="20"/>
              </w:rPr>
              <w:t>Criminal Code</w:t>
            </w:r>
            <w:r w:rsidRPr="004B7487">
              <w:rPr>
                <w:sz w:val="20"/>
              </w:rPr>
              <w:t xml:space="preserve">, and rules of court — Whether Court of Appeal failed to correct first judge’s errors based on double standard and bias — Whether Court of Appeal failed to see outrageous nature of actions committed by respondent based on discrimination, racism and white supremacy — Whether Court of Appeal ignored and denied that harm was done and judges were biased — Whether Court of Appeal failed to use same </w:t>
            </w:r>
            <w:r w:rsidRPr="004B7487">
              <w:rPr>
                <w:sz w:val="20"/>
              </w:rPr>
              <w:lastRenderedPageBreak/>
              <w:t xml:space="preserve">standard of </w:t>
            </w:r>
            <w:r w:rsidRPr="004B7487">
              <w:rPr>
                <w:i/>
                <w:sz w:val="20"/>
              </w:rPr>
              <w:t>Limitations Act</w:t>
            </w:r>
            <w:r w:rsidRPr="004B7487">
              <w:rPr>
                <w:sz w:val="20"/>
              </w:rPr>
              <w:t xml:space="preserve"> against respondent’s failure to reply to statement of claim — Whether Court of Appeal failed to endorse interpretation of “disability” to include lack of legal ability</w:t>
            </w:r>
          </w:p>
        </w:tc>
      </w:tr>
      <w:tr w:rsidR="0012542D" w:rsidRPr="004B7487" w:rsidTr="0012542D">
        <w:tc>
          <w:tcPr>
            <w:tcW w:w="5000" w:type="pct"/>
            <w:gridSpan w:val="4"/>
          </w:tcPr>
          <w:p w:rsidR="0012542D" w:rsidRPr="004B7487" w:rsidRDefault="0012542D" w:rsidP="007775F6">
            <w:pPr>
              <w:jc w:val="both"/>
              <w:rPr>
                <w:sz w:val="20"/>
              </w:rPr>
            </w:pPr>
          </w:p>
        </w:tc>
      </w:tr>
      <w:tr w:rsidR="0012542D" w:rsidRPr="004B7487" w:rsidTr="0012542D">
        <w:tc>
          <w:tcPr>
            <w:tcW w:w="5000" w:type="pct"/>
            <w:gridSpan w:val="4"/>
          </w:tcPr>
          <w:p w:rsidR="0012542D" w:rsidRPr="004B7487" w:rsidRDefault="0012542D" w:rsidP="007775F6">
            <w:pPr>
              <w:jc w:val="both"/>
              <w:rPr>
                <w:sz w:val="20"/>
              </w:rPr>
            </w:pPr>
            <w:r w:rsidRPr="004B7487">
              <w:rPr>
                <w:sz w:val="20"/>
              </w:rPr>
              <w:t xml:space="preserve">Following a criminal prosecution for allegedly making threats against his work supervisors, Mr. Wang’s employment was terminated in 1993. In 2018, Mr. Wang filed a claim against the Crown, seeking $4 million in damages for various legal wrongs allegedly committed by his former employer, his lawyer, the police, the Crown, and various judges and other officials from the justice system who were involved in his case. A master at the Court of Queen’s Bench set aside Mr. Wang’s attempt to note the Crown in default and dismissed his application for summary judgment; the Crown was permitted to defend against the claim. Mr. Wang’s appeal from this decision was dismissed at the Court of Queen’s Bench. The Crown then brought an application to strike Mr. Wang’s claim pursuant to the </w:t>
            </w:r>
            <w:r w:rsidRPr="004B7487">
              <w:rPr>
                <w:i/>
                <w:sz w:val="20"/>
              </w:rPr>
              <w:t>Limitations Act</w:t>
            </w:r>
            <w:r w:rsidRPr="004B7487">
              <w:rPr>
                <w:sz w:val="20"/>
              </w:rPr>
              <w:t>, R.S.A. 2000, c. L</w:t>
            </w:r>
            <w:r w:rsidRPr="004B7487">
              <w:rPr>
                <w:sz w:val="20"/>
              </w:rPr>
              <w:noBreakHyphen/>
              <w:t>12. The Court of Queen’s Bench confirmed the order setting aside Mr. Wang’s noting the Crown in default, and dismissed his amended statement of claim, finding that it was indeed time</w:t>
            </w:r>
            <w:r w:rsidRPr="004B7487">
              <w:rPr>
                <w:sz w:val="20"/>
              </w:rPr>
              <w:noBreakHyphen/>
              <w:t xml:space="preserve">barred pursuant to the </w:t>
            </w:r>
            <w:r w:rsidRPr="004B7487">
              <w:rPr>
                <w:i/>
                <w:sz w:val="20"/>
              </w:rPr>
              <w:t>Limitations Act</w:t>
            </w:r>
            <w:r w:rsidRPr="004B7487">
              <w:rPr>
                <w:sz w:val="20"/>
              </w:rPr>
              <w:t>. Mr. Wang’s claim against the Crown was struck in its entirety. The Court of Appeal allowed Mr. Wang’s appeal in part; it confirmed the orders setting aside his noting the Crown in default and dismissing his application for summary judgment, but overturned the dismissal of his claim in its entirety as being time</w:t>
            </w:r>
            <w:r w:rsidRPr="004B7487">
              <w:rPr>
                <w:sz w:val="20"/>
              </w:rPr>
              <w:noBreakHyphen/>
              <w:t>barred.</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June 28, 2018</w:t>
            </w:r>
          </w:p>
          <w:p w:rsidR="0012542D" w:rsidRPr="004B7487" w:rsidRDefault="0012542D" w:rsidP="007775F6">
            <w:pPr>
              <w:jc w:val="both"/>
              <w:rPr>
                <w:sz w:val="20"/>
              </w:rPr>
            </w:pPr>
            <w:r w:rsidRPr="004B7487">
              <w:rPr>
                <w:sz w:val="20"/>
              </w:rPr>
              <w:t>Court of Queen’s Bench of Alberta</w:t>
            </w:r>
          </w:p>
          <w:p w:rsidR="0012542D" w:rsidRPr="004B7487" w:rsidRDefault="0012542D" w:rsidP="007775F6">
            <w:pPr>
              <w:jc w:val="both"/>
              <w:rPr>
                <w:sz w:val="20"/>
              </w:rPr>
            </w:pPr>
            <w:r w:rsidRPr="004B7487">
              <w:rPr>
                <w:sz w:val="20"/>
              </w:rPr>
              <w:t>(Master Hanebury)</w:t>
            </w:r>
          </w:p>
          <w:p w:rsidR="0012542D" w:rsidRPr="004B7487" w:rsidRDefault="0012542D" w:rsidP="007775F6">
            <w:pPr>
              <w:jc w:val="both"/>
              <w:rPr>
                <w:sz w:val="20"/>
              </w:rPr>
            </w:pPr>
            <w:r w:rsidRPr="004B7487">
              <w:rPr>
                <w:sz w:val="20"/>
              </w:rPr>
              <w:t>Court File Number: 1801</w:t>
            </w:r>
            <w:r w:rsidRPr="004B7487">
              <w:rPr>
                <w:sz w:val="20"/>
              </w:rPr>
              <w:noBreakHyphen/>
              <w:t>06405</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1002D2">
            <w:pPr>
              <w:jc w:val="both"/>
              <w:rPr>
                <w:sz w:val="20"/>
              </w:rPr>
            </w:pPr>
            <w:r w:rsidRPr="004B7487">
              <w:rPr>
                <w:sz w:val="20"/>
              </w:rPr>
              <w:t>Mr. Wang’s noting Crown in default set aside;</w:t>
            </w:r>
          </w:p>
          <w:p w:rsidR="001002D2" w:rsidRPr="004B7487" w:rsidRDefault="001002D2" w:rsidP="001002D2">
            <w:pPr>
              <w:jc w:val="both"/>
              <w:rPr>
                <w:sz w:val="20"/>
              </w:rPr>
            </w:pPr>
          </w:p>
          <w:p w:rsidR="0012542D" w:rsidRPr="004B7487" w:rsidRDefault="0012542D" w:rsidP="001002D2">
            <w:pPr>
              <w:jc w:val="both"/>
              <w:rPr>
                <w:sz w:val="20"/>
              </w:rPr>
            </w:pPr>
            <w:r w:rsidRPr="004B7487">
              <w:rPr>
                <w:sz w:val="20"/>
              </w:rPr>
              <w:t>Mr. Wang’s application for summary judgment — dismissed;</w:t>
            </w:r>
          </w:p>
          <w:p w:rsidR="001002D2" w:rsidRPr="004B7487" w:rsidRDefault="001002D2" w:rsidP="001002D2">
            <w:pPr>
              <w:jc w:val="both"/>
              <w:rPr>
                <w:sz w:val="20"/>
              </w:rPr>
            </w:pPr>
          </w:p>
          <w:p w:rsidR="0012542D" w:rsidRPr="004B7487" w:rsidRDefault="0012542D" w:rsidP="001002D2">
            <w:pPr>
              <w:jc w:val="both"/>
              <w:rPr>
                <w:sz w:val="20"/>
              </w:rPr>
            </w:pPr>
            <w:r w:rsidRPr="004B7487">
              <w:rPr>
                <w:sz w:val="20"/>
              </w:rPr>
              <w:t>Crown allowed to file statement of defence</w:t>
            </w:r>
          </w:p>
          <w:p w:rsidR="001002D2" w:rsidRPr="004B7487" w:rsidRDefault="001002D2" w:rsidP="001002D2">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July 18, 2018</w:t>
            </w:r>
          </w:p>
          <w:p w:rsidR="0012542D" w:rsidRPr="004B7487" w:rsidRDefault="0012542D" w:rsidP="007775F6">
            <w:pPr>
              <w:jc w:val="both"/>
              <w:rPr>
                <w:sz w:val="20"/>
              </w:rPr>
            </w:pPr>
            <w:r w:rsidRPr="004B7487">
              <w:rPr>
                <w:sz w:val="20"/>
              </w:rPr>
              <w:t>Court of Queen’s Bench of Alberta</w:t>
            </w:r>
          </w:p>
          <w:p w:rsidR="0012542D" w:rsidRPr="004B7487" w:rsidRDefault="0012542D" w:rsidP="007775F6">
            <w:pPr>
              <w:jc w:val="both"/>
              <w:rPr>
                <w:sz w:val="20"/>
              </w:rPr>
            </w:pPr>
            <w:r w:rsidRPr="004B7487">
              <w:rPr>
                <w:sz w:val="20"/>
              </w:rPr>
              <w:t>(Nixon J.)</w:t>
            </w:r>
          </w:p>
          <w:p w:rsidR="0012542D" w:rsidRPr="004B7487" w:rsidRDefault="0012542D" w:rsidP="007775F6">
            <w:pPr>
              <w:jc w:val="both"/>
              <w:rPr>
                <w:sz w:val="20"/>
              </w:rPr>
            </w:pPr>
            <w:r w:rsidRPr="004B7487">
              <w:rPr>
                <w:sz w:val="20"/>
              </w:rPr>
              <w:t>Court File Number: 1801</w:t>
            </w:r>
            <w:r w:rsidRPr="004B7487">
              <w:rPr>
                <w:sz w:val="20"/>
              </w:rPr>
              <w:noBreakHyphen/>
              <w:t>06405</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1002D2">
            <w:pPr>
              <w:jc w:val="both"/>
              <w:rPr>
                <w:sz w:val="20"/>
              </w:rPr>
            </w:pPr>
            <w:r w:rsidRPr="004B7487">
              <w:rPr>
                <w:sz w:val="20"/>
              </w:rPr>
              <w:t>Mr. Wang’s appeal from June 28, 2018 order — dismissed</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August 30, 2018</w:t>
            </w:r>
          </w:p>
          <w:p w:rsidR="0012542D" w:rsidRPr="004B7487" w:rsidRDefault="0012542D" w:rsidP="007775F6">
            <w:pPr>
              <w:jc w:val="both"/>
              <w:rPr>
                <w:sz w:val="20"/>
              </w:rPr>
            </w:pPr>
            <w:r w:rsidRPr="004B7487">
              <w:rPr>
                <w:sz w:val="20"/>
              </w:rPr>
              <w:t>Court of Queen’s Bench of Alberta</w:t>
            </w:r>
          </w:p>
          <w:p w:rsidR="0012542D" w:rsidRPr="004B7487" w:rsidRDefault="0012542D" w:rsidP="007775F6">
            <w:pPr>
              <w:jc w:val="both"/>
              <w:rPr>
                <w:sz w:val="20"/>
              </w:rPr>
            </w:pPr>
            <w:r w:rsidRPr="004B7487">
              <w:rPr>
                <w:sz w:val="20"/>
              </w:rPr>
              <w:t>(Mahoney J.)</w:t>
            </w:r>
          </w:p>
          <w:p w:rsidR="0012542D" w:rsidRPr="004B7487" w:rsidRDefault="0012542D" w:rsidP="007775F6">
            <w:pPr>
              <w:jc w:val="both"/>
              <w:rPr>
                <w:sz w:val="20"/>
              </w:rPr>
            </w:pPr>
            <w:r w:rsidRPr="004B7487">
              <w:rPr>
                <w:sz w:val="20"/>
              </w:rPr>
              <w:t>Court File Number: 1801</w:t>
            </w:r>
            <w:r w:rsidRPr="004B7487">
              <w:rPr>
                <w:sz w:val="20"/>
              </w:rPr>
              <w:noBreakHyphen/>
              <w:t xml:space="preserve">06405 </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1002D2">
            <w:pPr>
              <w:jc w:val="both"/>
              <w:rPr>
                <w:sz w:val="20"/>
              </w:rPr>
            </w:pPr>
            <w:r w:rsidRPr="004B7487">
              <w:rPr>
                <w:sz w:val="20"/>
              </w:rPr>
              <w:t xml:space="preserve">Mr. Wang’s claim against Alberta — dismissed in its entirety as being time-barred under </w:t>
            </w:r>
            <w:r w:rsidRPr="004B7487">
              <w:rPr>
                <w:i/>
                <w:sz w:val="20"/>
              </w:rPr>
              <w:t>Limitations Act</w:t>
            </w:r>
            <w:r w:rsidRPr="004B7487">
              <w:rPr>
                <w:sz w:val="20"/>
              </w:rPr>
              <w:t>, R.S.A. 2000, c. L</w:t>
            </w:r>
            <w:r w:rsidRPr="004B7487">
              <w:rPr>
                <w:sz w:val="20"/>
              </w:rPr>
              <w:noBreakHyphen/>
              <w:t>12.</w:t>
            </w:r>
          </w:p>
        </w:tc>
      </w:tr>
      <w:tr w:rsidR="0012542D" w:rsidRPr="004B7487" w:rsidTr="0012542D">
        <w:tc>
          <w:tcPr>
            <w:tcW w:w="2427" w:type="pct"/>
            <w:gridSpan w:val="2"/>
          </w:tcPr>
          <w:p w:rsidR="0012542D" w:rsidRPr="004B7487" w:rsidRDefault="0012542D" w:rsidP="007775F6">
            <w:pPr>
              <w:jc w:val="both"/>
              <w:rPr>
                <w:sz w:val="20"/>
              </w:rPr>
            </w:pPr>
            <w:r w:rsidRPr="004B7487">
              <w:rPr>
                <w:sz w:val="20"/>
              </w:rPr>
              <w:t>December 17, 2019</w:t>
            </w:r>
          </w:p>
          <w:p w:rsidR="0012542D" w:rsidRPr="004B7487" w:rsidRDefault="0012542D" w:rsidP="007775F6">
            <w:pPr>
              <w:jc w:val="both"/>
              <w:rPr>
                <w:sz w:val="20"/>
              </w:rPr>
            </w:pPr>
            <w:r w:rsidRPr="004B7487">
              <w:rPr>
                <w:sz w:val="20"/>
              </w:rPr>
              <w:t>Court of Appeal of Alberta (Calgary)</w:t>
            </w:r>
          </w:p>
          <w:p w:rsidR="0012542D" w:rsidRPr="004B7487" w:rsidRDefault="0012542D" w:rsidP="007775F6">
            <w:pPr>
              <w:jc w:val="both"/>
              <w:rPr>
                <w:sz w:val="20"/>
              </w:rPr>
            </w:pPr>
            <w:r w:rsidRPr="004B7487">
              <w:rPr>
                <w:sz w:val="20"/>
              </w:rPr>
              <w:t>(Rowbotham, Veldhuis and Khullar JJ.A.)</w:t>
            </w:r>
          </w:p>
          <w:p w:rsidR="0012542D" w:rsidRPr="004B7487" w:rsidRDefault="004B7487" w:rsidP="007775F6">
            <w:pPr>
              <w:jc w:val="both"/>
              <w:rPr>
                <w:sz w:val="20"/>
              </w:rPr>
            </w:pPr>
            <w:hyperlink r:id="rId81" w:history="1">
              <w:r w:rsidR="0012542D" w:rsidRPr="004B7487">
                <w:rPr>
                  <w:rStyle w:val="Hyperlink"/>
                  <w:sz w:val="20"/>
                </w:rPr>
                <w:t>2019 ABCA 507</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1002D2">
            <w:pPr>
              <w:jc w:val="both"/>
              <w:rPr>
                <w:sz w:val="20"/>
              </w:rPr>
            </w:pPr>
            <w:r w:rsidRPr="004B7487">
              <w:rPr>
                <w:sz w:val="20"/>
              </w:rPr>
              <w:t xml:space="preserve">Mr. Wang’s appeal from August 2018 order — allowed in part; Mr. Wang’s claim not time-barred and not struck in its entirety; </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February 14, 2020</w:t>
            </w:r>
          </w:p>
          <w:p w:rsidR="0012542D" w:rsidRPr="004B7487" w:rsidRDefault="0012542D" w:rsidP="007775F6">
            <w:pPr>
              <w:jc w:val="both"/>
              <w:rPr>
                <w:sz w:val="20"/>
              </w:rPr>
            </w:pPr>
            <w:r w:rsidRPr="004B7487">
              <w:rPr>
                <w:sz w:val="20"/>
              </w:rPr>
              <w:t>Supreme Court of Canada</w:t>
            </w: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Application for leave to appeal filed by Mr. Wang.</w:t>
            </w:r>
          </w:p>
        </w:tc>
      </w:tr>
    </w:tbl>
    <w:p w:rsidR="0012542D" w:rsidRPr="004B7487" w:rsidRDefault="0012542D" w:rsidP="007775F6">
      <w:pPr>
        <w:jc w:val="both"/>
        <w:rPr>
          <w:sz w:val="20"/>
        </w:rPr>
      </w:pPr>
    </w:p>
    <w:p w:rsidR="001002D2" w:rsidRPr="004B7487" w:rsidRDefault="004B7487" w:rsidP="007775F6">
      <w:pPr>
        <w:jc w:val="both"/>
        <w:rPr>
          <w:sz w:val="20"/>
        </w:rPr>
      </w:pPr>
      <w:r w:rsidRPr="004B7487">
        <w:rPr>
          <w:sz w:val="20"/>
        </w:rPr>
        <w:pict>
          <v:rect id="_x0000_i1057" style="width:2in;height:1pt" o:hrpct="0" o:hralign="center" o:hrstd="t" o:hrnoshade="t" o:hr="t" fillcolor="black [3213]" stroked="f"/>
        </w:pict>
      </w:r>
    </w:p>
    <w:p w:rsidR="001002D2" w:rsidRPr="004B7487" w:rsidRDefault="001002D2" w:rsidP="007775F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lang w:val="fr-CA"/>
              </w:rPr>
            </w:pPr>
            <w:r w:rsidRPr="004B7487">
              <w:rPr>
                <w:rStyle w:val="SCCFileNumberChar"/>
                <w:sz w:val="20"/>
                <w:szCs w:val="20"/>
                <w:lang w:val="fr-CA"/>
              </w:rPr>
              <w:t>39250</w:t>
            </w:r>
          </w:p>
        </w:tc>
        <w:tc>
          <w:tcPr>
            <w:tcW w:w="4457" w:type="pct"/>
            <w:gridSpan w:val="3"/>
          </w:tcPr>
          <w:p w:rsidR="0012542D" w:rsidRPr="004B7487" w:rsidRDefault="0012542D" w:rsidP="007775F6">
            <w:pPr>
              <w:pStyle w:val="SCCLsocParty"/>
              <w:jc w:val="both"/>
              <w:rPr>
                <w:b/>
                <w:sz w:val="20"/>
                <w:szCs w:val="20"/>
              </w:rPr>
            </w:pPr>
            <w:r w:rsidRPr="004B7487">
              <w:rPr>
                <w:b/>
                <w:sz w:val="20"/>
                <w:szCs w:val="20"/>
              </w:rPr>
              <w:t>Wei Wang c. Sa Majesté la Reine du chef de l’Alberta</w:t>
            </w:r>
          </w:p>
          <w:p w:rsidR="0012542D" w:rsidRPr="004B7487" w:rsidRDefault="0012542D" w:rsidP="007775F6">
            <w:pPr>
              <w:jc w:val="both"/>
              <w:rPr>
                <w:sz w:val="20"/>
                <w:lang w:val="fr-CA"/>
              </w:rPr>
            </w:pPr>
            <w:r w:rsidRPr="004B7487">
              <w:rPr>
                <w:sz w:val="20"/>
                <w:lang w:val="fr-CA"/>
              </w:rPr>
              <w:t>(Alb.) (Civile) (Sur autorisation)</w:t>
            </w:r>
          </w:p>
        </w:tc>
      </w:tr>
      <w:tr w:rsidR="0012542D" w:rsidRPr="004B7487" w:rsidTr="0012542D">
        <w:tc>
          <w:tcPr>
            <w:tcW w:w="5000" w:type="pct"/>
            <w:gridSpan w:val="4"/>
          </w:tcPr>
          <w:p w:rsidR="0012542D" w:rsidRPr="004B7487" w:rsidRDefault="0012542D" w:rsidP="007775F6">
            <w:pPr>
              <w:jc w:val="both"/>
              <w:rPr>
                <w:sz w:val="20"/>
                <w:lang w:val="fr-CA"/>
              </w:rPr>
            </w:pPr>
            <w:r w:rsidRPr="004B7487">
              <w:rPr>
                <w:i/>
                <w:sz w:val="20"/>
                <w:lang w:val="fr-CA"/>
              </w:rPr>
              <w:t>Charte des droits</w:t>
            </w:r>
            <w:r w:rsidRPr="004B7487">
              <w:rPr>
                <w:sz w:val="20"/>
                <w:lang w:val="fr-CA"/>
              </w:rPr>
              <w:t xml:space="preserve"> — Justice fondamentale — Jugements — Jugements sommaires — Prescription — Tentative du demandeur pour que l’intimée soit constatée en défaut annulée — Demande de jugement sommaire contre l’intimée rejetée — La Cour du Banc de la Reine confirme le rejet de la demande contre l’intimée pour cause de prescription — La Cour d’appel confirme la décision annulant la tentative du demandeur pour que l’intimée soit constatée en défaut et rejetant la demande de jugement sommaire, mais infirme la décision rejetant la demande pour cause de prescription — La Cour d’appel a</w:t>
            </w:r>
            <w:r w:rsidRPr="004B7487">
              <w:rPr>
                <w:sz w:val="20"/>
                <w:lang w:val="fr-CA"/>
              </w:rPr>
              <w:noBreakHyphen/>
              <w:t>t</w:t>
            </w:r>
            <w:r w:rsidRPr="004B7487">
              <w:rPr>
                <w:sz w:val="20"/>
                <w:lang w:val="fr-CA"/>
              </w:rPr>
              <w:noBreakHyphen/>
              <w:t xml:space="preserve">elle omis d’examiner la gravité de l’abus de pouvoir exercé par l’intimée envers un employé marginalisé et de la violation des droits garantis par la </w:t>
            </w:r>
            <w:r w:rsidRPr="004B7487">
              <w:rPr>
                <w:i/>
                <w:sz w:val="20"/>
                <w:lang w:val="fr-CA"/>
              </w:rPr>
              <w:t>Charte</w:t>
            </w:r>
            <w:r w:rsidRPr="004B7487">
              <w:rPr>
                <w:sz w:val="20"/>
                <w:lang w:val="fr-CA"/>
              </w:rPr>
              <w:t xml:space="preserve">, le </w:t>
            </w:r>
            <w:r w:rsidRPr="004B7487">
              <w:rPr>
                <w:i/>
                <w:sz w:val="20"/>
                <w:lang w:val="fr-CA"/>
              </w:rPr>
              <w:t>Code criminel</w:t>
            </w:r>
            <w:r w:rsidRPr="004B7487">
              <w:rPr>
                <w:sz w:val="20"/>
                <w:lang w:val="fr-CA"/>
              </w:rPr>
              <w:t xml:space="preserve"> et les règles de procédure ? — La Cour d’appel a</w:t>
            </w:r>
            <w:r w:rsidRPr="004B7487">
              <w:rPr>
                <w:sz w:val="20"/>
                <w:lang w:val="fr-CA"/>
              </w:rPr>
              <w:noBreakHyphen/>
              <w:t>t</w:t>
            </w:r>
            <w:r w:rsidRPr="004B7487">
              <w:rPr>
                <w:sz w:val="20"/>
                <w:lang w:val="fr-CA"/>
              </w:rPr>
              <w:noBreakHyphen/>
              <w:t>elle omis de corriger les erreurs de la juge de première instance en raison de l’existence d’un régime du deux poids deux mesures et d’un parti pris ? — La Cour d’appel a</w:t>
            </w:r>
            <w:r w:rsidRPr="004B7487">
              <w:rPr>
                <w:sz w:val="20"/>
                <w:lang w:val="fr-CA"/>
              </w:rPr>
              <w:noBreakHyphen/>
              <w:t>t</w:t>
            </w:r>
            <w:r w:rsidRPr="004B7487">
              <w:rPr>
                <w:sz w:val="20"/>
                <w:lang w:val="fr-CA"/>
              </w:rPr>
              <w:noBreakHyphen/>
              <w:t xml:space="preserve">elle omis de voir la </w:t>
            </w:r>
            <w:r w:rsidRPr="004B7487">
              <w:rPr>
                <w:sz w:val="20"/>
                <w:lang w:val="fr-CA"/>
              </w:rPr>
              <w:lastRenderedPageBreak/>
              <w:t>nature outrageuse des gestes posés par l’intimée fondés sur la discrimination, le racisme et la suprématie de la race blanche ? — La Cour d’appel a</w:t>
            </w:r>
            <w:r w:rsidRPr="004B7487">
              <w:rPr>
                <w:sz w:val="20"/>
                <w:lang w:val="fr-CA"/>
              </w:rPr>
              <w:noBreakHyphen/>
              <w:t>t</w:t>
            </w:r>
            <w:r w:rsidRPr="004B7487">
              <w:rPr>
                <w:sz w:val="20"/>
                <w:lang w:val="fr-CA"/>
              </w:rPr>
              <w:noBreakHyphen/>
              <w:t>elle ignoré et nié le tort qui a été commis et la partialité des juges ? — La Cour d’appel a</w:t>
            </w:r>
            <w:r w:rsidRPr="004B7487">
              <w:rPr>
                <w:sz w:val="20"/>
                <w:lang w:val="fr-CA"/>
              </w:rPr>
              <w:noBreakHyphen/>
              <w:t>t</w:t>
            </w:r>
            <w:r w:rsidRPr="004B7487">
              <w:rPr>
                <w:sz w:val="20"/>
                <w:lang w:val="fr-CA"/>
              </w:rPr>
              <w:noBreakHyphen/>
              <w:t xml:space="preserve">elle omis d’appliquer la même norme en vertu de la </w:t>
            </w:r>
            <w:r w:rsidRPr="004B7487">
              <w:rPr>
                <w:i/>
                <w:sz w:val="20"/>
                <w:lang w:val="fr-CA"/>
              </w:rPr>
              <w:t>Limitations Act</w:t>
            </w:r>
            <w:r w:rsidRPr="004B7487">
              <w:rPr>
                <w:sz w:val="20"/>
                <w:lang w:val="fr-CA"/>
              </w:rPr>
              <w:t xml:space="preserve"> contre l’intimée qui n’a pas soumis de réponse à la déclaration ? — La Cour d’appel a</w:t>
            </w:r>
            <w:r w:rsidRPr="004B7487">
              <w:rPr>
                <w:sz w:val="20"/>
                <w:lang w:val="fr-CA"/>
              </w:rPr>
              <w:noBreakHyphen/>
              <w:t>t</w:t>
            </w:r>
            <w:r w:rsidRPr="004B7487">
              <w:rPr>
                <w:sz w:val="20"/>
                <w:lang w:val="fr-CA"/>
              </w:rPr>
              <w:noBreakHyphen/>
              <w:t>elle omis de souscrire à l’interprétation d’« incapacité » de manière à viser le manque de capacité juridique ?</w:t>
            </w:r>
          </w:p>
        </w:tc>
      </w:tr>
      <w:tr w:rsidR="0012542D" w:rsidRPr="004B7487" w:rsidTr="0012542D">
        <w:tc>
          <w:tcPr>
            <w:tcW w:w="5000" w:type="pct"/>
            <w:gridSpan w:val="4"/>
          </w:tcPr>
          <w:p w:rsidR="0012542D" w:rsidRPr="004B7487" w:rsidRDefault="0012542D" w:rsidP="007775F6">
            <w:pPr>
              <w:jc w:val="both"/>
              <w:rPr>
                <w:sz w:val="20"/>
                <w:lang w:val="fr-CA"/>
              </w:rPr>
            </w:pP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À la suite d’une poursuite criminelle intentée contre lui parce qu’il aurait proféré des menaces à l’endroit de ses superviseurs de travail, M. Wang a été congédié en 1993. En 2018, M. Wang a introduit une instance contre la Couronne, sollicitant des dommages</w:t>
            </w:r>
            <w:r w:rsidRPr="004B7487">
              <w:rPr>
                <w:sz w:val="20"/>
                <w:lang w:val="fr-CA"/>
              </w:rPr>
              <w:noBreakHyphen/>
              <w:t xml:space="preserve">intérêts de 4 millions de dollars pour différents torts de nature juridique qui auraient été commis par son ancien employeur, son avocat, la police, la Couronne, et différents juges et autres représentants du système de justice qui sont intervenus dans cette affaire. Un protonotaire de la Cour du Banc de la Reine a annulé la tentative de M. Wang pour que l’intimée soit constatée en défaut et a rejeté sa demande en jugement sommaire; il a été permis à la Couronne de contester la demande. L’appel de cette décision par M. Wang a été rejeté devant la Cour du Banc de la Reine. La Couronne a ensuite présenté une demande en radiation de la demande de M. Wang en vertu de la </w:t>
            </w:r>
            <w:r w:rsidRPr="004B7487">
              <w:rPr>
                <w:i/>
                <w:sz w:val="20"/>
                <w:lang w:val="fr-CA"/>
              </w:rPr>
              <w:t>Limitations Act</w:t>
            </w:r>
            <w:r w:rsidRPr="004B7487">
              <w:rPr>
                <w:sz w:val="20"/>
                <w:lang w:val="fr-CA"/>
              </w:rPr>
              <w:t xml:space="preserve">, R.S.A. 2000, c. </w:t>
            </w:r>
            <w:proofErr w:type="spellStart"/>
            <w:r w:rsidRPr="004B7487">
              <w:rPr>
                <w:sz w:val="20"/>
                <w:lang w:val="fr-CA"/>
              </w:rPr>
              <w:t>L</w:t>
            </w:r>
            <w:proofErr w:type="spellEnd"/>
            <w:r w:rsidRPr="004B7487">
              <w:rPr>
                <w:sz w:val="20"/>
                <w:lang w:val="fr-CA"/>
              </w:rPr>
              <w:noBreakHyphen/>
              <w:t xml:space="preserve"> 12. La Cour du Banc de la Reine a confirmé l’ordonnance annulant la demande de M. Wang de constater le défaut de la Couronne, et a rejeté la déclaration modifiée de M. Wang, après avoir conclu qu’elle était en effet prescrite en vertu de la </w:t>
            </w:r>
            <w:r w:rsidRPr="004B7487">
              <w:rPr>
                <w:i/>
                <w:sz w:val="20"/>
                <w:lang w:val="fr-CA"/>
              </w:rPr>
              <w:t>Limitations Act</w:t>
            </w:r>
            <w:r w:rsidRPr="004B7487">
              <w:rPr>
                <w:sz w:val="20"/>
                <w:lang w:val="fr-CA"/>
              </w:rPr>
              <w:t xml:space="preserve">. La demande de M. Wang contre la Couronne a </w:t>
            </w:r>
            <w:proofErr w:type="spellStart"/>
            <w:r w:rsidRPr="004B7487">
              <w:rPr>
                <w:sz w:val="20"/>
                <w:lang w:val="fr-CA"/>
              </w:rPr>
              <w:t>été’s</w:t>
            </w:r>
            <w:proofErr w:type="spellEnd"/>
            <w:r w:rsidRPr="004B7487">
              <w:rPr>
                <w:sz w:val="20"/>
                <w:lang w:val="fr-CA"/>
              </w:rPr>
              <w:t xml:space="preserve"> radiée au complet. La Cour d’appel a accueilli en partie l’appel de M. Wang; elle a confirmé les ordonnances annulant la constatation en défaut de la Couronne et a rejeté la demande de M. Wang en jugement sommaire, mais a infirmé le rejet de sa demande au complet pour cause de prescription.</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28 juin 2018</w:t>
            </w:r>
          </w:p>
          <w:p w:rsidR="0012542D" w:rsidRPr="004B7487" w:rsidRDefault="0012542D" w:rsidP="007775F6">
            <w:pPr>
              <w:jc w:val="both"/>
              <w:rPr>
                <w:sz w:val="20"/>
                <w:lang w:val="fr-CA"/>
              </w:rPr>
            </w:pPr>
            <w:r w:rsidRPr="004B7487">
              <w:rPr>
                <w:sz w:val="20"/>
                <w:lang w:val="fr-CA"/>
              </w:rPr>
              <w:t>Cour du Banc de la Reine de l’Alberta</w:t>
            </w:r>
          </w:p>
          <w:p w:rsidR="0012542D" w:rsidRPr="004B7487" w:rsidRDefault="0012542D" w:rsidP="007775F6">
            <w:pPr>
              <w:jc w:val="both"/>
              <w:rPr>
                <w:sz w:val="20"/>
                <w:lang w:val="fr-CA"/>
              </w:rPr>
            </w:pPr>
            <w:r w:rsidRPr="004B7487">
              <w:rPr>
                <w:sz w:val="20"/>
                <w:lang w:val="fr-CA"/>
              </w:rPr>
              <w:t>(Protonotaire Hanebury)</w:t>
            </w:r>
          </w:p>
          <w:p w:rsidR="0012542D" w:rsidRPr="004B7487" w:rsidRDefault="0012542D" w:rsidP="007775F6">
            <w:pPr>
              <w:jc w:val="both"/>
              <w:rPr>
                <w:sz w:val="20"/>
                <w:lang w:val="fr-CA"/>
              </w:rPr>
            </w:pPr>
            <w:r w:rsidRPr="004B7487">
              <w:rPr>
                <w:sz w:val="20"/>
                <w:lang w:val="fr-CA"/>
              </w:rPr>
              <w:t>Numéro de dossier de la Cour : 1801</w:t>
            </w:r>
            <w:r w:rsidRPr="004B7487">
              <w:rPr>
                <w:sz w:val="20"/>
                <w:lang w:val="fr-CA"/>
              </w:rPr>
              <w:noBreakHyphen/>
              <w:t>06405</w:t>
            </w:r>
          </w:p>
          <w:p w:rsidR="0012542D" w:rsidRPr="004B7487" w:rsidRDefault="0012542D" w:rsidP="007775F6">
            <w:pPr>
              <w:jc w:val="both"/>
              <w:rPr>
                <w:sz w:val="20"/>
                <w:lang w:val="fr-CA"/>
              </w:rPr>
            </w:pP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1002D2">
            <w:pPr>
              <w:jc w:val="both"/>
              <w:rPr>
                <w:sz w:val="20"/>
                <w:lang w:val="fr-CA"/>
              </w:rPr>
            </w:pPr>
            <w:r w:rsidRPr="004B7487">
              <w:rPr>
                <w:sz w:val="20"/>
                <w:lang w:val="fr-CA"/>
              </w:rPr>
              <w:t>La demande de M. Wang visant la constatation en défaut de la Couronne est annulée;</w:t>
            </w:r>
          </w:p>
          <w:p w:rsidR="001002D2" w:rsidRPr="004B7487" w:rsidRDefault="001002D2" w:rsidP="001002D2">
            <w:pPr>
              <w:jc w:val="both"/>
              <w:rPr>
                <w:sz w:val="20"/>
                <w:lang w:val="fr-CA"/>
              </w:rPr>
            </w:pPr>
          </w:p>
          <w:p w:rsidR="0012542D" w:rsidRPr="004B7487" w:rsidRDefault="0012542D" w:rsidP="001002D2">
            <w:pPr>
              <w:jc w:val="both"/>
              <w:rPr>
                <w:sz w:val="20"/>
                <w:lang w:val="fr-CA"/>
              </w:rPr>
            </w:pPr>
            <w:r w:rsidRPr="004B7487">
              <w:rPr>
                <w:sz w:val="20"/>
                <w:lang w:val="fr-CA"/>
              </w:rPr>
              <w:t>La demande en jugement sommaire de M. Wang est rejetée;</w:t>
            </w:r>
          </w:p>
          <w:p w:rsidR="001002D2" w:rsidRPr="004B7487" w:rsidRDefault="001002D2" w:rsidP="001002D2">
            <w:pPr>
              <w:jc w:val="both"/>
              <w:rPr>
                <w:sz w:val="20"/>
                <w:lang w:val="fr-CA"/>
              </w:rPr>
            </w:pPr>
          </w:p>
          <w:p w:rsidR="0012542D" w:rsidRPr="004B7487" w:rsidRDefault="0012542D" w:rsidP="001002D2">
            <w:pPr>
              <w:jc w:val="both"/>
              <w:rPr>
                <w:sz w:val="20"/>
                <w:lang w:val="fr-CA"/>
              </w:rPr>
            </w:pPr>
            <w:r w:rsidRPr="004B7487">
              <w:rPr>
                <w:sz w:val="20"/>
                <w:lang w:val="fr-CA"/>
              </w:rPr>
              <w:t xml:space="preserve">La Couronne est autorisée à déposer une défense. </w:t>
            </w:r>
          </w:p>
          <w:p w:rsidR="0012542D" w:rsidRPr="004B7487" w:rsidRDefault="0012542D" w:rsidP="001002D2">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18 juillet 2018</w:t>
            </w:r>
          </w:p>
          <w:p w:rsidR="0012542D" w:rsidRPr="004B7487" w:rsidRDefault="0012542D" w:rsidP="007775F6">
            <w:pPr>
              <w:jc w:val="both"/>
              <w:rPr>
                <w:sz w:val="20"/>
                <w:lang w:val="fr-CA"/>
              </w:rPr>
            </w:pPr>
            <w:r w:rsidRPr="004B7487">
              <w:rPr>
                <w:sz w:val="20"/>
                <w:lang w:val="fr-CA"/>
              </w:rPr>
              <w:t>Cour du Banc de la Reine de l’Alberta</w:t>
            </w:r>
          </w:p>
          <w:p w:rsidR="0012542D" w:rsidRPr="004B7487" w:rsidRDefault="0012542D" w:rsidP="007775F6">
            <w:pPr>
              <w:jc w:val="both"/>
              <w:rPr>
                <w:sz w:val="20"/>
                <w:lang w:val="fr-CA"/>
              </w:rPr>
            </w:pPr>
            <w:r w:rsidRPr="004B7487">
              <w:rPr>
                <w:sz w:val="20"/>
                <w:lang w:val="fr-CA"/>
              </w:rPr>
              <w:t>(Juge Nixon)</w:t>
            </w:r>
          </w:p>
          <w:p w:rsidR="0012542D" w:rsidRPr="004B7487" w:rsidRDefault="0012542D" w:rsidP="007775F6">
            <w:pPr>
              <w:jc w:val="both"/>
              <w:rPr>
                <w:sz w:val="20"/>
                <w:lang w:val="fr-CA"/>
              </w:rPr>
            </w:pPr>
            <w:r w:rsidRPr="004B7487">
              <w:rPr>
                <w:sz w:val="20"/>
                <w:lang w:val="fr-CA"/>
              </w:rPr>
              <w:t>Numéro de dossier de la Cour : 1801</w:t>
            </w:r>
            <w:r w:rsidRPr="004B7487">
              <w:rPr>
                <w:sz w:val="20"/>
                <w:lang w:val="fr-CA"/>
              </w:rPr>
              <w:noBreakHyphen/>
              <w:t>06405</w:t>
            </w:r>
          </w:p>
          <w:p w:rsidR="0012542D" w:rsidRPr="004B7487" w:rsidRDefault="0012542D" w:rsidP="007775F6">
            <w:pPr>
              <w:jc w:val="both"/>
              <w:rPr>
                <w:sz w:val="20"/>
                <w:lang w:val="fr-CA"/>
              </w:rPr>
            </w:pP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1002D2">
            <w:pPr>
              <w:jc w:val="both"/>
              <w:rPr>
                <w:sz w:val="20"/>
                <w:lang w:val="fr-CA"/>
              </w:rPr>
            </w:pPr>
            <w:r w:rsidRPr="004B7487">
              <w:rPr>
                <w:sz w:val="20"/>
                <w:lang w:val="fr-CA"/>
              </w:rPr>
              <w:t>L’appel de M. Wang de l’ordonnance datée du 28 juin 2018 est rejeté.</w:t>
            </w: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30 août 2018</w:t>
            </w:r>
          </w:p>
          <w:p w:rsidR="0012542D" w:rsidRPr="004B7487" w:rsidRDefault="0012542D" w:rsidP="007775F6">
            <w:pPr>
              <w:jc w:val="both"/>
              <w:rPr>
                <w:sz w:val="20"/>
                <w:lang w:val="fr-CA"/>
              </w:rPr>
            </w:pPr>
            <w:r w:rsidRPr="004B7487">
              <w:rPr>
                <w:sz w:val="20"/>
                <w:lang w:val="fr-CA"/>
              </w:rPr>
              <w:t>Cour du Banc de la Reine de l’Alberta</w:t>
            </w:r>
          </w:p>
          <w:p w:rsidR="0012542D" w:rsidRPr="004B7487" w:rsidRDefault="0012542D" w:rsidP="007775F6">
            <w:pPr>
              <w:jc w:val="both"/>
              <w:rPr>
                <w:sz w:val="20"/>
                <w:lang w:val="fr-CA"/>
              </w:rPr>
            </w:pPr>
          </w:p>
          <w:p w:rsidR="0012542D" w:rsidRPr="004B7487" w:rsidRDefault="0012542D" w:rsidP="007775F6">
            <w:pPr>
              <w:jc w:val="both"/>
              <w:rPr>
                <w:sz w:val="20"/>
                <w:lang w:val="fr-CA"/>
              </w:rPr>
            </w:pPr>
            <w:r w:rsidRPr="004B7487">
              <w:rPr>
                <w:sz w:val="20"/>
                <w:lang w:val="fr-CA"/>
              </w:rPr>
              <w:t>(Juge Mahoney)</w:t>
            </w:r>
          </w:p>
          <w:p w:rsidR="0012542D" w:rsidRPr="004B7487" w:rsidRDefault="0012542D" w:rsidP="007775F6">
            <w:pPr>
              <w:jc w:val="both"/>
              <w:rPr>
                <w:sz w:val="20"/>
                <w:lang w:val="fr-CA"/>
              </w:rPr>
            </w:pPr>
            <w:r w:rsidRPr="004B7487">
              <w:rPr>
                <w:sz w:val="20"/>
                <w:lang w:val="fr-CA"/>
              </w:rPr>
              <w:t>Numéro de dossier de la Cour : 1801</w:t>
            </w:r>
            <w:r w:rsidRPr="004B7487">
              <w:rPr>
                <w:sz w:val="20"/>
                <w:lang w:val="fr-CA"/>
              </w:rPr>
              <w:noBreakHyphen/>
              <w:t xml:space="preserve">06405 </w:t>
            </w:r>
          </w:p>
          <w:p w:rsidR="0012542D" w:rsidRPr="004B7487" w:rsidRDefault="0012542D" w:rsidP="007775F6">
            <w:pPr>
              <w:jc w:val="both"/>
              <w:rPr>
                <w:sz w:val="20"/>
                <w:lang w:val="fr-CA"/>
              </w:rPr>
            </w:pP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1002D2">
            <w:pPr>
              <w:jc w:val="both"/>
              <w:rPr>
                <w:sz w:val="20"/>
                <w:lang w:val="fr-CA"/>
              </w:rPr>
            </w:pPr>
            <w:r w:rsidRPr="004B7487">
              <w:rPr>
                <w:sz w:val="20"/>
                <w:lang w:val="fr-CA"/>
              </w:rPr>
              <w:t xml:space="preserve">La demande de M. Wang contre l’Alberta est rejetée au complet pour cause de prescription en vertu de la </w:t>
            </w:r>
            <w:r w:rsidRPr="004B7487">
              <w:rPr>
                <w:i/>
                <w:sz w:val="20"/>
                <w:lang w:val="fr-CA"/>
              </w:rPr>
              <w:t>Limitations Act</w:t>
            </w:r>
            <w:r w:rsidRPr="004B7487">
              <w:rPr>
                <w:sz w:val="20"/>
                <w:lang w:val="fr-CA"/>
              </w:rPr>
              <w:t xml:space="preserve">, R.S.A. 2000, c. </w:t>
            </w:r>
            <w:proofErr w:type="spellStart"/>
            <w:r w:rsidRPr="004B7487">
              <w:rPr>
                <w:sz w:val="20"/>
                <w:lang w:val="fr-CA"/>
              </w:rPr>
              <w:t>L</w:t>
            </w:r>
            <w:proofErr w:type="spellEnd"/>
            <w:r w:rsidRPr="004B7487">
              <w:rPr>
                <w:sz w:val="20"/>
                <w:lang w:val="fr-CA"/>
              </w:rPr>
              <w:noBreakHyphen/>
              <w:t> 12.</w:t>
            </w:r>
          </w:p>
          <w:p w:rsidR="0012542D" w:rsidRPr="004B7487" w:rsidRDefault="0012542D" w:rsidP="001002D2">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17 décembre 2019</w:t>
            </w:r>
          </w:p>
          <w:p w:rsidR="0012542D" w:rsidRPr="004B7487" w:rsidRDefault="0012542D" w:rsidP="007775F6">
            <w:pPr>
              <w:jc w:val="both"/>
              <w:rPr>
                <w:sz w:val="20"/>
                <w:lang w:val="fr-CA"/>
              </w:rPr>
            </w:pPr>
            <w:r w:rsidRPr="004B7487">
              <w:rPr>
                <w:sz w:val="20"/>
                <w:lang w:val="fr-CA"/>
              </w:rPr>
              <w:t>Cour d’appel de l’Alberta (Calgary)</w:t>
            </w:r>
          </w:p>
          <w:p w:rsidR="0012542D" w:rsidRPr="004B7487" w:rsidRDefault="0012542D" w:rsidP="007775F6">
            <w:pPr>
              <w:jc w:val="both"/>
              <w:rPr>
                <w:sz w:val="20"/>
                <w:lang w:val="fr-CA"/>
              </w:rPr>
            </w:pPr>
            <w:r w:rsidRPr="004B7487">
              <w:rPr>
                <w:sz w:val="20"/>
                <w:lang w:val="fr-CA"/>
              </w:rPr>
              <w:t>(Juges Rowbotham, Veldhuis et Khullar)</w:t>
            </w:r>
          </w:p>
          <w:p w:rsidR="0012542D" w:rsidRPr="004B7487" w:rsidRDefault="004B7487" w:rsidP="007775F6">
            <w:pPr>
              <w:jc w:val="both"/>
              <w:rPr>
                <w:sz w:val="20"/>
                <w:lang w:val="fr-CA"/>
              </w:rPr>
            </w:pPr>
            <w:hyperlink r:id="rId82" w:history="1">
              <w:r w:rsidR="0012542D" w:rsidRPr="004B7487">
                <w:rPr>
                  <w:rStyle w:val="Hyperlink"/>
                  <w:sz w:val="20"/>
                  <w:lang w:val="fr-CA"/>
                </w:rPr>
                <w:t>2019 ABCA 507</w:t>
              </w:r>
            </w:hyperlink>
          </w:p>
          <w:p w:rsidR="0012542D" w:rsidRPr="004B7487" w:rsidRDefault="0012542D" w:rsidP="007775F6">
            <w:pPr>
              <w:jc w:val="both"/>
              <w:rPr>
                <w:sz w:val="20"/>
                <w:lang w:val="fr-CA"/>
              </w:rPr>
            </w:pP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1002D2">
            <w:pPr>
              <w:jc w:val="both"/>
              <w:rPr>
                <w:sz w:val="20"/>
                <w:lang w:val="fr-CA"/>
              </w:rPr>
            </w:pPr>
            <w:r w:rsidRPr="004B7487">
              <w:rPr>
                <w:sz w:val="20"/>
                <w:lang w:val="fr-CA"/>
              </w:rPr>
              <w:t xml:space="preserve">L’appel de M. Wang de l’ordonnance datée du mois d’août 2018 est </w:t>
            </w:r>
            <w:proofErr w:type="gramStart"/>
            <w:r w:rsidRPr="004B7487">
              <w:rPr>
                <w:sz w:val="20"/>
                <w:lang w:val="fr-CA"/>
              </w:rPr>
              <w:t>accueilli</w:t>
            </w:r>
            <w:proofErr w:type="gramEnd"/>
            <w:r w:rsidRPr="004B7487">
              <w:rPr>
                <w:sz w:val="20"/>
                <w:lang w:val="fr-CA"/>
              </w:rPr>
              <w:t xml:space="preserve"> en partie; la demande de M. Wang n’est pas prescrite et n’est pas radiée au complet. </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14 février 2020</w:t>
            </w:r>
          </w:p>
          <w:p w:rsidR="0012542D" w:rsidRPr="004B7487" w:rsidRDefault="0012542D" w:rsidP="007775F6">
            <w:pPr>
              <w:jc w:val="both"/>
              <w:rPr>
                <w:sz w:val="20"/>
                <w:lang w:val="fr-CA"/>
              </w:rPr>
            </w:pPr>
            <w:r w:rsidRPr="004B7487">
              <w:rPr>
                <w:sz w:val="20"/>
                <w:lang w:val="fr-CA"/>
              </w:rPr>
              <w:t>Cour suprême du Canada</w:t>
            </w: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Demande d’autorisation d’appel présentée par M. Wang.</w:t>
            </w:r>
          </w:p>
        </w:tc>
      </w:tr>
    </w:tbl>
    <w:p w:rsidR="0012542D" w:rsidRPr="004B7487" w:rsidRDefault="0012542D" w:rsidP="007775F6">
      <w:pPr>
        <w:jc w:val="both"/>
        <w:rPr>
          <w:sz w:val="20"/>
          <w:lang w:val="fr-CA"/>
        </w:rPr>
      </w:pPr>
    </w:p>
    <w:p w:rsidR="001002D2" w:rsidRPr="004B7487" w:rsidRDefault="004B7487" w:rsidP="007775F6">
      <w:pPr>
        <w:jc w:val="both"/>
        <w:rPr>
          <w:sz w:val="20"/>
          <w:lang w:val="fr-CA"/>
        </w:rPr>
      </w:pPr>
      <w:r w:rsidRPr="004B7487">
        <w:rPr>
          <w:sz w:val="20"/>
        </w:rPr>
        <w:pict>
          <v:rect id="_x0000_i1058" style="width:2in;height:1pt" o:hrpct="0" o:hralign="center" o:hrstd="t" o:hrnoshade="t" o:hr="t" fillcolor="black [3213]" stroked="f"/>
        </w:pict>
      </w:r>
    </w:p>
    <w:p w:rsidR="00E70259" w:rsidRPr="004B7487" w:rsidRDefault="00E70259"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39213</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Kovarthanan Konesavarathan v. Middlesex-London Health Unit, Human Rights Tribunal of Ontario</w:t>
            </w:r>
          </w:p>
          <w:p w:rsidR="0012542D" w:rsidRPr="004B7487" w:rsidRDefault="0012542D" w:rsidP="007775F6">
            <w:pPr>
              <w:jc w:val="both"/>
              <w:rPr>
                <w:sz w:val="20"/>
              </w:rPr>
            </w:pPr>
            <w:r w:rsidRPr="004B7487">
              <w:rPr>
                <w:sz w:val="20"/>
              </w:rPr>
              <w:t>(Ont.) (Civil) (By Leave)</w:t>
            </w:r>
          </w:p>
        </w:tc>
      </w:tr>
      <w:tr w:rsidR="0012542D" w:rsidRPr="004B7487" w:rsidTr="0012542D">
        <w:tc>
          <w:tcPr>
            <w:tcW w:w="5000" w:type="pct"/>
            <w:gridSpan w:val="4"/>
          </w:tcPr>
          <w:p w:rsidR="0012542D" w:rsidRPr="004B7487" w:rsidRDefault="0012542D" w:rsidP="007775F6">
            <w:pPr>
              <w:tabs>
                <w:tab w:val="left" w:pos="2642"/>
              </w:tabs>
              <w:jc w:val="both"/>
              <w:rPr>
                <w:sz w:val="20"/>
              </w:rPr>
            </w:pPr>
            <w:r w:rsidRPr="004B7487">
              <w:rPr>
                <w:sz w:val="20"/>
              </w:rPr>
              <w:t xml:space="preserve">Administrative law — Judicial review — Human rights — Discrimination — Duty to accommodate — Reprisal — Employment — Applicant is foreign trained doctor raising human rights violations against health unit where </w:t>
            </w:r>
            <w:r w:rsidRPr="004B7487">
              <w:rPr>
                <w:sz w:val="20"/>
              </w:rPr>
              <w:lastRenderedPageBreak/>
              <w:t xml:space="preserve">practicum for Masters of Public Health program was undertaken — Applicant subsequently denied job at same health unit — Does the application for leave to appeal raise an issue of public importance? — </w:t>
            </w:r>
            <w:r w:rsidRPr="004B7487">
              <w:rPr>
                <w:i/>
                <w:sz w:val="20"/>
              </w:rPr>
              <w:t>Human Rights Code</w:t>
            </w:r>
            <w:r w:rsidRPr="004B7487">
              <w:rPr>
                <w:sz w:val="20"/>
              </w:rPr>
              <w:t>, R.S.O. 1990, c. H.19, ss. 5(1) and 8.</w:t>
            </w:r>
          </w:p>
        </w:tc>
      </w:tr>
      <w:tr w:rsidR="0012542D" w:rsidRPr="004B7487" w:rsidTr="0012542D">
        <w:tc>
          <w:tcPr>
            <w:tcW w:w="5000" w:type="pct"/>
            <w:gridSpan w:val="4"/>
          </w:tcPr>
          <w:p w:rsidR="0012542D" w:rsidRPr="004B7487" w:rsidRDefault="0012542D" w:rsidP="007775F6">
            <w:pPr>
              <w:jc w:val="both"/>
              <w:rPr>
                <w:sz w:val="20"/>
              </w:rPr>
            </w:pPr>
          </w:p>
          <w:p w:rsidR="0012542D" w:rsidRPr="004B7487" w:rsidRDefault="0012542D" w:rsidP="007775F6">
            <w:pPr>
              <w:jc w:val="both"/>
              <w:rPr>
                <w:sz w:val="20"/>
              </w:rPr>
            </w:pPr>
            <w:r w:rsidRPr="004B7487">
              <w:rPr>
                <w:sz w:val="20"/>
                <w:lang w:val="en"/>
              </w:rPr>
              <w:t>The applicant, Mr. </w:t>
            </w:r>
            <w:r w:rsidRPr="004B7487">
              <w:rPr>
                <w:sz w:val="20"/>
              </w:rPr>
              <w:t>Konesavarathan</w:t>
            </w:r>
            <w:r w:rsidRPr="004B7487">
              <w:rPr>
                <w:sz w:val="20"/>
                <w:lang w:val="en"/>
              </w:rPr>
              <w:t>, is a foreign trained medical doctor who was placed at the respondent health unit for the purposes of a practicum to be undertaken in the context of his Masters in Public Health. Unexpectedly, Mr. </w:t>
            </w:r>
            <w:r w:rsidRPr="004B7487">
              <w:rPr>
                <w:sz w:val="20"/>
              </w:rPr>
              <w:t>Konesavarathan had to miss a number of practicum days, and he requested that his practicum be extended. This request was denied, because deemed unnecessary. Mr. Konesavarathan also requested to return to his practicum early, despite his stated absence, which was also denied. No work had been planned for him during this time. In the months following his practicum, Mr. Konesavarathan applied for employment with the health unit, but he was not screened in for an interview. He made claims against the health unit of discrimination, reprisal and failure to accommodate before the Human Rights Tribunal of Ontario, which were all unsuccessful. The Divisional Court found the tribunal’s decision to be reasonable, and thus dismissed Mr. Konesavarathan’s application for judicial review. The Court of Appeal denied Mr. Konesavarathan’s motion for leave to appeal.</w:t>
            </w:r>
          </w:p>
        </w:tc>
      </w:tr>
      <w:tr w:rsidR="0012542D" w:rsidRPr="004B7487" w:rsidTr="0012542D">
        <w:tc>
          <w:tcPr>
            <w:tcW w:w="5000" w:type="pct"/>
            <w:gridSpan w:val="4"/>
          </w:tcPr>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January 20, 2016</w:t>
            </w:r>
          </w:p>
          <w:p w:rsidR="0012542D" w:rsidRPr="004B7487" w:rsidRDefault="0012542D" w:rsidP="007775F6">
            <w:pPr>
              <w:jc w:val="both"/>
              <w:rPr>
                <w:sz w:val="20"/>
              </w:rPr>
            </w:pPr>
            <w:r w:rsidRPr="004B7487">
              <w:rPr>
                <w:sz w:val="20"/>
              </w:rPr>
              <w:t>Human Rights Tribunal of Ontario</w:t>
            </w:r>
          </w:p>
          <w:p w:rsidR="0012542D" w:rsidRPr="004B7487" w:rsidRDefault="0012542D" w:rsidP="007775F6">
            <w:pPr>
              <w:jc w:val="both"/>
              <w:rPr>
                <w:sz w:val="20"/>
              </w:rPr>
            </w:pPr>
            <w:r w:rsidRPr="004B7487">
              <w:rPr>
                <w:sz w:val="20"/>
              </w:rPr>
              <w:t>Adjudicator Kershaw</w:t>
            </w:r>
          </w:p>
          <w:p w:rsidR="0012542D" w:rsidRPr="004B7487" w:rsidRDefault="004B7487" w:rsidP="007775F6">
            <w:pPr>
              <w:jc w:val="both"/>
              <w:rPr>
                <w:sz w:val="20"/>
              </w:rPr>
            </w:pPr>
            <w:hyperlink r:id="rId83" w:history="1">
              <w:r w:rsidR="0012542D" w:rsidRPr="004B7487">
                <w:rPr>
                  <w:rStyle w:val="Hyperlink"/>
                  <w:sz w:val="20"/>
                </w:rPr>
                <w:t>2016 HRTO 86</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Request to add party as a respondent denied; request for production of documents denied; request to amend application to include additional non-monetary remedy granted; request to refer matter to the Ontario Human Rights Commission denied; request to adjourn hearing denied</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February 23, 2016</w:t>
            </w:r>
          </w:p>
          <w:p w:rsidR="0012542D" w:rsidRPr="004B7487" w:rsidRDefault="0012542D" w:rsidP="007775F6">
            <w:pPr>
              <w:jc w:val="both"/>
              <w:rPr>
                <w:sz w:val="20"/>
              </w:rPr>
            </w:pPr>
            <w:r w:rsidRPr="004B7487">
              <w:rPr>
                <w:sz w:val="20"/>
              </w:rPr>
              <w:t>Human Rights Tribunal of Ontario</w:t>
            </w:r>
          </w:p>
          <w:p w:rsidR="0012542D" w:rsidRPr="004B7487" w:rsidRDefault="0012542D" w:rsidP="007775F6">
            <w:pPr>
              <w:jc w:val="both"/>
              <w:rPr>
                <w:sz w:val="20"/>
              </w:rPr>
            </w:pPr>
            <w:r w:rsidRPr="004B7487">
              <w:rPr>
                <w:sz w:val="20"/>
              </w:rPr>
              <w:t>Adjudicator Kershaw</w:t>
            </w:r>
          </w:p>
          <w:p w:rsidR="0012542D" w:rsidRPr="004B7487" w:rsidRDefault="004B7487" w:rsidP="007775F6">
            <w:pPr>
              <w:jc w:val="both"/>
              <w:rPr>
                <w:sz w:val="20"/>
              </w:rPr>
            </w:pPr>
            <w:hyperlink r:id="rId84" w:history="1">
              <w:r w:rsidR="0012542D" w:rsidRPr="004B7487">
                <w:rPr>
                  <w:rStyle w:val="Hyperlink"/>
                  <w:sz w:val="20"/>
                </w:rPr>
                <w:t>2016 HRTO 232</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Request for reconsideration denied</w:t>
            </w:r>
          </w:p>
        </w:tc>
      </w:tr>
      <w:tr w:rsidR="0012542D" w:rsidRPr="004B7487" w:rsidTr="0012542D">
        <w:tc>
          <w:tcPr>
            <w:tcW w:w="2427" w:type="pct"/>
            <w:gridSpan w:val="2"/>
          </w:tcPr>
          <w:p w:rsidR="0012542D" w:rsidRPr="004B7487" w:rsidRDefault="0012542D" w:rsidP="007775F6">
            <w:pPr>
              <w:jc w:val="both"/>
              <w:rPr>
                <w:sz w:val="20"/>
              </w:rPr>
            </w:pPr>
            <w:r w:rsidRPr="004B7487">
              <w:rPr>
                <w:sz w:val="20"/>
              </w:rPr>
              <w:t>April 25, 2017</w:t>
            </w:r>
          </w:p>
          <w:p w:rsidR="0012542D" w:rsidRPr="004B7487" w:rsidRDefault="0012542D" w:rsidP="007775F6">
            <w:pPr>
              <w:jc w:val="both"/>
              <w:rPr>
                <w:sz w:val="20"/>
              </w:rPr>
            </w:pPr>
            <w:r w:rsidRPr="004B7487">
              <w:rPr>
                <w:sz w:val="20"/>
              </w:rPr>
              <w:t>Human Rights Tribunal of Ontario</w:t>
            </w:r>
          </w:p>
          <w:p w:rsidR="0012542D" w:rsidRPr="004B7487" w:rsidRDefault="0012542D" w:rsidP="007775F6">
            <w:pPr>
              <w:jc w:val="both"/>
              <w:rPr>
                <w:sz w:val="20"/>
              </w:rPr>
            </w:pPr>
            <w:r w:rsidRPr="004B7487">
              <w:rPr>
                <w:sz w:val="20"/>
              </w:rPr>
              <w:t>Adjudicator Kershaw</w:t>
            </w:r>
          </w:p>
          <w:p w:rsidR="0012542D" w:rsidRPr="004B7487" w:rsidRDefault="004B7487" w:rsidP="007775F6">
            <w:pPr>
              <w:jc w:val="both"/>
              <w:rPr>
                <w:sz w:val="20"/>
              </w:rPr>
            </w:pPr>
            <w:hyperlink r:id="rId85" w:history="1">
              <w:r w:rsidR="0012542D" w:rsidRPr="004B7487">
                <w:rPr>
                  <w:rStyle w:val="Hyperlink"/>
                  <w:sz w:val="20"/>
                </w:rPr>
                <w:t>2017 HRTO 454</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 xml:space="preserve">Application alleging reprisal and discrimination with respect to employment because of disability, race, colour, place of origin, ethnic origin and sex contrary to the </w:t>
            </w:r>
            <w:r w:rsidRPr="004B7487">
              <w:rPr>
                <w:i/>
                <w:sz w:val="20"/>
              </w:rPr>
              <w:t>Human Rights Code</w:t>
            </w:r>
            <w:r w:rsidRPr="004B7487">
              <w:rPr>
                <w:sz w:val="20"/>
              </w:rPr>
              <w:t>, R.S.O. 1990, c. H.19, dismissed</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July 2, 2019</w:t>
            </w:r>
          </w:p>
          <w:p w:rsidR="0012542D" w:rsidRPr="004B7487" w:rsidRDefault="0012542D" w:rsidP="007775F6">
            <w:pPr>
              <w:jc w:val="both"/>
              <w:rPr>
                <w:sz w:val="20"/>
              </w:rPr>
            </w:pPr>
            <w:r w:rsidRPr="004B7487">
              <w:rPr>
                <w:sz w:val="20"/>
              </w:rPr>
              <w:t>Ontario Superior Court of Justice</w:t>
            </w:r>
          </w:p>
          <w:p w:rsidR="0012542D" w:rsidRPr="004B7487" w:rsidRDefault="0012542D" w:rsidP="007775F6">
            <w:pPr>
              <w:jc w:val="both"/>
              <w:rPr>
                <w:sz w:val="20"/>
              </w:rPr>
            </w:pPr>
            <w:r w:rsidRPr="004B7487">
              <w:rPr>
                <w:sz w:val="20"/>
              </w:rPr>
              <w:t>(Divisional Court)</w:t>
            </w:r>
          </w:p>
          <w:p w:rsidR="0012542D" w:rsidRPr="004B7487" w:rsidRDefault="0012542D" w:rsidP="007775F6">
            <w:pPr>
              <w:jc w:val="both"/>
              <w:rPr>
                <w:sz w:val="20"/>
              </w:rPr>
            </w:pPr>
            <w:r w:rsidRPr="004B7487">
              <w:rPr>
                <w:sz w:val="20"/>
              </w:rPr>
              <w:t>(Kiteley, Parayeski and Favreau JJ.)</w:t>
            </w:r>
          </w:p>
          <w:p w:rsidR="0012542D" w:rsidRPr="004B7487" w:rsidRDefault="004B7487" w:rsidP="007775F6">
            <w:pPr>
              <w:jc w:val="both"/>
              <w:rPr>
                <w:sz w:val="20"/>
              </w:rPr>
            </w:pPr>
            <w:hyperlink r:id="rId86" w:history="1">
              <w:r w:rsidR="0012542D" w:rsidRPr="004B7487">
                <w:rPr>
                  <w:rStyle w:val="Hyperlink"/>
                  <w:sz w:val="20"/>
                </w:rPr>
                <w:t>2019 ONSC 3879</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 xml:space="preserve">Application for judicial review dismissed </w:t>
            </w:r>
          </w:p>
        </w:tc>
      </w:tr>
      <w:tr w:rsidR="0012542D" w:rsidRPr="004B7487" w:rsidTr="0012542D">
        <w:tc>
          <w:tcPr>
            <w:tcW w:w="2427" w:type="pct"/>
            <w:gridSpan w:val="2"/>
          </w:tcPr>
          <w:p w:rsidR="0012542D" w:rsidRPr="004B7487" w:rsidRDefault="0012542D" w:rsidP="007775F6">
            <w:pPr>
              <w:jc w:val="both"/>
              <w:rPr>
                <w:sz w:val="20"/>
              </w:rPr>
            </w:pPr>
            <w:r w:rsidRPr="004B7487">
              <w:rPr>
                <w:sz w:val="20"/>
              </w:rPr>
              <w:t>November 26, 2019</w:t>
            </w:r>
          </w:p>
          <w:p w:rsidR="0012542D" w:rsidRPr="004B7487" w:rsidRDefault="0012542D" w:rsidP="007775F6">
            <w:pPr>
              <w:jc w:val="both"/>
              <w:rPr>
                <w:sz w:val="20"/>
              </w:rPr>
            </w:pPr>
            <w:r w:rsidRPr="004B7487">
              <w:rPr>
                <w:sz w:val="20"/>
              </w:rPr>
              <w:t>Court of Appeal for Ontario</w:t>
            </w:r>
          </w:p>
          <w:p w:rsidR="0012542D" w:rsidRPr="004B7487" w:rsidRDefault="0012542D" w:rsidP="007775F6">
            <w:pPr>
              <w:jc w:val="both"/>
              <w:rPr>
                <w:sz w:val="20"/>
              </w:rPr>
            </w:pPr>
            <w:r w:rsidRPr="004B7487">
              <w:rPr>
                <w:sz w:val="20"/>
              </w:rPr>
              <w:t>(Rouleau, Roberts and Harvison Young JJ.A.)</w:t>
            </w:r>
          </w:p>
          <w:p w:rsidR="0012542D" w:rsidRPr="004B7487" w:rsidRDefault="0012542D" w:rsidP="007775F6">
            <w:pPr>
              <w:jc w:val="both"/>
              <w:rPr>
                <w:sz w:val="20"/>
              </w:rPr>
            </w:pPr>
            <w:r w:rsidRPr="004B7487">
              <w:rPr>
                <w:sz w:val="20"/>
              </w:rPr>
              <w:t xml:space="preserve">File no. M50638 </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Leave to appeal denied</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January 31, 2020</w:t>
            </w:r>
          </w:p>
          <w:p w:rsidR="0012542D" w:rsidRPr="004B7487" w:rsidRDefault="0012542D" w:rsidP="007775F6">
            <w:pPr>
              <w:jc w:val="both"/>
              <w:rPr>
                <w:sz w:val="20"/>
              </w:rPr>
            </w:pPr>
            <w:r w:rsidRPr="004B7487">
              <w:rPr>
                <w:sz w:val="20"/>
              </w:rPr>
              <w:t>Supreme Court of Canada</w:t>
            </w: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Application for leave to appeal filed</w:t>
            </w:r>
          </w:p>
          <w:p w:rsidR="0012542D" w:rsidRPr="004B7487" w:rsidRDefault="0012542D" w:rsidP="007775F6">
            <w:pPr>
              <w:jc w:val="both"/>
              <w:rPr>
                <w:sz w:val="20"/>
              </w:rPr>
            </w:pPr>
          </w:p>
        </w:tc>
      </w:tr>
    </w:tbl>
    <w:p w:rsidR="0012542D" w:rsidRPr="004B7487" w:rsidRDefault="0012542D" w:rsidP="007775F6">
      <w:pPr>
        <w:jc w:val="both"/>
        <w:rPr>
          <w:sz w:val="20"/>
        </w:rPr>
      </w:pPr>
    </w:p>
    <w:p w:rsidR="001002D2" w:rsidRPr="004B7487" w:rsidRDefault="004B7487" w:rsidP="007775F6">
      <w:pPr>
        <w:jc w:val="both"/>
        <w:rPr>
          <w:sz w:val="20"/>
        </w:rPr>
      </w:pPr>
      <w:r w:rsidRPr="004B7487">
        <w:rPr>
          <w:sz w:val="20"/>
        </w:rPr>
        <w:pict>
          <v:rect id="_x0000_i1059" style="width:2in;height:1pt" o:hrpct="0" o:hralign="center" o:hrstd="t" o:hrnoshade="t" o:hr="t" fillcolor="black [3213]" stroked="f"/>
        </w:pict>
      </w:r>
    </w:p>
    <w:p w:rsidR="001002D2" w:rsidRPr="004B7487" w:rsidRDefault="001002D2" w:rsidP="007775F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39213</w:t>
            </w:r>
          </w:p>
        </w:tc>
        <w:tc>
          <w:tcPr>
            <w:tcW w:w="4457" w:type="pct"/>
            <w:gridSpan w:val="3"/>
          </w:tcPr>
          <w:p w:rsidR="0012542D" w:rsidRPr="004B7487" w:rsidRDefault="0012542D" w:rsidP="007775F6">
            <w:pPr>
              <w:pStyle w:val="SCCLsocParty"/>
              <w:jc w:val="both"/>
              <w:rPr>
                <w:b/>
                <w:sz w:val="20"/>
                <w:szCs w:val="20"/>
              </w:rPr>
            </w:pPr>
            <w:r w:rsidRPr="004B7487">
              <w:rPr>
                <w:b/>
                <w:sz w:val="20"/>
                <w:szCs w:val="20"/>
              </w:rPr>
              <w:t>Kovarthanan Konesavarathan c. Bureau de santé de Middlesex-London, Tribunal des droits de la personne de l’Ontario</w:t>
            </w:r>
          </w:p>
          <w:p w:rsidR="0012542D" w:rsidRPr="004B7487" w:rsidRDefault="0012542D" w:rsidP="007775F6">
            <w:pPr>
              <w:jc w:val="both"/>
              <w:rPr>
                <w:sz w:val="20"/>
                <w:lang w:val="fr-CA"/>
              </w:rPr>
            </w:pPr>
            <w:r w:rsidRPr="004B7487">
              <w:rPr>
                <w:sz w:val="20"/>
                <w:lang w:val="fr-CA"/>
              </w:rPr>
              <w:t>(Ont.) (Civile) (Sur autorisation)</w:t>
            </w:r>
          </w:p>
        </w:tc>
      </w:tr>
      <w:tr w:rsidR="0012542D" w:rsidRPr="004B7487" w:rsidTr="0012542D">
        <w:tc>
          <w:tcPr>
            <w:tcW w:w="5000" w:type="pct"/>
            <w:gridSpan w:val="4"/>
          </w:tcPr>
          <w:p w:rsidR="0012542D" w:rsidRPr="004B7487" w:rsidRDefault="0012542D" w:rsidP="007775F6">
            <w:pPr>
              <w:tabs>
                <w:tab w:val="left" w:pos="2642"/>
              </w:tabs>
              <w:jc w:val="both"/>
              <w:rPr>
                <w:sz w:val="20"/>
                <w:lang w:val="fr-CA"/>
              </w:rPr>
            </w:pPr>
            <w:r w:rsidRPr="004B7487">
              <w:rPr>
                <w:sz w:val="20"/>
                <w:lang w:val="fr-CA"/>
              </w:rPr>
              <w:t xml:space="preserve">Droit administratif — Contrôle judiciaire — Droits de la personne — Discrimination — Obligation d’accommodement — Représailles — Emploi — Le demandeur est un médecin formé à l’étranger qui reproche à un bureau de santé d’avoir violé ses droits alors qu’il faisait un stage dans le cadre d’un programme de maîtrise en santé </w:t>
            </w:r>
            <w:r w:rsidRPr="004B7487">
              <w:rPr>
                <w:sz w:val="20"/>
                <w:lang w:val="fr-CA"/>
              </w:rPr>
              <w:lastRenderedPageBreak/>
              <w:t>publique — Poste refusé par la suite au demandeur à ce même bureau de santé — La demande d’autorisation d’appel soulève</w:t>
            </w:r>
            <w:r w:rsidRPr="004B7487">
              <w:rPr>
                <w:sz w:val="20"/>
                <w:lang w:val="fr-CA"/>
              </w:rPr>
              <w:noBreakHyphen/>
              <w:t>t</w:t>
            </w:r>
            <w:r w:rsidRPr="004B7487">
              <w:rPr>
                <w:sz w:val="20"/>
                <w:lang w:val="fr-CA"/>
              </w:rPr>
              <w:noBreakHyphen/>
              <w:t xml:space="preserve">elle une question d’importance pour le public? — </w:t>
            </w:r>
            <w:r w:rsidRPr="004B7487">
              <w:rPr>
                <w:i/>
                <w:sz w:val="20"/>
                <w:lang w:val="fr-CA"/>
              </w:rPr>
              <w:t>Code des droits de la personne</w:t>
            </w:r>
            <w:r w:rsidRPr="004B7487">
              <w:rPr>
                <w:sz w:val="20"/>
                <w:lang w:val="fr-CA"/>
              </w:rPr>
              <w:t>, L.R.O. 1990, c. H.19, par. 5(1) et art. 8.</w:t>
            </w:r>
          </w:p>
        </w:tc>
      </w:tr>
      <w:tr w:rsidR="0012542D" w:rsidRPr="004B7487" w:rsidTr="0012542D">
        <w:tc>
          <w:tcPr>
            <w:tcW w:w="5000" w:type="pct"/>
            <w:gridSpan w:val="4"/>
          </w:tcPr>
          <w:p w:rsidR="0012542D" w:rsidRPr="004B7487" w:rsidRDefault="0012542D" w:rsidP="007775F6">
            <w:pPr>
              <w:jc w:val="both"/>
              <w:rPr>
                <w:sz w:val="20"/>
                <w:lang w:val="fr-CA"/>
              </w:rPr>
            </w:pPr>
          </w:p>
          <w:p w:rsidR="0012542D" w:rsidRPr="004B7487" w:rsidRDefault="0012542D" w:rsidP="007775F6">
            <w:pPr>
              <w:jc w:val="both"/>
              <w:rPr>
                <w:sz w:val="20"/>
                <w:lang w:val="fr-CA"/>
              </w:rPr>
            </w:pPr>
            <w:r w:rsidRPr="004B7487">
              <w:rPr>
                <w:sz w:val="20"/>
                <w:lang w:val="fr-CA"/>
              </w:rPr>
              <w:t>Le demandeur, M. Konesavarathan, est un médecin formé à l’étranger qui a été affecté au bureau de santé intimé en vue d’y faire un stage dans le contexte sa maîtrise en santé publique. Contre toute attente, M. Konesavarathan a dû manquer plusieurs jours de stage, et il a demandé que son stage soit prolongé. Cette demande a été refusée parce que jugée non nécessaire. M. Konesavarathan a également sollicité l’autorisation de reprendre son stage tôt, en dépit de son absence déclarée, mais cela lui a aussi été refusé. Aucune tâche ne lui a été assignée durant cette période. Au cours des mois qui ont suivi son stage, M. Konesavarathan a présenté une demande d’emploi au bureau de santé, mais sa candidature n’a pas été examinée dans le but de le convoquer en entrevue. Il a intenté des recours contre le bureau de santé pour discrimination, représailles et manquement à l’obligation d’accommodement devant le Tribunal des droits de la personne de l’Ontario, et ils ont tous échoué. La Cour divisionnaire a jugé raisonnable la décision du Tribunal, et elle a donc rejeté la demande de contrôle judiciaire de M. Konesavarathan. La Cour d’appel a rejeté la motion de M. Konesavarathan en autorisation d’appel.</w:t>
            </w:r>
          </w:p>
        </w:tc>
      </w:tr>
      <w:tr w:rsidR="0012542D" w:rsidRPr="004B7487" w:rsidTr="0012542D">
        <w:tc>
          <w:tcPr>
            <w:tcW w:w="5000" w:type="pct"/>
            <w:gridSpan w:val="4"/>
          </w:tcPr>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20 janvier 2016</w:t>
            </w:r>
          </w:p>
          <w:p w:rsidR="0012542D" w:rsidRPr="004B7487" w:rsidRDefault="0012542D" w:rsidP="007775F6">
            <w:pPr>
              <w:jc w:val="both"/>
              <w:rPr>
                <w:sz w:val="20"/>
                <w:lang w:val="fr-CA"/>
              </w:rPr>
            </w:pPr>
            <w:r w:rsidRPr="004B7487">
              <w:rPr>
                <w:sz w:val="20"/>
                <w:lang w:val="fr-CA"/>
              </w:rPr>
              <w:t>Tribunal des droits de la personne de l’Ontario</w:t>
            </w:r>
          </w:p>
          <w:p w:rsidR="0012542D" w:rsidRPr="004B7487" w:rsidRDefault="0012542D" w:rsidP="007775F6">
            <w:pPr>
              <w:jc w:val="both"/>
              <w:rPr>
                <w:sz w:val="20"/>
              </w:rPr>
            </w:pPr>
            <w:proofErr w:type="spellStart"/>
            <w:r w:rsidRPr="004B7487">
              <w:rPr>
                <w:sz w:val="20"/>
              </w:rPr>
              <w:t>Arbitre</w:t>
            </w:r>
            <w:proofErr w:type="spellEnd"/>
            <w:r w:rsidRPr="004B7487">
              <w:rPr>
                <w:sz w:val="20"/>
              </w:rPr>
              <w:t xml:space="preserve"> Kershaw</w:t>
            </w:r>
          </w:p>
          <w:p w:rsidR="0012542D" w:rsidRPr="004B7487" w:rsidRDefault="004B7487" w:rsidP="007775F6">
            <w:pPr>
              <w:jc w:val="both"/>
              <w:rPr>
                <w:sz w:val="20"/>
              </w:rPr>
            </w:pPr>
            <w:hyperlink r:id="rId87" w:history="1">
              <w:r w:rsidR="0012542D" w:rsidRPr="004B7487">
                <w:rPr>
                  <w:rStyle w:val="Hyperlink"/>
                  <w:sz w:val="20"/>
                </w:rPr>
                <w:t>2016 HRTO 86</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Rejet de la demande d’adjonction d’une partie en tant qu’intimé; rejet de la demande d’autorisation de production de documents; demande en vue d’insérer dans la requête une réparation non pécuniaire accueillie; rejet de la demande de renvoi de l’affaire à la Commission des droits de la personne de l’Ontario; rejet de la demande d’ajournement de l’audience</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23 février 2016</w:t>
            </w:r>
          </w:p>
          <w:p w:rsidR="0012542D" w:rsidRPr="004B7487" w:rsidRDefault="0012542D" w:rsidP="007775F6">
            <w:pPr>
              <w:jc w:val="both"/>
              <w:rPr>
                <w:sz w:val="20"/>
                <w:lang w:val="fr-CA"/>
              </w:rPr>
            </w:pPr>
            <w:r w:rsidRPr="004B7487">
              <w:rPr>
                <w:sz w:val="20"/>
                <w:lang w:val="fr-CA"/>
              </w:rPr>
              <w:t>Tribunal des droits de la personne de l’Ontario</w:t>
            </w:r>
          </w:p>
          <w:p w:rsidR="0012542D" w:rsidRPr="004B7487" w:rsidRDefault="0012542D" w:rsidP="007775F6">
            <w:pPr>
              <w:jc w:val="both"/>
              <w:rPr>
                <w:sz w:val="20"/>
              </w:rPr>
            </w:pPr>
            <w:proofErr w:type="spellStart"/>
            <w:r w:rsidRPr="004B7487">
              <w:rPr>
                <w:sz w:val="20"/>
              </w:rPr>
              <w:t>Arbitre</w:t>
            </w:r>
            <w:proofErr w:type="spellEnd"/>
            <w:r w:rsidRPr="004B7487">
              <w:rPr>
                <w:sz w:val="20"/>
              </w:rPr>
              <w:t xml:space="preserve"> Kershaw</w:t>
            </w:r>
          </w:p>
          <w:p w:rsidR="0012542D" w:rsidRPr="004B7487" w:rsidRDefault="004B7487" w:rsidP="007775F6">
            <w:pPr>
              <w:jc w:val="both"/>
              <w:rPr>
                <w:sz w:val="20"/>
              </w:rPr>
            </w:pPr>
            <w:hyperlink r:id="rId88" w:history="1">
              <w:r w:rsidR="0012542D" w:rsidRPr="004B7487">
                <w:rPr>
                  <w:rStyle w:val="Hyperlink"/>
                  <w:sz w:val="20"/>
                </w:rPr>
                <w:t>2016 HRTO 232</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Rejet de la demande de réexamen</w:t>
            </w: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25 avril 2017</w:t>
            </w:r>
          </w:p>
          <w:p w:rsidR="0012542D" w:rsidRPr="004B7487" w:rsidRDefault="0012542D" w:rsidP="007775F6">
            <w:pPr>
              <w:jc w:val="both"/>
              <w:rPr>
                <w:sz w:val="20"/>
                <w:lang w:val="fr-CA"/>
              </w:rPr>
            </w:pPr>
            <w:r w:rsidRPr="004B7487">
              <w:rPr>
                <w:sz w:val="20"/>
                <w:lang w:val="fr-CA"/>
              </w:rPr>
              <w:t xml:space="preserve">Tribunal des droits de la personne de l’Ontario </w:t>
            </w:r>
          </w:p>
          <w:p w:rsidR="0012542D" w:rsidRPr="004B7487" w:rsidRDefault="0012542D" w:rsidP="007775F6">
            <w:pPr>
              <w:jc w:val="both"/>
              <w:rPr>
                <w:sz w:val="20"/>
              </w:rPr>
            </w:pPr>
            <w:proofErr w:type="spellStart"/>
            <w:r w:rsidRPr="004B7487">
              <w:rPr>
                <w:sz w:val="20"/>
              </w:rPr>
              <w:t>Arbitre</w:t>
            </w:r>
            <w:proofErr w:type="spellEnd"/>
            <w:r w:rsidRPr="004B7487">
              <w:rPr>
                <w:sz w:val="20"/>
              </w:rPr>
              <w:t xml:space="preserve"> Kershaw</w:t>
            </w:r>
          </w:p>
          <w:p w:rsidR="0012542D" w:rsidRPr="004B7487" w:rsidRDefault="004B7487" w:rsidP="007775F6">
            <w:pPr>
              <w:jc w:val="both"/>
              <w:rPr>
                <w:sz w:val="20"/>
              </w:rPr>
            </w:pPr>
            <w:hyperlink r:id="rId89" w:history="1">
              <w:r w:rsidR="0012542D" w:rsidRPr="004B7487">
                <w:rPr>
                  <w:rStyle w:val="Hyperlink"/>
                  <w:sz w:val="20"/>
                </w:rPr>
                <w:t>2017 HRTO 454</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 xml:space="preserve">Rejet de la requête pour représailles et discrimination en matière d’emploi fondée sur la race, la couleur, le lieu d’origine, l’origine ethnique et le sexe, des motifs de distinction illicites suivant le </w:t>
            </w:r>
            <w:r w:rsidRPr="004B7487">
              <w:rPr>
                <w:i/>
                <w:sz w:val="20"/>
                <w:lang w:val="fr-CA"/>
              </w:rPr>
              <w:t>Code des droits de la personne</w:t>
            </w:r>
            <w:r w:rsidRPr="004B7487">
              <w:rPr>
                <w:sz w:val="20"/>
                <w:lang w:val="fr-CA"/>
              </w:rPr>
              <w:t>, L.R.O. 1990, c. H.19</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2 juillet 2019</w:t>
            </w:r>
          </w:p>
          <w:p w:rsidR="0012542D" w:rsidRPr="004B7487" w:rsidRDefault="0012542D" w:rsidP="007775F6">
            <w:pPr>
              <w:jc w:val="both"/>
              <w:rPr>
                <w:sz w:val="20"/>
                <w:lang w:val="fr-CA"/>
              </w:rPr>
            </w:pPr>
            <w:r w:rsidRPr="004B7487">
              <w:rPr>
                <w:sz w:val="20"/>
                <w:lang w:val="fr-CA"/>
              </w:rPr>
              <w:t>Cour supérieure de justice de l’Ontario</w:t>
            </w:r>
          </w:p>
          <w:p w:rsidR="0012542D" w:rsidRPr="004B7487" w:rsidRDefault="0012542D" w:rsidP="007775F6">
            <w:pPr>
              <w:jc w:val="both"/>
              <w:rPr>
                <w:sz w:val="20"/>
                <w:lang w:val="fr-CA"/>
              </w:rPr>
            </w:pPr>
            <w:r w:rsidRPr="004B7487">
              <w:rPr>
                <w:sz w:val="20"/>
                <w:lang w:val="fr-CA"/>
              </w:rPr>
              <w:t>(Cour divisionnaire)</w:t>
            </w:r>
          </w:p>
          <w:p w:rsidR="0012542D" w:rsidRPr="004B7487" w:rsidRDefault="0012542D" w:rsidP="007775F6">
            <w:pPr>
              <w:jc w:val="both"/>
              <w:rPr>
                <w:sz w:val="20"/>
                <w:lang w:val="fr-CA"/>
              </w:rPr>
            </w:pPr>
            <w:r w:rsidRPr="004B7487">
              <w:rPr>
                <w:sz w:val="20"/>
                <w:lang w:val="fr-CA"/>
              </w:rPr>
              <w:t xml:space="preserve">(Juges </w:t>
            </w:r>
            <w:proofErr w:type="spellStart"/>
            <w:r w:rsidRPr="004B7487">
              <w:rPr>
                <w:sz w:val="20"/>
                <w:lang w:val="fr-CA"/>
              </w:rPr>
              <w:t>Kiteley</w:t>
            </w:r>
            <w:proofErr w:type="spellEnd"/>
            <w:r w:rsidRPr="004B7487">
              <w:rPr>
                <w:sz w:val="20"/>
                <w:lang w:val="fr-CA"/>
              </w:rPr>
              <w:t>, Parayeski et Favreau)</w:t>
            </w:r>
          </w:p>
          <w:p w:rsidR="0012542D" w:rsidRPr="004B7487" w:rsidRDefault="004B7487" w:rsidP="007775F6">
            <w:pPr>
              <w:jc w:val="both"/>
              <w:rPr>
                <w:sz w:val="20"/>
              </w:rPr>
            </w:pPr>
            <w:hyperlink r:id="rId90" w:history="1">
              <w:r w:rsidR="0012542D" w:rsidRPr="004B7487">
                <w:rPr>
                  <w:rStyle w:val="Hyperlink"/>
                  <w:sz w:val="20"/>
                </w:rPr>
                <w:t>2019 ONSC 3879</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 xml:space="preserve">Rejet de la demande de contrôle judiciaire  </w:t>
            </w: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26 novembre 2019</w:t>
            </w:r>
          </w:p>
          <w:p w:rsidR="0012542D" w:rsidRPr="004B7487" w:rsidRDefault="0012542D" w:rsidP="007775F6">
            <w:pPr>
              <w:jc w:val="both"/>
              <w:rPr>
                <w:sz w:val="20"/>
                <w:lang w:val="fr-CA"/>
              </w:rPr>
            </w:pPr>
            <w:r w:rsidRPr="004B7487">
              <w:rPr>
                <w:sz w:val="20"/>
                <w:lang w:val="fr-CA"/>
              </w:rPr>
              <w:t>Cour d’appel de l’Ontario</w:t>
            </w:r>
          </w:p>
          <w:p w:rsidR="0012542D" w:rsidRPr="004B7487" w:rsidRDefault="0012542D" w:rsidP="007775F6">
            <w:pPr>
              <w:jc w:val="both"/>
              <w:rPr>
                <w:sz w:val="20"/>
                <w:lang w:val="fr-CA"/>
              </w:rPr>
            </w:pPr>
            <w:r w:rsidRPr="004B7487">
              <w:rPr>
                <w:sz w:val="20"/>
                <w:lang w:val="fr-CA"/>
              </w:rPr>
              <w:t>(Juges Rouleau, Roberts et Harvison Young)</w:t>
            </w:r>
          </w:p>
          <w:p w:rsidR="0012542D" w:rsidRPr="004B7487" w:rsidRDefault="0012542D" w:rsidP="007775F6">
            <w:pPr>
              <w:jc w:val="both"/>
              <w:rPr>
                <w:sz w:val="20"/>
              </w:rPr>
            </w:pPr>
            <w:r w:rsidRPr="004B7487">
              <w:rPr>
                <w:sz w:val="20"/>
                <w:lang w:val="fr-CA"/>
              </w:rPr>
              <w:t>Dossier n</w:t>
            </w:r>
            <w:r w:rsidRPr="004B7487">
              <w:rPr>
                <w:sz w:val="20"/>
                <w:vertAlign w:val="superscript"/>
                <w:lang w:val="fr-CA"/>
              </w:rPr>
              <w:t>o</w:t>
            </w:r>
            <w:r w:rsidRPr="004B7487">
              <w:rPr>
                <w:sz w:val="20"/>
                <w:lang w:val="fr-CA"/>
              </w:rPr>
              <w:t xml:space="preserve"> </w:t>
            </w:r>
            <w:r w:rsidRPr="004B7487">
              <w:rPr>
                <w:sz w:val="20"/>
              </w:rPr>
              <w:t xml:space="preserve">M50638 </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 xml:space="preserve">Rejet de la demande d’autorisation d’appel </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31 janvier 2020</w:t>
            </w:r>
          </w:p>
          <w:p w:rsidR="0012542D" w:rsidRPr="004B7487" w:rsidRDefault="0012542D" w:rsidP="007775F6">
            <w:pPr>
              <w:jc w:val="both"/>
              <w:rPr>
                <w:sz w:val="20"/>
                <w:lang w:val="fr-CA"/>
              </w:rPr>
            </w:pPr>
            <w:r w:rsidRPr="004B7487">
              <w:rPr>
                <w:sz w:val="20"/>
                <w:lang w:val="fr-CA"/>
              </w:rPr>
              <w:t>Cour suprême du Canada</w:t>
            </w: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 xml:space="preserve">Dépôt de la demande d’autorisation d’appel </w:t>
            </w:r>
          </w:p>
          <w:p w:rsidR="0012542D" w:rsidRPr="004B7487" w:rsidRDefault="0012542D" w:rsidP="007775F6">
            <w:pPr>
              <w:jc w:val="both"/>
              <w:rPr>
                <w:sz w:val="20"/>
                <w:lang w:val="fr-CA"/>
              </w:rPr>
            </w:pPr>
          </w:p>
        </w:tc>
      </w:tr>
    </w:tbl>
    <w:p w:rsidR="0012542D" w:rsidRPr="004B7487" w:rsidRDefault="0012542D" w:rsidP="007775F6">
      <w:pPr>
        <w:jc w:val="both"/>
        <w:rPr>
          <w:sz w:val="20"/>
          <w:lang w:val="fr-CA"/>
        </w:rPr>
      </w:pPr>
    </w:p>
    <w:p w:rsidR="00D36103" w:rsidRPr="004B7487" w:rsidRDefault="004B7487" w:rsidP="007775F6">
      <w:pPr>
        <w:jc w:val="both"/>
        <w:rPr>
          <w:sz w:val="20"/>
          <w:lang w:val="fr-CA"/>
        </w:rPr>
      </w:pPr>
      <w:r w:rsidRPr="004B7487">
        <w:rPr>
          <w:sz w:val="20"/>
        </w:rPr>
        <w:pict>
          <v:rect id="_x0000_i1060" style="width:2in;height:1pt" o:hrpct="0" o:hralign="center" o:hrstd="t" o:hrnoshade="t" o:hr="t" fillcolor="black [3213]" stroked="f"/>
        </w:pict>
      </w:r>
    </w:p>
    <w:p w:rsidR="00E70259" w:rsidRPr="004B7487" w:rsidRDefault="00E70259"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39191</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Trico Developments Corporation v. El Condor Development Ltd, El Condor Lands Inc.</w:t>
            </w:r>
          </w:p>
          <w:p w:rsidR="0012542D" w:rsidRPr="004B7487" w:rsidRDefault="0012542D" w:rsidP="007775F6">
            <w:pPr>
              <w:jc w:val="both"/>
              <w:rPr>
                <w:sz w:val="20"/>
              </w:rPr>
            </w:pPr>
            <w:r w:rsidRPr="004B7487">
              <w:rPr>
                <w:sz w:val="20"/>
              </w:rPr>
              <w:t>(Alta.) (Civil) (By Leave)</w:t>
            </w:r>
          </w:p>
        </w:tc>
      </w:tr>
      <w:tr w:rsidR="0012542D" w:rsidRPr="004B7487" w:rsidTr="0012542D">
        <w:tc>
          <w:tcPr>
            <w:tcW w:w="5000" w:type="pct"/>
            <w:gridSpan w:val="4"/>
          </w:tcPr>
          <w:p w:rsidR="0012542D" w:rsidRPr="004B7487" w:rsidRDefault="0012542D" w:rsidP="007775F6">
            <w:pPr>
              <w:jc w:val="both"/>
              <w:rPr>
                <w:sz w:val="20"/>
              </w:rPr>
            </w:pPr>
            <w:r w:rsidRPr="004B7487">
              <w:rPr>
                <w:sz w:val="20"/>
              </w:rPr>
              <w:t xml:space="preserve">Contracts — Commercial contracts — Interpretation — Real estate developers entering into a settlement agreement but disagreeing as to how “value” of partnership units to be interpreted —What are the legal principles applicable to </w:t>
            </w:r>
            <w:r w:rsidRPr="004B7487">
              <w:rPr>
                <w:sz w:val="20"/>
              </w:rPr>
              <w:lastRenderedPageBreak/>
              <w:t>the interpretation of a term which has an established legal or industry</w:t>
            </w:r>
            <w:r w:rsidRPr="004B7487">
              <w:rPr>
                <w:sz w:val="20"/>
              </w:rPr>
              <w:noBreakHyphen/>
              <w:t>specific meaning? — What are the legal principles applicable to the interpretation of legal terms of art in Canada? — When and to what extent can a consideration of common practice, commercial reasonableness or business efficacy be used to interpret a contract? — Is this an interpretation aid of general application or is it one to be applied to resolve an ambiguity in the language used in the contract? — How is the consideration of commercial efficacy to be used in the interpretation of a contract when it is appropriate to consider this concept?</w:t>
            </w:r>
          </w:p>
          <w:p w:rsidR="0012542D" w:rsidRPr="004B7487" w:rsidRDefault="0012542D" w:rsidP="007775F6">
            <w:pPr>
              <w:jc w:val="both"/>
              <w:rPr>
                <w:sz w:val="20"/>
              </w:rPr>
            </w:pPr>
          </w:p>
        </w:tc>
      </w:tr>
      <w:tr w:rsidR="0012542D" w:rsidRPr="004B7487" w:rsidTr="0012542D">
        <w:tc>
          <w:tcPr>
            <w:tcW w:w="5000" w:type="pct"/>
            <w:gridSpan w:val="4"/>
          </w:tcPr>
          <w:p w:rsidR="0012542D" w:rsidRPr="004B7487" w:rsidRDefault="0012542D" w:rsidP="007775F6">
            <w:pPr>
              <w:jc w:val="both"/>
              <w:rPr>
                <w:sz w:val="20"/>
              </w:rPr>
            </w:pPr>
            <w:r w:rsidRPr="004B7487">
              <w:rPr>
                <w:sz w:val="20"/>
              </w:rPr>
              <w:lastRenderedPageBreak/>
              <w:t xml:space="preserve">Trico Developments Corporation (“Trico”) and El Condor Developments Ltd. and El Condor Lands Inc. (“El Condor”) are real estate developers. They owned adjacent parcels of land in Calgary. They formed a limited partnership to develop the properties and both sold their interests to the limited partnership, receiving partnership </w:t>
            </w:r>
            <w:proofErr w:type="gramStart"/>
            <w:r w:rsidRPr="004B7487">
              <w:rPr>
                <w:sz w:val="20"/>
              </w:rPr>
              <w:t>units</w:t>
            </w:r>
            <w:proofErr w:type="gramEnd"/>
            <w:r w:rsidRPr="004B7487">
              <w:rPr>
                <w:sz w:val="20"/>
              </w:rPr>
              <w:t xml:space="preserve"> equivalent to the relative market value of their contributions. After a majority of the lots had been sold to home builders selected by the parties, El Condor advised Trico that it intended to sell the remaining lots to its affiliate. Trico objected and it and other home builders started actions claiming breach of an agreement to sell lots to them. El Condor entered into a settlement agreement whereby Trico’s units would be transferred to El Condor immediately and El Condor would pay Trico the value for its units, based on a valuation that El Condor had obtained. Trico was entitled to obtain its own valuation and could then make a claim to be paid an amount based on its own valuation if that one was higher.  There were major differences between the valuations obtained by the parties. El Condor paid Trico the valuation amount that it obtained and Trico brought an action for the difference. At trial, the fundamental issue was the applicable valuation method. The trial judge concluded that the settlement agreement governed the valuation of Trico’s partnership units. The majority of the Court of Appeal disagreed and held that “value” meant fair market value which incorporated certain discounting factors to the valuation of the partnership units.</w:t>
            </w:r>
          </w:p>
        </w:tc>
      </w:tr>
      <w:tr w:rsidR="0012542D" w:rsidRPr="004B7487" w:rsidTr="0012542D">
        <w:tc>
          <w:tcPr>
            <w:tcW w:w="5000" w:type="pct"/>
            <w:gridSpan w:val="4"/>
          </w:tcPr>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January 30, 2019</w:t>
            </w:r>
          </w:p>
          <w:p w:rsidR="0012542D" w:rsidRPr="004B7487" w:rsidRDefault="0012542D" w:rsidP="007775F6">
            <w:pPr>
              <w:jc w:val="both"/>
              <w:rPr>
                <w:sz w:val="20"/>
              </w:rPr>
            </w:pPr>
            <w:r w:rsidRPr="004B7487">
              <w:rPr>
                <w:sz w:val="20"/>
              </w:rPr>
              <w:t>Court of Queen’s Bench of Alberta</w:t>
            </w:r>
          </w:p>
          <w:p w:rsidR="0012542D" w:rsidRPr="004B7487" w:rsidRDefault="0012542D" w:rsidP="007775F6">
            <w:pPr>
              <w:jc w:val="both"/>
              <w:rPr>
                <w:sz w:val="20"/>
              </w:rPr>
            </w:pPr>
            <w:r w:rsidRPr="004B7487">
              <w:rPr>
                <w:sz w:val="20"/>
              </w:rPr>
              <w:t>(Brooker J.)</w:t>
            </w:r>
          </w:p>
          <w:p w:rsidR="0012542D" w:rsidRPr="004B7487" w:rsidRDefault="004B7487" w:rsidP="007775F6">
            <w:pPr>
              <w:jc w:val="both"/>
              <w:rPr>
                <w:sz w:val="20"/>
              </w:rPr>
            </w:pPr>
            <w:hyperlink r:id="rId91" w:history="1">
              <w:r w:rsidR="0012542D" w:rsidRPr="004B7487">
                <w:rPr>
                  <w:rStyle w:val="Hyperlink"/>
                  <w:sz w:val="20"/>
                </w:rPr>
                <w:t>2019 ABQB 74</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Term “value” interpreted to mean value as defined by parties in subclauses of agreement</w:t>
            </w:r>
          </w:p>
          <w:p w:rsidR="0012542D" w:rsidRPr="004B7487" w:rsidRDefault="0012542D" w:rsidP="007775F6">
            <w:pPr>
              <w:jc w:val="both"/>
              <w:rPr>
                <w:sz w:val="20"/>
              </w:rPr>
            </w:pP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April 3, 2020</w:t>
            </w:r>
          </w:p>
          <w:p w:rsidR="0012542D" w:rsidRPr="004B7487" w:rsidRDefault="0012542D" w:rsidP="007775F6">
            <w:pPr>
              <w:jc w:val="both"/>
              <w:rPr>
                <w:sz w:val="20"/>
              </w:rPr>
            </w:pPr>
            <w:r w:rsidRPr="004B7487">
              <w:rPr>
                <w:sz w:val="20"/>
              </w:rPr>
              <w:t>Court of Appeal of Alberta (Calgary)</w:t>
            </w:r>
          </w:p>
          <w:p w:rsidR="0012542D" w:rsidRPr="004B7487" w:rsidRDefault="0012542D" w:rsidP="007775F6">
            <w:pPr>
              <w:jc w:val="both"/>
              <w:rPr>
                <w:sz w:val="20"/>
              </w:rPr>
            </w:pPr>
            <w:r w:rsidRPr="004B7487">
              <w:rPr>
                <w:sz w:val="20"/>
              </w:rPr>
              <w:t xml:space="preserve">(Paperny, Slatter [dissenting] and Antonio </w:t>
            </w:r>
          </w:p>
          <w:p w:rsidR="0012542D" w:rsidRPr="004B7487" w:rsidRDefault="0012542D" w:rsidP="007775F6">
            <w:pPr>
              <w:jc w:val="both"/>
              <w:rPr>
                <w:sz w:val="20"/>
              </w:rPr>
            </w:pPr>
            <w:r w:rsidRPr="004B7487">
              <w:rPr>
                <w:sz w:val="20"/>
              </w:rPr>
              <w:t>JJ.A.)</w:t>
            </w:r>
          </w:p>
          <w:p w:rsidR="0012542D" w:rsidRPr="004B7487" w:rsidRDefault="004B7487" w:rsidP="007775F6">
            <w:pPr>
              <w:jc w:val="both"/>
              <w:rPr>
                <w:sz w:val="20"/>
              </w:rPr>
            </w:pPr>
            <w:hyperlink r:id="rId92" w:history="1">
              <w:r w:rsidR="0012542D" w:rsidRPr="004B7487">
                <w:rPr>
                  <w:rStyle w:val="Hyperlink"/>
                  <w:sz w:val="20"/>
                </w:rPr>
                <w:t>2020 ABCA 132</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El Condor’s appeal allowed; “value” interpreted to mean fair market value</w:t>
            </w:r>
          </w:p>
          <w:p w:rsidR="0012542D" w:rsidRPr="004B7487" w:rsidRDefault="0012542D" w:rsidP="007775F6">
            <w:pPr>
              <w:jc w:val="both"/>
              <w:rPr>
                <w:sz w:val="20"/>
              </w:rPr>
            </w:pP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June 1, 2020</w:t>
            </w:r>
          </w:p>
          <w:p w:rsidR="0012542D" w:rsidRPr="004B7487" w:rsidRDefault="0012542D" w:rsidP="007775F6">
            <w:pPr>
              <w:jc w:val="both"/>
              <w:rPr>
                <w:sz w:val="20"/>
              </w:rPr>
            </w:pPr>
            <w:r w:rsidRPr="004B7487">
              <w:rPr>
                <w:sz w:val="20"/>
              </w:rPr>
              <w:t>Supreme Court of Canada</w:t>
            </w: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Application for leave to appeal filed</w:t>
            </w:r>
          </w:p>
          <w:p w:rsidR="0012542D" w:rsidRPr="004B7487" w:rsidRDefault="0012542D" w:rsidP="007775F6">
            <w:pPr>
              <w:jc w:val="both"/>
              <w:rPr>
                <w:sz w:val="20"/>
              </w:rPr>
            </w:pPr>
          </w:p>
        </w:tc>
      </w:tr>
    </w:tbl>
    <w:p w:rsidR="0012542D" w:rsidRPr="004B7487" w:rsidRDefault="0012542D" w:rsidP="007775F6">
      <w:pPr>
        <w:jc w:val="both"/>
        <w:rPr>
          <w:sz w:val="20"/>
        </w:rPr>
      </w:pPr>
    </w:p>
    <w:p w:rsidR="00D36103" w:rsidRPr="004B7487" w:rsidRDefault="004B7487" w:rsidP="007775F6">
      <w:pPr>
        <w:jc w:val="both"/>
        <w:rPr>
          <w:sz w:val="20"/>
        </w:rPr>
      </w:pPr>
      <w:r w:rsidRPr="004B7487">
        <w:rPr>
          <w:sz w:val="20"/>
        </w:rPr>
        <w:pict>
          <v:rect id="_x0000_i1061" style="width:2in;height:1pt" o:hrpct="0" o:hralign="center" o:hrstd="t" o:hrnoshade="t" o:hr="t" fillcolor="black [3213]" stroked="f"/>
        </w:pict>
      </w:r>
    </w:p>
    <w:p w:rsidR="00D36103" w:rsidRPr="004B7487" w:rsidRDefault="00D36103" w:rsidP="007775F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39191</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Trico Developments Corporation c. El Condor Development Ltd, El Condor Lands Inc.</w:t>
            </w:r>
          </w:p>
          <w:p w:rsidR="0012542D" w:rsidRPr="004B7487" w:rsidRDefault="0012542D" w:rsidP="007775F6">
            <w:pPr>
              <w:jc w:val="both"/>
              <w:rPr>
                <w:sz w:val="20"/>
              </w:rPr>
            </w:pPr>
            <w:r w:rsidRPr="004B7487">
              <w:rPr>
                <w:sz w:val="20"/>
              </w:rPr>
              <w:t>(Alb.) (Civile) (Autorisation)</w:t>
            </w: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Contrats — Contrats commerciaux — Interprétation — Des promoteurs immobiliers concluent un accord de règlement, mais sont en désaccord quant à la manière dont la « valeur » des parts doit être interprétée — Quels sont les principes juridiques applicables à l’interprétation d’un terme dont le sens juridique ou particulier à un secteur industriel a une signification précise? — Quels sont les principes juridiques applicables à l’interprétation des termes juridiques ou techniques au Canada? — À quel moment les considérations liées au caractère raisonnable sur le plan commercial, à la pratique courante ou à l’efficacité commerciale peuvent</w:t>
            </w:r>
            <w:r w:rsidRPr="004B7487">
              <w:rPr>
                <w:sz w:val="20"/>
                <w:lang w:val="fr-CA"/>
              </w:rPr>
              <w:noBreakHyphen/>
              <w:t>elles être utilisées pour interpréter un contrat et quelle en est la portée? — Est-ce un outil d’aide à l’interprétation générale ou un outil à appliquer pour dissiper l’ambiguïté contenue dans le libellé du contrat? — Comment la considération de l’efficacité commerciale doit</w:t>
            </w:r>
            <w:r w:rsidRPr="004B7487">
              <w:rPr>
                <w:sz w:val="20"/>
                <w:lang w:val="fr-CA"/>
              </w:rPr>
              <w:noBreakHyphen/>
              <w:t>elle être utilisée dans l’interprétation d’un contrat lorsqu’il convient de tenir compte de ce concept?</w:t>
            </w:r>
          </w:p>
          <w:p w:rsidR="0012542D" w:rsidRPr="004B7487" w:rsidRDefault="0012542D" w:rsidP="007775F6">
            <w:pPr>
              <w:jc w:val="both"/>
              <w:rPr>
                <w:sz w:val="20"/>
                <w:lang w:val="fr-CA"/>
              </w:rPr>
            </w:pP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 xml:space="preserve">Trico Developments Corporation (« Trico ») et El Condor Developments Ltd. et El Condor Lands Inc. (« El Condor ») sont des promoteurs immobiliers. Ils possèdent des parcelles de terrain adjacentes à Calgary. Ils ont constitué une société en commandite pour la construction de propriétés, et tous les deux ont vendu leurs parts de la société en commandite et reçu des parts de la commandite équivalentes à la valeur relative du marché de leurs contributions. Après que la majorité des lots eut été vendue à des constructeurs d’habitations choisis par les parties, El Condor a avisé Trico qu’elle avait l’intention de vendre les lots restants à des sociétés de son groupe. Trico s’y est </w:t>
            </w:r>
            <w:r w:rsidRPr="004B7487">
              <w:rPr>
                <w:sz w:val="20"/>
                <w:lang w:val="fr-CA"/>
              </w:rPr>
              <w:lastRenderedPageBreak/>
              <w:t>opposé et, avec d’autres constructeurs d’habitations, a intenté des actions faisant valoir une violation d’un accord visant à leur vendre les lots. El Condor a conclu un accord de règlement dans lequel les parts de Trico seraient transférées à El Condor sans délai et El Condor verserait à Trico un montant correspondant à la valeur de ses parts, sur la base d’une évaluation qu’El Condor avait obtenue. Trico était en droit d’obtenir sa propre évaluation et pouvait ensuite présenter une demande afin de recevoir le versement d’un montant fondé sur sa propre évaluation, si cette dernière était supérieure. Il y avait d’importantes différences entre les évaluations obtenues par les parties. El Condor a versé à Trico le montant de l’évaluation qu’elle a obtenue et Trico a intenté une action en vue d’obtenir la différence. Lors du procès, la question fondamentale portait sur la méthode d’évaluation applicable. Le juge du procès a conclu que l’accord de règlement régissait l’évaluation des parts de Trico dans la commandite. Les juges majoritaires de la Cour d’appel ont exprimé leur désaccord et ont statué que la « valeur » signifiait la juste valeur marchande qui comprenait certains facteurs diminuant l’évaluation des parts de la société en commandite.</w:t>
            </w:r>
          </w:p>
        </w:tc>
      </w:tr>
      <w:tr w:rsidR="0012542D" w:rsidRPr="004B7487" w:rsidTr="0012542D">
        <w:tc>
          <w:tcPr>
            <w:tcW w:w="5000" w:type="pct"/>
            <w:gridSpan w:val="4"/>
          </w:tcPr>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30 janvier 2019</w:t>
            </w:r>
          </w:p>
          <w:p w:rsidR="0012542D" w:rsidRPr="004B7487" w:rsidRDefault="0012542D" w:rsidP="007775F6">
            <w:pPr>
              <w:jc w:val="both"/>
              <w:rPr>
                <w:sz w:val="20"/>
                <w:lang w:val="fr-CA"/>
              </w:rPr>
            </w:pPr>
            <w:r w:rsidRPr="004B7487">
              <w:rPr>
                <w:sz w:val="20"/>
                <w:lang w:val="fr-CA"/>
              </w:rPr>
              <w:t>Cour du banc de la Reine de l’Alberta</w:t>
            </w:r>
          </w:p>
          <w:p w:rsidR="0012542D" w:rsidRPr="004B7487" w:rsidRDefault="0012542D" w:rsidP="007775F6">
            <w:pPr>
              <w:jc w:val="both"/>
              <w:rPr>
                <w:sz w:val="20"/>
              </w:rPr>
            </w:pPr>
            <w:r w:rsidRPr="004B7487">
              <w:rPr>
                <w:sz w:val="20"/>
              </w:rPr>
              <w:t>(juge Brooker)</w:t>
            </w:r>
          </w:p>
          <w:p w:rsidR="0012542D" w:rsidRPr="004B7487" w:rsidRDefault="004B7487" w:rsidP="007775F6">
            <w:pPr>
              <w:jc w:val="both"/>
              <w:rPr>
                <w:sz w:val="20"/>
              </w:rPr>
            </w:pPr>
            <w:hyperlink r:id="rId93" w:history="1">
              <w:r w:rsidR="0012542D" w:rsidRPr="004B7487">
                <w:rPr>
                  <w:rStyle w:val="Hyperlink"/>
                  <w:sz w:val="20"/>
                </w:rPr>
                <w:t>2019 ABQB 74</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lang w:val="fr-CA"/>
              </w:rPr>
            </w:pPr>
            <w:r w:rsidRPr="004B7487">
              <w:rPr>
                <w:sz w:val="20"/>
                <w:lang w:val="fr-CA"/>
              </w:rPr>
              <w:t>Terme « valeur » interprété comme signifiant la valeur définie par les parties dans les clauses de l’accord</w:t>
            </w:r>
          </w:p>
          <w:p w:rsidR="0012542D" w:rsidRPr="004B7487" w:rsidRDefault="0012542D" w:rsidP="007775F6">
            <w:pPr>
              <w:jc w:val="both"/>
              <w:rPr>
                <w:sz w:val="20"/>
                <w:lang w:val="fr-CA"/>
              </w:rPr>
            </w:pP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3 avril 2020</w:t>
            </w:r>
          </w:p>
          <w:p w:rsidR="0012542D" w:rsidRPr="004B7487" w:rsidRDefault="0012542D" w:rsidP="007775F6">
            <w:pPr>
              <w:jc w:val="both"/>
              <w:rPr>
                <w:sz w:val="20"/>
                <w:lang w:val="fr-CA"/>
              </w:rPr>
            </w:pPr>
            <w:r w:rsidRPr="004B7487">
              <w:rPr>
                <w:sz w:val="20"/>
                <w:lang w:val="fr-CA"/>
              </w:rPr>
              <w:t>Cour d’appel de l’Alberta (Calgary)</w:t>
            </w:r>
          </w:p>
          <w:p w:rsidR="0012542D" w:rsidRPr="004B7487" w:rsidRDefault="0012542D" w:rsidP="007775F6">
            <w:pPr>
              <w:jc w:val="both"/>
              <w:rPr>
                <w:sz w:val="20"/>
                <w:lang w:val="fr-CA"/>
              </w:rPr>
            </w:pPr>
            <w:r w:rsidRPr="004B7487">
              <w:rPr>
                <w:sz w:val="20"/>
                <w:lang w:val="fr-CA"/>
              </w:rPr>
              <w:t>(juges Paperny, Slatter [dissident] et Antonio)</w:t>
            </w:r>
          </w:p>
          <w:p w:rsidR="0012542D" w:rsidRPr="004B7487" w:rsidRDefault="004B7487" w:rsidP="007775F6">
            <w:pPr>
              <w:jc w:val="both"/>
              <w:rPr>
                <w:sz w:val="20"/>
                <w:lang w:val="fr-CA"/>
              </w:rPr>
            </w:pPr>
            <w:hyperlink r:id="rId94" w:history="1">
              <w:r w:rsidR="0012542D" w:rsidRPr="004B7487">
                <w:rPr>
                  <w:rStyle w:val="Hyperlink"/>
                  <w:sz w:val="20"/>
                  <w:lang w:val="fr-CA"/>
                </w:rPr>
                <w:t>2020 ABCA 132</w:t>
              </w:r>
            </w:hyperlink>
          </w:p>
          <w:p w:rsidR="0012542D" w:rsidRPr="004B7487" w:rsidRDefault="0012542D" w:rsidP="007775F6">
            <w:pPr>
              <w:jc w:val="both"/>
              <w:rPr>
                <w:sz w:val="20"/>
                <w:lang w:val="fr-CA"/>
              </w:rPr>
            </w:pP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 xml:space="preserve">Appel de El Condor accueilli; « valeur » interprétée comme indiquant la juste valeur marchande </w:t>
            </w:r>
          </w:p>
          <w:p w:rsidR="0012542D" w:rsidRPr="004B7487" w:rsidRDefault="0012542D" w:rsidP="007775F6">
            <w:pPr>
              <w:jc w:val="both"/>
              <w:rPr>
                <w:sz w:val="20"/>
                <w:lang w:val="fr-CA"/>
              </w:rPr>
            </w:pP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1</w:t>
            </w:r>
            <w:r w:rsidRPr="004B7487">
              <w:rPr>
                <w:sz w:val="20"/>
                <w:vertAlign w:val="superscript"/>
                <w:lang w:val="fr-CA"/>
              </w:rPr>
              <w:t>er</w:t>
            </w:r>
            <w:r w:rsidRPr="004B7487">
              <w:rPr>
                <w:sz w:val="20"/>
                <w:lang w:val="fr-CA"/>
              </w:rPr>
              <w:t xml:space="preserve"> juin 2020</w:t>
            </w:r>
          </w:p>
          <w:p w:rsidR="0012542D" w:rsidRPr="004B7487" w:rsidRDefault="0012542D" w:rsidP="007775F6">
            <w:pPr>
              <w:jc w:val="both"/>
              <w:rPr>
                <w:sz w:val="20"/>
                <w:lang w:val="fr-CA"/>
              </w:rPr>
            </w:pPr>
            <w:r w:rsidRPr="004B7487">
              <w:rPr>
                <w:sz w:val="20"/>
                <w:lang w:val="fr-CA"/>
              </w:rPr>
              <w:t>Cour suprême du Canada</w:t>
            </w: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Dépôt de la demande d’autorisation d’appel</w:t>
            </w:r>
          </w:p>
          <w:p w:rsidR="0012542D" w:rsidRPr="004B7487" w:rsidRDefault="0012542D" w:rsidP="007775F6">
            <w:pPr>
              <w:jc w:val="both"/>
              <w:rPr>
                <w:sz w:val="20"/>
                <w:lang w:val="fr-CA"/>
              </w:rPr>
            </w:pPr>
          </w:p>
        </w:tc>
      </w:tr>
    </w:tbl>
    <w:p w:rsidR="0012542D" w:rsidRPr="004B7487" w:rsidRDefault="0012542D" w:rsidP="007775F6">
      <w:pPr>
        <w:jc w:val="both"/>
        <w:rPr>
          <w:sz w:val="20"/>
          <w:lang w:val="fr-CA"/>
        </w:rPr>
      </w:pPr>
    </w:p>
    <w:p w:rsidR="00D36103" w:rsidRPr="004B7487" w:rsidRDefault="004B7487" w:rsidP="007775F6">
      <w:pPr>
        <w:jc w:val="both"/>
        <w:rPr>
          <w:sz w:val="20"/>
          <w:lang w:val="fr-CA"/>
        </w:rPr>
      </w:pPr>
      <w:r w:rsidRPr="004B7487">
        <w:rPr>
          <w:sz w:val="20"/>
        </w:rPr>
        <w:pict>
          <v:rect id="_x0000_i1062" style="width:2in;height:1pt" o:hrpct="0" o:hralign="center" o:hrstd="t" o:hrnoshade="t" o:hr="t" fillcolor="black [3213]" stroked="f"/>
        </w:pict>
      </w:r>
    </w:p>
    <w:p w:rsidR="00E70259" w:rsidRPr="004B7487" w:rsidRDefault="00E70259"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rPr>
            </w:pPr>
            <w:r w:rsidRPr="004B7487">
              <w:rPr>
                <w:rStyle w:val="SCCFileNumberChar"/>
                <w:sz w:val="20"/>
                <w:szCs w:val="20"/>
              </w:rPr>
              <w:t>39337</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Emilie Schira v. Saskatchewan Government Insurance</w:t>
            </w:r>
          </w:p>
          <w:p w:rsidR="0012542D" w:rsidRPr="004B7487" w:rsidRDefault="0012542D" w:rsidP="007775F6">
            <w:pPr>
              <w:jc w:val="both"/>
              <w:rPr>
                <w:sz w:val="20"/>
              </w:rPr>
            </w:pPr>
            <w:r w:rsidRPr="004B7487">
              <w:rPr>
                <w:sz w:val="20"/>
              </w:rPr>
              <w:t>(Sask.) (Civil) (By Leave)</w:t>
            </w:r>
          </w:p>
        </w:tc>
      </w:tr>
      <w:tr w:rsidR="0012542D" w:rsidRPr="004B7487" w:rsidTr="0012542D">
        <w:tc>
          <w:tcPr>
            <w:tcW w:w="5000" w:type="pct"/>
            <w:gridSpan w:val="4"/>
          </w:tcPr>
          <w:p w:rsidR="0012542D" w:rsidRPr="004B7487" w:rsidRDefault="0012542D" w:rsidP="007775F6">
            <w:pPr>
              <w:jc w:val="both"/>
              <w:rPr>
                <w:sz w:val="20"/>
              </w:rPr>
            </w:pPr>
            <w:r w:rsidRPr="004B7487">
              <w:rPr>
                <w:sz w:val="20"/>
              </w:rPr>
              <w:t xml:space="preserve">Civil procedure — Appeals — Courts — Insurance — Automobile Insurance — Procedure for appeal under s. 191 of </w:t>
            </w:r>
            <w:r w:rsidRPr="004B7487">
              <w:rPr>
                <w:i/>
                <w:iCs/>
                <w:sz w:val="20"/>
                <w:lang w:val="en"/>
              </w:rPr>
              <w:t>The Automobile Accident Insurance Act, R.S.S. 1978, c. A</w:t>
            </w:r>
            <w:r w:rsidRPr="004B7487">
              <w:rPr>
                <w:i/>
                <w:iCs/>
                <w:sz w:val="20"/>
                <w:lang w:val="en"/>
              </w:rPr>
              <w:noBreakHyphen/>
              <w:t>35</w:t>
            </w:r>
            <w:r w:rsidRPr="004B7487">
              <w:rPr>
                <w:sz w:val="20"/>
              </w:rPr>
              <w:t xml:space="preserve"> to Court of Queen’s Bench — Lower courts agreeing applicant is entitled to income replacement benefits but disagreeing as to appeal procedure — When a statute gives statutory appeal body and a superior court concurrent jurisdiction over certain appeals and sets a different procedure for each such that identical facts may yield different results, at what point must appellate court’s primary role of ensuring consistency and uniformity in legal rules override courts’ presumptive posture of deference to the choices of the legislature — Whether question of correct procedure for statutory appeal can be determined without considering all provisions governing those appeals and related provisions governing decision</w:t>
            </w:r>
            <w:r w:rsidRPr="004B7487">
              <w:rPr>
                <w:sz w:val="20"/>
              </w:rPr>
              <w:noBreakHyphen/>
              <w:t>maker, nature and purpose of scheme of statutory benefits, rights extinguished by scheme, and without regard to interests of fairness, consistency and access to justice — When Crown corporation has statutory authority to adjudicate individual claims and discrete authority to operate for</w:t>
            </w:r>
            <w:r w:rsidRPr="004B7487">
              <w:rPr>
                <w:sz w:val="20"/>
              </w:rPr>
              <w:noBreakHyphen/>
              <w:t>profit enterprise, does authority to engage in business have the effect of privatizing its adjudicative functions and exempt those from common law and constitutional oversights of statutory decision makers.</w:t>
            </w:r>
          </w:p>
          <w:p w:rsidR="0012542D" w:rsidRPr="004B7487" w:rsidRDefault="0012542D" w:rsidP="007775F6">
            <w:pPr>
              <w:jc w:val="both"/>
              <w:rPr>
                <w:sz w:val="20"/>
              </w:rPr>
            </w:pPr>
          </w:p>
        </w:tc>
      </w:tr>
      <w:tr w:rsidR="0012542D" w:rsidRPr="004B7487" w:rsidTr="0012542D">
        <w:tc>
          <w:tcPr>
            <w:tcW w:w="5000" w:type="pct"/>
            <w:gridSpan w:val="4"/>
          </w:tcPr>
          <w:p w:rsidR="0012542D" w:rsidRPr="004B7487" w:rsidRDefault="0012542D" w:rsidP="007775F6">
            <w:pPr>
              <w:jc w:val="both"/>
              <w:rPr>
                <w:sz w:val="20"/>
              </w:rPr>
            </w:pPr>
            <w:r w:rsidRPr="004B7487">
              <w:rPr>
                <w:sz w:val="20"/>
                <w:lang w:val="en"/>
              </w:rPr>
              <w:t>The applicant was involved in a number of motor vehicle accidents over the span of several years. She sought no</w:t>
            </w:r>
            <w:r w:rsidRPr="004B7487">
              <w:rPr>
                <w:sz w:val="20"/>
                <w:lang w:val="en"/>
              </w:rPr>
              <w:noBreakHyphen/>
              <w:t xml:space="preserve">fault income replacement benefits from the respondent, Saskatchewan Government Insurance (“SGI”). SGI is a Crown corporation with the exclusive authority to administer the Saskatchewan Auto Fund. SGI concluded that the applicant did not qualify for such benefits and, as a result, she appealed to the Court of Queen’s Bench pursuant to </w:t>
            </w:r>
            <w:r w:rsidRPr="004B7487">
              <w:rPr>
                <w:i/>
                <w:iCs/>
                <w:sz w:val="20"/>
                <w:lang w:val="en"/>
              </w:rPr>
              <w:t xml:space="preserve">The Automobile Accident Insurance Act, </w:t>
            </w:r>
            <w:r w:rsidRPr="004B7487">
              <w:rPr>
                <w:iCs/>
                <w:sz w:val="20"/>
                <w:lang w:val="en"/>
              </w:rPr>
              <w:t>R.S.S. 1978, c. A</w:t>
            </w:r>
            <w:r w:rsidRPr="004B7487">
              <w:rPr>
                <w:iCs/>
                <w:sz w:val="20"/>
                <w:lang w:val="en"/>
              </w:rPr>
              <w:noBreakHyphen/>
              <w:t>35</w:t>
            </w:r>
            <w:r w:rsidRPr="004B7487">
              <w:rPr>
                <w:sz w:val="20"/>
                <w:lang w:val="en"/>
              </w:rPr>
              <w:t xml:space="preserve"> (“AAIA”).</w:t>
            </w:r>
          </w:p>
          <w:p w:rsidR="0012542D" w:rsidRPr="004B7487" w:rsidRDefault="0012542D" w:rsidP="007775F6">
            <w:pPr>
              <w:jc w:val="both"/>
              <w:rPr>
                <w:sz w:val="20"/>
              </w:rPr>
            </w:pPr>
          </w:p>
          <w:p w:rsidR="0012542D" w:rsidRPr="004B7487" w:rsidRDefault="0012542D" w:rsidP="007775F6">
            <w:pPr>
              <w:jc w:val="both"/>
              <w:rPr>
                <w:sz w:val="20"/>
              </w:rPr>
            </w:pPr>
            <w:r w:rsidRPr="004B7487">
              <w:rPr>
                <w:sz w:val="20"/>
                <w:lang w:val="en"/>
              </w:rPr>
              <w:t>The trial judge found that the applicant was entitled to the benefits. The trial judge also addressed the procedural side of the appeal. The Court of Appeal found the trial judge made no error in deciding that the applicant was entitled to receive income replacement benefits. However, it found the trial judge’s holdings about the procedural side of Court of Queen’s Bench appeals taken pursuant to the AAIA</w:t>
            </w:r>
            <w:hyperlink r:id="rId95" w:history="1"/>
            <w:r w:rsidRPr="004B7487">
              <w:rPr>
                <w:sz w:val="20"/>
              </w:rPr>
              <w:t xml:space="preserve"> could not </w:t>
            </w:r>
            <w:r w:rsidRPr="004B7487">
              <w:rPr>
                <w:sz w:val="20"/>
                <w:lang w:val="en"/>
              </w:rPr>
              <w:t>be sustained. Both SGI’s appeal and Ms. Schira’s cross</w:t>
            </w:r>
            <w:r w:rsidRPr="004B7487">
              <w:rPr>
                <w:sz w:val="20"/>
                <w:lang w:val="en"/>
              </w:rPr>
              <w:noBreakHyphen/>
              <w:t>appeal were dismissed.</w:t>
            </w:r>
          </w:p>
        </w:tc>
      </w:tr>
      <w:tr w:rsidR="0012542D" w:rsidRPr="004B7487" w:rsidTr="0012542D">
        <w:tc>
          <w:tcPr>
            <w:tcW w:w="5000" w:type="pct"/>
            <w:gridSpan w:val="4"/>
          </w:tcPr>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lastRenderedPageBreak/>
              <w:t>April 23, 2019</w:t>
            </w:r>
          </w:p>
          <w:p w:rsidR="0012542D" w:rsidRPr="004B7487" w:rsidRDefault="0012542D" w:rsidP="007775F6">
            <w:pPr>
              <w:jc w:val="both"/>
              <w:rPr>
                <w:sz w:val="20"/>
              </w:rPr>
            </w:pPr>
            <w:r w:rsidRPr="004B7487">
              <w:rPr>
                <w:sz w:val="20"/>
              </w:rPr>
              <w:t>Court of Queen’s Bench of Saskatchewan</w:t>
            </w:r>
          </w:p>
          <w:p w:rsidR="0012542D" w:rsidRPr="004B7487" w:rsidRDefault="0012542D" w:rsidP="007775F6">
            <w:pPr>
              <w:jc w:val="both"/>
              <w:rPr>
                <w:sz w:val="20"/>
              </w:rPr>
            </w:pPr>
            <w:r w:rsidRPr="004B7487">
              <w:rPr>
                <w:sz w:val="20"/>
              </w:rPr>
              <w:t>(Currie J.)</w:t>
            </w:r>
          </w:p>
          <w:p w:rsidR="0012542D" w:rsidRPr="004B7487" w:rsidRDefault="004B7487" w:rsidP="007775F6">
            <w:pPr>
              <w:jc w:val="both"/>
              <w:rPr>
                <w:sz w:val="20"/>
              </w:rPr>
            </w:pPr>
            <w:hyperlink r:id="rId96" w:history="1">
              <w:r w:rsidR="0012542D" w:rsidRPr="004B7487">
                <w:rPr>
                  <w:rStyle w:val="Hyperlink"/>
                  <w:sz w:val="20"/>
                </w:rPr>
                <w:t>2019 SKQB 108</w:t>
              </w:r>
            </w:hyperlink>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 xml:space="preserve">Ms. Schira entitled to income replacement benefits; Procedure for appeal under s. 191 of </w:t>
            </w:r>
            <w:r w:rsidRPr="004B7487">
              <w:rPr>
                <w:i/>
                <w:sz w:val="20"/>
              </w:rPr>
              <w:t>The Automobile Insurance Act</w:t>
            </w:r>
            <w:r w:rsidRPr="004B7487">
              <w:rPr>
                <w:sz w:val="20"/>
              </w:rPr>
              <w:t xml:space="preserve"> to the Court of Queen’s Bench outlined.</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July 27, 2020</w:t>
            </w:r>
          </w:p>
          <w:p w:rsidR="0012542D" w:rsidRPr="004B7487" w:rsidRDefault="0012542D" w:rsidP="007775F6">
            <w:pPr>
              <w:jc w:val="both"/>
              <w:rPr>
                <w:sz w:val="20"/>
              </w:rPr>
            </w:pPr>
            <w:r w:rsidRPr="004B7487">
              <w:rPr>
                <w:sz w:val="20"/>
              </w:rPr>
              <w:t>Court of Appeal for Saskatchewan</w:t>
            </w:r>
          </w:p>
          <w:p w:rsidR="0012542D" w:rsidRPr="004B7487" w:rsidRDefault="0012542D" w:rsidP="007775F6">
            <w:pPr>
              <w:jc w:val="both"/>
              <w:rPr>
                <w:sz w:val="20"/>
              </w:rPr>
            </w:pPr>
            <w:r w:rsidRPr="004B7487">
              <w:rPr>
                <w:sz w:val="20"/>
              </w:rPr>
              <w:t>(Richards C.J. and Whitmore, Schwann, Leurer, Kalmakoff JJ.A.)</w:t>
            </w:r>
          </w:p>
          <w:p w:rsidR="0012542D" w:rsidRPr="004B7487" w:rsidRDefault="004B7487" w:rsidP="007775F6">
            <w:pPr>
              <w:jc w:val="both"/>
              <w:rPr>
                <w:sz w:val="20"/>
              </w:rPr>
            </w:pPr>
            <w:hyperlink r:id="rId97" w:history="1">
              <w:r w:rsidR="0012542D" w:rsidRPr="004B7487">
                <w:rPr>
                  <w:rStyle w:val="Hyperlink"/>
                  <w:sz w:val="20"/>
                </w:rPr>
                <w:t>2020 SKCA 88</w:t>
              </w:r>
            </w:hyperlink>
          </w:p>
          <w:p w:rsidR="0012542D" w:rsidRPr="004B7487" w:rsidRDefault="0012542D" w:rsidP="007775F6">
            <w:pPr>
              <w:jc w:val="both"/>
              <w:rPr>
                <w:sz w:val="20"/>
              </w:rPr>
            </w:pPr>
            <w:r w:rsidRPr="004B7487">
              <w:rPr>
                <w:sz w:val="20"/>
              </w:rPr>
              <w:t>File No.: CACV3433</w:t>
            </w:r>
          </w:p>
          <w:p w:rsidR="0012542D" w:rsidRPr="004B7487" w:rsidRDefault="0012542D" w:rsidP="007775F6">
            <w:pPr>
              <w:jc w:val="both"/>
              <w:rPr>
                <w:sz w:val="20"/>
              </w:rPr>
            </w:pP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 xml:space="preserve">Saskatchewan Government Insurance’s appeal dismissed. SGI is a first party insurer and not an administrative tribunal and further, statutory appeals of their decisions should play out as per the requirements of all of the applicable provisions of </w:t>
            </w:r>
            <w:r w:rsidRPr="004B7487">
              <w:rPr>
                <w:i/>
                <w:sz w:val="20"/>
              </w:rPr>
              <w:t>The Queen’s Bench Rules</w:t>
            </w:r>
            <w:r w:rsidRPr="004B7487">
              <w:rPr>
                <w:sz w:val="20"/>
              </w:rPr>
              <w:t xml:space="preserve"> concerning an action commenced by way of statement of claim; Ms. Schira’s cross</w:t>
            </w:r>
            <w:r w:rsidRPr="004B7487">
              <w:rPr>
                <w:sz w:val="20"/>
              </w:rPr>
              <w:noBreakHyphen/>
              <w:t>appeal dismissed.</w:t>
            </w:r>
          </w:p>
          <w:p w:rsidR="0012542D" w:rsidRPr="004B7487" w:rsidRDefault="0012542D" w:rsidP="007775F6">
            <w:pPr>
              <w:jc w:val="both"/>
              <w:rPr>
                <w:sz w:val="20"/>
              </w:rPr>
            </w:pPr>
          </w:p>
        </w:tc>
      </w:tr>
      <w:tr w:rsidR="0012542D" w:rsidRPr="004B7487" w:rsidTr="0012542D">
        <w:tc>
          <w:tcPr>
            <w:tcW w:w="2427" w:type="pct"/>
            <w:gridSpan w:val="2"/>
          </w:tcPr>
          <w:p w:rsidR="0012542D" w:rsidRPr="004B7487" w:rsidRDefault="0012542D" w:rsidP="007775F6">
            <w:pPr>
              <w:jc w:val="both"/>
              <w:rPr>
                <w:sz w:val="20"/>
              </w:rPr>
            </w:pPr>
            <w:r w:rsidRPr="004B7487">
              <w:rPr>
                <w:sz w:val="20"/>
              </w:rPr>
              <w:t>September 25, 2020</w:t>
            </w:r>
          </w:p>
          <w:p w:rsidR="0012542D" w:rsidRPr="004B7487" w:rsidRDefault="0012542D" w:rsidP="007775F6">
            <w:pPr>
              <w:jc w:val="both"/>
              <w:rPr>
                <w:sz w:val="20"/>
              </w:rPr>
            </w:pPr>
            <w:r w:rsidRPr="004B7487">
              <w:rPr>
                <w:sz w:val="20"/>
              </w:rPr>
              <w:t>Supreme Court of Canada</w:t>
            </w:r>
          </w:p>
        </w:tc>
        <w:tc>
          <w:tcPr>
            <w:tcW w:w="243" w:type="pct"/>
          </w:tcPr>
          <w:p w:rsidR="0012542D" w:rsidRPr="004B7487" w:rsidRDefault="0012542D" w:rsidP="007775F6">
            <w:pPr>
              <w:jc w:val="both"/>
              <w:rPr>
                <w:sz w:val="20"/>
              </w:rPr>
            </w:pPr>
          </w:p>
        </w:tc>
        <w:tc>
          <w:tcPr>
            <w:tcW w:w="2330" w:type="pct"/>
          </w:tcPr>
          <w:p w:rsidR="0012542D" w:rsidRPr="004B7487" w:rsidRDefault="0012542D" w:rsidP="007775F6">
            <w:pPr>
              <w:jc w:val="both"/>
              <w:rPr>
                <w:sz w:val="20"/>
              </w:rPr>
            </w:pPr>
            <w:r w:rsidRPr="004B7487">
              <w:rPr>
                <w:sz w:val="20"/>
              </w:rPr>
              <w:t>Application for leave to appeal filed.</w:t>
            </w:r>
          </w:p>
          <w:p w:rsidR="0012542D" w:rsidRPr="004B7487" w:rsidRDefault="0012542D" w:rsidP="007775F6">
            <w:pPr>
              <w:jc w:val="both"/>
              <w:rPr>
                <w:sz w:val="20"/>
              </w:rPr>
            </w:pPr>
          </w:p>
        </w:tc>
      </w:tr>
    </w:tbl>
    <w:p w:rsidR="0012542D" w:rsidRPr="004B7487" w:rsidRDefault="0012542D" w:rsidP="007775F6">
      <w:pPr>
        <w:jc w:val="both"/>
        <w:rPr>
          <w:sz w:val="20"/>
        </w:rPr>
      </w:pPr>
    </w:p>
    <w:p w:rsidR="00D36103" w:rsidRPr="004B7487" w:rsidRDefault="004B7487" w:rsidP="007775F6">
      <w:pPr>
        <w:jc w:val="both"/>
        <w:rPr>
          <w:sz w:val="20"/>
        </w:rPr>
      </w:pPr>
      <w:r w:rsidRPr="004B7487">
        <w:rPr>
          <w:sz w:val="20"/>
        </w:rPr>
        <w:pict>
          <v:rect id="_x0000_i1063" style="width:2in;height:1pt" o:hrpct="0" o:hralign="center" o:hrstd="t" o:hrnoshade="t" o:hr="t" fillcolor="black [3213]" stroked="f"/>
        </w:pict>
      </w:r>
    </w:p>
    <w:p w:rsidR="00D36103" w:rsidRPr="004B7487" w:rsidRDefault="00D36103" w:rsidP="007775F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2542D" w:rsidRPr="004B7487" w:rsidTr="0012542D">
        <w:tc>
          <w:tcPr>
            <w:tcW w:w="543" w:type="pct"/>
          </w:tcPr>
          <w:p w:rsidR="0012542D" w:rsidRPr="004B7487" w:rsidRDefault="0012542D" w:rsidP="007775F6">
            <w:pPr>
              <w:jc w:val="both"/>
              <w:rPr>
                <w:sz w:val="20"/>
                <w:lang w:val="fr-CA"/>
              </w:rPr>
            </w:pPr>
            <w:r w:rsidRPr="004B7487">
              <w:rPr>
                <w:rStyle w:val="SCCFileNumberChar"/>
                <w:sz w:val="20"/>
                <w:szCs w:val="20"/>
                <w:lang w:val="fr-CA"/>
              </w:rPr>
              <w:t>39337</w:t>
            </w:r>
          </w:p>
        </w:tc>
        <w:tc>
          <w:tcPr>
            <w:tcW w:w="4457" w:type="pct"/>
            <w:gridSpan w:val="3"/>
          </w:tcPr>
          <w:p w:rsidR="0012542D" w:rsidRPr="004B7487" w:rsidRDefault="0012542D" w:rsidP="007775F6">
            <w:pPr>
              <w:pStyle w:val="SCCLsocParty"/>
              <w:jc w:val="both"/>
              <w:rPr>
                <w:b/>
                <w:sz w:val="20"/>
                <w:szCs w:val="20"/>
                <w:lang w:val="en-US"/>
              </w:rPr>
            </w:pPr>
            <w:r w:rsidRPr="004B7487">
              <w:rPr>
                <w:b/>
                <w:sz w:val="20"/>
                <w:szCs w:val="20"/>
                <w:lang w:val="en-US"/>
              </w:rPr>
              <w:t>Emilie Schira c. Saskatchewan Government Insurance</w:t>
            </w:r>
          </w:p>
          <w:p w:rsidR="0012542D" w:rsidRPr="004B7487" w:rsidRDefault="0012542D" w:rsidP="007775F6">
            <w:pPr>
              <w:jc w:val="both"/>
              <w:rPr>
                <w:sz w:val="20"/>
                <w:lang w:val="fr-CA"/>
              </w:rPr>
            </w:pPr>
            <w:r w:rsidRPr="004B7487">
              <w:rPr>
                <w:sz w:val="20"/>
                <w:lang w:val="fr-CA"/>
              </w:rPr>
              <w:t>(Sask.) (Civile) (Autorisation)</w:t>
            </w: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 xml:space="preserve">Procédure civile — Appels — Tribunaux — Assurance — Assurance automobile — Procédure d’appel, en application de l’art. 191 de </w:t>
            </w:r>
            <w:r w:rsidRPr="004B7487">
              <w:rPr>
                <w:i/>
                <w:iCs/>
                <w:sz w:val="20"/>
                <w:lang w:val="fr-CA"/>
              </w:rPr>
              <w:t>The Automobile Accident Insurance Act, R.S.S. 1978, ch. A</w:t>
            </w:r>
            <w:r w:rsidRPr="004B7487">
              <w:rPr>
                <w:i/>
                <w:iCs/>
                <w:sz w:val="20"/>
                <w:lang w:val="fr-CA"/>
              </w:rPr>
              <w:noBreakHyphen/>
              <w:t>35</w:t>
            </w:r>
            <w:r w:rsidRPr="004B7487">
              <w:rPr>
                <w:iCs/>
                <w:sz w:val="20"/>
                <w:lang w:val="fr-CA"/>
              </w:rPr>
              <w:t>,</w:t>
            </w:r>
            <w:r w:rsidRPr="004B7487">
              <w:rPr>
                <w:sz w:val="20"/>
                <w:lang w:val="fr-CA"/>
              </w:rPr>
              <w:t xml:space="preserve"> à la Cour du Banc de la Reine — Les juridictions inférieures s’entendent pour dire que la demanderesse a droit à des prestations de remplacement du revenu, mais ne s’entendent pas quant à la procédure d’appel — Lorsqu’un texte législatif confère à un organisme d’appel habilité par la loi et à une cour supérieure compétence concurrente à l’égard de certains appels et établit une procédure différente pour chacun d’eux, si bien que des faits identiques peuvent donner lieu à des résultats différents, à quel point le rôle principal de la cour d’appel d’assurer la cohérence et l’uniformité des règles de droit l’emporte</w:t>
            </w:r>
            <w:r w:rsidRPr="004B7487">
              <w:rPr>
                <w:sz w:val="20"/>
                <w:lang w:val="fr-CA"/>
              </w:rPr>
              <w:noBreakHyphen/>
              <w:t>t</w:t>
            </w:r>
            <w:r w:rsidRPr="004B7487">
              <w:rPr>
                <w:sz w:val="20"/>
                <w:lang w:val="fr-CA"/>
              </w:rPr>
              <w:noBreakHyphen/>
              <w:t>il sur l’attitude présumée de déférence à l’égard des choix du législateur? — La question de la bonne procédure en ce qui concerne l’appel prévu par la loi peut</w:t>
            </w:r>
            <w:r w:rsidRPr="004B7487">
              <w:rPr>
                <w:sz w:val="20"/>
                <w:lang w:val="fr-CA"/>
              </w:rPr>
              <w:noBreakHyphen/>
              <w:t>elle être tranchée sans prendre en compte toutes les dispositions régissant ces appels et toutes les dispositions connexes régissant le décideur, la nature et l’objet du régime de prestations prévues par les dispositions législatives, les droits abolis par le régime, et sans égard aux intérêts d’équité, de cohérence et d’accès à la justice? — Lorsqu’une société d’État a le pouvoir d’origine légale de trancher des réclamations individuelles et le pouvoir distinct d’exploiter une entreprise à but lucratif, le pouvoir d’exploiter une entreprise a</w:t>
            </w:r>
            <w:r w:rsidRPr="004B7487">
              <w:rPr>
                <w:sz w:val="20"/>
                <w:lang w:val="fr-CA"/>
              </w:rPr>
              <w:noBreakHyphen/>
              <w:t>t</w:t>
            </w:r>
            <w:r w:rsidRPr="004B7487">
              <w:rPr>
                <w:sz w:val="20"/>
                <w:lang w:val="fr-CA"/>
              </w:rPr>
              <w:noBreakHyphen/>
              <w:t>il pour effet de privatiser ses attributions judiciaires et de les soustraire des contrôles de common law et des contrôles constitutionnels des décideurs habilités par la loi?</w:t>
            </w:r>
          </w:p>
          <w:p w:rsidR="0012542D" w:rsidRPr="004B7487" w:rsidRDefault="0012542D" w:rsidP="007775F6">
            <w:pPr>
              <w:jc w:val="both"/>
              <w:rPr>
                <w:sz w:val="20"/>
                <w:lang w:val="fr-CA"/>
              </w:rPr>
            </w:pPr>
          </w:p>
        </w:tc>
      </w:tr>
      <w:tr w:rsidR="0012542D" w:rsidRPr="004B7487" w:rsidTr="0012542D">
        <w:tc>
          <w:tcPr>
            <w:tcW w:w="5000" w:type="pct"/>
            <w:gridSpan w:val="4"/>
          </w:tcPr>
          <w:p w:rsidR="0012542D" w:rsidRPr="004B7487" w:rsidRDefault="0012542D" w:rsidP="007775F6">
            <w:pPr>
              <w:jc w:val="both"/>
              <w:rPr>
                <w:sz w:val="20"/>
                <w:lang w:val="fr-CA"/>
              </w:rPr>
            </w:pPr>
            <w:r w:rsidRPr="004B7487">
              <w:rPr>
                <w:sz w:val="20"/>
                <w:lang w:val="fr-CA"/>
              </w:rPr>
              <w:t xml:space="preserve">La demanderesse a été impliquée dans une série d’accidents d’automobile sur une période de plusieurs années. Elle a réclamé de l’intimée, Saskatchewan Government Insurance (« SGI »), des prestations de remplacement du revenu sans égard à la faute. SGI est une société d’État investie du pouvoir exclusif d’administrer le Saskatchewan Auto Fund. SGI a conclu que la demanderesse n’avait pas droit à ces prestations et cette dernière a interjeté appel à la Cour du Banc de la Reine en application de </w:t>
            </w:r>
            <w:r w:rsidRPr="004B7487">
              <w:rPr>
                <w:i/>
                <w:iCs/>
                <w:sz w:val="20"/>
                <w:lang w:val="fr-CA"/>
              </w:rPr>
              <w:t xml:space="preserve">The Automobile Accident Insurance Act, </w:t>
            </w:r>
            <w:r w:rsidRPr="004B7487">
              <w:rPr>
                <w:iCs/>
                <w:sz w:val="20"/>
                <w:lang w:val="fr-CA"/>
              </w:rPr>
              <w:t>R.S.S. 1978, ch. A</w:t>
            </w:r>
            <w:r w:rsidRPr="004B7487">
              <w:rPr>
                <w:iCs/>
                <w:sz w:val="20"/>
                <w:lang w:val="fr-CA"/>
              </w:rPr>
              <w:noBreakHyphen/>
              <w:t>35</w:t>
            </w:r>
            <w:r w:rsidRPr="004B7487">
              <w:rPr>
                <w:sz w:val="20"/>
                <w:lang w:val="fr-CA"/>
              </w:rPr>
              <w:t xml:space="preserve"> (l’« AAIA »).</w:t>
            </w:r>
          </w:p>
          <w:p w:rsidR="0012542D" w:rsidRPr="004B7487" w:rsidRDefault="0012542D" w:rsidP="007775F6">
            <w:pPr>
              <w:jc w:val="both"/>
              <w:rPr>
                <w:sz w:val="20"/>
                <w:lang w:val="fr-CA"/>
              </w:rPr>
            </w:pPr>
          </w:p>
          <w:p w:rsidR="0012542D" w:rsidRPr="004B7487" w:rsidRDefault="0012542D" w:rsidP="007775F6">
            <w:pPr>
              <w:jc w:val="both"/>
              <w:rPr>
                <w:sz w:val="20"/>
                <w:lang w:val="fr-CA"/>
              </w:rPr>
            </w:pPr>
            <w:r w:rsidRPr="004B7487">
              <w:rPr>
                <w:sz w:val="20"/>
                <w:lang w:val="fr-CA"/>
              </w:rPr>
              <w:t>Le juge de première instance a conclu que la demanderesse avait droit à des prestations. Le juge de première instance s’est également penché sur l’aspect procédural de l’appel. La Cour d’appel a conclu que le juge de première instance n’avait commis aucune erreur en statuant que la demanderesse avait le droit de toucher des prestations de remplacement du revenu. Toutefois, elle a conclu que les conclusions du juge de première instance quant à l’aspect procédural des appels à la Cour du Banc de la Reine interjetés en application de l’AAIA ne pouvaient être confirmées. L’appel de SGI et l’appel incident de Mme Schira ont été rejetés.</w:t>
            </w:r>
          </w:p>
        </w:tc>
      </w:tr>
      <w:tr w:rsidR="0012542D" w:rsidRPr="004B7487" w:rsidTr="0012542D">
        <w:tc>
          <w:tcPr>
            <w:tcW w:w="5000" w:type="pct"/>
            <w:gridSpan w:val="4"/>
          </w:tcPr>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23 avril 2019</w:t>
            </w:r>
          </w:p>
          <w:p w:rsidR="0012542D" w:rsidRPr="004B7487" w:rsidRDefault="0012542D" w:rsidP="007775F6">
            <w:pPr>
              <w:jc w:val="both"/>
              <w:rPr>
                <w:sz w:val="20"/>
                <w:lang w:val="fr-CA"/>
              </w:rPr>
            </w:pPr>
            <w:r w:rsidRPr="004B7487">
              <w:rPr>
                <w:sz w:val="20"/>
                <w:lang w:val="fr-CA"/>
              </w:rPr>
              <w:t>Cour du Banc de la Reine de la Saskatchewan</w:t>
            </w:r>
          </w:p>
          <w:p w:rsidR="0012542D" w:rsidRPr="004B7487" w:rsidRDefault="0012542D" w:rsidP="007775F6">
            <w:pPr>
              <w:jc w:val="both"/>
              <w:rPr>
                <w:sz w:val="20"/>
                <w:lang w:val="fr-CA"/>
              </w:rPr>
            </w:pPr>
            <w:r w:rsidRPr="004B7487">
              <w:rPr>
                <w:sz w:val="20"/>
                <w:lang w:val="fr-CA"/>
              </w:rPr>
              <w:t>(Juge Currie)</w:t>
            </w:r>
          </w:p>
          <w:p w:rsidR="0012542D" w:rsidRPr="004B7487" w:rsidRDefault="004B7487" w:rsidP="007775F6">
            <w:pPr>
              <w:jc w:val="both"/>
              <w:rPr>
                <w:sz w:val="20"/>
                <w:lang w:val="fr-CA"/>
              </w:rPr>
            </w:pPr>
            <w:hyperlink r:id="rId98" w:history="1">
              <w:r w:rsidR="0012542D" w:rsidRPr="004B7487">
                <w:rPr>
                  <w:rStyle w:val="Hyperlink"/>
                  <w:sz w:val="20"/>
                  <w:lang w:val="fr-CA"/>
                </w:rPr>
                <w:t>2019 SKQB 108</w:t>
              </w:r>
            </w:hyperlink>
          </w:p>
          <w:p w:rsidR="0012542D" w:rsidRPr="004B7487" w:rsidRDefault="0012542D" w:rsidP="007775F6">
            <w:pPr>
              <w:jc w:val="both"/>
              <w:rPr>
                <w:sz w:val="20"/>
                <w:lang w:val="fr-CA"/>
              </w:rPr>
            </w:pP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 xml:space="preserve">Jugement statuant que Mme Schira a droit aux prestations de remplacement du revenu et énonçant la procédure d’appel à la Cour du Banc de la Reine en application de l’art. 191 de </w:t>
            </w:r>
            <w:r w:rsidRPr="004B7487">
              <w:rPr>
                <w:i/>
                <w:sz w:val="20"/>
                <w:lang w:val="fr-CA"/>
              </w:rPr>
              <w:t>The Automobile Insurance Act</w:t>
            </w:r>
            <w:r w:rsidRPr="004B7487">
              <w:rPr>
                <w:sz w:val="20"/>
                <w:lang w:val="fr-CA"/>
              </w:rPr>
              <w:t>.</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lastRenderedPageBreak/>
              <w:t>27 juillet 2020</w:t>
            </w:r>
          </w:p>
          <w:p w:rsidR="0012542D" w:rsidRPr="004B7487" w:rsidRDefault="0012542D" w:rsidP="007775F6">
            <w:pPr>
              <w:jc w:val="both"/>
              <w:rPr>
                <w:sz w:val="20"/>
                <w:lang w:val="fr-CA"/>
              </w:rPr>
            </w:pPr>
            <w:r w:rsidRPr="004B7487">
              <w:rPr>
                <w:sz w:val="20"/>
                <w:lang w:val="fr-CA"/>
              </w:rPr>
              <w:t>Cour d’appel de la Saskatchewan</w:t>
            </w:r>
          </w:p>
          <w:p w:rsidR="0012542D" w:rsidRPr="004B7487" w:rsidRDefault="0012542D" w:rsidP="007775F6">
            <w:pPr>
              <w:jc w:val="both"/>
              <w:rPr>
                <w:sz w:val="20"/>
                <w:lang w:val="fr-CA"/>
              </w:rPr>
            </w:pPr>
            <w:r w:rsidRPr="004B7487">
              <w:rPr>
                <w:sz w:val="20"/>
                <w:lang w:val="fr-CA"/>
              </w:rPr>
              <w:t>(Juge en chef Richards, juges Whitmore, Schwann, Leurer et Kalmakoff)</w:t>
            </w:r>
          </w:p>
          <w:p w:rsidR="0012542D" w:rsidRPr="004B7487" w:rsidRDefault="004B7487" w:rsidP="007775F6">
            <w:pPr>
              <w:jc w:val="both"/>
              <w:rPr>
                <w:sz w:val="20"/>
                <w:lang w:val="fr-CA"/>
              </w:rPr>
            </w:pPr>
            <w:hyperlink r:id="rId99" w:history="1">
              <w:r w:rsidR="0012542D" w:rsidRPr="004B7487">
                <w:rPr>
                  <w:rStyle w:val="Hyperlink"/>
                  <w:sz w:val="20"/>
                  <w:lang w:val="fr-CA"/>
                </w:rPr>
                <w:t>2020 SKCA 88</w:t>
              </w:r>
            </w:hyperlink>
          </w:p>
          <w:p w:rsidR="0012542D" w:rsidRPr="004B7487" w:rsidRDefault="0012542D" w:rsidP="007775F6">
            <w:pPr>
              <w:jc w:val="both"/>
              <w:rPr>
                <w:sz w:val="20"/>
                <w:lang w:val="fr-CA"/>
              </w:rPr>
            </w:pPr>
            <w:r w:rsidRPr="004B7487">
              <w:rPr>
                <w:sz w:val="20"/>
                <w:lang w:val="fr-CA"/>
              </w:rPr>
              <w:t>N</w:t>
            </w:r>
            <w:r w:rsidRPr="004B7487">
              <w:rPr>
                <w:sz w:val="20"/>
                <w:vertAlign w:val="superscript"/>
                <w:lang w:val="fr-CA"/>
              </w:rPr>
              <w:t>o</w:t>
            </w:r>
            <w:r w:rsidRPr="004B7487">
              <w:rPr>
                <w:sz w:val="20"/>
                <w:lang w:val="fr-CA"/>
              </w:rPr>
              <w:t xml:space="preserve"> de dossier : CACV3433</w:t>
            </w:r>
          </w:p>
          <w:p w:rsidR="0012542D" w:rsidRPr="004B7487" w:rsidRDefault="0012542D" w:rsidP="007775F6">
            <w:pPr>
              <w:jc w:val="both"/>
              <w:rPr>
                <w:sz w:val="20"/>
                <w:lang w:val="fr-CA"/>
              </w:rPr>
            </w:pP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 xml:space="preserve">Arrêt rejetant l’appel de Saskatchewan Government Insurance, statuant que SGI est un assureur de première partie et non un tribunal administratif et que les appels de ses décisions prévus par la loi doivent se dérouler conformément aux exigences de toutes les dispositions applicables de </w:t>
            </w:r>
            <w:r w:rsidRPr="004B7487">
              <w:rPr>
                <w:i/>
                <w:sz w:val="20"/>
                <w:lang w:val="fr-CA"/>
              </w:rPr>
              <w:t>The Queen’s Bench Rules</w:t>
            </w:r>
            <w:r w:rsidRPr="004B7487">
              <w:rPr>
                <w:sz w:val="20"/>
                <w:lang w:val="fr-CA"/>
              </w:rPr>
              <w:t xml:space="preserve"> relatives aux actions introduites par voie de déclaration et rejetant l’appel incident de Mme Schira.</w:t>
            </w:r>
          </w:p>
          <w:p w:rsidR="0012542D" w:rsidRPr="004B7487" w:rsidRDefault="0012542D" w:rsidP="007775F6">
            <w:pPr>
              <w:jc w:val="both"/>
              <w:rPr>
                <w:sz w:val="20"/>
                <w:lang w:val="fr-CA"/>
              </w:rPr>
            </w:pPr>
          </w:p>
        </w:tc>
      </w:tr>
      <w:tr w:rsidR="0012542D" w:rsidRPr="004B7487" w:rsidTr="0012542D">
        <w:tc>
          <w:tcPr>
            <w:tcW w:w="2427" w:type="pct"/>
            <w:gridSpan w:val="2"/>
          </w:tcPr>
          <w:p w:rsidR="0012542D" w:rsidRPr="004B7487" w:rsidRDefault="0012542D" w:rsidP="007775F6">
            <w:pPr>
              <w:jc w:val="both"/>
              <w:rPr>
                <w:sz w:val="20"/>
                <w:lang w:val="fr-CA"/>
              </w:rPr>
            </w:pPr>
            <w:r w:rsidRPr="004B7487">
              <w:rPr>
                <w:sz w:val="20"/>
                <w:lang w:val="fr-CA"/>
              </w:rPr>
              <w:t>25 septembre 2020</w:t>
            </w:r>
          </w:p>
          <w:p w:rsidR="0012542D" w:rsidRPr="004B7487" w:rsidRDefault="0012542D" w:rsidP="007775F6">
            <w:pPr>
              <w:jc w:val="both"/>
              <w:rPr>
                <w:sz w:val="20"/>
                <w:lang w:val="fr-CA"/>
              </w:rPr>
            </w:pPr>
            <w:r w:rsidRPr="004B7487">
              <w:rPr>
                <w:sz w:val="20"/>
                <w:lang w:val="fr-CA"/>
              </w:rPr>
              <w:t>Cour suprême du Canada</w:t>
            </w:r>
          </w:p>
        </w:tc>
        <w:tc>
          <w:tcPr>
            <w:tcW w:w="243" w:type="pct"/>
          </w:tcPr>
          <w:p w:rsidR="0012542D" w:rsidRPr="004B7487" w:rsidRDefault="0012542D" w:rsidP="007775F6">
            <w:pPr>
              <w:jc w:val="both"/>
              <w:rPr>
                <w:sz w:val="20"/>
                <w:lang w:val="fr-CA"/>
              </w:rPr>
            </w:pPr>
          </w:p>
        </w:tc>
        <w:tc>
          <w:tcPr>
            <w:tcW w:w="2330" w:type="pct"/>
          </w:tcPr>
          <w:p w:rsidR="0012542D" w:rsidRPr="004B7487" w:rsidRDefault="0012542D" w:rsidP="007775F6">
            <w:pPr>
              <w:jc w:val="both"/>
              <w:rPr>
                <w:sz w:val="20"/>
                <w:lang w:val="fr-CA"/>
              </w:rPr>
            </w:pPr>
            <w:r w:rsidRPr="004B7487">
              <w:rPr>
                <w:sz w:val="20"/>
                <w:lang w:val="fr-CA"/>
              </w:rPr>
              <w:t>Dépôt de la demande d’autorisation d’appel.</w:t>
            </w:r>
          </w:p>
          <w:p w:rsidR="0012542D" w:rsidRPr="004B7487" w:rsidRDefault="0012542D" w:rsidP="007775F6">
            <w:pPr>
              <w:jc w:val="both"/>
              <w:rPr>
                <w:sz w:val="20"/>
                <w:lang w:val="fr-CA"/>
              </w:rPr>
            </w:pPr>
          </w:p>
        </w:tc>
      </w:tr>
    </w:tbl>
    <w:p w:rsidR="0012542D" w:rsidRPr="004B7487" w:rsidRDefault="0012542D" w:rsidP="007775F6">
      <w:pPr>
        <w:jc w:val="both"/>
        <w:rPr>
          <w:sz w:val="20"/>
          <w:lang w:val="fr-CA"/>
        </w:rPr>
      </w:pPr>
    </w:p>
    <w:p w:rsidR="00D36103" w:rsidRPr="004B7487" w:rsidRDefault="004B7487" w:rsidP="007775F6">
      <w:pPr>
        <w:jc w:val="both"/>
        <w:rPr>
          <w:sz w:val="20"/>
          <w:lang w:val="fr-CA"/>
        </w:rPr>
      </w:pPr>
      <w:r w:rsidRPr="004B7487">
        <w:rPr>
          <w:sz w:val="20"/>
        </w:rPr>
        <w:pict>
          <v:rect id="_x0000_i1064" style="width:2in;height:1pt" o:hrpct="0" o:hralign="center" o:hrstd="t" o:hrnoshade="t" o:hr="t" fillcolor="black [3213]" stroked="f"/>
        </w:pict>
      </w:r>
    </w:p>
    <w:p w:rsidR="00E70259" w:rsidRPr="004B7487" w:rsidRDefault="00E70259"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775F6" w:rsidRPr="004B7487" w:rsidTr="00E95A6A">
        <w:tc>
          <w:tcPr>
            <w:tcW w:w="543" w:type="pct"/>
          </w:tcPr>
          <w:p w:rsidR="007775F6" w:rsidRPr="004B7487" w:rsidRDefault="007775F6" w:rsidP="007775F6">
            <w:pPr>
              <w:jc w:val="both"/>
              <w:rPr>
                <w:sz w:val="20"/>
              </w:rPr>
            </w:pPr>
            <w:r w:rsidRPr="004B7487">
              <w:rPr>
                <w:rStyle w:val="SCCFileNumberChar"/>
                <w:sz w:val="20"/>
                <w:szCs w:val="20"/>
              </w:rPr>
              <w:t>39303</w:t>
            </w:r>
          </w:p>
        </w:tc>
        <w:tc>
          <w:tcPr>
            <w:tcW w:w="4457" w:type="pct"/>
            <w:gridSpan w:val="3"/>
          </w:tcPr>
          <w:p w:rsidR="007775F6" w:rsidRPr="004B7487" w:rsidRDefault="007775F6" w:rsidP="007775F6">
            <w:pPr>
              <w:pStyle w:val="SCCLsocParty"/>
              <w:jc w:val="both"/>
              <w:rPr>
                <w:b/>
                <w:sz w:val="20"/>
                <w:szCs w:val="20"/>
                <w:lang w:val="en-US"/>
              </w:rPr>
            </w:pPr>
            <w:r w:rsidRPr="004B7487">
              <w:rPr>
                <w:b/>
                <w:sz w:val="20"/>
                <w:szCs w:val="20"/>
                <w:lang w:val="en-US"/>
              </w:rPr>
              <w:t>Dieter Eisbrenner v. Her Majesty the Queen</w:t>
            </w:r>
          </w:p>
          <w:p w:rsidR="007775F6" w:rsidRPr="004B7487" w:rsidRDefault="007775F6" w:rsidP="007775F6">
            <w:pPr>
              <w:jc w:val="both"/>
              <w:rPr>
                <w:sz w:val="20"/>
              </w:rPr>
            </w:pPr>
            <w:r w:rsidRPr="004B7487">
              <w:rPr>
                <w:sz w:val="20"/>
              </w:rPr>
              <w:t>(F</w:t>
            </w:r>
            <w:r w:rsidR="00D36103" w:rsidRPr="004B7487">
              <w:rPr>
                <w:sz w:val="20"/>
              </w:rPr>
              <w:t>.</w:t>
            </w:r>
            <w:r w:rsidRPr="004B7487">
              <w:rPr>
                <w:sz w:val="20"/>
              </w:rPr>
              <w:t>C</w:t>
            </w:r>
            <w:r w:rsidR="00D36103" w:rsidRPr="004B7487">
              <w:rPr>
                <w:sz w:val="20"/>
              </w:rPr>
              <w:t>.</w:t>
            </w:r>
            <w:r w:rsidRPr="004B7487">
              <w:rPr>
                <w:sz w:val="20"/>
              </w:rPr>
              <w:t>) (Civil) (By Leave)</w:t>
            </w:r>
          </w:p>
        </w:tc>
      </w:tr>
      <w:tr w:rsidR="007775F6" w:rsidRPr="004B7487" w:rsidTr="00E95A6A">
        <w:tc>
          <w:tcPr>
            <w:tcW w:w="5000" w:type="pct"/>
            <w:gridSpan w:val="4"/>
          </w:tcPr>
          <w:p w:rsidR="007775F6" w:rsidRPr="004B7487" w:rsidRDefault="007775F6" w:rsidP="007775F6">
            <w:pPr>
              <w:jc w:val="both"/>
              <w:rPr>
                <w:sz w:val="20"/>
              </w:rPr>
            </w:pPr>
            <w:r w:rsidRPr="004B7487">
              <w:rPr>
                <w:sz w:val="20"/>
              </w:rPr>
              <w:t xml:space="preserve">Taxation — Income tax — Charitable donation — Pharmaceuticals — Ownership — Minister’s assumptions of fact — Burden and standard of proof — </w:t>
            </w:r>
            <w:r w:rsidRPr="004B7487">
              <w:rPr>
                <w:color w:val="000000"/>
                <w:sz w:val="20"/>
                <w:shd w:val="clear" w:color="auto" w:fill="FFFFFF"/>
              </w:rPr>
              <w:t xml:space="preserve">Cash donation made by applicant taxpayer in 2005 under Canadian Humanitarian (“CH”) Trust program — In exchange for cash donation to registered charity, applicant taxpayer received tax receipts and was selected as capital beneficiary of a CH trust entitling him to a number of essential medicine units, which were subject to a lien — Taxpayer subsequently transferring medicine units through deeds of gift to other registered charity for distribution by other organization to countries in need, and receiving “in kind” tax receipts — Minister allowing tax credit based on cash donation, but not in relation to transfer of pharmaceuticals, because Minister assuming that title to pharmaceuticals had never been passed to taxpayer — </w:t>
            </w:r>
            <w:r w:rsidRPr="004B7487">
              <w:rPr>
                <w:color w:val="000000"/>
                <w:sz w:val="20"/>
              </w:rPr>
              <w:t>What is the correct approach to the burden of proof, standard of proof, and the role and effect of the facts assumed by the Minister in assessing tax</w:t>
            </w:r>
            <w:r w:rsidRPr="004B7487">
              <w:rPr>
                <w:color w:val="000000"/>
                <w:sz w:val="20"/>
                <w:shd w:val="clear" w:color="auto" w:fill="FFFFFF"/>
              </w:rPr>
              <w:t>?</w:t>
            </w:r>
          </w:p>
        </w:tc>
      </w:tr>
      <w:tr w:rsidR="007775F6" w:rsidRPr="004B7487" w:rsidTr="00E95A6A">
        <w:tc>
          <w:tcPr>
            <w:tcW w:w="5000" w:type="pct"/>
            <w:gridSpan w:val="4"/>
          </w:tcPr>
          <w:p w:rsidR="007775F6" w:rsidRPr="004B7487" w:rsidRDefault="007775F6" w:rsidP="007775F6">
            <w:pPr>
              <w:jc w:val="both"/>
              <w:rPr>
                <w:sz w:val="20"/>
              </w:rPr>
            </w:pPr>
          </w:p>
          <w:p w:rsidR="007775F6" w:rsidRPr="004B7487" w:rsidRDefault="007775F6" w:rsidP="007775F6">
            <w:pPr>
              <w:jc w:val="both"/>
              <w:rPr>
                <w:sz w:val="20"/>
              </w:rPr>
            </w:pPr>
            <w:r w:rsidRPr="004B7487">
              <w:rPr>
                <w:sz w:val="20"/>
              </w:rPr>
              <w:t>In 2005, the applicant taxpayer, Mr. Eisbrenner, participated in a donation program called the Canadian Humanitarian Trust. In so doing, he was issued charitable donation receipts. Two were in respect of cash payments made by him to a charity, and two were in respect of pharmaceuticals he claimed to have gifted to another charity. In his 2005 tax return, Mr. Eisbrenner claimed charitable donation credits in respect of these receipts. In reassessing Mr. Eisbrenner, the Minister of National Revenue disallowed the charitable donation credits claimed in respect of receipts from the in</w:t>
            </w:r>
            <w:r w:rsidRPr="004B7487">
              <w:rPr>
                <w:sz w:val="20"/>
              </w:rPr>
              <w:noBreakHyphen/>
              <w:t xml:space="preserve">kind charity. This is because, contrary to what was pleaded in Mr. Eisbrenner’s Notice of Appeal, the Minister assumed in his Reply that Mr. Eisbrenner never took possession of, nor acquired title to, any pharmaceuticals. The Tax Court dismissed Mr. Eisbrenner’s appeal. The trial judge found that Mr. Eisbrenner failed to establish, on a </w:t>
            </w:r>
            <w:r w:rsidRPr="004B7487">
              <w:rPr>
                <w:i/>
                <w:sz w:val="20"/>
              </w:rPr>
              <w:t>prima facie</w:t>
            </w:r>
            <w:r w:rsidRPr="004B7487">
              <w:rPr>
                <w:sz w:val="20"/>
              </w:rPr>
              <w:t xml:space="preserve"> standard, that he had acquired the pharmaceuticals and therefore could not make a gift of them to the in</w:t>
            </w:r>
            <w:r w:rsidRPr="004B7487">
              <w:rPr>
                <w:sz w:val="20"/>
              </w:rPr>
              <w:noBreakHyphen/>
              <w:t>kind charity. The Federal Court of Appeal dismissed Mr. Eisbrenner’s appeal. The court noted that Mr. Eisbrenner bore the burden of proving the allegations made in his Notice of Appeal to the effect that he had acquired the pharmaceuticals and that he was the legal and beneficial owner of them prior to their donation, and so on a balance of probabilities.</w:t>
            </w:r>
          </w:p>
        </w:tc>
      </w:tr>
      <w:tr w:rsidR="007775F6" w:rsidRPr="004B7487" w:rsidTr="00E95A6A">
        <w:tc>
          <w:tcPr>
            <w:tcW w:w="5000" w:type="pct"/>
            <w:gridSpan w:val="4"/>
          </w:tcPr>
          <w:p w:rsidR="007775F6" w:rsidRPr="004B7487" w:rsidRDefault="007775F6" w:rsidP="007775F6">
            <w:pPr>
              <w:jc w:val="both"/>
              <w:rPr>
                <w:sz w:val="20"/>
              </w:rPr>
            </w:pPr>
          </w:p>
        </w:tc>
      </w:tr>
      <w:tr w:rsidR="007775F6" w:rsidRPr="004B7487" w:rsidTr="00C57E15">
        <w:tc>
          <w:tcPr>
            <w:tcW w:w="2427" w:type="pct"/>
            <w:gridSpan w:val="2"/>
          </w:tcPr>
          <w:p w:rsidR="007775F6" w:rsidRPr="004B7487" w:rsidRDefault="007775F6" w:rsidP="007775F6">
            <w:pPr>
              <w:jc w:val="both"/>
              <w:rPr>
                <w:sz w:val="20"/>
              </w:rPr>
            </w:pPr>
            <w:r w:rsidRPr="004B7487">
              <w:rPr>
                <w:sz w:val="20"/>
              </w:rPr>
              <w:t xml:space="preserve">November 7, 2018 (amended November 23, </w:t>
            </w:r>
          </w:p>
          <w:p w:rsidR="007775F6" w:rsidRPr="004B7487" w:rsidRDefault="007775F6" w:rsidP="007775F6">
            <w:pPr>
              <w:jc w:val="both"/>
              <w:rPr>
                <w:sz w:val="20"/>
              </w:rPr>
            </w:pPr>
            <w:r w:rsidRPr="004B7487">
              <w:rPr>
                <w:sz w:val="20"/>
              </w:rPr>
              <w:t>2018)</w:t>
            </w:r>
          </w:p>
          <w:p w:rsidR="007775F6" w:rsidRPr="004B7487" w:rsidRDefault="007775F6" w:rsidP="007775F6">
            <w:pPr>
              <w:jc w:val="both"/>
              <w:rPr>
                <w:sz w:val="20"/>
              </w:rPr>
            </w:pPr>
            <w:r w:rsidRPr="004B7487">
              <w:rPr>
                <w:sz w:val="20"/>
              </w:rPr>
              <w:t>Tax Court of Canada</w:t>
            </w:r>
          </w:p>
          <w:p w:rsidR="007775F6" w:rsidRPr="004B7487" w:rsidRDefault="007775F6" w:rsidP="007775F6">
            <w:pPr>
              <w:jc w:val="both"/>
              <w:rPr>
                <w:sz w:val="20"/>
              </w:rPr>
            </w:pPr>
            <w:r w:rsidRPr="004B7487">
              <w:rPr>
                <w:sz w:val="20"/>
              </w:rPr>
              <w:t>(Owen J.)</w:t>
            </w:r>
          </w:p>
          <w:p w:rsidR="007775F6" w:rsidRPr="004B7487" w:rsidRDefault="007775F6" w:rsidP="007775F6">
            <w:pPr>
              <w:jc w:val="both"/>
              <w:rPr>
                <w:color w:val="000000"/>
                <w:sz w:val="20"/>
                <w:shd w:val="clear" w:color="auto" w:fill="FFFFFF"/>
              </w:rPr>
            </w:pPr>
            <w:r w:rsidRPr="004B7487">
              <w:rPr>
                <w:sz w:val="20"/>
              </w:rPr>
              <w:t>File no. 2015</w:t>
            </w:r>
            <w:r w:rsidRPr="004B7487">
              <w:rPr>
                <w:sz w:val="20"/>
              </w:rPr>
              <w:noBreakHyphen/>
              <w:t>858(IT)G</w:t>
            </w:r>
          </w:p>
          <w:p w:rsidR="007775F6" w:rsidRPr="004B7487" w:rsidRDefault="004B7487" w:rsidP="007775F6">
            <w:pPr>
              <w:jc w:val="both"/>
              <w:rPr>
                <w:sz w:val="20"/>
              </w:rPr>
            </w:pPr>
            <w:hyperlink r:id="rId100" w:history="1">
              <w:r w:rsidR="007775F6" w:rsidRPr="004B7487">
                <w:rPr>
                  <w:rStyle w:val="Hyperlink"/>
                  <w:sz w:val="20"/>
                </w:rPr>
                <w:t>2018 TCC 220</w:t>
              </w:r>
            </w:hyperlink>
          </w:p>
          <w:p w:rsidR="007775F6" w:rsidRPr="004B7487" w:rsidRDefault="007775F6" w:rsidP="007775F6">
            <w:pPr>
              <w:jc w:val="both"/>
              <w:rPr>
                <w:sz w:val="20"/>
              </w:rPr>
            </w:pPr>
          </w:p>
        </w:tc>
        <w:tc>
          <w:tcPr>
            <w:tcW w:w="243" w:type="pct"/>
          </w:tcPr>
          <w:p w:rsidR="007775F6" w:rsidRPr="004B7487" w:rsidRDefault="007775F6" w:rsidP="007775F6">
            <w:pPr>
              <w:jc w:val="both"/>
              <w:rPr>
                <w:sz w:val="20"/>
              </w:rPr>
            </w:pPr>
          </w:p>
        </w:tc>
        <w:tc>
          <w:tcPr>
            <w:tcW w:w="2330" w:type="pct"/>
          </w:tcPr>
          <w:p w:rsidR="007775F6" w:rsidRPr="004B7487" w:rsidRDefault="007775F6" w:rsidP="007775F6">
            <w:pPr>
              <w:jc w:val="both"/>
              <w:rPr>
                <w:sz w:val="20"/>
              </w:rPr>
            </w:pPr>
            <w:r w:rsidRPr="004B7487">
              <w:rPr>
                <w:sz w:val="20"/>
              </w:rPr>
              <w:t>Appeal as a result of reduction or denial of certain charitable donation credits claimed in relation to participation in the Canadian Humanitarian Trust donation program for  2005 taxation year dismissed</w:t>
            </w:r>
          </w:p>
          <w:p w:rsidR="007775F6" w:rsidRPr="004B7487" w:rsidRDefault="007775F6" w:rsidP="007775F6">
            <w:pPr>
              <w:jc w:val="both"/>
              <w:rPr>
                <w:sz w:val="20"/>
              </w:rPr>
            </w:pPr>
          </w:p>
        </w:tc>
      </w:tr>
      <w:tr w:rsidR="007775F6" w:rsidRPr="004B7487" w:rsidTr="00C57E15">
        <w:tc>
          <w:tcPr>
            <w:tcW w:w="2427" w:type="pct"/>
            <w:gridSpan w:val="2"/>
          </w:tcPr>
          <w:p w:rsidR="007775F6" w:rsidRPr="004B7487" w:rsidRDefault="007775F6" w:rsidP="007775F6">
            <w:pPr>
              <w:jc w:val="both"/>
              <w:rPr>
                <w:sz w:val="20"/>
              </w:rPr>
            </w:pPr>
            <w:r w:rsidRPr="004B7487">
              <w:rPr>
                <w:sz w:val="20"/>
              </w:rPr>
              <w:t>May 20, 2020</w:t>
            </w:r>
          </w:p>
          <w:p w:rsidR="007775F6" w:rsidRPr="004B7487" w:rsidRDefault="007775F6" w:rsidP="007775F6">
            <w:pPr>
              <w:jc w:val="both"/>
              <w:rPr>
                <w:sz w:val="20"/>
              </w:rPr>
            </w:pPr>
            <w:r w:rsidRPr="004B7487">
              <w:rPr>
                <w:sz w:val="20"/>
              </w:rPr>
              <w:t>Federal Court of Appeal</w:t>
            </w:r>
          </w:p>
          <w:p w:rsidR="007775F6" w:rsidRPr="004B7487" w:rsidRDefault="007775F6" w:rsidP="007775F6">
            <w:pPr>
              <w:jc w:val="both"/>
              <w:rPr>
                <w:sz w:val="20"/>
              </w:rPr>
            </w:pPr>
            <w:r w:rsidRPr="004B7487">
              <w:rPr>
                <w:sz w:val="20"/>
              </w:rPr>
              <w:t>(Webb, Rennie and Mactavish JJ.A.)</w:t>
            </w:r>
          </w:p>
          <w:p w:rsidR="007775F6" w:rsidRPr="004B7487" w:rsidRDefault="007775F6" w:rsidP="007775F6">
            <w:pPr>
              <w:jc w:val="both"/>
              <w:rPr>
                <w:sz w:val="20"/>
              </w:rPr>
            </w:pPr>
            <w:r w:rsidRPr="004B7487">
              <w:rPr>
                <w:sz w:val="20"/>
              </w:rPr>
              <w:t>File no. A</w:t>
            </w:r>
            <w:r w:rsidRPr="004B7487">
              <w:rPr>
                <w:sz w:val="20"/>
              </w:rPr>
              <w:noBreakHyphen/>
              <w:t>398</w:t>
            </w:r>
            <w:r w:rsidRPr="004B7487">
              <w:rPr>
                <w:sz w:val="20"/>
              </w:rPr>
              <w:noBreakHyphen/>
              <w:t>18</w:t>
            </w:r>
          </w:p>
          <w:p w:rsidR="007775F6" w:rsidRPr="004B7487" w:rsidRDefault="004B7487" w:rsidP="007775F6">
            <w:pPr>
              <w:jc w:val="both"/>
              <w:rPr>
                <w:sz w:val="20"/>
              </w:rPr>
            </w:pPr>
            <w:hyperlink r:id="rId101" w:history="1">
              <w:r w:rsidR="007775F6" w:rsidRPr="004B7487">
                <w:rPr>
                  <w:rStyle w:val="Hyperlink"/>
                  <w:sz w:val="20"/>
                </w:rPr>
                <w:t>2020 FCA 93</w:t>
              </w:r>
            </w:hyperlink>
          </w:p>
          <w:p w:rsidR="007775F6" w:rsidRPr="004B7487" w:rsidRDefault="007775F6" w:rsidP="007775F6">
            <w:pPr>
              <w:jc w:val="both"/>
              <w:rPr>
                <w:sz w:val="20"/>
              </w:rPr>
            </w:pPr>
          </w:p>
        </w:tc>
        <w:tc>
          <w:tcPr>
            <w:tcW w:w="243" w:type="pct"/>
          </w:tcPr>
          <w:p w:rsidR="007775F6" w:rsidRPr="004B7487" w:rsidRDefault="007775F6" w:rsidP="007775F6">
            <w:pPr>
              <w:jc w:val="both"/>
              <w:rPr>
                <w:sz w:val="20"/>
              </w:rPr>
            </w:pPr>
          </w:p>
        </w:tc>
        <w:tc>
          <w:tcPr>
            <w:tcW w:w="2330" w:type="pct"/>
          </w:tcPr>
          <w:p w:rsidR="007775F6" w:rsidRPr="004B7487" w:rsidRDefault="007775F6" w:rsidP="007775F6">
            <w:pPr>
              <w:jc w:val="both"/>
              <w:rPr>
                <w:sz w:val="20"/>
              </w:rPr>
            </w:pPr>
            <w:r w:rsidRPr="004B7487">
              <w:rPr>
                <w:sz w:val="20"/>
              </w:rPr>
              <w:t>Appeal dismissed</w:t>
            </w:r>
          </w:p>
          <w:p w:rsidR="007775F6" w:rsidRPr="004B7487" w:rsidRDefault="007775F6" w:rsidP="007775F6">
            <w:pPr>
              <w:jc w:val="both"/>
              <w:rPr>
                <w:sz w:val="20"/>
              </w:rPr>
            </w:pPr>
          </w:p>
        </w:tc>
      </w:tr>
      <w:tr w:rsidR="007775F6" w:rsidRPr="004B7487" w:rsidTr="00C57E15">
        <w:tc>
          <w:tcPr>
            <w:tcW w:w="2427" w:type="pct"/>
            <w:gridSpan w:val="2"/>
          </w:tcPr>
          <w:p w:rsidR="007775F6" w:rsidRPr="004B7487" w:rsidRDefault="007775F6" w:rsidP="007775F6">
            <w:pPr>
              <w:jc w:val="both"/>
              <w:rPr>
                <w:sz w:val="20"/>
              </w:rPr>
            </w:pPr>
            <w:r w:rsidRPr="004B7487">
              <w:rPr>
                <w:sz w:val="20"/>
              </w:rPr>
              <w:t>August 18, 2020</w:t>
            </w:r>
          </w:p>
          <w:p w:rsidR="007775F6" w:rsidRPr="004B7487" w:rsidRDefault="007775F6" w:rsidP="007775F6">
            <w:pPr>
              <w:jc w:val="both"/>
              <w:rPr>
                <w:sz w:val="20"/>
              </w:rPr>
            </w:pPr>
            <w:r w:rsidRPr="004B7487">
              <w:rPr>
                <w:sz w:val="20"/>
              </w:rPr>
              <w:t>Supreme Court of Canada</w:t>
            </w:r>
          </w:p>
        </w:tc>
        <w:tc>
          <w:tcPr>
            <w:tcW w:w="243" w:type="pct"/>
          </w:tcPr>
          <w:p w:rsidR="007775F6" w:rsidRPr="004B7487" w:rsidRDefault="007775F6" w:rsidP="007775F6">
            <w:pPr>
              <w:jc w:val="both"/>
              <w:rPr>
                <w:sz w:val="20"/>
              </w:rPr>
            </w:pPr>
          </w:p>
        </w:tc>
        <w:tc>
          <w:tcPr>
            <w:tcW w:w="2330" w:type="pct"/>
          </w:tcPr>
          <w:p w:rsidR="007775F6" w:rsidRPr="004B7487" w:rsidRDefault="007775F6" w:rsidP="007775F6">
            <w:pPr>
              <w:jc w:val="both"/>
              <w:rPr>
                <w:sz w:val="20"/>
              </w:rPr>
            </w:pPr>
            <w:r w:rsidRPr="004B7487">
              <w:rPr>
                <w:sz w:val="20"/>
              </w:rPr>
              <w:t>Application for leave to appeal filed</w:t>
            </w:r>
          </w:p>
          <w:p w:rsidR="007775F6" w:rsidRPr="004B7487" w:rsidRDefault="007775F6" w:rsidP="007775F6">
            <w:pPr>
              <w:jc w:val="both"/>
              <w:rPr>
                <w:sz w:val="20"/>
              </w:rPr>
            </w:pPr>
          </w:p>
        </w:tc>
      </w:tr>
    </w:tbl>
    <w:p w:rsidR="007775F6" w:rsidRPr="004B7487" w:rsidRDefault="007775F6" w:rsidP="007775F6">
      <w:pPr>
        <w:jc w:val="both"/>
        <w:rPr>
          <w:sz w:val="20"/>
        </w:rPr>
      </w:pPr>
    </w:p>
    <w:p w:rsidR="00D36103" w:rsidRPr="004B7487" w:rsidRDefault="004B7487" w:rsidP="007775F6">
      <w:pPr>
        <w:jc w:val="both"/>
        <w:rPr>
          <w:sz w:val="20"/>
        </w:rPr>
      </w:pPr>
      <w:r w:rsidRPr="004B7487">
        <w:rPr>
          <w:sz w:val="20"/>
        </w:rPr>
        <w:lastRenderedPageBreak/>
        <w:pict>
          <v:rect id="_x0000_i1065" style="width:2in;height:1pt" o:hrpct="0" o:hralign="center" o:hrstd="t" o:hrnoshade="t" o:hr="t" fillcolor="black [3213]" stroked="f"/>
        </w:pict>
      </w:r>
    </w:p>
    <w:p w:rsidR="00D36103" w:rsidRPr="004B7487" w:rsidRDefault="00D36103" w:rsidP="007775F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775F6" w:rsidRPr="004B7487" w:rsidTr="00E95A6A">
        <w:tc>
          <w:tcPr>
            <w:tcW w:w="543" w:type="pct"/>
          </w:tcPr>
          <w:p w:rsidR="007775F6" w:rsidRPr="004B7487" w:rsidRDefault="007775F6" w:rsidP="007775F6">
            <w:pPr>
              <w:jc w:val="both"/>
              <w:rPr>
                <w:sz w:val="20"/>
                <w:lang w:val="fr-CA"/>
              </w:rPr>
            </w:pPr>
            <w:r w:rsidRPr="004B7487">
              <w:rPr>
                <w:rStyle w:val="SCCFileNumberChar"/>
                <w:sz w:val="20"/>
                <w:szCs w:val="20"/>
                <w:lang w:val="fr-CA"/>
              </w:rPr>
              <w:t>39303</w:t>
            </w:r>
          </w:p>
        </w:tc>
        <w:tc>
          <w:tcPr>
            <w:tcW w:w="4457" w:type="pct"/>
            <w:gridSpan w:val="3"/>
          </w:tcPr>
          <w:p w:rsidR="007775F6" w:rsidRPr="004B7487" w:rsidRDefault="007775F6" w:rsidP="007775F6">
            <w:pPr>
              <w:pStyle w:val="SCCLsocParty"/>
              <w:jc w:val="both"/>
              <w:rPr>
                <w:b/>
                <w:sz w:val="20"/>
                <w:szCs w:val="20"/>
              </w:rPr>
            </w:pPr>
            <w:r w:rsidRPr="004B7487">
              <w:rPr>
                <w:b/>
                <w:sz w:val="20"/>
                <w:szCs w:val="20"/>
              </w:rPr>
              <w:t>Dieter Eisbrenner c. Sa Majesté la Reine</w:t>
            </w:r>
          </w:p>
          <w:p w:rsidR="007775F6" w:rsidRPr="004B7487" w:rsidRDefault="007775F6" w:rsidP="007775F6">
            <w:pPr>
              <w:jc w:val="both"/>
              <w:rPr>
                <w:sz w:val="20"/>
                <w:lang w:val="fr-CA"/>
              </w:rPr>
            </w:pPr>
            <w:r w:rsidRPr="004B7487">
              <w:rPr>
                <w:sz w:val="20"/>
                <w:lang w:val="fr-CA"/>
              </w:rPr>
              <w:t>(C</w:t>
            </w:r>
            <w:r w:rsidR="00D36103" w:rsidRPr="004B7487">
              <w:rPr>
                <w:sz w:val="20"/>
                <w:lang w:val="fr-CA"/>
              </w:rPr>
              <w:t>.</w:t>
            </w:r>
            <w:r w:rsidRPr="004B7487">
              <w:rPr>
                <w:sz w:val="20"/>
                <w:lang w:val="fr-CA"/>
              </w:rPr>
              <w:t>F</w:t>
            </w:r>
            <w:r w:rsidR="00D36103" w:rsidRPr="004B7487">
              <w:rPr>
                <w:sz w:val="20"/>
                <w:lang w:val="fr-CA"/>
              </w:rPr>
              <w:t>.</w:t>
            </w:r>
            <w:r w:rsidRPr="004B7487">
              <w:rPr>
                <w:sz w:val="20"/>
                <w:lang w:val="fr-CA"/>
              </w:rPr>
              <w:t>) (Civile) (Autorisation)</w:t>
            </w:r>
          </w:p>
        </w:tc>
      </w:tr>
      <w:tr w:rsidR="007775F6" w:rsidRPr="004B7487" w:rsidTr="00E95A6A">
        <w:tc>
          <w:tcPr>
            <w:tcW w:w="5000" w:type="pct"/>
            <w:gridSpan w:val="4"/>
          </w:tcPr>
          <w:p w:rsidR="007775F6" w:rsidRPr="004B7487" w:rsidRDefault="007775F6" w:rsidP="007775F6">
            <w:pPr>
              <w:jc w:val="both"/>
              <w:rPr>
                <w:color w:val="000000"/>
                <w:sz w:val="20"/>
                <w:shd w:val="clear" w:color="auto" w:fill="FFFFFF"/>
                <w:lang w:val="fr-CA"/>
              </w:rPr>
            </w:pPr>
            <w:r w:rsidRPr="004B7487">
              <w:rPr>
                <w:sz w:val="20"/>
                <w:lang w:val="fr-CA"/>
              </w:rPr>
              <w:t xml:space="preserve">Droit fiscal — Impôt sur le revenu — Don de bienfaisance — Produits pharmaceutiques —Propriété — Hypothèses de fait du ministre — Fardeau et norme de preuve — </w:t>
            </w:r>
            <w:r w:rsidRPr="004B7487">
              <w:rPr>
                <w:color w:val="000000"/>
                <w:sz w:val="20"/>
                <w:shd w:val="clear" w:color="auto" w:fill="FFFFFF"/>
                <w:lang w:val="fr-CA"/>
              </w:rPr>
              <w:t xml:space="preserve">Don en argent fait par le contribuable demandeur en 2005 dans le cadre du programme Canadian Humanitarian (« CH ») Trust — En échange d’un don en argent fait à un organisme de bienfaisance enregistré, le contribuable demandeur obtenait des reçus d’impôt et était choisi comme bénéficiaire de capital d’une fiducie CH lui donnant droit à un certain nombre d’unités de médicaments essentiels, lesquelles étaient assujetties à un privilège — Au moyen d’actes de donation, le contribuable transférait par la suite les unités de médicaments à un autre organisme de bienfaisance enregistré pour distribution par un autre organisme aux pays dans le besoin, et obtenait des reçus officiels de dons « en nature » — Le ministre a accordé le crédit d’impôt pour le don en argent, mais non à l’égard du transfert de produits pharmaceutiques, parce qu’il a supposé que le titre des produits pharmaceutiques n’avait jamais été transféré au contribuable — </w:t>
            </w:r>
            <w:r w:rsidRPr="004B7487">
              <w:rPr>
                <w:color w:val="000000"/>
                <w:sz w:val="20"/>
                <w:lang w:val="fr-CA"/>
              </w:rPr>
              <w:t>Quelle est la bonne façon d’aborder le fardeau de la preuve, la norme de preuve ainsi que le rôle et l’effet des hypothèses de fait formulées par le ministre dans l’établissement de la cotisation</w:t>
            </w:r>
            <w:r w:rsidRPr="004B7487">
              <w:rPr>
                <w:color w:val="000000"/>
                <w:sz w:val="20"/>
                <w:shd w:val="clear" w:color="auto" w:fill="FFFFFF"/>
                <w:lang w:val="fr-CA"/>
              </w:rPr>
              <w:t>?</w:t>
            </w:r>
          </w:p>
          <w:p w:rsidR="007775F6" w:rsidRPr="004B7487" w:rsidRDefault="007775F6" w:rsidP="007775F6">
            <w:pPr>
              <w:jc w:val="both"/>
              <w:rPr>
                <w:sz w:val="20"/>
                <w:lang w:val="fr-CA"/>
              </w:rPr>
            </w:pPr>
          </w:p>
        </w:tc>
      </w:tr>
      <w:tr w:rsidR="007775F6" w:rsidRPr="004B7487" w:rsidTr="00E95A6A">
        <w:tc>
          <w:tcPr>
            <w:tcW w:w="5000" w:type="pct"/>
            <w:gridSpan w:val="4"/>
          </w:tcPr>
          <w:p w:rsidR="007775F6" w:rsidRPr="004B7487" w:rsidRDefault="007775F6" w:rsidP="00D36103">
            <w:pPr>
              <w:jc w:val="both"/>
              <w:rPr>
                <w:sz w:val="20"/>
                <w:lang w:val="fr-CA"/>
              </w:rPr>
            </w:pPr>
            <w:r w:rsidRPr="004B7487">
              <w:rPr>
                <w:sz w:val="20"/>
                <w:lang w:val="fr-CA"/>
              </w:rPr>
              <w:t>En 2005, le contribuable demandeur, M. Eisbrenner, a participé à un programme de dons appelé le Canadian Humanitarian Trust. En faisant cela, il a obtenu des reçus de dons de bienfaisance. Deux d’entre eux se rapportaient à des paiements en argent effectués par celui</w:t>
            </w:r>
            <w:r w:rsidRPr="004B7487">
              <w:rPr>
                <w:sz w:val="20"/>
                <w:lang w:val="fr-CA"/>
              </w:rPr>
              <w:noBreakHyphen/>
              <w:t xml:space="preserve">ci à un organisme de bienfaisance, et deux autres avaient trait à des produits pharmaceutiques qu’il prétendait avoir donnés à un autre organisme de bienfaisance. Dans sa déclaration de revenus de 2005, M. Eisbrenner a réclamé des crédits pour dons de bienfaisance relativement à ces reçus. Dans l’établissement de la nouvelle cotisation de M. Eisbrenner, le ministre du Revenu national a rejeté les réclamations de crédits pour dons de bienfaisance relativement aux reçus délivrés par l’organisme de bienfaisance recueillant des dons en nature. Il en est ainsi parce que, contrairement à ce qui a été allégué dans l’avis d’appel de M. Eisbrenner, le ministre a supposé dans sa réponse que ce dernier n’avait jamais pris possession d’un produit pharmaceutique et n’en avait jamais acquis le titre non plus. La Cour de l’impôt a rejeté l’appel de M. Eisbrenner. Le juge de première instance a statué que M. Eisbrenner n’avait pas réussi à établir, selon une norme </w:t>
            </w:r>
            <w:r w:rsidRPr="004B7487">
              <w:rPr>
                <w:i/>
                <w:sz w:val="20"/>
                <w:lang w:val="fr-CA"/>
              </w:rPr>
              <w:t>prima facie</w:t>
            </w:r>
            <w:r w:rsidRPr="004B7487">
              <w:rPr>
                <w:sz w:val="20"/>
                <w:lang w:val="fr-CA"/>
              </w:rPr>
              <w:t>, qu’il avait acquis les produits pharmaceutiques, et qu’il ne pouvait donc pas en faire don à l’organisme de bienfaisance recueillant des dons en nature. La Cour d’appel fédérale a rejeté l’appel de M. Eisbrenner. Elle a souligné qu’il incombait à celui</w:t>
            </w:r>
            <w:r w:rsidRPr="004B7487">
              <w:rPr>
                <w:sz w:val="20"/>
                <w:lang w:val="fr-CA"/>
              </w:rPr>
              <w:noBreakHyphen/>
              <w:t>ci de prouver les allégations faites dans son avis d’appel, selon lesquelles il avait acquis les produits pharmaceutiques et en était le propriétaire en common law et le propriétaire bénéficiaire avant leur don, et ce, suivant la prépondérance des probabilités.</w:t>
            </w:r>
          </w:p>
        </w:tc>
      </w:tr>
      <w:tr w:rsidR="007775F6" w:rsidRPr="004B7487" w:rsidTr="00E95A6A">
        <w:tc>
          <w:tcPr>
            <w:tcW w:w="5000" w:type="pct"/>
            <w:gridSpan w:val="4"/>
          </w:tcPr>
          <w:p w:rsidR="007775F6" w:rsidRPr="004B7487" w:rsidRDefault="007775F6" w:rsidP="007775F6">
            <w:pPr>
              <w:jc w:val="both"/>
              <w:rPr>
                <w:sz w:val="20"/>
                <w:lang w:val="fr-CA"/>
              </w:rPr>
            </w:pPr>
          </w:p>
        </w:tc>
      </w:tr>
      <w:tr w:rsidR="007775F6" w:rsidRPr="004B7487" w:rsidTr="00C57E15">
        <w:tc>
          <w:tcPr>
            <w:tcW w:w="2427" w:type="pct"/>
            <w:gridSpan w:val="2"/>
          </w:tcPr>
          <w:p w:rsidR="007775F6" w:rsidRPr="004B7487" w:rsidRDefault="007775F6" w:rsidP="00D36103">
            <w:pPr>
              <w:rPr>
                <w:sz w:val="20"/>
                <w:lang w:val="fr-CA"/>
              </w:rPr>
            </w:pPr>
            <w:r w:rsidRPr="004B7487">
              <w:rPr>
                <w:sz w:val="20"/>
                <w:lang w:val="fr-CA"/>
              </w:rPr>
              <w:t>7 novembre 2018 (jugement modifié le 23 novembre 2018)</w:t>
            </w:r>
          </w:p>
          <w:p w:rsidR="007775F6" w:rsidRPr="004B7487" w:rsidRDefault="007775F6" w:rsidP="007775F6">
            <w:pPr>
              <w:jc w:val="both"/>
              <w:rPr>
                <w:sz w:val="20"/>
                <w:lang w:val="fr-CA"/>
              </w:rPr>
            </w:pPr>
            <w:r w:rsidRPr="004B7487">
              <w:rPr>
                <w:sz w:val="20"/>
                <w:lang w:val="fr-CA"/>
              </w:rPr>
              <w:t>Cour canadienne de l’impôt</w:t>
            </w:r>
          </w:p>
          <w:p w:rsidR="007775F6" w:rsidRPr="004B7487" w:rsidRDefault="007775F6" w:rsidP="00D36103">
            <w:pPr>
              <w:rPr>
                <w:sz w:val="20"/>
                <w:lang w:val="fr-CA"/>
              </w:rPr>
            </w:pPr>
            <w:r w:rsidRPr="004B7487">
              <w:rPr>
                <w:sz w:val="20"/>
                <w:lang w:val="fr-CA"/>
              </w:rPr>
              <w:t>(Juge Owen)</w:t>
            </w:r>
          </w:p>
          <w:p w:rsidR="007775F6" w:rsidRPr="004B7487" w:rsidRDefault="007775F6" w:rsidP="007775F6">
            <w:pPr>
              <w:jc w:val="both"/>
              <w:rPr>
                <w:color w:val="000000"/>
                <w:sz w:val="20"/>
                <w:shd w:val="clear" w:color="auto" w:fill="FFFFFF"/>
                <w:lang w:val="fr-CA"/>
              </w:rPr>
            </w:pPr>
            <w:r w:rsidRPr="004B7487">
              <w:rPr>
                <w:sz w:val="20"/>
                <w:lang w:val="fr-CA"/>
              </w:rPr>
              <w:t>N</w:t>
            </w:r>
            <w:r w:rsidRPr="004B7487">
              <w:rPr>
                <w:sz w:val="20"/>
                <w:vertAlign w:val="superscript"/>
                <w:lang w:val="fr-CA"/>
              </w:rPr>
              <w:t>os</w:t>
            </w:r>
            <w:r w:rsidRPr="004B7487">
              <w:rPr>
                <w:sz w:val="20"/>
                <w:lang w:val="fr-CA"/>
              </w:rPr>
              <w:t xml:space="preserve"> du greffe : 2015</w:t>
            </w:r>
            <w:r w:rsidRPr="004B7487">
              <w:rPr>
                <w:sz w:val="20"/>
                <w:lang w:val="fr-CA"/>
              </w:rPr>
              <w:noBreakHyphen/>
              <w:t>858(IT</w:t>
            </w:r>
            <w:proofErr w:type="gramStart"/>
            <w:r w:rsidRPr="004B7487">
              <w:rPr>
                <w:sz w:val="20"/>
                <w:lang w:val="fr-CA"/>
              </w:rPr>
              <w:t>)G</w:t>
            </w:r>
            <w:proofErr w:type="gramEnd"/>
          </w:p>
          <w:p w:rsidR="007775F6" w:rsidRPr="004B7487" w:rsidRDefault="004B7487" w:rsidP="007775F6">
            <w:pPr>
              <w:jc w:val="both"/>
              <w:rPr>
                <w:sz w:val="20"/>
                <w:lang w:val="fr-CA"/>
              </w:rPr>
            </w:pPr>
            <w:hyperlink r:id="rId102" w:history="1">
              <w:r w:rsidR="007775F6" w:rsidRPr="004B7487">
                <w:rPr>
                  <w:rStyle w:val="Hyperlink"/>
                  <w:sz w:val="20"/>
                  <w:lang w:val="fr-CA"/>
                </w:rPr>
                <w:t>2018 CCI 220</w:t>
              </w:r>
            </w:hyperlink>
          </w:p>
          <w:p w:rsidR="007775F6" w:rsidRPr="004B7487" w:rsidRDefault="007775F6" w:rsidP="007775F6">
            <w:pPr>
              <w:jc w:val="both"/>
              <w:rPr>
                <w:sz w:val="20"/>
                <w:lang w:val="fr-CA"/>
              </w:rPr>
            </w:pPr>
          </w:p>
        </w:tc>
        <w:tc>
          <w:tcPr>
            <w:tcW w:w="243" w:type="pct"/>
          </w:tcPr>
          <w:p w:rsidR="007775F6" w:rsidRPr="004B7487" w:rsidRDefault="007775F6" w:rsidP="007775F6">
            <w:pPr>
              <w:jc w:val="both"/>
              <w:rPr>
                <w:sz w:val="20"/>
                <w:lang w:val="fr-CA"/>
              </w:rPr>
            </w:pPr>
          </w:p>
        </w:tc>
        <w:tc>
          <w:tcPr>
            <w:tcW w:w="2330" w:type="pct"/>
          </w:tcPr>
          <w:p w:rsidR="007775F6" w:rsidRPr="004B7487" w:rsidRDefault="007775F6" w:rsidP="007775F6">
            <w:pPr>
              <w:jc w:val="both"/>
              <w:rPr>
                <w:sz w:val="20"/>
                <w:lang w:val="fr-CA"/>
              </w:rPr>
            </w:pPr>
            <w:r w:rsidRPr="004B7487">
              <w:rPr>
                <w:sz w:val="20"/>
                <w:lang w:val="fr-CA"/>
              </w:rPr>
              <w:t>Jugement rejetant l’appel interjeté en raison de la réduction ou du rejet de certains crédits pour dons de bienfaisance réclamés dans le contexte de la participation au programme de dons Canadian Humanitarian Trust pour l’année d’imposition 2005</w:t>
            </w:r>
          </w:p>
          <w:p w:rsidR="007775F6" w:rsidRPr="004B7487" w:rsidRDefault="007775F6" w:rsidP="007775F6">
            <w:pPr>
              <w:jc w:val="both"/>
              <w:rPr>
                <w:sz w:val="20"/>
                <w:lang w:val="fr-CA"/>
              </w:rPr>
            </w:pPr>
          </w:p>
        </w:tc>
      </w:tr>
      <w:tr w:rsidR="007775F6" w:rsidRPr="004B7487" w:rsidTr="00C57E15">
        <w:tc>
          <w:tcPr>
            <w:tcW w:w="2427" w:type="pct"/>
            <w:gridSpan w:val="2"/>
          </w:tcPr>
          <w:p w:rsidR="007775F6" w:rsidRPr="004B7487" w:rsidRDefault="007775F6" w:rsidP="007775F6">
            <w:pPr>
              <w:jc w:val="both"/>
              <w:rPr>
                <w:sz w:val="20"/>
                <w:lang w:val="fr-CA"/>
              </w:rPr>
            </w:pPr>
            <w:r w:rsidRPr="004B7487">
              <w:rPr>
                <w:sz w:val="20"/>
                <w:lang w:val="fr-CA"/>
              </w:rPr>
              <w:t>20 mai 2020</w:t>
            </w:r>
          </w:p>
          <w:p w:rsidR="007775F6" w:rsidRPr="004B7487" w:rsidRDefault="007775F6" w:rsidP="007775F6">
            <w:pPr>
              <w:jc w:val="both"/>
              <w:rPr>
                <w:sz w:val="20"/>
                <w:lang w:val="fr-CA"/>
              </w:rPr>
            </w:pPr>
            <w:r w:rsidRPr="004B7487">
              <w:rPr>
                <w:sz w:val="20"/>
                <w:lang w:val="fr-CA"/>
              </w:rPr>
              <w:t>Cour d’appel fédérale</w:t>
            </w:r>
          </w:p>
          <w:p w:rsidR="007775F6" w:rsidRPr="004B7487" w:rsidRDefault="007775F6" w:rsidP="007775F6">
            <w:pPr>
              <w:jc w:val="both"/>
              <w:rPr>
                <w:sz w:val="20"/>
                <w:lang w:val="fr-CA"/>
              </w:rPr>
            </w:pPr>
            <w:r w:rsidRPr="004B7487">
              <w:rPr>
                <w:sz w:val="20"/>
                <w:lang w:val="fr-CA"/>
              </w:rPr>
              <w:t>(Juges Webb, Rennie et Mactavish)</w:t>
            </w:r>
          </w:p>
          <w:p w:rsidR="007775F6" w:rsidRPr="004B7487" w:rsidRDefault="007775F6" w:rsidP="007775F6">
            <w:pPr>
              <w:jc w:val="both"/>
              <w:rPr>
                <w:sz w:val="20"/>
                <w:lang w:val="fr-CA"/>
              </w:rPr>
            </w:pPr>
            <w:r w:rsidRPr="004B7487">
              <w:rPr>
                <w:sz w:val="20"/>
                <w:lang w:val="fr-CA"/>
              </w:rPr>
              <w:t>N</w:t>
            </w:r>
            <w:r w:rsidRPr="004B7487">
              <w:rPr>
                <w:sz w:val="20"/>
                <w:vertAlign w:val="superscript"/>
                <w:lang w:val="fr-CA"/>
              </w:rPr>
              <w:t>o</w:t>
            </w:r>
            <w:r w:rsidRPr="004B7487">
              <w:rPr>
                <w:sz w:val="20"/>
                <w:lang w:val="fr-CA"/>
              </w:rPr>
              <w:t xml:space="preserve"> du greffe : A</w:t>
            </w:r>
            <w:r w:rsidRPr="004B7487">
              <w:rPr>
                <w:sz w:val="20"/>
                <w:lang w:val="fr-CA"/>
              </w:rPr>
              <w:noBreakHyphen/>
              <w:t>398</w:t>
            </w:r>
            <w:r w:rsidRPr="004B7487">
              <w:rPr>
                <w:sz w:val="20"/>
                <w:lang w:val="fr-CA"/>
              </w:rPr>
              <w:noBreakHyphen/>
              <w:t>18</w:t>
            </w:r>
          </w:p>
          <w:p w:rsidR="007775F6" w:rsidRPr="004B7487" w:rsidRDefault="004B7487" w:rsidP="007775F6">
            <w:pPr>
              <w:jc w:val="both"/>
              <w:rPr>
                <w:sz w:val="20"/>
                <w:lang w:val="fr-CA"/>
              </w:rPr>
            </w:pPr>
            <w:hyperlink r:id="rId103" w:history="1">
              <w:r w:rsidR="007775F6" w:rsidRPr="004B7487">
                <w:rPr>
                  <w:rStyle w:val="Hyperlink"/>
                  <w:sz w:val="20"/>
                  <w:lang w:val="fr-CA"/>
                </w:rPr>
                <w:t>2020 CAF 93</w:t>
              </w:r>
            </w:hyperlink>
          </w:p>
          <w:p w:rsidR="007775F6" w:rsidRPr="004B7487" w:rsidRDefault="007775F6" w:rsidP="007775F6">
            <w:pPr>
              <w:jc w:val="both"/>
              <w:rPr>
                <w:sz w:val="20"/>
                <w:lang w:val="fr-CA"/>
              </w:rPr>
            </w:pPr>
          </w:p>
        </w:tc>
        <w:tc>
          <w:tcPr>
            <w:tcW w:w="243" w:type="pct"/>
          </w:tcPr>
          <w:p w:rsidR="007775F6" w:rsidRPr="004B7487" w:rsidRDefault="007775F6" w:rsidP="007775F6">
            <w:pPr>
              <w:jc w:val="both"/>
              <w:rPr>
                <w:sz w:val="20"/>
                <w:lang w:val="fr-CA"/>
              </w:rPr>
            </w:pPr>
          </w:p>
        </w:tc>
        <w:tc>
          <w:tcPr>
            <w:tcW w:w="2330" w:type="pct"/>
          </w:tcPr>
          <w:p w:rsidR="007775F6" w:rsidRPr="004B7487" w:rsidRDefault="007775F6" w:rsidP="007775F6">
            <w:pPr>
              <w:jc w:val="both"/>
              <w:rPr>
                <w:sz w:val="20"/>
                <w:lang w:val="fr-CA"/>
              </w:rPr>
            </w:pPr>
            <w:r w:rsidRPr="004B7487">
              <w:rPr>
                <w:sz w:val="20"/>
                <w:lang w:val="fr-CA"/>
              </w:rPr>
              <w:t>Arrêt rejetant l’appel</w:t>
            </w:r>
          </w:p>
          <w:p w:rsidR="007775F6" w:rsidRPr="004B7487" w:rsidRDefault="007775F6" w:rsidP="007775F6">
            <w:pPr>
              <w:jc w:val="both"/>
              <w:rPr>
                <w:sz w:val="20"/>
                <w:lang w:val="fr-CA"/>
              </w:rPr>
            </w:pPr>
          </w:p>
        </w:tc>
      </w:tr>
      <w:tr w:rsidR="007775F6" w:rsidRPr="004B7487" w:rsidTr="00C57E15">
        <w:tc>
          <w:tcPr>
            <w:tcW w:w="2427" w:type="pct"/>
            <w:gridSpan w:val="2"/>
          </w:tcPr>
          <w:p w:rsidR="007775F6" w:rsidRPr="004B7487" w:rsidRDefault="007775F6" w:rsidP="007775F6">
            <w:pPr>
              <w:jc w:val="both"/>
              <w:rPr>
                <w:sz w:val="20"/>
                <w:lang w:val="fr-CA"/>
              </w:rPr>
            </w:pPr>
            <w:r w:rsidRPr="004B7487">
              <w:rPr>
                <w:sz w:val="20"/>
                <w:lang w:val="fr-CA"/>
              </w:rPr>
              <w:t>18 août 2020</w:t>
            </w:r>
          </w:p>
          <w:p w:rsidR="007775F6" w:rsidRPr="004B7487" w:rsidRDefault="007775F6" w:rsidP="007775F6">
            <w:pPr>
              <w:jc w:val="both"/>
              <w:rPr>
                <w:sz w:val="20"/>
                <w:lang w:val="fr-CA"/>
              </w:rPr>
            </w:pPr>
            <w:r w:rsidRPr="004B7487">
              <w:rPr>
                <w:sz w:val="20"/>
                <w:lang w:val="fr-CA"/>
              </w:rPr>
              <w:t>Cour suprême du Canada</w:t>
            </w:r>
          </w:p>
        </w:tc>
        <w:tc>
          <w:tcPr>
            <w:tcW w:w="243" w:type="pct"/>
          </w:tcPr>
          <w:p w:rsidR="007775F6" w:rsidRPr="004B7487" w:rsidRDefault="007775F6" w:rsidP="007775F6">
            <w:pPr>
              <w:jc w:val="both"/>
              <w:rPr>
                <w:sz w:val="20"/>
                <w:lang w:val="fr-CA"/>
              </w:rPr>
            </w:pPr>
          </w:p>
        </w:tc>
        <w:tc>
          <w:tcPr>
            <w:tcW w:w="2330" w:type="pct"/>
          </w:tcPr>
          <w:p w:rsidR="007775F6" w:rsidRPr="004B7487" w:rsidRDefault="007775F6" w:rsidP="007775F6">
            <w:pPr>
              <w:jc w:val="both"/>
              <w:rPr>
                <w:sz w:val="20"/>
                <w:lang w:val="fr-CA"/>
              </w:rPr>
            </w:pPr>
            <w:r w:rsidRPr="004B7487">
              <w:rPr>
                <w:sz w:val="20"/>
                <w:lang w:val="fr-CA"/>
              </w:rPr>
              <w:t>Dépôt d’une demande d’autorisation d’appel</w:t>
            </w:r>
          </w:p>
          <w:p w:rsidR="007775F6" w:rsidRPr="004B7487" w:rsidRDefault="007775F6" w:rsidP="007775F6">
            <w:pPr>
              <w:jc w:val="both"/>
              <w:rPr>
                <w:sz w:val="20"/>
                <w:lang w:val="fr-CA"/>
              </w:rPr>
            </w:pPr>
          </w:p>
        </w:tc>
      </w:tr>
    </w:tbl>
    <w:p w:rsidR="007775F6" w:rsidRPr="004B7487" w:rsidRDefault="007775F6" w:rsidP="007775F6">
      <w:pPr>
        <w:jc w:val="both"/>
        <w:rPr>
          <w:sz w:val="20"/>
          <w:lang w:val="fr-CA"/>
        </w:rPr>
      </w:pPr>
    </w:p>
    <w:p w:rsidR="00D36103" w:rsidRPr="004B7487" w:rsidRDefault="004B7487" w:rsidP="007775F6">
      <w:pPr>
        <w:jc w:val="both"/>
        <w:rPr>
          <w:sz w:val="20"/>
          <w:lang w:val="fr-CA"/>
        </w:rPr>
      </w:pPr>
      <w:r w:rsidRPr="004B7487">
        <w:rPr>
          <w:sz w:val="20"/>
        </w:rPr>
        <w:pict>
          <v:rect id="_x0000_i1066" style="width:2in;height:1pt" o:hrpct="0" o:hralign="center" o:hrstd="t" o:hrnoshade="t" o:hr="t" fillcolor="black [3213]" stroked="f"/>
        </w:pict>
      </w:r>
    </w:p>
    <w:p w:rsidR="00E70259" w:rsidRPr="004B7487" w:rsidRDefault="00E70259" w:rsidP="007775F6">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775F6" w:rsidRPr="004B7487" w:rsidTr="00E95A6A">
        <w:tc>
          <w:tcPr>
            <w:tcW w:w="543" w:type="pct"/>
          </w:tcPr>
          <w:p w:rsidR="007775F6" w:rsidRPr="004B7487" w:rsidRDefault="007775F6" w:rsidP="007775F6">
            <w:pPr>
              <w:jc w:val="both"/>
              <w:rPr>
                <w:sz w:val="20"/>
              </w:rPr>
            </w:pPr>
            <w:r w:rsidRPr="004B7487">
              <w:rPr>
                <w:rStyle w:val="SCCFileNumberChar"/>
                <w:sz w:val="20"/>
                <w:szCs w:val="20"/>
              </w:rPr>
              <w:t>39359</w:t>
            </w:r>
          </w:p>
        </w:tc>
        <w:tc>
          <w:tcPr>
            <w:tcW w:w="4457" w:type="pct"/>
            <w:gridSpan w:val="3"/>
          </w:tcPr>
          <w:p w:rsidR="007775F6" w:rsidRPr="004B7487" w:rsidRDefault="007775F6" w:rsidP="007775F6">
            <w:pPr>
              <w:pStyle w:val="SCCLsocParty"/>
              <w:jc w:val="both"/>
              <w:rPr>
                <w:b/>
                <w:sz w:val="20"/>
                <w:szCs w:val="20"/>
                <w:lang w:val="en-US"/>
              </w:rPr>
            </w:pPr>
            <w:r w:rsidRPr="004B7487">
              <w:rPr>
                <w:b/>
                <w:sz w:val="20"/>
                <w:szCs w:val="20"/>
                <w:lang w:val="en-US"/>
              </w:rPr>
              <w:t>V. Ross Morrison v. Her Majesty the Queen</w:t>
            </w:r>
          </w:p>
          <w:p w:rsidR="007775F6" w:rsidRPr="004B7487" w:rsidRDefault="007775F6" w:rsidP="007775F6">
            <w:pPr>
              <w:jc w:val="both"/>
              <w:rPr>
                <w:sz w:val="20"/>
              </w:rPr>
            </w:pPr>
            <w:r w:rsidRPr="004B7487">
              <w:rPr>
                <w:sz w:val="20"/>
              </w:rPr>
              <w:t>(F</w:t>
            </w:r>
            <w:r w:rsidR="00D36103" w:rsidRPr="004B7487">
              <w:rPr>
                <w:sz w:val="20"/>
              </w:rPr>
              <w:t>.</w:t>
            </w:r>
            <w:r w:rsidRPr="004B7487">
              <w:rPr>
                <w:sz w:val="20"/>
              </w:rPr>
              <w:t>C</w:t>
            </w:r>
            <w:r w:rsidR="00D36103" w:rsidRPr="004B7487">
              <w:rPr>
                <w:sz w:val="20"/>
              </w:rPr>
              <w:t>.</w:t>
            </w:r>
            <w:r w:rsidRPr="004B7487">
              <w:rPr>
                <w:sz w:val="20"/>
              </w:rPr>
              <w:t>) (Civil) (By Leave)</w:t>
            </w:r>
          </w:p>
        </w:tc>
      </w:tr>
      <w:tr w:rsidR="007775F6" w:rsidRPr="004B7487" w:rsidTr="00E95A6A">
        <w:tc>
          <w:tcPr>
            <w:tcW w:w="5000" w:type="pct"/>
            <w:gridSpan w:val="4"/>
          </w:tcPr>
          <w:p w:rsidR="007775F6" w:rsidRPr="004B7487" w:rsidRDefault="007775F6" w:rsidP="007775F6">
            <w:pPr>
              <w:jc w:val="both"/>
              <w:rPr>
                <w:sz w:val="20"/>
              </w:rPr>
            </w:pPr>
            <w:r w:rsidRPr="004B7487">
              <w:rPr>
                <w:sz w:val="20"/>
              </w:rPr>
              <w:t xml:space="preserve">Taxation — Income tax — Charitable donation — Pharmaceuticals — Ownership — Minister’s assumptions of fact — Burden and standard of proof — </w:t>
            </w:r>
            <w:r w:rsidRPr="004B7487">
              <w:rPr>
                <w:color w:val="000000"/>
                <w:sz w:val="20"/>
                <w:shd w:val="clear" w:color="auto" w:fill="FFFFFF"/>
              </w:rPr>
              <w:t xml:space="preserve">Cash donation made by applicant taxpayer in 2004 and 2005 under Canadian </w:t>
            </w:r>
            <w:r w:rsidRPr="004B7487">
              <w:rPr>
                <w:color w:val="000000"/>
                <w:sz w:val="20"/>
                <w:shd w:val="clear" w:color="auto" w:fill="FFFFFF"/>
              </w:rPr>
              <w:lastRenderedPageBreak/>
              <w:t xml:space="preserve">Humanitarian (“CH”) Trust program — In exchange for cash donation to registered charity, applicant taxpayer received tax receipts and was selected as capital beneficiary of a CH trust entitling him to a number of essential medicine units, which were subject to a lien — Taxpayer subsequently transferring medicine units through deeds of gift to other registered charity for distribution by other organization to countries in need, and receiving “in kind” tax receipts — Minister allowing tax credit based on cash donation, but not in relation to transfer of pharmaceuticals, because Minister assuming that title to pharmaceuticals had never been passed to taxpayer — </w:t>
            </w:r>
            <w:r w:rsidRPr="004B7487">
              <w:rPr>
                <w:color w:val="000000"/>
                <w:sz w:val="20"/>
              </w:rPr>
              <w:t>What is the correct approach to the burden of proof, standard of proof, and the role and effect of the facts assumed by the Minister in assessing tax</w:t>
            </w:r>
            <w:r w:rsidRPr="004B7487">
              <w:rPr>
                <w:color w:val="000000"/>
                <w:sz w:val="20"/>
                <w:shd w:val="clear" w:color="auto" w:fill="FFFFFF"/>
              </w:rPr>
              <w:t>?</w:t>
            </w:r>
          </w:p>
        </w:tc>
      </w:tr>
      <w:tr w:rsidR="007775F6" w:rsidRPr="004B7487" w:rsidTr="00E95A6A">
        <w:tc>
          <w:tcPr>
            <w:tcW w:w="5000" w:type="pct"/>
            <w:gridSpan w:val="4"/>
          </w:tcPr>
          <w:p w:rsidR="007775F6" w:rsidRPr="004B7487" w:rsidRDefault="007775F6" w:rsidP="007775F6">
            <w:pPr>
              <w:jc w:val="both"/>
              <w:rPr>
                <w:sz w:val="20"/>
              </w:rPr>
            </w:pPr>
          </w:p>
          <w:p w:rsidR="007775F6" w:rsidRPr="004B7487" w:rsidRDefault="007775F6" w:rsidP="00D36103">
            <w:pPr>
              <w:jc w:val="both"/>
              <w:rPr>
                <w:sz w:val="20"/>
              </w:rPr>
            </w:pPr>
            <w:r w:rsidRPr="004B7487">
              <w:rPr>
                <w:sz w:val="20"/>
              </w:rPr>
              <w:t>In 2004 and 2005, the applicant taxpayer, Mr. Morrison, participated in a donation program called the Canadian Humanitarian Trust. In so doing, he was issued charitable donation receipts. Some were in respect of cash payments made by him to a charity, and others were in respect of pharmaceuticals he claimed to have gifted to another charity. In his tax returns, Mr. Morrison claimed charitable donation credits in respect of these receipts. In reassessing Mr. Morrison, the Minister of National Revenue disallowed the charitable donation credits claimed in respect of receipts from the in</w:t>
            </w:r>
            <w:r w:rsidRPr="004B7487">
              <w:rPr>
                <w:sz w:val="20"/>
              </w:rPr>
              <w:noBreakHyphen/>
              <w:t xml:space="preserve">kind charity. This is because, contrary to what was pleaded in Mr. Morrison’s Notice of Appeal, the Minister assumed in his Reply that Mr. Morrison never took possession of, nor acquired title to, any pharmaceuticals. The Tax Court dismissed Mr. Morrison’s appeal. The trial judge found that Mr. Morrison failed to establish, on a </w:t>
            </w:r>
            <w:r w:rsidRPr="004B7487">
              <w:rPr>
                <w:i/>
                <w:sz w:val="20"/>
              </w:rPr>
              <w:t>prima facie</w:t>
            </w:r>
            <w:r w:rsidRPr="004B7487">
              <w:rPr>
                <w:sz w:val="20"/>
              </w:rPr>
              <w:t xml:space="preserve"> standard, that he had acquired the pharmaceuticals and therefore could not make a gift of them to the in-kind charity. The Federal Court of Appeal dismissed Mr. Morrison’s appeal. The court noted that Mr. Morrison bore the burden of proving the allegations made in his Notice of Appeal to the effect that he had acquired the pharmaceuticals and that he was the legal and beneficial owner of them prior to their donation, and so on a balance of probabilities.</w:t>
            </w:r>
          </w:p>
        </w:tc>
      </w:tr>
      <w:tr w:rsidR="007775F6" w:rsidRPr="004B7487" w:rsidTr="00E95A6A">
        <w:tc>
          <w:tcPr>
            <w:tcW w:w="5000" w:type="pct"/>
            <w:gridSpan w:val="4"/>
          </w:tcPr>
          <w:p w:rsidR="007775F6" w:rsidRPr="004B7487" w:rsidRDefault="007775F6" w:rsidP="007775F6">
            <w:pPr>
              <w:jc w:val="both"/>
              <w:rPr>
                <w:sz w:val="20"/>
              </w:rPr>
            </w:pPr>
          </w:p>
        </w:tc>
      </w:tr>
      <w:tr w:rsidR="007775F6" w:rsidRPr="004B7487" w:rsidTr="00E95A6A">
        <w:tc>
          <w:tcPr>
            <w:tcW w:w="2427" w:type="pct"/>
            <w:gridSpan w:val="2"/>
          </w:tcPr>
          <w:p w:rsidR="007775F6" w:rsidRPr="004B7487" w:rsidRDefault="007775F6" w:rsidP="007775F6">
            <w:pPr>
              <w:jc w:val="both"/>
              <w:rPr>
                <w:sz w:val="20"/>
              </w:rPr>
            </w:pPr>
            <w:r w:rsidRPr="004B7487">
              <w:rPr>
                <w:sz w:val="20"/>
              </w:rPr>
              <w:t xml:space="preserve">November 7, 2018 (amended November 23, </w:t>
            </w:r>
          </w:p>
          <w:p w:rsidR="007775F6" w:rsidRPr="004B7487" w:rsidRDefault="007775F6" w:rsidP="007775F6">
            <w:pPr>
              <w:jc w:val="both"/>
              <w:rPr>
                <w:sz w:val="20"/>
              </w:rPr>
            </w:pPr>
            <w:r w:rsidRPr="004B7487">
              <w:rPr>
                <w:sz w:val="20"/>
              </w:rPr>
              <w:t>2018)</w:t>
            </w:r>
          </w:p>
          <w:p w:rsidR="007775F6" w:rsidRPr="004B7487" w:rsidRDefault="007775F6" w:rsidP="007775F6">
            <w:pPr>
              <w:jc w:val="both"/>
              <w:rPr>
                <w:sz w:val="20"/>
              </w:rPr>
            </w:pPr>
            <w:r w:rsidRPr="004B7487">
              <w:rPr>
                <w:sz w:val="20"/>
              </w:rPr>
              <w:t>Tax Court of Canada</w:t>
            </w:r>
          </w:p>
          <w:p w:rsidR="007775F6" w:rsidRPr="004B7487" w:rsidRDefault="007775F6" w:rsidP="007775F6">
            <w:pPr>
              <w:jc w:val="both"/>
              <w:rPr>
                <w:sz w:val="20"/>
              </w:rPr>
            </w:pPr>
            <w:r w:rsidRPr="004B7487">
              <w:rPr>
                <w:sz w:val="20"/>
              </w:rPr>
              <w:t>(Owen J.)</w:t>
            </w:r>
          </w:p>
          <w:p w:rsidR="007775F6" w:rsidRPr="004B7487" w:rsidRDefault="007775F6" w:rsidP="007775F6">
            <w:pPr>
              <w:jc w:val="both"/>
              <w:rPr>
                <w:color w:val="000000"/>
                <w:sz w:val="20"/>
                <w:shd w:val="clear" w:color="auto" w:fill="FFFFFF"/>
              </w:rPr>
            </w:pPr>
            <w:r w:rsidRPr="004B7487">
              <w:rPr>
                <w:sz w:val="20"/>
              </w:rPr>
              <w:t xml:space="preserve">File nos. </w:t>
            </w:r>
            <w:r w:rsidRPr="004B7487">
              <w:rPr>
                <w:color w:val="000000"/>
                <w:sz w:val="20"/>
                <w:shd w:val="clear" w:color="auto" w:fill="FFFFFF"/>
              </w:rPr>
              <w:t>2008</w:t>
            </w:r>
            <w:r w:rsidRPr="004B7487">
              <w:rPr>
                <w:color w:val="000000"/>
                <w:sz w:val="20"/>
                <w:shd w:val="clear" w:color="auto" w:fill="FFFFFF"/>
              </w:rPr>
              <w:noBreakHyphen/>
              <w:t>2759(IT)G, 2008</w:t>
            </w:r>
            <w:r w:rsidRPr="004B7487">
              <w:rPr>
                <w:color w:val="000000"/>
                <w:sz w:val="20"/>
                <w:shd w:val="clear" w:color="auto" w:fill="FFFFFF"/>
              </w:rPr>
              <w:noBreakHyphen/>
              <w:t xml:space="preserve">2779(IT)G and </w:t>
            </w:r>
          </w:p>
          <w:p w:rsidR="007775F6" w:rsidRPr="004B7487" w:rsidRDefault="007775F6" w:rsidP="007775F6">
            <w:pPr>
              <w:jc w:val="both"/>
              <w:rPr>
                <w:color w:val="000000"/>
                <w:sz w:val="20"/>
                <w:shd w:val="clear" w:color="auto" w:fill="FFFFFF"/>
              </w:rPr>
            </w:pPr>
            <w:r w:rsidRPr="004B7487">
              <w:rPr>
                <w:color w:val="000000"/>
                <w:sz w:val="20"/>
                <w:shd w:val="clear" w:color="auto" w:fill="FFFFFF"/>
              </w:rPr>
              <w:t>2014</w:t>
            </w:r>
            <w:r w:rsidRPr="004B7487">
              <w:rPr>
                <w:color w:val="000000"/>
                <w:sz w:val="20"/>
                <w:shd w:val="clear" w:color="auto" w:fill="FFFFFF"/>
              </w:rPr>
              <w:noBreakHyphen/>
              <w:t>3231(IT)G</w:t>
            </w:r>
          </w:p>
          <w:p w:rsidR="007775F6" w:rsidRPr="004B7487" w:rsidRDefault="004B7487" w:rsidP="007775F6">
            <w:pPr>
              <w:jc w:val="both"/>
              <w:rPr>
                <w:sz w:val="20"/>
              </w:rPr>
            </w:pPr>
            <w:hyperlink r:id="rId104" w:history="1">
              <w:r w:rsidR="007775F6" w:rsidRPr="004B7487">
                <w:rPr>
                  <w:rStyle w:val="Hyperlink"/>
                  <w:sz w:val="20"/>
                </w:rPr>
                <w:t>2018 TCC 220</w:t>
              </w:r>
            </w:hyperlink>
          </w:p>
          <w:p w:rsidR="007775F6" w:rsidRPr="004B7487" w:rsidRDefault="007775F6" w:rsidP="007775F6">
            <w:pPr>
              <w:jc w:val="both"/>
              <w:rPr>
                <w:sz w:val="20"/>
              </w:rPr>
            </w:pPr>
          </w:p>
        </w:tc>
        <w:tc>
          <w:tcPr>
            <w:tcW w:w="243" w:type="pct"/>
          </w:tcPr>
          <w:p w:rsidR="007775F6" w:rsidRPr="004B7487" w:rsidRDefault="007775F6" w:rsidP="007775F6">
            <w:pPr>
              <w:jc w:val="both"/>
              <w:rPr>
                <w:sz w:val="20"/>
              </w:rPr>
            </w:pPr>
          </w:p>
        </w:tc>
        <w:tc>
          <w:tcPr>
            <w:tcW w:w="2330" w:type="pct"/>
          </w:tcPr>
          <w:p w:rsidR="007775F6" w:rsidRPr="004B7487" w:rsidRDefault="007775F6" w:rsidP="007775F6">
            <w:pPr>
              <w:jc w:val="both"/>
              <w:rPr>
                <w:sz w:val="20"/>
              </w:rPr>
            </w:pPr>
            <w:r w:rsidRPr="004B7487">
              <w:rPr>
                <w:sz w:val="20"/>
              </w:rPr>
              <w:t>Appeal as a result of reduction or denial of certain charitable donation credits claimed in relation to participation in the Canadian Humanitarian Trust donation program for 2004 and 2005 taxation years dismissed</w:t>
            </w:r>
          </w:p>
          <w:p w:rsidR="007775F6" w:rsidRPr="004B7487" w:rsidRDefault="007775F6" w:rsidP="007775F6">
            <w:pPr>
              <w:jc w:val="both"/>
              <w:rPr>
                <w:sz w:val="20"/>
              </w:rPr>
            </w:pPr>
          </w:p>
        </w:tc>
      </w:tr>
      <w:tr w:rsidR="007775F6" w:rsidRPr="004B7487" w:rsidTr="00E95A6A">
        <w:tc>
          <w:tcPr>
            <w:tcW w:w="2427" w:type="pct"/>
            <w:gridSpan w:val="2"/>
          </w:tcPr>
          <w:p w:rsidR="007775F6" w:rsidRPr="004B7487" w:rsidRDefault="007775F6" w:rsidP="007775F6">
            <w:pPr>
              <w:jc w:val="both"/>
              <w:rPr>
                <w:sz w:val="20"/>
              </w:rPr>
            </w:pPr>
            <w:r w:rsidRPr="004B7487">
              <w:rPr>
                <w:sz w:val="20"/>
              </w:rPr>
              <w:t>May 20, 2020</w:t>
            </w:r>
          </w:p>
          <w:p w:rsidR="007775F6" w:rsidRPr="004B7487" w:rsidRDefault="007775F6" w:rsidP="007775F6">
            <w:pPr>
              <w:jc w:val="both"/>
              <w:rPr>
                <w:sz w:val="20"/>
              </w:rPr>
            </w:pPr>
            <w:r w:rsidRPr="004B7487">
              <w:rPr>
                <w:sz w:val="20"/>
              </w:rPr>
              <w:t>Federal Court of Appeal</w:t>
            </w:r>
          </w:p>
          <w:p w:rsidR="007775F6" w:rsidRPr="004B7487" w:rsidRDefault="007775F6" w:rsidP="007775F6">
            <w:pPr>
              <w:jc w:val="both"/>
              <w:rPr>
                <w:sz w:val="20"/>
              </w:rPr>
            </w:pPr>
            <w:r w:rsidRPr="004B7487">
              <w:rPr>
                <w:sz w:val="20"/>
              </w:rPr>
              <w:t>(Webb, Rennie and Mactavish JJ.A.)</w:t>
            </w:r>
          </w:p>
          <w:p w:rsidR="007775F6" w:rsidRPr="004B7487" w:rsidRDefault="007775F6" w:rsidP="007775F6">
            <w:pPr>
              <w:jc w:val="both"/>
              <w:rPr>
                <w:sz w:val="20"/>
              </w:rPr>
            </w:pPr>
            <w:r w:rsidRPr="004B7487">
              <w:rPr>
                <w:sz w:val="20"/>
              </w:rPr>
              <w:t>File no. A</w:t>
            </w:r>
            <w:r w:rsidRPr="004B7487">
              <w:rPr>
                <w:sz w:val="20"/>
              </w:rPr>
              <w:noBreakHyphen/>
              <w:t>404</w:t>
            </w:r>
            <w:r w:rsidRPr="004B7487">
              <w:rPr>
                <w:sz w:val="20"/>
              </w:rPr>
              <w:noBreakHyphen/>
              <w:t>18</w:t>
            </w:r>
          </w:p>
          <w:p w:rsidR="007775F6" w:rsidRPr="004B7487" w:rsidRDefault="004B7487" w:rsidP="007775F6">
            <w:pPr>
              <w:jc w:val="both"/>
              <w:rPr>
                <w:sz w:val="20"/>
              </w:rPr>
            </w:pPr>
            <w:hyperlink r:id="rId105" w:history="1">
              <w:r w:rsidR="007775F6" w:rsidRPr="004B7487">
                <w:rPr>
                  <w:rStyle w:val="Hyperlink"/>
                  <w:sz w:val="20"/>
                </w:rPr>
                <w:t>2020 FCA 93</w:t>
              </w:r>
            </w:hyperlink>
          </w:p>
          <w:p w:rsidR="007775F6" w:rsidRPr="004B7487" w:rsidRDefault="007775F6" w:rsidP="007775F6">
            <w:pPr>
              <w:jc w:val="both"/>
              <w:rPr>
                <w:sz w:val="20"/>
              </w:rPr>
            </w:pPr>
          </w:p>
        </w:tc>
        <w:tc>
          <w:tcPr>
            <w:tcW w:w="243" w:type="pct"/>
          </w:tcPr>
          <w:p w:rsidR="007775F6" w:rsidRPr="004B7487" w:rsidRDefault="007775F6" w:rsidP="007775F6">
            <w:pPr>
              <w:jc w:val="both"/>
              <w:rPr>
                <w:sz w:val="20"/>
              </w:rPr>
            </w:pPr>
          </w:p>
        </w:tc>
        <w:tc>
          <w:tcPr>
            <w:tcW w:w="2330" w:type="pct"/>
          </w:tcPr>
          <w:p w:rsidR="007775F6" w:rsidRPr="004B7487" w:rsidRDefault="007775F6" w:rsidP="007775F6">
            <w:pPr>
              <w:jc w:val="both"/>
              <w:rPr>
                <w:sz w:val="20"/>
              </w:rPr>
            </w:pPr>
            <w:r w:rsidRPr="004B7487">
              <w:rPr>
                <w:sz w:val="20"/>
              </w:rPr>
              <w:t>Appeal dismissed</w:t>
            </w:r>
          </w:p>
          <w:p w:rsidR="007775F6" w:rsidRPr="004B7487" w:rsidRDefault="007775F6" w:rsidP="007775F6">
            <w:pPr>
              <w:jc w:val="both"/>
              <w:rPr>
                <w:sz w:val="20"/>
              </w:rPr>
            </w:pPr>
          </w:p>
        </w:tc>
      </w:tr>
      <w:tr w:rsidR="007775F6" w:rsidRPr="004B7487" w:rsidTr="00E95A6A">
        <w:tc>
          <w:tcPr>
            <w:tcW w:w="2427" w:type="pct"/>
            <w:gridSpan w:val="2"/>
          </w:tcPr>
          <w:p w:rsidR="007775F6" w:rsidRPr="004B7487" w:rsidRDefault="007775F6" w:rsidP="007775F6">
            <w:pPr>
              <w:jc w:val="both"/>
              <w:rPr>
                <w:sz w:val="20"/>
              </w:rPr>
            </w:pPr>
            <w:r w:rsidRPr="004B7487">
              <w:rPr>
                <w:sz w:val="20"/>
              </w:rPr>
              <w:t>August 19, 2020</w:t>
            </w:r>
          </w:p>
          <w:p w:rsidR="007775F6" w:rsidRPr="004B7487" w:rsidRDefault="007775F6" w:rsidP="007775F6">
            <w:pPr>
              <w:jc w:val="both"/>
              <w:rPr>
                <w:sz w:val="20"/>
              </w:rPr>
            </w:pPr>
            <w:r w:rsidRPr="004B7487">
              <w:rPr>
                <w:sz w:val="20"/>
              </w:rPr>
              <w:t>Supreme Court of Canada</w:t>
            </w:r>
          </w:p>
        </w:tc>
        <w:tc>
          <w:tcPr>
            <w:tcW w:w="243" w:type="pct"/>
          </w:tcPr>
          <w:p w:rsidR="007775F6" w:rsidRPr="004B7487" w:rsidRDefault="007775F6" w:rsidP="007775F6">
            <w:pPr>
              <w:jc w:val="both"/>
              <w:rPr>
                <w:sz w:val="20"/>
              </w:rPr>
            </w:pPr>
          </w:p>
        </w:tc>
        <w:tc>
          <w:tcPr>
            <w:tcW w:w="2330" w:type="pct"/>
          </w:tcPr>
          <w:p w:rsidR="007775F6" w:rsidRPr="004B7487" w:rsidRDefault="007775F6" w:rsidP="007775F6">
            <w:pPr>
              <w:jc w:val="both"/>
              <w:rPr>
                <w:sz w:val="20"/>
              </w:rPr>
            </w:pPr>
            <w:r w:rsidRPr="004B7487">
              <w:rPr>
                <w:sz w:val="20"/>
              </w:rPr>
              <w:t>Application for leave to appeal filed</w:t>
            </w:r>
          </w:p>
          <w:p w:rsidR="007775F6" w:rsidRPr="004B7487" w:rsidRDefault="007775F6" w:rsidP="007775F6">
            <w:pPr>
              <w:jc w:val="both"/>
              <w:rPr>
                <w:sz w:val="20"/>
              </w:rPr>
            </w:pPr>
          </w:p>
        </w:tc>
      </w:tr>
    </w:tbl>
    <w:p w:rsidR="007775F6" w:rsidRPr="004B7487" w:rsidRDefault="007775F6" w:rsidP="007775F6">
      <w:pPr>
        <w:jc w:val="both"/>
        <w:rPr>
          <w:sz w:val="20"/>
        </w:rPr>
      </w:pPr>
    </w:p>
    <w:p w:rsidR="00D36103" w:rsidRPr="004B7487" w:rsidRDefault="004B7487" w:rsidP="007775F6">
      <w:pPr>
        <w:jc w:val="both"/>
        <w:rPr>
          <w:sz w:val="20"/>
        </w:rPr>
      </w:pPr>
      <w:r w:rsidRPr="004B7487">
        <w:rPr>
          <w:sz w:val="20"/>
        </w:rPr>
        <w:pict>
          <v:rect id="_x0000_i1067" style="width:2in;height:1pt" o:hrpct="0" o:hralign="center" o:hrstd="t" o:hrnoshade="t" o:hr="t" fillcolor="black [3213]" stroked="f"/>
        </w:pict>
      </w:r>
    </w:p>
    <w:p w:rsidR="00D36103" w:rsidRPr="004B7487" w:rsidRDefault="00D36103" w:rsidP="007775F6">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775F6" w:rsidRPr="004B7487" w:rsidTr="00E95A6A">
        <w:tc>
          <w:tcPr>
            <w:tcW w:w="543" w:type="pct"/>
          </w:tcPr>
          <w:p w:rsidR="007775F6" w:rsidRPr="004B7487" w:rsidRDefault="007775F6" w:rsidP="007775F6">
            <w:pPr>
              <w:jc w:val="both"/>
              <w:rPr>
                <w:sz w:val="20"/>
                <w:lang w:val="fr-CA"/>
              </w:rPr>
            </w:pPr>
            <w:r w:rsidRPr="004B7487">
              <w:rPr>
                <w:rStyle w:val="SCCFileNumberChar"/>
                <w:sz w:val="20"/>
                <w:szCs w:val="20"/>
                <w:lang w:val="fr-CA"/>
              </w:rPr>
              <w:t>39359</w:t>
            </w:r>
          </w:p>
        </w:tc>
        <w:tc>
          <w:tcPr>
            <w:tcW w:w="4457" w:type="pct"/>
            <w:gridSpan w:val="3"/>
          </w:tcPr>
          <w:p w:rsidR="007775F6" w:rsidRPr="004B7487" w:rsidRDefault="007775F6" w:rsidP="007775F6">
            <w:pPr>
              <w:pStyle w:val="SCCLsocParty"/>
              <w:jc w:val="both"/>
              <w:rPr>
                <w:b/>
                <w:sz w:val="20"/>
                <w:szCs w:val="20"/>
              </w:rPr>
            </w:pPr>
            <w:r w:rsidRPr="004B7487">
              <w:rPr>
                <w:b/>
                <w:sz w:val="20"/>
                <w:szCs w:val="20"/>
              </w:rPr>
              <w:t>V. Ross Morrison c. Sa Majesté la Reine</w:t>
            </w:r>
          </w:p>
          <w:p w:rsidR="007775F6" w:rsidRPr="004B7487" w:rsidRDefault="007775F6" w:rsidP="007775F6">
            <w:pPr>
              <w:jc w:val="both"/>
              <w:rPr>
                <w:sz w:val="20"/>
                <w:lang w:val="fr-CA"/>
              </w:rPr>
            </w:pPr>
            <w:r w:rsidRPr="004B7487">
              <w:rPr>
                <w:sz w:val="20"/>
                <w:lang w:val="fr-CA"/>
              </w:rPr>
              <w:t>(CF) (Civile) (Autorisation)</w:t>
            </w:r>
          </w:p>
        </w:tc>
      </w:tr>
      <w:tr w:rsidR="007775F6" w:rsidRPr="004B7487" w:rsidTr="00E95A6A">
        <w:tc>
          <w:tcPr>
            <w:tcW w:w="5000" w:type="pct"/>
            <w:gridSpan w:val="4"/>
          </w:tcPr>
          <w:p w:rsidR="007775F6" w:rsidRPr="004B7487" w:rsidRDefault="007775F6" w:rsidP="007775F6">
            <w:pPr>
              <w:jc w:val="both"/>
              <w:rPr>
                <w:sz w:val="20"/>
                <w:lang w:val="fr-CA"/>
              </w:rPr>
            </w:pPr>
            <w:r w:rsidRPr="004B7487">
              <w:rPr>
                <w:sz w:val="20"/>
                <w:lang w:val="fr-CA"/>
              </w:rPr>
              <w:t xml:space="preserve">Droit fiscal — Impôt sur le revenu — Don de bienfaisance — Produits pharmaceutiques — Propriété — Hypothèses de fait du ministre — Fardeau et norme de preuve — </w:t>
            </w:r>
            <w:r w:rsidRPr="004B7487">
              <w:rPr>
                <w:color w:val="000000"/>
                <w:sz w:val="20"/>
                <w:shd w:val="clear" w:color="auto" w:fill="FFFFFF"/>
                <w:lang w:val="fr-CA"/>
              </w:rPr>
              <w:t xml:space="preserve">Don en argent fait par le contribuable demandeur en 2004 et en 2005 dans le cadre du programme Canadian Humanitarian (« CH ») Trust — En échange d’un don en argent fait à un organisme de bienfaisance enregistré, le contribuable demandeur obtenait des reçus d’impôt et était choisi comme bénéficiaire de capital d’une fiducie CH lui donnant droit à un certain nombre d’unités de médicaments essentiels, lesquelles étaient assujetties à un privilège — Au moyen d’actes de donation, le contribuable transférait par la suite les unités de médicaments à un autre organisme de bienfaisance enregistré pour distribution par un autre organisme aux pays dans le besoin, et obtenait des reçus officiels de dons « en nature » — Le ministre a accordé le crédit d’impôt pour le don en argent, mais non à l’égard du transfert de produits pharmaceutiques, parce qu’il a supposé que le titre des produits pharmaceutiques n’avait jamais été transféré au contribuable — </w:t>
            </w:r>
            <w:r w:rsidRPr="004B7487">
              <w:rPr>
                <w:color w:val="000000"/>
                <w:sz w:val="20"/>
                <w:lang w:val="fr-CA"/>
              </w:rPr>
              <w:t>Quelle est la bonne façon d’aborder le fardeau de la preuve, la norme de preuve ainsi que le rôle et l’effet des hypothèses de fait formulées par le ministre dans l’établissement de la cotisation</w:t>
            </w:r>
            <w:r w:rsidRPr="004B7487">
              <w:rPr>
                <w:color w:val="000000"/>
                <w:sz w:val="20"/>
                <w:shd w:val="clear" w:color="auto" w:fill="FFFFFF"/>
                <w:lang w:val="fr-CA"/>
              </w:rPr>
              <w:t>?</w:t>
            </w:r>
          </w:p>
        </w:tc>
      </w:tr>
      <w:tr w:rsidR="007775F6" w:rsidRPr="004B7487" w:rsidTr="00E95A6A">
        <w:tc>
          <w:tcPr>
            <w:tcW w:w="5000" w:type="pct"/>
            <w:gridSpan w:val="4"/>
          </w:tcPr>
          <w:p w:rsidR="007775F6" w:rsidRPr="004B7487" w:rsidRDefault="007775F6" w:rsidP="007775F6">
            <w:pPr>
              <w:jc w:val="both"/>
              <w:rPr>
                <w:sz w:val="20"/>
                <w:lang w:val="fr-CA"/>
              </w:rPr>
            </w:pPr>
          </w:p>
          <w:p w:rsidR="007775F6" w:rsidRPr="004B7487" w:rsidRDefault="007775F6" w:rsidP="00D36103">
            <w:pPr>
              <w:jc w:val="both"/>
              <w:rPr>
                <w:sz w:val="20"/>
                <w:lang w:val="fr-CA"/>
              </w:rPr>
            </w:pPr>
            <w:r w:rsidRPr="004B7487">
              <w:rPr>
                <w:sz w:val="20"/>
                <w:lang w:val="fr-CA"/>
              </w:rPr>
              <w:t>En 2004 et 2005, le contribuable demandeur, M. Morrison, a participé à un programme de dons appelé le Canadian Humanitarian Trust. En faisant cela, il a obtenu des reçus de dons de bienfaisance. Certains d’entre eux se rapportaient à des paiements en argent effectués par celui</w:t>
            </w:r>
            <w:r w:rsidRPr="004B7487">
              <w:rPr>
                <w:sz w:val="20"/>
                <w:lang w:val="fr-CA"/>
              </w:rPr>
              <w:noBreakHyphen/>
              <w:t xml:space="preserve"> ci à un organisme de bienfaisance, et d’autres avaient trait à des produits pharmaceutiques qu’il prétendait avoir donnés à un autre organisme de bienfaisance. Dans ses déclarations de revenus, M. Morrison a réclamé des crédits pour dons de bienfaisance relativement à ces reçus. Dans l’établissement de la nouvelle cotisation de M. Morrison, le ministre du Revenu national a rejeté les réclamations de crédits pour dons de bienfaisance relativement aux reçus délivrés par l’organisme de bienfaisance recueillant des dons en nature. Il en est ainsi parce que, contrairement à ce qui a été allégué dans l’avis d’appel de M. Morrison, le ministre a supposé dans sa réponse que ce dernier n’avait jamais pris possession d’un produit pharmaceutique et n’en avait jamais acquis le titre non plus. La Cour de l’impôt a rejeté l’appel de M. Morrison. Le juge de première instance a statué que M. Morrison n’avait pas réussi à établir, selon une norme </w:t>
            </w:r>
            <w:r w:rsidRPr="004B7487">
              <w:rPr>
                <w:i/>
                <w:sz w:val="20"/>
                <w:lang w:val="fr-CA"/>
              </w:rPr>
              <w:t>prima facie</w:t>
            </w:r>
            <w:r w:rsidRPr="004B7487">
              <w:rPr>
                <w:sz w:val="20"/>
                <w:lang w:val="fr-CA"/>
              </w:rPr>
              <w:t>, qu’il avait acquis les produits pharmaceutiques, et qu’il ne pouvait donc pas en faire don à l’organisme de bienfaisance recueillant des dons en nature. La Cour d’appel fédérale a rejeté l’appel de M. Morrison. Elle a souligné qu’il incombait à celui</w:t>
            </w:r>
            <w:r w:rsidRPr="004B7487">
              <w:rPr>
                <w:sz w:val="20"/>
                <w:lang w:val="fr-CA"/>
              </w:rPr>
              <w:noBreakHyphen/>
              <w:t>ci de prouver les allégations faites dans son avis d’appel, selon lesquelles il avait acquis les produits pharmaceutiques et en était le propriétaire en common law et le propriétaire bénéficiaire avant leur don, et ce, suivant la prépondérance des probabilités.</w:t>
            </w:r>
          </w:p>
        </w:tc>
      </w:tr>
      <w:tr w:rsidR="007775F6" w:rsidRPr="004B7487" w:rsidTr="00E95A6A">
        <w:tc>
          <w:tcPr>
            <w:tcW w:w="5000" w:type="pct"/>
            <w:gridSpan w:val="4"/>
          </w:tcPr>
          <w:p w:rsidR="007775F6" w:rsidRPr="004B7487" w:rsidRDefault="007775F6" w:rsidP="007775F6">
            <w:pPr>
              <w:jc w:val="both"/>
              <w:rPr>
                <w:sz w:val="20"/>
                <w:lang w:val="fr-CA"/>
              </w:rPr>
            </w:pPr>
          </w:p>
        </w:tc>
      </w:tr>
      <w:tr w:rsidR="007775F6" w:rsidRPr="004B7487" w:rsidTr="00E95A6A">
        <w:tc>
          <w:tcPr>
            <w:tcW w:w="2427" w:type="pct"/>
            <w:gridSpan w:val="2"/>
          </w:tcPr>
          <w:p w:rsidR="007775F6" w:rsidRPr="004B7487" w:rsidRDefault="007775F6" w:rsidP="00D36103">
            <w:pPr>
              <w:rPr>
                <w:sz w:val="20"/>
                <w:lang w:val="fr-CA"/>
              </w:rPr>
            </w:pPr>
            <w:r w:rsidRPr="004B7487">
              <w:rPr>
                <w:sz w:val="20"/>
                <w:lang w:val="fr-CA"/>
              </w:rPr>
              <w:t>7 novembre 2018 (jugement modifié le 23 novembre 2018)</w:t>
            </w:r>
          </w:p>
          <w:p w:rsidR="007775F6" w:rsidRPr="004B7487" w:rsidRDefault="007775F6" w:rsidP="007775F6">
            <w:pPr>
              <w:jc w:val="both"/>
              <w:rPr>
                <w:sz w:val="20"/>
                <w:lang w:val="fr-CA"/>
              </w:rPr>
            </w:pPr>
            <w:r w:rsidRPr="004B7487">
              <w:rPr>
                <w:sz w:val="20"/>
                <w:lang w:val="fr-CA"/>
              </w:rPr>
              <w:t>Cour canadienne de l’impôt</w:t>
            </w:r>
          </w:p>
          <w:p w:rsidR="007775F6" w:rsidRPr="004B7487" w:rsidRDefault="007775F6" w:rsidP="007775F6">
            <w:pPr>
              <w:jc w:val="both"/>
              <w:rPr>
                <w:sz w:val="20"/>
                <w:lang w:val="fr-CA"/>
              </w:rPr>
            </w:pPr>
            <w:r w:rsidRPr="004B7487">
              <w:rPr>
                <w:sz w:val="20"/>
                <w:lang w:val="fr-CA"/>
              </w:rPr>
              <w:t>(Juge Owen)</w:t>
            </w:r>
          </w:p>
          <w:p w:rsidR="007775F6" w:rsidRPr="004B7487" w:rsidRDefault="007775F6" w:rsidP="007775F6">
            <w:pPr>
              <w:jc w:val="both"/>
              <w:rPr>
                <w:color w:val="000000"/>
                <w:sz w:val="20"/>
                <w:shd w:val="clear" w:color="auto" w:fill="FFFFFF"/>
                <w:lang w:val="fr-CA"/>
              </w:rPr>
            </w:pPr>
            <w:r w:rsidRPr="004B7487">
              <w:rPr>
                <w:sz w:val="20"/>
                <w:lang w:val="fr-CA"/>
              </w:rPr>
              <w:t>N</w:t>
            </w:r>
            <w:r w:rsidRPr="004B7487">
              <w:rPr>
                <w:sz w:val="20"/>
                <w:vertAlign w:val="superscript"/>
                <w:lang w:val="fr-CA"/>
              </w:rPr>
              <w:t>os</w:t>
            </w:r>
            <w:r w:rsidRPr="004B7487">
              <w:rPr>
                <w:sz w:val="20"/>
                <w:lang w:val="fr-CA"/>
              </w:rPr>
              <w:t xml:space="preserve"> du greffe : </w:t>
            </w:r>
            <w:r w:rsidRPr="004B7487">
              <w:rPr>
                <w:color w:val="000000"/>
                <w:sz w:val="20"/>
                <w:shd w:val="clear" w:color="auto" w:fill="FFFFFF"/>
                <w:lang w:val="fr-CA"/>
              </w:rPr>
              <w:t>2008</w:t>
            </w:r>
            <w:r w:rsidRPr="004B7487">
              <w:rPr>
                <w:color w:val="000000"/>
                <w:sz w:val="20"/>
                <w:shd w:val="clear" w:color="auto" w:fill="FFFFFF"/>
                <w:lang w:val="fr-CA"/>
              </w:rPr>
              <w:noBreakHyphen/>
              <w:t>2759(IT</w:t>
            </w:r>
            <w:proofErr w:type="gramStart"/>
            <w:r w:rsidRPr="004B7487">
              <w:rPr>
                <w:color w:val="000000"/>
                <w:sz w:val="20"/>
                <w:shd w:val="clear" w:color="auto" w:fill="FFFFFF"/>
                <w:lang w:val="fr-CA"/>
              </w:rPr>
              <w:t>)G</w:t>
            </w:r>
            <w:proofErr w:type="gramEnd"/>
            <w:r w:rsidRPr="004B7487">
              <w:rPr>
                <w:color w:val="000000"/>
                <w:sz w:val="20"/>
                <w:shd w:val="clear" w:color="auto" w:fill="FFFFFF"/>
                <w:lang w:val="fr-CA"/>
              </w:rPr>
              <w:t>, 2008</w:t>
            </w:r>
            <w:r w:rsidRPr="004B7487">
              <w:rPr>
                <w:color w:val="000000"/>
                <w:sz w:val="20"/>
                <w:shd w:val="clear" w:color="auto" w:fill="FFFFFF"/>
                <w:lang w:val="fr-CA"/>
              </w:rPr>
              <w:noBreakHyphen/>
              <w:t>2779(IT)G et 2014</w:t>
            </w:r>
            <w:r w:rsidRPr="004B7487">
              <w:rPr>
                <w:color w:val="000000"/>
                <w:sz w:val="20"/>
                <w:shd w:val="clear" w:color="auto" w:fill="FFFFFF"/>
                <w:lang w:val="fr-CA"/>
              </w:rPr>
              <w:noBreakHyphen/>
              <w:t>3231(IT)G</w:t>
            </w:r>
          </w:p>
          <w:p w:rsidR="007775F6" w:rsidRPr="004B7487" w:rsidRDefault="004B7487" w:rsidP="007775F6">
            <w:pPr>
              <w:jc w:val="both"/>
              <w:rPr>
                <w:sz w:val="20"/>
                <w:lang w:val="fr-CA"/>
              </w:rPr>
            </w:pPr>
            <w:hyperlink r:id="rId106" w:history="1">
              <w:r w:rsidR="007775F6" w:rsidRPr="004B7487">
                <w:rPr>
                  <w:rStyle w:val="Hyperlink"/>
                  <w:sz w:val="20"/>
                  <w:lang w:val="fr-CA"/>
                </w:rPr>
                <w:t>2018 CCI 220</w:t>
              </w:r>
            </w:hyperlink>
          </w:p>
          <w:p w:rsidR="007775F6" w:rsidRPr="004B7487" w:rsidRDefault="007775F6" w:rsidP="007775F6">
            <w:pPr>
              <w:jc w:val="both"/>
              <w:rPr>
                <w:sz w:val="20"/>
                <w:lang w:val="fr-CA"/>
              </w:rPr>
            </w:pPr>
          </w:p>
        </w:tc>
        <w:tc>
          <w:tcPr>
            <w:tcW w:w="243" w:type="pct"/>
          </w:tcPr>
          <w:p w:rsidR="007775F6" w:rsidRPr="004B7487" w:rsidRDefault="007775F6" w:rsidP="007775F6">
            <w:pPr>
              <w:jc w:val="both"/>
              <w:rPr>
                <w:sz w:val="20"/>
                <w:lang w:val="fr-CA"/>
              </w:rPr>
            </w:pPr>
          </w:p>
        </w:tc>
        <w:tc>
          <w:tcPr>
            <w:tcW w:w="2330" w:type="pct"/>
          </w:tcPr>
          <w:p w:rsidR="007775F6" w:rsidRPr="004B7487" w:rsidRDefault="007775F6" w:rsidP="007775F6">
            <w:pPr>
              <w:jc w:val="both"/>
              <w:rPr>
                <w:sz w:val="20"/>
                <w:lang w:val="fr-CA"/>
              </w:rPr>
            </w:pPr>
            <w:r w:rsidRPr="004B7487">
              <w:rPr>
                <w:sz w:val="20"/>
                <w:lang w:val="fr-CA"/>
              </w:rPr>
              <w:t>Jugement rejetant l’appel interjeté en raison de la réduction ou du rejet de certains crédits pour dons de bienfaisance réclamés dans le contexte de la participation au programme de dons Canadian Humanitarian Trust pour les années d’imposition 2004 et 2005</w:t>
            </w:r>
          </w:p>
          <w:p w:rsidR="007775F6" w:rsidRPr="004B7487" w:rsidRDefault="007775F6" w:rsidP="007775F6">
            <w:pPr>
              <w:jc w:val="both"/>
              <w:rPr>
                <w:sz w:val="20"/>
                <w:lang w:val="fr-CA"/>
              </w:rPr>
            </w:pPr>
          </w:p>
        </w:tc>
      </w:tr>
      <w:tr w:rsidR="007775F6" w:rsidRPr="004B7487" w:rsidTr="00E95A6A">
        <w:tc>
          <w:tcPr>
            <w:tcW w:w="2427" w:type="pct"/>
            <w:gridSpan w:val="2"/>
          </w:tcPr>
          <w:p w:rsidR="007775F6" w:rsidRPr="004B7487" w:rsidRDefault="007775F6" w:rsidP="007775F6">
            <w:pPr>
              <w:jc w:val="both"/>
              <w:rPr>
                <w:sz w:val="20"/>
                <w:lang w:val="fr-CA"/>
              </w:rPr>
            </w:pPr>
            <w:r w:rsidRPr="004B7487">
              <w:rPr>
                <w:sz w:val="20"/>
                <w:lang w:val="fr-CA"/>
              </w:rPr>
              <w:t>20 mai 2020</w:t>
            </w:r>
          </w:p>
          <w:p w:rsidR="007775F6" w:rsidRPr="004B7487" w:rsidRDefault="007775F6" w:rsidP="007775F6">
            <w:pPr>
              <w:jc w:val="both"/>
              <w:rPr>
                <w:sz w:val="20"/>
                <w:lang w:val="fr-CA"/>
              </w:rPr>
            </w:pPr>
            <w:r w:rsidRPr="004B7487">
              <w:rPr>
                <w:sz w:val="20"/>
                <w:lang w:val="fr-CA"/>
              </w:rPr>
              <w:t>Cour d’appel fédérale</w:t>
            </w:r>
          </w:p>
          <w:p w:rsidR="007775F6" w:rsidRPr="004B7487" w:rsidRDefault="007775F6" w:rsidP="007775F6">
            <w:pPr>
              <w:jc w:val="both"/>
              <w:rPr>
                <w:sz w:val="20"/>
                <w:lang w:val="fr-CA"/>
              </w:rPr>
            </w:pPr>
            <w:r w:rsidRPr="004B7487">
              <w:rPr>
                <w:sz w:val="20"/>
                <w:lang w:val="fr-CA"/>
              </w:rPr>
              <w:t>(Juges Webb, Rennie et Mactavish)</w:t>
            </w:r>
          </w:p>
          <w:p w:rsidR="007775F6" w:rsidRPr="004B7487" w:rsidRDefault="007775F6" w:rsidP="007775F6">
            <w:pPr>
              <w:jc w:val="both"/>
              <w:rPr>
                <w:sz w:val="20"/>
                <w:lang w:val="fr-CA"/>
              </w:rPr>
            </w:pPr>
            <w:r w:rsidRPr="004B7487">
              <w:rPr>
                <w:sz w:val="20"/>
                <w:lang w:val="fr-CA"/>
              </w:rPr>
              <w:t>N</w:t>
            </w:r>
            <w:r w:rsidRPr="004B7487">
              <w:rPr>
                <w:sz w:val="20"/>
                <w:vertAlign w:val="superscript"/>
                <w:lang w:val="fr-CA"/>
              </w:rPr>
              <w:t>o</w:t>
            </w:r>
            <w:r w:rsidRPr="004B7487">
              <w:rPr>
                <w:sz w:val="20"/>
                <w:lang w:val="fr-CA"/>
              </w:rPr>
              <w:t xml:space="preserve"> du greffe : A</w:t>
            </w:r>
            <w:r w:rsidRPr="004B7487">
              <w:rPr>
                <w:sz w:val="20"/>
                <w:lang w:val="fr-CA"/>
              </w:rPr>
              <w:noBreakHyphen/>
              <w:t>404</w:t>
            </w:r>
            <w:r w:rsidRPr="004B7487">
              <w:rPr>
                <w:sz w:val="20"/>
                <w:lang w:val="fr-CA"/>
              </w:rPr>
              <w:noBreakHyphen/>
              <w:t>18</w:t>
            </w:r>
          </w:p>
          <w:p w:rsidR="007775F6" w:rsidRPr="004B7487" w:rsidRDefault="004B7487" w:rsidP="007775F6">
            <w:pPr>
              <w:jc w:val="both"/>
              <w:rPr>
                <w:sz w:val="20"/>
                <w:lang w:val="fr-CA"/>
              </w:rPr>
            </w:pPr>
            <w:hyperlink r:id="rId107" w:history="1">
              <w:r w:rsidR="007775F6" w:rsidRPr="004B7487">
                <w:rPr>
                  <w:rStyle w:val="Hyperlink"/>
                  <w:sz w:val="20"/>
                  <w:lang w:val="fr-CA"/>
                </w:rPr>
                <w:t>2020 CAF 93</w:t>
              </w:r>
            </w:hyperlink>
          </w:p>
          <w:p w:rsidR="007775F6" w:rsidRPr="004B7487" w:rsidRDefault="007775F6" w:rsidP="007775F6">
            <w:pPr>
              <w:jc w:val="both"/>
              <w:rPr>
                <w:sz w:val="20"/>
                <w:lang w:val="fr-CA"/>
              </w:rPr>
            </w:pPr>
          </w:p>
        </w:tc>
        <w:tc>
          <w:tcPr>
            <w:tcW w:w="243" w:type="pct"/>
          </w:tcPr>
          <w:p w:rsidR="007775F6" w:rsidRPr="004B7487" w:rsidRDefault="007775F6" w:rsidP="007775F6">
            <w:pPr>
              <w:jc w:val="both"/>
              <w:rPr>
                <w:sz w:val="20"/>
                <w:lang w:val="fr-CA"/>
              </w:rPr>
            </w:pPr>
          </w:p>
        </w:tc>
        <w:tc>
          <w:tcPr>
            <w:tcW w:w="2330" w:type="pct"/>
          </w:tcPr>
          <w:p w:rsidR="007775F6" w:rsidRPr="004B7487" w:rsidRDefault="007775F6" w:rsidP="007775F6">
            <w:pPr>
              <w:jc w:val="both"/>
              <w:rPr>
                <w:sz w:val="20"/>
                <w:lang w:val="fr-CA"/>
              </w:rPr>
            </w:pPr>
            <w:r w:rsidRPr="004B7487">
              <w:rPr>
                <w:sz w:val="20"/>
                <w:lang w:val="fr-CA"/>
              </w:rPr>
              <w:t>Arrêt rejetant l’appel</w:t>
            </w:r>
          </w:p>
          <w:p w:rsidR="007775F6" w:rsidRPr="004B7487" w:rsidRDefault="007775F6" w:rsidP="007775F6">
            <w:pPr>
              <w:jc w:val="both"/>
              <w:rPr>
                <w:sz w:val="20"/>
                <w:lang w:val="fr-CA"/>
              </w:rPr>
            </w:pPr>
          </w:p>
        </w:tc>
      </w:tr>
      <w:tr w:rsidR="007775F6" w:rsidRPr="004B7487" w:rsidTr="00E95A6A">
        <w:tc>
          <w:tcPr>
            <w:tcW w:w="2427" w:type="pct"/>
            <w:gridSpan w:val="2"/>
          </w:tcPr>
          <w:p w:rsidR="007775F6" w:rsidRPr="004B7487" w:rsidRDefault="007775F6" w:rsidP="007775F6">
            <w:pPr>
              <w:jc w:val="both"/>
              <w:rPr>
                <w:sz w:val="20"/>
                <w:lang w:val="fr-CA"/>
              </w:rPr>
            </w:pPr>
            <w:r w:rsidRPr="004B7487">
              <w:rPr>
                <w:sz w:val="20"/>
                <w:lang w:val="fr-CA"/>
              </w:rPr>
              <w:t>19 août 2020</w:t>
            </w:r>
          </w:p>
          <w:p w:rsidR="007775F6" w:rsidRPr="004B7487" w:rsidRDefault="007775F6" w:rsidP="007775F6">
            <w:pPr>
              <w:jc w:val="both"/>
              <w:rPr>
                <w:sz w:val="20"/>
                <w:lang w:val="fr-CA"/>
              </w:rPr>
            </w:pPr>
            <w:r w:rsidRPr="004B7487">
              <w:rPr>
                <w:sz w:val="20"/>
                <w:lang w:val="fr-CA"/>
              </w:rPr>
              <w:t>Cour suprême du Canada</w:t>
            </w:r>
          </w:p>
        </w:tc>
        <w:tc>
          <w:tcPr>
            <w:tcW w:w="243" w:type="pct"/>
          </w:tcPr>
          <w:p w:rsidR="007775F6" w:rsidRPr="004B7487" w:rsidRDefault="007775F6" w:rsidP="007775F6">
            <w:pPr>
              <w:jc w:val="both"/>
              <w:rPr>
                <w:sz w:val="20"/>
                <w:lang w:val="fr-CA"/>
              </w:rPr>
            </w:pPr>
          </w:p>
        </w:tc>
        <w:tc>
          <w:tcPr>
            <w:tcW w:w="2330" w:type="pct"/>
          </w:tcPr>
          <w:p w:rsidR="007775F6" w:rsidRPr="004B7487" w:rsidRDefault="007775F6" w:rsidP="007775F6">
            <w:pPr>
              <w:jc w:val="both"/>
              <w:rPr>
                <w:sz w:val="20"/>
                <w:lang w:val="fr-CA"/>
              </w:rPr>
            </w:pPr>
            <w:r w:rsidRPr="004B7487">
              <w:rPr>
                <w:sz w:val="20"/>
                <w:lang w:val="fr-CA"/>
              </w:rPr>
              <w:t>Dépôt d’une demande d’autorisation d’appel</w:t>
            </w:r>
          </w:p>
          <w:p w:rsidR="007775F6" w:rsidRPr="004B7487" w:rsidRDefault="007775F6" w:rsidP="007775F6">
            <w:pPr>
              <w:jc w:val="both"/>
              <w:rPr>
                <w:sz w:val="20"/>
                <w:lang w:val="fr-CA"/>
              </w:rPr>
            </w:pPr>
          </w:p>
        </w:tc>
      </w:tr>
    </w:tbl>
    <w:p w:rsidR="002C5E29" w:rsidRPr="004B7487" w:rsidRDefault="002C5E29" w:rsidP="00870335">
      <w:pPr>
        <w:widowControl w:val="0"/>
        <w:jc w:val="both"/>
        <w:rPr>
          <w:sz w:val="20"/>
          <w:lang w:val="fr-CA"/>
        </w:rPr>
      </w:pPr>
    </w:p>
    <w:p w:rsidR="00E85588" w:rsidRPr="004B7487" w:rsidRDefault="004B7487" w:rsidP="00E85588">
      <w:pPr>
        <w:jc w:val="both"/>
        <w:rPr>
          <w:sz w:val="20"/>
        </w:rPr>
      </w:pPr>
      <w:r w:rsidRPr="004B7487">
        <w:rPr>
          <w:sz w:val="20"/>
        </w:rPr>
        <w:pict>
          <v:rect id="_x0000_i1068" style="width:2in;height:1pt" o:hrpct="0" o:hralign="center" o:hrstd="t" o:hrnoshade="t" o:hr="t" fillcolor="black [3213]" stroked="f"/>
        </w:pict>
      </w:r>
    </w:p>
    <w:p w:rsidR="00E85588" w:rsidRPr="004B7487" w:rsidRDefault="00E85588" w:rsidP="00E85588">
      <w:pPr>
        <w:jc w:val="both"/>
        <w:rPr>
          <w:sz w:val="20"/>
        </w:rPr>
      </w:pPr>
    </w:p>
    <w:p w:rsidR="005C7161" w:rsidRPr="004B7487" w:rsidRDefault="005C7161" w:rsidP="006A22CA">
      <w:pPr>
        <w:ind w:left="142" w:hanging="142"/>
        <w:jc w:val="both"/>
        <w:rPr>
          <w:sz w:val="20"/>
        </w:rPr>
      </w:pPr>
    </w:p>
    <w:p w:rsidR="00FD3FA0" w:rsidRPr="004B7487" w:rsidRDefault="00FD3FA0" w:rsidP="006A22CA">
      <w:pPr>
        <w:ind w:left="142" w:hanging="142"/>
        <w:jc w:val="both"/>
        <w:rPr>
          <w:sz w:val="20"/>
        </w:rPr>
      </w:pPr>
    </w:p>
    <w:p w:rsidR="00D3344A" w:rsidRPr="004B7487" w:rsidRDefault="00D3344A" w:rsidP="00D3344A">
      <w:pPr>
        <w:widowControl w:val="0"/>
        <w:outlineLvl w:val="0"/>
      </w:pPr>
      <w:r w:rsidRPr="004B7487">
        <w:t xml:space="preserve">Supreme Court of Canada / Cour suprême du </w:t>
      </w:r>
      <w:proofErr w:type="gramStart"/>
      <w:r w:rsidRPr="004B7487">
        <w:t>Canad</w:t>
      </w:r>
      <w:r w:rsidR="00EE289F" w:rsidRPr="004B7487">
        <w:t>a</w:t>
      </w:r>
      <w:r w:rsidRPr="004B7487">
        <w:t xml:space="preserve"> :</w:t>
      </w:r>
      <w:proofErr w:type="gramEnd"/>
    </w:p>
    <w:p w:rsidR="00D3344A" w:rsidRPr="004B7487" w:rsidRDefault="004B7487" w:rsidP="00D3344A">
      <w:pPr>
        <w:widowControl w:val="0"/>
        <w:outlineLvl w:val="0"/>
        <w:rPr>
          <w:u w:val="single"/>
        </w:rPr>
      </w:pPr>
      <w:hyperlink r:id="rId108" w:history="1">
        <w:r w:rsidR="009B7391" w:rsidRPr="004B7487">
          <w:rPr>
            <w:rStyle w:val="Hyperlink"/>
          </w:rPr>
          <w:t>comments-commentaires@scc-csc.ca</w:t>
        </w:r>
      </w:hyperlink>
    </w:p>
    <w:p w:rsidR="00D3344A" w:rsidRPr="004B7487" w:rsidRDefault="0065588C" w:rsidP="00D3344A">
      <w:pPr>
        <w:widowControl w:val="0"/>
        <w:outlineLvl w:val="0"/>
      </w:pPr>
      <w:r w:rsidRPr="004B7487">
        <w:t>613-</w:t>
      </w:r>
      <w:r w:rsidR="00D3344A" w:rsidRPr="004B7487">
        <w:t>995-4330</w:t>
      </w:r>
    </w:p>
    <w:p w:rsidR="00497B5E" w:rsidRPr="004B7487" w:rsidRDefault="00497B5E" w:rsidP="00497B5E">
      <w:pPr>
        <w:widowControl w:val="0"/>
        <w:rPr>
          <w:sz w:val="20"/>
        </w:rPr>
      </w:pPr>
    </w:p>
    <w:p w:rsidR="00F6251B" w:rsidRPr="006E558B" w:rsidRDefault="003F43E6" w:rsidP="00F6251B">
      <w:pPr>
        <w:pStyle w:val="Footer"/>
        <w:jc w:val="center"/>
      </w:pPr>
      <w:r w:rsidRPr="004B7487">
        <w:t>- 30 -</w:t>
      </w:r>
      <w:bookmarkStart w:id="1" w:name="_GoBack"/>
      <w:bookmarkEnd w:id="1"/>
    </w:p>
    <w:sectPr w:rsidR="00F6251B" w:rsidRPr="006E558B" w:rsidSect="00E62F93">
      <w:headerReference w:type="even" r:id="rId109"/>
      <w:headerReference w:type="default" r:id="rId110"/>
      <w:footerReference w:type="even" r:id="rId111"/>
      <w:footerReference w:type="default" r:id="rId112"/>
      <w:headerReference w:type="first" r:id="rId113"/>
      <w:footerReference w:type="first" r:id="rId114"/>
      <w:pgSz w:w="12240" w:h="15840"/>
      <w:pgMar w:top="851" w:right="1440" w:bottom="1134" w:left="1440" w:header="578" w:footer="71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42D" w:rsidRDefault="0012542D" w:rsidP="0034178A">
      <w:r>
        <w:separator/>
      </w:r>
    </w:p>
  </w:endnote>
  <w:endnote w:type="continuationSeparator" w:id="0">
    <w:p w:rsidR="0012542D" w:rsidRDefault="001254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42D" w:rsidRDefault="001254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42D" w:rsidRPr="009F77F0" w:rsidRDefault="0012542D" w:rsidP="00EF33BF">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42D" w:rsidRDefault="00125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42D" w:rsidRDefault="0012542D" w:rsidP="0034178A">
      <w:r>
        <w:separator/>
      </w:r>
    </w:p>
  </w:footnote>
  <w:footnote w:type="continuationSeparator" w:id="0">
    <w:p w:rsidR="0012542D" w:rsidRDefault="001254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42D" w:rsidRDefault="001254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42D" w:rsidRDefault="001254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42D" w:rsidRDefault="001254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F2AA1"/>
    <w:multiLevelType w:val="hybridMultilevel"/>
    <w:tmpl w:val="5D40C488"/>
    <w:lvl w:ilvl="0" w:tplc="DD1C1D66">
      <w:start w:val="7"/>
      <w:numFmt w:val="decimal"/>
      <w:lvlText w:val="%1."/>
      <w:lvlJc w:val="left"/>
      <w:pPr>
        <w:ind w:left="810" w:hanging="360"/>
      </w:pPr>
      <w:rPr>
        <w:rFonts w:eastAsiaTheme="minorHAnsi" w:cstheme="minorBid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30168"/>
    <w:multiLevelType w:val="hybridMultilevel"/>
    <w:tmpl w:val="2B64F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305FB"/>
    <w:multiLevelType w:val="hybridMultilevel"/>
    <w:tmpl w:val="A6EAF2B0"/>
    <w:lvl w:ilvl="0" w:tplc="1324CB9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617AE"/>
    <w:multiLevelType w:val="hybridMultilevel"/>
    <w:tmpl w:val="3350EE4C"/>
    <w:lvl w:ilvl="0" w:tplc="5D620E9E">
      <w:start w:val="7"/>
      <w:numFmt w:val="decimal"/>
      <w:lvlText w:val="%1."/>
      <w:lvlJc w:val="left"/>
      <w:pPr>
        <w:ind w:left="810" w:hanging="360"/>
      </w:pPr>
      <w:rPr>
        <w:rFonts w:eastAsiaTheme="minorHAnsi" w:cstheme="minorBid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90573"/>
    <w:multiLevelType w:val="hybridMultilevel"/>
    <w:tmpl w:val="6C3A54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C8022A4"/>
    <w:multiLevelType w:val="hybridMultilevel"/>
    <w:tmpl w:val="2916B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780F59"/>
    <w:multiLevelType w:val="hybridMultilevel"/>
    <w:tmpl w:val="EF5A10DE"/>
    <w:lvl w:ilvl="0" w:tplc="716E2C6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03D65"/>
    <w:multiLevelType w:val="hybridMultilevel"/>
    <w:tmpl w:val="4294757C"/>
    <w:lvl w:ilvl="0" w:tplc="AC62D5D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A4EFA"/>
    <w:multiLevelType w:val="hybridMultilevel"/>
    <w:tmpl w:val="421209BC"/>
    <w:lvl w:ilvl="0" w:tplc="F5CC304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35C5F"/>
    <w:multiLevelType w:val="hybridMultilevel"/>
    <w:tmpl w:val="62F6FD16"/>
    <w:lvl w:ilvl="0" w:tplc="BCEE850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E47A7"/>
    <w:multiLevelType w:val="hybridMultilevel"/>
    <w:tmpl w:val="07EEB1CC"/>
    <w:lvl w:ilvl="0" w:tplc="68EA51F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E766C"/>
    <w:multiLevelType w:val="hybridMultilevel"/>
    <w:tmpl w:val="F59294E0"/>
    <w:lvl w:ilvl="0" w:tplc="E218560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35751"/>
    <w:multiLevelType w:val="hybridMultilevel"/>
    <w:tmpl w:val="00840858"/>
    <w:lvl w:ilvl="0" w:tplc="99A6208A">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722FE"/>
    <w:multiLevelType w:val="hybridMultilevel"/>
    <w:tmpl w:val="8A767CF0"/>
    <w:lvl w:ilvl="0" w:tplc="8A0C68E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FC168C"/>
    <w:multiLevelType w:val="hybridMultilevel"/>
    <w:tmpl w:val="E04667A2"/>
    <w:lvl w:ilvl="0" w:tplc="0CFA4778">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527BC"/>
    <w:multiLevelType w:val="hybridMultilevel"/>
    <w:tmpl w:val="BAC6E870"/>
    <w:lvl w:ilvl="0" w:tplc="9A38E51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7616A"/>
    <w:multiLevelType w:val="hybridMultilevel"/>
    <w:tmpl w:val="DDC68A92"/>
    <w:lvl w:ilvl="0" w:tplc="A98840A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7483B"/>
    <w:multiLevelType w:val="hybridMultilevel"/>
    <w:tmpl w:val="DDC68A92"/>
    <w:lvl w:ilvl="0" w:tplc="A98840A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355EE"/>
    <w:multiLevelType w:val="hybridMultilevel"/>
    <w:tmpl w:val="3FA4C54C"/>
    <w:lvl w:ilvl="0" w:tplc="78408C4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14585"/>
    <w:multiLevelType w:val="hybridMultilevel"/>
    <w:tmpl w:val="02F49A9A"/>
    <w:lvl w:ilvl="0" w:tplc="0882DB7E">
      <w:start w:val="8"/>
      <w:numFmt w:val="decimal"/>
      <w:lvlText w:val="%1."/>
      <w:lvlJc w:val="left"/>
      <w:pPr>
        <w:ind w:left="810" w:hanging="360"/>
      </w:pPr>
      <w:rPr>
        <w:rFonts w:eastAsiaTheme="minorHAnsi" w:cstheme="minorBidi"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6103EBE"/>
    <w:multiLevelType w:val="hybridMultilevel"/>
    <w:tmpl w:val="842AABD2"/>
    <w:lvl w:ilvl="0" w:tplc="15385EA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2A0413"/>
    <w:multiLevelType w:val="hybridMultilevel"/>
    <w:tmpl w:val="AB1CF54C"/>
    <w:lvl w:ilvl="0" w:tplc="E490F57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17199"/>
    <w:multiLevelType w:val="hybridMultilevel"/>
    <w:tmpl w:val="64C65B84"/>
    <w:lvl w:ilvl="0" w:tplc="6674EB6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07717"/>
    <w:multiLevelType w:val="hybridMultilevel"/>
    <w:tmpl w:val="208ABB5C"/>
    <w:lvl w:ilvl="0" w:tplc="30EAF05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880EBB"/>
    <w:multiLevelType w:val="hybridMultilevel"/>
    <w:tmpl w:val="87B83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4E2AB4"/>
    <w:multiLevelType w:val="hybridMultilevel"/>
    <w:tmpl w:val="163448CA"/>
    <w:lvl w:ilvl="0" w:tplc="00006A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BA563F"/>
    <w:multiLevelType w:val="hybridMultilevel"/>
    <w:tmpl w:val="02F49A9A"/>
    <w:lvl w:ilvl="0" w:tplc="0882DB7E">
      <w:start w:val="8"/>
      <w:numFmt w:val="decimal"/>
      <w:lvlText w:val="%1."/>
      <w:lvlJc w:val="left"/>
      <w:pPr>
        <w:ind w:left="810" w:hanging="360"/>
      </w:pPr>
      <w:rPr>
        <w:rFonts w:eastAsiaTheme="minorHAnsi" w:cstheme="minorBidi"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DC305A6"/>
    <w:multiLevelType w:val="hybridMultilevel"/>
    <w:tmpl w:val="8A64C412"/>
    <w:lvl w:ilvl="0" w:tplc="8D22EFB8">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14"/>
  </w:num>
  <w:num w:numId="5">
    <w:abstractNumId w:val="27"/>
  </w:num>
  <w:num w:numId="6">
    <w:abstractNumId w:val="18"/>
  </w:num>
  <w:num w:numId="7">
    <w:abstractNumId w:val="10"/>
  </w:num>
  <w:num w:numId="8">
    <w:abstractNumId w:val="26"/>
  </w:num>
  <w:num w:numId="9">
    <w:abstractNumId w:val="3"/>
  </w:num>
  <w:num w:numId="10">
    <w:abstractNumId w:val="23"/>
  </w:num>
  <w:num w:numId="11">
    <w:abstractNumId w:val="12"/>
  </w:num>
  <w:num w:numId="12">
    <w:abstractNumId w:val="13"/>
  </w:num>
  <w:num w:numId="13">
    <w:abstractNumId w:val="17"/>
  </w:num>
  <w:num w:numId="14">
    <w:abstractNumId w:val="16"/>
  </w:num>
  <w:num w:numId="15">
    <w:abstractNumId w:val="20"/>
  </w:num>
  <w:num w:numId="16">
    <w:abstractNumId w:val="22"/>
  </w:num>
  <w:num w:numId="17">
    <w:abstractNumId w:val="4"/>
  </w:num>
  <w:num w:numId="18">
    <w:abstractNumId w:val="25"/>
  </w:num>
  <w:num w:numId="19">
    <w:abstractNumId w:val="15"/>
  </w:num>
  <w:num w:numId="20">
    <w:abstractNumId w:val="1"/>
  </w:num>
  <w:num w:numId="21">
    <w:abstractNumId w:val="0"/>
  </w:num>
  <w:num w:numId="22">
    <w:abstractNumId w:val="11"/>
  </w:num>
  <w:num w:numId="23">
    <w:abstractNumId w:val="21"/>
  </w:num>
  <w:num w:numId="24">
    <w:abstractNumId w:val="7"/>
  </w:num>
  <w:num w:numId="25">
    <w:abstractNumId w:val="19"/>
  </w:num>
  <w:num w:numId="26">
    <w:abstractNumId w:val="8"/>
  </w:num>
  <w:num w:numId="27">
    <w:abstractNumId w:val="5"/>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activeWritingStyle w:appName="MSWord" w:lang="en-CA" w:vendorID="64" w:dllVersion="131078" w:nlCheck="1" w:checkStyle="0"/>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135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0733"/>
    <w:rsid w:val="00001309"/>
    <w:rsid w:val="00001846"/>
    <w:rsid w:val="000018E3"/>
    <w:rsid w:val="000023A0"/>
    <w:rsid w:val="000026D6"/>
    <w:rsid w:val="00003072"/>
    <w:rsid w:val="00003A2D"/>
    <w:rsid w:val="00003D1C"/>
    <w:rsid w:val="00003FFB"/>
    <w:rsid w:val="000043C3"/>
    <w:rsid w:val="00006057"/>
    <w:rsid w:val="00006648"/>
    <w:rsid w:val="00006868"/>
    <w:rsid w:val="0000743E"/>
    <w:rsid w:val="000076E7"/>
    <w:rsid w:val="00010A38"/>
    <w:rsid w:val="000128A2"/>
    <w:rsid w:val="00012FFC"/>
    <w:rsid w:val="00013258"/>
    <w:rsid w:val="000136CC"/>
    <w:rsid w:val="0001374A"/>
    <w:rsid w:val="000147B1"/>
    <w:rsid w:val="00014C19"/>
    <w:rsid w:val="00014CA5"/>
    <w:rsid w:val="00014E32"/>
    <w:rsid w:val="00015958"/>
    <w:rsid w:val="000164DB"/>
    <w:rsid w:val="00016932"/>
    <w:rsid w:val="00016D65"/>
    <w:rsid w:val="00016D95"/>
    <w:rsid w:val="0001736B"/>
    <w:rsid w:val="000176FB"/>
    <w:rsid w:val="00017D08"/>
    <w:rsid w:val="00020797"/>
    <w:rsid w:val="00020816"/>
    <w:rsid w:val="00020A11"/>
    <w:rsid w:val="00020DAE"/>
    <w:rsid w:val="00021515"/>
    <w:rsid w:val="0002267C"/>
    <w:rsid w:val="00022EFE"/>
    <w:rsid w:val="000238E0"/>
    <w:rsid w:val="00024962"/>
    <w:rsid w:val="00024D1A"/>
    <w:rsid w:val="000250B7"/>
    <w:rsid w:val="00025F42"/>
    <w:rsid w:val="00026D5C"/>
    <w:rsid w:val="00027443"/>
    <w:rsid w:val="000276EE"/>
    <w:rsid w:val="00027781"/>
    <w:rsid w:val="000277E1"/>
    <w:rsid w:val="00030233"/>
    <w:rsid w:val="00030382"/>
    <w:rsid w:val="00030D15"/>
    <w:rsid w:val="00032189"/>
    <w:rsid w:val="00032732"/>
    <w:rsid w:val="00032BD3"/>
    <w:rsid w:val="00032CDB"/>
    <w:rsid w:val="00032E02"/>
    <w:rsid w:val="00033257"/>
    <w:rsid w:val="00033935"/>
    <w:rsid w:val="00033D1E"/>
    <w:rsid w:val="00033D28"/>
    <w:rsid w:val="00034387"/>
    <w:rsid w:val="000343B3"/>
    <w:rsid w:val="0003496D"/>
    <w:rsid w:val="00034A7F"/>
    <w:rsid w:val="000352F8"/>
    <w:rsid w:val="00035790"/>
    <w:rsid w:val="000368C3"/>
    <w:rsid w:val="00036DC6"/>
    <w:rsid w:val="0003725B"/>
    <w:rsid w:val="000374DA"/>
    <w:rsid w:val="00040247"/>
    <w:rsid w:val="00040C48"/>
    <w:rsid w:val="00040DBB"/>
    <w:rsid w:val="00040E91"/>
    <w:rsid w:val="00041302"/>
    <w:rsid w:val="000414EB"/>
    <w:rsid w:val="0004159F"/>
    <w:rsid w:val="00041650"/>
    <w:rsid w:val="00041B58"/>
    <w:rsid w:val="00042069"/>
    <w:rsid w:val="00042390"/>
    <w:rsid w:val="00042618"/>
    <w:rsid w:val="0004298B"/>
    <w:rsid w:val="00042E94"/>
    <w:rsid w:val="000437B4"/>
    <w:rsid w:val="00043D20"/>
    <w:rsid w:val="00043FDE"/>
    <w:rsid w:val="000464AC"/>
    <w:rsid w:val="000467DE"/>
    <w:rsid w:val="00046CB2"/>
    <w:rsid w:val="00046DF1"/>
    <w:rsid w:val="00047188"/>
    <w:rsid w:val="0004769C"/>
    <w:rsid w:val="00047941"/>
    <w:rsid w:val="00047CD6"/>
    <w:rsid w:val="00051DE6"/>
    <w:rsid w:val="00052C3A"/>
    <w:rsid w:val="00053B2B"/>
    <w:rsid w:val="00053BAF"/>
    <w:rsid w:val="00054353"/>
    <w:rsid w:val="0005486A"/>
    <w:rsid w:val="00054A01"/>
    <w:rsid w:val="00054F8E"/>
    <w:rsid w:val="00055DB2"/>
    <w:rsid w:val="0005719F"/>
    <w:rsid w:val="000577D9"/>
    <w:rsid w:val="000579A0"/>
    <w:rsid w:val="00060753"/>
    <w:rsid w:val="00060981"/>
    <w:rsid w:val="00060B62"/>
    <w:rsid w:val="00061283"/>
    <w:rsid w:val="00062012"/>
    <w:rsid w:val="0006231F"/>
    <w:rsid w:val="000627A2"/>
    <w:rsid w:val="000629D7"/>
    <w:rsid w:val="0006325B"/>
    <w:rsid w:val="00063516"/>
    <w:rsid w:val="00063A81"/>
    <w:rsid w:val="0006417A"/>
    <w:rsid w:val="000645F4"/>
    <w:rsid w:val="00064D3D"/>
    <w:rsid w:val="000657E8"/>
    <w:rsid w:val="00065F8F"/>
    <w:rsid w:val="00066404"/>
    <w:rsid w:val="0006649C"/>
    <w:rsid w:val="0006663B"/>
    <w:rsid w:val="00066B80"/>
    <w:rsid w:val="00067F50"/>
    <w:rsid w:val="00070830"/>
    <w:rsid w:val="00070B2E"/>
    <w:rsid w:val="00073B1F"/>
    <w:rsid w:val="0007424A"/>
    <w:rsid w:val="00074E6D"/>
    <w:rsid w:val="00074EB7"/>
    <w:rsid w:val="000757E6"/>
    <w:rsid w:val="000770D5"/>
    <w:rsid w:val="00077C71"/>
    <w:rsid w:val="00077CCC"/>
    <w:rsid w:val="00077CF7"/>
    <w:rsid w:val="00077E16"/>
    <w:rsid w:val="00080523"/>
    <w:rsid w:val="00080675"/>
    <w:rsid w:val="000809B3"/>
    <w:rsid w:val="000809F1"/>
    <w:rsid w:val="00080EAB"/>
    <w:rsid w:val="00081348"/>
    <w:rsid w:val="00081C6A"/>
    <w:rsid w:val="00082444"/>
    <w:rsid w:val="000825A5"/>
    <w:rsid w:val="00082885"/>
    <w:rsid w:val="00082D8D"/>
    <w:rsid w:val="00082E05"/>
    <w:rsid w:val="00083162"/>
    <w:rsid w:val="000831D6"/>
    <w:rsid w:val="0008327A"/>
    <w:rsid w:val="00083C1B"/>
    <w:rsid w:val="000841F9"/>
    <w:rsid w:val="000843DB"/>
    <w:rsid w:val="000845AF"/>
    <w:rsid w:val="00084C8D"/>
    <w:rsid w:val="00085BE8"/>
    <w:rsid w:val="00085D13"/>
    <w:rsid w:val="00086629"/>
    <w:rsid w:val="00087808"/>
    <w:rsid w:val="000879BA"/>
    <w:rsid w:val="00087CEF"/>
    <w:rsid w:val="00090151"/>
    <w:rsid w:val="0009046F"/>
    <w:rsid w:val="00090A95"/>
    <w:rsid w:val="00090D30"/>
    <w:rsid w:val="00091FFC"/>
    <w:rsid w:val="00093575"/>
    <w:rsid w:val="00093693"/>
    <w:rsid w:val="00093B7C"/>
    <w:rsid w:val="00093DFA"/>
    <w:rsid w:val="00093FF5"/>
    <w:rsid w:val="00094C56"/>
    <w:rsid w:val="00095627"/>
    <w:rsid w:val="00095945"/>
    <w:rsid w:val="00095A2E"/>
    <w:rsid w:val="0009681E"/>
    <w:rsid w:val="00096BDC"/>
    <w:rsid w:val="00096F2F"/>
    <w:rsid w:val="000975EC"/>
    <w:rsid w:val="00097C55"/>
    <w:rsid w:val="000A0444"/>
    <w:rsid w:val="000A0472"/>
    <w:rsid w:val="000A0F64"/>
    <w:rsid w:val="000A152E"/>
    <w:rsid w:val="000A1691"/>
    <w:rsid w:val="000A1891"/>
    <w:rsid w:val="000A1E61"/>
    <w:rsid w:val="000A20B0"/>
    <w:rsid w:val="000A245A"/>
    <w:rsid w:val="000A2C8D"/>
    <w:rsid w:val="000A397A"/>
    <w:rsid w:val="000A4311"/>
    <w:rsid w:val="000A43F5"/>
    <w:rsid w:val="000A4D7E"/>
    <w:rsid w:val="000A50F9"/>
    <w:rsid w:val="000A53E5"/>
    <w:rsid w:val="000A6C60"/>
    <w:rsid w:val="000A6F64"/>
    <w:rsid w:val="000A76D7"/>
    <w:rsid w:val="000A7798"/>
    <w:rsid w:val="000A78FC"/>
    <w:rsid w:val="000A7978"/>
    <w:rsid w:val="000A7C00"/>
    <w:rsid w:val="000A7E1F"/>
    <w:rsid w:val="000B02A2"/>
    <w:rsid w:val="000B07FB"/>
    <w:rsid w:val="000B10DF"/>
    <w:rsid w:val="000B1297"/>
    <w:rsid w:val="000B163F"/>
    <w:rsid w:val="000B29B7"/>
    <w:rsid w:val="000B2CB2"/>
    <w:rsid w:val="000B38C9"/>
    <w:rsid w:val="000B46A2"/>
    <w:rsid w:val="000B47C0"/>
    <w:rsid w:val="000B503B"/>
    <w:rsid w:val="000B5E52"/>
    <w:rsid w:val="000B6193"/>
    <w:rsid w:val="000B6AB3"/>
    <w:rsid w:val="000B7258"/>
    <w:rsid w:val="000B754A"/>
    <w:rsid w:val="000B7552"/>
    <w:rsid w:val="000B76DB"/>
    <w:rsid w:val="000B7CBE"/>
    <w:rsid w:val="000B7E41"/>
    <w:rsid w:val="000B7EF2"/>
    <w:rsid w:val="000C0262"/>
    <w:rsid w:val="000C02C5"/>
    <w:rsid w:val="000C0E20"/>
    <w:rsid w:val="000C10EA"/>
    <w:rsid w:val="000C164B"/>
    <w:rsid w:val="000C182C"/>
    <w:rsid w:val="000C18B8"/>
    <w:rsid w:val="000C236F"/>
    <w:rsid w:val="000C2ADE"/>
    <w:rsid w:val="000C2CA7"/>
    <w:rsid w:val="000C321D"/>
    <w:rsid w:val="000C3667"/>
    <w:rsid w:val="000C41A6"/>
    <w:rsid w:val="000C41C9"/>
    <w:rsid w:val="000C467B"/>
    <w:rsid w:val="000C4781"/>
    <w:rsid w:val="000C4D58"/>
    <w:rsid w:val="000C53A3"/>
    <w:rsid w:val="000C572E"/>
    <w:rsid w:val="000C61C7"/>
    <w:rsid w:val="000C6AA2"/>
    <w:rsid w:val="000C6C97"/>
    <w:rsid w:val="000C7179"/>
    <w:rsid w:val="000C7BD5"/>
    <w:rsid w:val="000D002C"/>
    <w:rsid w:val="000D070B"/>
    <w:rsid w:val="000D1DDF"/>
    <w:rsid w:val="000D2200"/>
    <w:rsid w:val="000D262B"/>
    <w:rsid w:val="000D2F5C"/>
    <w:rsid w:val="000D2F8A"/>
    <w:rsid w:val="000D3129"/>
    <w:rsid w:val="000D3C7E"/>
    <w:rsid w:val="000D4BBF"/>
    <w:rsid w:val="000D556A"/>
    <w:rsid w:val="000D6416"/>
    <w:rsid w:val="000D66BD"/>
    <w:rsid w:val="000D6FB8"/>
    <w:rsid w:val="000D793B"/>
    <w:rsid w:val="000E0D38"/>
    <w:rsid w:val="000E1AEC"/>
    <w:rsid w:val="000E1B37"/>
    <w:rsid w:val="000E1FB7"/>
    <w:rsid w:val="000E3195"/>
    <w:rsid w:val="000E35CD"/>
    <w:rsid w:val="000E391F"/>
    <w:rsid w:val="000E3CC1"/>
    <w:rsid w:val="000E4801"/>
    <w:rsid w:val="000E4F1E"/>
    <w:rsid w:val="000E50F2"/>
    <w:rsid w:val="000E514D"/>
    <w:rsid w:val="000E51E9"/>
    <w:rsid w:val="000E5407"/>
    <w:rsid w:val="000E5979"/>
    <w:rsid w:val="000E5CCD"/>
    <w:rsid w:val="000E6310"/>
    <w:rsid w:val="000E68D3"/>
    <w:rsid w:val="000E6E56"/>
    <w:rsid w:val="000F03FB"/>
    <w:rsid w:val="000F04BF"/>
    <w:rsid w:val="000F0595"/>
    <w:rsid w:val="000F12B8"/>
    <w:rsid w:val="000F12C9"/>
    <w:rsid w:val="000F1BDC"/>
    <w:rsid w:val="000F233F"/>
    <w:rsid w:val="000F2CAD"/>
    <w:rsid w:val="000F3118"/>
    <w:rsid w:val="000F3522"/>
    <w:rsid w:val="000F3662"/>
    <w:rsid w:val="000F4B29"/>
    <w:rsid w:val="000F4C35"/>
    <w:rsid w:val="000F525E"/>
    <w:rsid w:val="000F5511"/>
    <w:rsid w:val="000F62C7"/>
    <w:rsid w:val="000F6CBD"/>
    <w:rsid w:val="0010013D"/>
    <w:rsid w:val="001002D2"/>
    <w:rsid w:val="00100C1C"/>
    <w:rsid w:val="00100CEE"/>
    <w:rsid w:val="001017D1"/>
    <w:rsid w:val="00101E4B"/>
    <w:rsid w:val="001029D6"/>
    <w:rsid w:val="00102F8F"/>
    <w:rsid w:val="001033B2"/>
    <w:rsid w:val="001043C6"/>
    <w:rsid w:val="00105612"/>
    <w:rsid w:val="00105EA6"/>
    <w:rsid w:val="0010618E"/>
    <w:rsid w:val="001068F5"/>
    <w:rsid w:val="00106D48"/>
    <w:rsid w:val="00107219"/>
    <w:rsid w:val="00107693"/>
    <w:rsid w:val="00107A49"/>
    <w:rsid w:val="00107DAF"/>
    <w:rsid w:val="001101BB"/>
    <w:rsid w:val="00110FE1"/>
    <w:rsid w:val="001120A0"/>
    <w:rsid w:val="0011219D"/>
    <w:rsid w:val="00113F0C"/>
    <w:rsid w:val="0011442D"/>
    <w:rsid w:val="001147A4"/>
    <w:rsid w:val="00114929"/>
    <w:rsid w:val="00115653"/>
    <w:rsid w:val="00115CF1"/>
    <w:rsid w:val="001170C6"/>
    <w:rsid w:val="00117137"/>
    <w:rsid w:val="00117AF3"/>
    <w:rsid w:val="00117C0F"/>
    <w:rsid w:val="00117C68"/>
    <w:rsid w:val="0012000C"/>
    <w:rsid w:val="001200D6"/>
    <w:rsid w:val="00120360"/>
    <w:rsid w:val="0012068C"/>
    <w:rsid w:val="001207F9"/>
    <w:rsid w:val="00120BC7"/>
    <w:rsid w:val="00120C2F"/>
    <w:rsid w:val="00120CA0"/>
    <w:rsid w:val="00121008"/>
    <w:rsid w:val="0012101A"/>
    <w:rsid w:val="001215D6"/>
    <w:rsid w:val="0012202C"/>
    <w:rsid w:val="00122CE1"/>
    <w:rsid w:val="00122E2B"/>
    <w:rsid w:val="00123976"/>
    <w:rsid w:val="00124629"/>
    <w:rsid w:val="00124DEC"/>
    <w:rsid w:val="00124EFD"/>
    <w:rsid w:val="0012542D"/>
    <w:rsid w:val="0012577E"/>
    <w:rsid w:val="0012596E"/>
    <w:rsid w:val="00125F7D"/>
    <w:rsid w:val="001260C8"/>
    <w:rsid w:val="001262EF"/>
    <w:rsid w:val="0012655D"/>
    <w:rsid w:val="00126583"/>
    <w:rsid w:val="00126B65"/>
    <w:rsid w:val="0012732F"/>
    <w:rsid w:val="00130339"/>
    <w:rsid w:val="001307C5"/>
    <w:rsid w:val="001311F8"/>
    <w:rsid w:val="00131433"/>
    <w:rsid w:val="0013159F"/>
    <w:rsid w:val="001319D2"/>
    <w:rsid w:val="00131EB1"/>
    <w:rsid w:val="00132635"/>
    <w:rsid w:val="0013283A"/>
    <w:rsid w:val="00134190"/>
    <w:rsid w:val="00134A11"/>
    <w:rsid w:val="00134F05"/>
    <w:rsid w:val="001354E7"/>
    <w:rsid w:val="00135A54"/>
    <w:rsid w:val="00136710"/>
    <w:rsid w:val="0013672B"/>
    <w:rsid w:val="00137CFA"/>
    <w:rsid w:val="00137F05"/>
    <w:rsid w:val="001400A0"/>
    <w:rsid w:val="00140982"/>
    <w:rsid w:val="00140CFB"/>
    <w:rsid w:val="00140F37"/>
    <w:rsid w:val="00141200"/>
    <w:rsid w:val="00141591"/>
    <w:rsid w:val="0014172A"/>
    <w:rsid w:val="0014187A"/>
    <w:rsid w:val="00141FBC"/>
    <w:rsid w:val="001422C9"/>
    <w:rsid w:val="0014243F"/>
    <w:rsid w:val="0014294E"/>
    <w:rsid w:val="00142C72"/>
    <w:rsid w:val="001432CD"/>
    <w:rsid w:val="001432DF"/>
    <w:rsid w:val="00143447"/>
    <w:rsid w:val="00143519"/>
    <w:rsid w:val="001437C9"/>
    <w:rsid w:val="00143B74"/>
    <w:rsid w:val="00143E7A"/>
    <w:rsid w:val="00144111"/>
    <w:rsid w:val="00144A29"/>
    <w:rsid w:val="00147BE4"/>
    <w:rsid w:val="00147CDB"/>
    <w:rsid w:val="00147DDC"/>
    <w:rsid w:val="00147DE3"/>
    <w:rsid w:val="00150453"/>
    <w:rsid w:val="00150A0F"/>
    <w:rsid w:val="00150C10"/>
    <w:rsid w:val="00150D1B"/>
    <w:rsid w:val="00151336"/>
    <w:rsid w:val="00152366"/>
    <w:rsid w:val="00152EC0"/>
    <w:rsid w:val="00153B2D"/>
    <w:rsid w:val="00153B85"/>
    <w:rsid w:val="001553A8"/>
    <w:rsid w:val="001554CE"/>
    <w:rsid w:val="00155FD8"/>
    <w:rsid w:val="0015605D"/>
    <w:rsid w:val="001560EC"/>
    <w:rsid w:val="001561DC"/>
    <w:rsid w:val="00156508"/>
    <w:rsid w:val="0015754D"/>
    <w:rsid w:val="00157B04"/>
    <w:rsid w:val="00157BD4"/>
    <w:rsid w:val="00160284"/>
    <w:rsid w:val="0016057A"/>
    <w:rsid w:val="00160866"/>
    <w:rsid w:val="0016091C"/>
    <w:rsid w:val="00160E97"/>
    <w:rsid w:val="00161774"/>
    <w:rsid w:val="00161E40"/>
    <w:rsid w:val="00161F83"/>
    <w:rsid w:val="0016346F"/>
    <w:rsid w:val="00163837"/>
    <w:rsid w:val="00163A54"/>
    <w:rsid w:val="00164559"/>
    <w:rsid w:val="00164791"/>
    <w:rsid w:val="00165EAA"/>
    <w:rsid w:val="001665EA"/>
    <w:rsid w:val="00166949"/>
    <w:rsid w:val="00167721"/>
    <w:rsid w:val="00170788"/>
    <w:rsid w:val="001708BE"/>
    <w:rsid w:val="0017098A"/>
    <w:rsid w:val="00170C21"/>
    <w:rsid w:val="001716F7"/>
    <w:rsid w:val="00171A6F"/>
    <w:rsid w:val="00172993"/>
    <w:rsid w:val="00173064"/>
    <w:rsid w:val="001732B2"/>
    <w:rsid w:val="00173621"/>
    <w:rsid w:val="001739C2"/>
    <w:rsid w:val="00173B3A"/>
    <w:rsid w:val="00173FCF"/>
    <w:rsid w:val="00174655"/>
    <w:rsid w:val="00174D90"/>
    <w:rsid w:val="00175977"/>
    <w:rsid w:val="0017605B"/>
    <w:rsid w:val="001761EF"/>
    <w:rsid w:val="0017656E"/>
    <w:rsid w:val="00176790"/>
    <w:rsid w:val="00176D8B"/>
    <w:rsid w:val="0017751F"/>
    <w:rsid w:val="00180435"/>
    <w:rsid w:val="001809E0"/>
    <w:rsid w:val="00181375"/>
    <w:rsid w:val="001813C3"/>
    <w:rsid w:val="00181855"/>
    <w:rsid w:val="001819DA"/>
    <w:rsid w:val="00181FCF"/>
    <w:rsid w:val="00182693"/>
    <w:rsid w:val="001826A0"/>
    <w:rsid w:val="00182705"/>
    <w:rsid w:val="00182DFB"/>
    <w:rsid w:val="00182E38"/>
    <w:rsid w:val="001838E0"/>
    <w:rsid w:val="00183A15"/>
    <w:rsid w:val="00183F61"/>
    <w:rsid w:val="001845F7"/>
    <w:rsid w:val="001852AE"/>
    <w:rsid w:val="00185355"/>
    <w:rsid w:val="00185483"/>
    <w:rsid w:val="00185D52"/>
    <w:rsid w:val="0018601D"/>
    <w:rsid w:val="0018628A"/>
    <w:rsid w:val="001866BF"/>
    <w:rsid w:val="00186884"/>
    <w:rsid w:val="00187102"/>
    <w:rsid w:val="00187119"/>
    <w:rsid w:val="001878EB"/>
    <w:rsid w:val="0019000C"/>
    <w:rsid w:val="0019030D"/>
    <w:rsid w:val="0019076F"/>
    <w:rsid w:val="0019092C"/>
    <w:rsid w:val="00190C7A"/>
    <w:rsid w:val="00190E9E"/>
    <w:rsid w:val="00190F7F"/>
    <w:rsid w:val="0019269B"/>
    <w:rsid w:val="001929EF"/>
    <w:rsid w:val="00192AB3"/>
    <w:rsid w:val="00192F7F"/>
    <w:rsid w:val="001939CB"/>
    <w:rsid w:val="00193F5B"/>
    <w:rsid w:val="00194559"/>
    <w:rsid w:val="001947C1"/>
    <w:rsid w:val="001948EC"/>
    <w:rsid w:val="00194F2A"/>
    <w:rsid w:val="0019508F"/>
    <w:rsid w:val="001953F2"/>
    <w:rsid w:val="0019547E"/>
    <w:rsid w:val="00195688"/>
    <w:rsid w:val="00196BE4"/>
    <w:rsid w:val="0019734C"/>
    <w:rsid w:val="0019776A"/>
    <w:rsid w:val="001A0137"/>
    <w:rsid w:val="001A06DE"/>
    <w:rsid w:val="001A08FF"/>
    <w:rsid w:val="001A17B1"/>
    <w:rsid w:val="001A1AE7"/>
    <w:rsid w:val="001A2314"/>
    <w:rsid w:val="001A3100"/>
    <w:rsid w:val="001A3A22"/>
    <w:rsid w:val="001A3AA1"/>
    <w:rsid w:val="001A3CBF"/>
    <w:rsid w:val="001A3F98"/>
    <w:rsid w:val="001A4109"/>
    <w:rsid w:val="001A4547"/>
    <w:rsid w:val="001A48FB"/>
    <w:rsid w:val="001A4C89"/>
    <w:rsid w:val="001A562F"/>
    <w:rsid w:val="001A646C"/>
    <w:rsid w:val="001A66AF"/>
    <w:rsid w:val="001B0800"/>
    <w:rsid w:val="001B09DF"/>
    <w:rsid w:val="001B100D"/>
    <w:rsid w:val="001B1019"/>
    <w:rsid w:val="001B1B0D"/>
    <w:rsid w:val="001B2704"/>
    <w:rsid w:val="001B2C82"/>
    <w:rsid w:val="001B2F6B"/>
    <w:rsid w:val="001B354E"/>
    <w:rsid w:val="001B3657"/>
    <w:rsid w:val="001B3EDD"/>
    <w:rsid w:val="001B3EE2"/>
    <w:rsid w:val="001B43FF"/>
    <w:rsid w:val="001B4478"/>
    <w:rsid w:val="001B4569"/>
    <w:rsid w:val="001B484F"/>
    <w:rsid w:val="001B4B99"/>
    <w:rsid w:val="001B5B2D"/>
    <w:rsid w:val="001B5EB4"/>
    <w:rsid w:val="001B6030"/>
    <w:rsid w:val="001B68D3"/>
    <w:rsid w:val="001B6F65"/>
    <w:rsid w:val="001B72AE"/>
    <w:rsid w:val="001B76EB"/>
    <w:rsid w:val="001B776A"/>
    <w:rsid w:val="001B7B29"/>
    <w:rsid w:val="001C0B1F"/>
    <w:rsid w:val="001C0C39"/>
    <w:rsid w:val="001C0E0C"/>
    <w:rsid w:val="001C1A1F"/>
    <w:rsid w:val="001C1B4B"/>
    <w:rsid w:val="001C2BA0"/>
    <w:rsid w:val="001C2F21"/>
    <w:rsid w:val="001C321B"/>
    <w:rsid w:val="001C3C19"/>
    <w:rsid w:val="001C3E96"/>
    <w:rsid w:val="001C3ED4"/>
    <w:rsid w:val="001C4E12"/>
    <w:rsid w:val="001C567B"/>
    <w:rsid w:val="001C5E6C"/>
    <w:rsid w:val="001C6815"/>
    <w:rsid w:val="001C6B3A"/>
    <w:rsid w:val="001C7591"/>
    <w:rsid w:val="001D006E"/>
    <w:rsid w:val="001D0423"/>
    <w:rsid w:val="001D073F"/>
    <w:rsid w:val="001D0DE3"/>
    <w:rsid w:val="001D1020"/>
    <w:rsid w:val="001D15CF"/>
    <w:rsid w:val="001D1E16"/>
    <w:rsid w:val="001D235D"/>
    <w:rsid w:val="001D2555"/>
    <w:rsid w:val="001D337C"/>
    <w:rsid w:val="001D380D"/>
    <w:rsid w:val="001D41F0"/>
    <w:rsid w:val="001D65C6"/>
    <w:rsid w:val="001D6CED"/>
    <w:rsid w:val="001E04E8"/>
    <w:rsid w:val="001E184B"/>
    <w:rsid w:val="001E1EE3"/>
    <w:rsid w:val="001E1F20"/>
    <w:rsid w:val="001E26B5"/>
    <w:rsid w:val="001E2AA6"/>
    <w:rsid w:val="001E386F"/>
    <w:rsid w:val="001E394B"/>
    <w:rsid w:val="001E3BCD"/>
    <w:rsid w:val="001E4E84"/>
    <w:rsid w:val="001E4EBC"/>
    <w:rsid w:val="001E5107"/>
    <w:rsid w:val="001E55D4"/>
    <w:rsid w:val="001E6376"/>
    <w:rsid w:val="001E71B5"/>
    <w:rsid w:val="001E7B18"/>
    <w:rsid w:val="001F0D95"/>
    <w:rsid w:val="001F15CD"/>
    <w:rsid w:val="001F1A6D"/>
    <w:rsid w:val="001F1F3F"/>
    <w:rsid w:val="001F27B1"/>
    <w:rsid w:val="001F2F00"/>
    <w:rsid w:val="001F348D"/>
    <w:rsid w:val="001F3AE7"/>
    <w:rsid w:val="001F47D0"/>
    <w:rsid w:val="001F5B11"/>
    <w:rsid w:val="001F6550"/>
    <w:rsid w:val="001F69E8"/>
    <w:rsid w:val="001F7038"/>
    <w:rsid w:val="001F7320"/>
    <w:rsid w:val="001F77B6"/>
    <w:rsid w:val="00200F31"/>
    <w:rsid w:val="002012D7"/>
    <w:rsid w:val="00201B26"/>
    <w:rsid w:val="0020221F"/>
    <w:rsid w:val="00202E67"/>
    <w:rsid w:val="00203AEA"/>
    <w:rsid w:val="00203D33"/>
    <w:rsid w:val="00204D0F"/>
    <w:rsid w:val="00205051"/>
    <w:rsid w:val="0020794A"/>
    <w:rsid w:val="00207A23"/>
    <w:rsid w:val="00207C7F"/>
    <w:rsid w:val="00210B48"/>
    <w:rsid w:val="00211174"/>
    <w:rsid w:val="0021175A"/>
    <w:rsid w:val="00211B9D"/>
    <w:rsid w:val="002120BD"/>
    <w:rsid w:val="00212962"/>
    <w:rsid w:val="00213196"/>
    <w:rsid w:val="00214731"/>
    <w:rsid w:val="00214F01"/>
    <w:rsid w:val="0021540E"/>
    <w:rsid w:val="00215C9A"/>
    <w:rsid w:val="0021615A"/>
    <w:rsid w:val="002169FE"/>
    <w:rsid w:val="00216F58"/>
    <w:rsid w:val="00217135"/>
    <w:rsid w:val="0022132D"/>
    <w:rsid w:val="00221D16"/>
    <w:rsid w:val="00221D27"/>
    <w:rsid w:val="00222064"/>
    <w:rsid w:val="00222CAE"/>
    <w:rsid w:val="00223622"/>
    <w:rsid w:val="002237D8"/>
    <w:rsid w:val="0022382C"/>
    <w:rsid w:val="00223B83"/>
    <w:rsid w:val="00223DAB"/>
    <w:rsid w:val="00224D56"/>
    <w:rsid w:val="0022536E"/>
    <w:rsid w:val="002258F4"/>
    <w:rsid w:val="00225A53"/>
    <w:rsid w:val="00225C88"/>
    <w:rsid w:val="002262C4"/>
    <w:rsid w:val="002264F4"/>
    <w:rsid w:val="002277F0"/>
    <w:rsid w:val="00227A81"/>
    <w:rsid w:val="00230A52"/>
    <w:rsid w:val="00230B9E"/>
    <w:rsid w:val="00231427"/>
    <w:rsid w:val="00231B27"/>
    <w:rsid w:val="00231FE3"/>
    <w:rsid w:val="002326CA"/>
    <w:rsid w:val="00232934"/>
    <w:rsid w:val="00232BAB"/>
    <w:rsid w:val="00233057"/>
    <w:rsid w:val="002331EC"/>
    <w:rsid w:val="00233ABC"/>
    <w:rsid w:val="00234906"/>
    <w:rsid w:val="00234A3D"/>
    <w:rsid w:val="00235ACB"/>
    <w:rsid w:val="00235DEC"/>
    <w:rsid w:val="00236B10"/>
    <w:rsid w:val="00236EEA"/>
    <w:rsid w:val="002372B2"/>
    <w:rsid w:val="0023785A"/>
    <w:rsid w:val="00237DD0"/>
    <w:rsid w:val="002401C8"/>
    <w:rsid w:val="002407C6"/>
    <w:rsid w:val="00240AF3"/>
    <w:rsid w:val="00240DEB"/>
    <w:rsid w:val="0024142D"/>
    <w:rsid w:val="00241714"/>
    <w:rsid w:val="00241F1E"/>
    <w:rsid w:val="0024354E"/>
    <w:rsid w:val="00243D06"/>
    <w:rsid w:val="002442D3"/>
    <w:rsid w:val="002449C0"/>
    <w:rsid w:val="00244CDD"/>
    <w:rsid w:val="00245302"/>
    <w:rsid w:val="0024568B"/>
    <w:rsid w:val="00245D73"/>
    <w:rsid w:val="002460F2"/>
    <w:rsid w:val="00246374"/>
    <w:rsid w:val="002472FE"/>
    <w:rsid w:val="002477B4"/>
    <w:rsid w:val="0025030E"/>
    <w:rsid w:val="002503B8"/>
    <w:rsid w:val="00250F72"/>
    <w:rsid w:val="002514CA"/>
    <w:rsid w:val="00252675"/>
    <w:rsid w:val="00252803"/>
    <w:rsid w:val="00252FDB"/>
    <w:rsid w:val="0025369C"/>
    <w:rsid w:val="00254AAA"/>
    <w:rsid w:val="0025559A"/>
    <w:rsid w:val="00255E07"/>
    <w:rsid w:val="002567CD"/>
    <w:rsid w:val="00257287"/>
    <w:rsid w:val="00257322"/>
    <w:rsid w:val="002574ED"/>
    <w:rsid w:val="002576B5"/>
    <w:rsid w:val="0025785E"/>
    <w:rsid w:val="00260B9A"/>
    <w:rsid w:val="002612BE"/>
    <w:rsid w:val="002613AC"/>
    <w:rsid w:val="0026148A"/>
    <w:rsid w:val="002614AF"/>
    <w:rsid w:val="00261D3C"/>
    <w:rsid w:val="00262C42"/>
    <w:rsid w:val="0026349D"/>
    <w:rsid w:val="00263AF2"/>
    <w:rsid w:val="00264405"/>
    <w:rsid w:val="00265174"/>
    <w:rsid w:val="00266503"/>
    <w:rsid w:val="00266E0E"/>
    <w:rsid w:val="00266FD4"/>
    <w:rsid w:val="002671CC"/>
    <w:rsid w:val="00267241"/>
    <w:rsid w:val="002676FA"/>
    <w:rsid w:val="002677C2"/>
    <w:rsid w:val="00267CA4"/>
    <w:rsid w:val="00267F57"/>
    <w:rsid w:val="00270135"/>
    <w:rsid w:val="0027099E"/>
    <w:rsid w:val="002709E7"/>
    <w:rsid w:val="00271222"/>
    <w:rsid w:val="00271B2A"/>
    <w:rsid w:val="00272101"/>
    <w:rsid w:val="002728FA"/>
    <w:rsid w:val="0027369C"/>
    <w:rsid w:val="00273706"/>
    <w:rsid w:val="00273FF3"/>
    <w:rsid w:val="00274A18"/>
    <w:rsid w:val="00274B8F"/>
    <w:rsid w:val="00274D9D"/>
    <w:rsid w:val="002769B7"/>
    <w:rsid w:val="00276C42"/>
    <w:rsid w:val="002775A0"/>
    <w:rsid w:val="0027764C"/>
    <w:rsid w:val="00280C4C"/>
    <w:rsid w:val="00280E55"/>
    <w:rsid w:val="0028141B"/>
    <w:rsid w:val="00281E59"/>
    <w:rsid w:val="00282FEC"/>
    <w:rsid w:val="00282FF3"/>
    <w:rsid w:val="0028364E"/>
    <w:rsid w:val="00284655"/>
    <w:rsid w:val="002848CB"/>
    <w:rsid w:val="00284D72"/>
    <w:rsid w:val="0028519E"/>
    <w:rsid w:val="00285776"/>
    <w:rsid w:val="002858BA"/>
    <w:rsid w:val="0028661B"/>
    <w:rsid w:val="002866B6"/>
    <w:rsid w:val="002866D9"/>
    <w:rsid w:val="0028686B"/>
    <w:rsid w:val="002912A0"/>
    <w:rsid w:val="0029184C"/>
    <w:rsid w:val="0029235D"/>
    <w:rsid w:val="00292574"/>
    <w:rsid w:val="002926A4"/>
    <w:rsid w:val="0029283C"/>
    <w:rsid w:val="00292EA2"/>
    <w:rsid w:val="00292F35"/>
    <w:rsid w:val="00292F9A"/>
    <w:rsid w:val="0029396A"/>
    <w:rsid w:val="00293DE2"/>
    <w:rsid w:val="00294D80"/>
    <w:rsid w:val="00295E8C"/>
    <w:rsid w:val="00296148"/>
    <w:rsid w:val="0029649C"/>
    <w:rsid w:val="00296FB8"/>
    <w:rsid w:val="0029771E"/>
    <w:rsid w:val="002A01ED"/>
    <w:rsid w:val="002A04CF"/>
    <w:rsid w:val="002A0621"/>
    <w:rsid w:val="002A07B1"/>
    <w:rsid w:val="002A0B1A"/>
    <w:rsid w:val="002A17E0"/>
    <w:rsid w:val="002A21C3"/>
    <w:rsid w:val="002A44EF"/>
    <w:rsid w:val="002A4823"/>
    <w:rsid w:val="002A50D2"/>
    <w:rsid w:val="002A5245"/>
    <w:rsid w:val="002A55D1"/>
    <w:rsid w:val="002A5C41"/>
    <w:rsid w:val="002A5CF5"/>
    <w:rsid w:val="002A60FB"/>
    <w:rsid w:val="002A63B1"/>
    <w:rsid w:val="002A6D5F"/>
    <w:rsid w:val="002A6EA4"/>
    <w:rsid w:val="002A7839"/>
    <w:rsid w:val="002A7B04"/>
    <w:rsid w:val="002A7E9D"/>
    <w:rsid w:val="002B0D7E"/>
    <w:rsid w:val="002B0E75"/>
    <w:rsid w:val="002B0F51"/>
    <w:rsid w:val="002B15AC"/>
    <w:rsid w:val="002B193B"/>
    <w:rsid w:val="002B19FB"/>
    <w:rsid w:val="002B36C3"/>
    <w:rsid w:val="002B3812"/>
    <w:rsid w:val="002B383A"/>
    <w:rsid w:val="002B532E"/>
    <w:rsid w:val="002B543A"/>
    <w:rsid w:val="002B5525"/>
    <w:rsid w:val="002B5A2E"/>
    <w:rsid w:val="002B5A4B"/>
    <w:rsid w:val="002B5AA3"/>
    <w:rsid w:val="002B61A8"/>
    <w:rsid w:val="002B678E"/>
    <w:rsid w:val="002B68FE"/>
    <w:rsid w:val="002B7AFC"/>
    <w:rsid w:val="002C0717"/>
    <w:rsid w:val="002C0BC3"/>
    <w:rsid w:val="002C0D00"/>
    <w:rsid w:val="002C10D1"/>
    <w:rsid w:val="002C1CFA"/>
    <w:rsid w:val="002C239C"/>
    <w:rsid w:val="002C2F4E"/>
    <w:rsid w:val="002C30B8"/>
    <w:rsid w:val="002C356F"/>
    <w:rsid w:val="002C3A5F"/>
    <w:rsid w:val="002C3CEB"/>
    <w:rsid w:val="002C433A"/>
    <w:rsid w:val="002C43CD"/>
    <w:rsid w:val="002C4406"/>
    <w:rsid w:val="002C4DD7"/>
    <w:rsid w:val="002C4E55"/>
    <w:rsid w:val="002C5754"/>
    <w:rsid w:val="002C5E29"/>
    <w:rsid w:val="002C6BF5"/>
    <w:rsid w:val="002C6D79"/>
    <w:rsid w:val="002C765A"/>
    <w:rsid w:val="002C7B4C"/>
    <w:rsid w:val="002D0C49"/>
    <w:rsid w:val="002D0F70"/>
    <w:rsid w:val="002D1469"/>
    <w:rsid w:val="002D2333"/>
    <w:rsid w:val="002D2553"/>
    <w:rsid w:val="002D43A1"/>
    <w:rsid w:val="002D48D1"/>
    <w:rsid w:val="002D54D8"/>
    <w:rsid w:val="002D6310"/>
    <w:rsid w:val="002D63D6"/>
    <w:rsid w:val="002D667F"/>
    <w:rsid w:val="002D6680"/>
    <w:rsid w:val="002D6EFA"/>
    <w:rsid w:val="002D79DB"/>
    <w:rsid w:val="002D7F1A"/>
    <w:rsid w:val="002E00CC"/>
    <w:rsid w:val="002E0473"/>
    <w:rsid w:val="002E0BB8"/>
    <w:rsid w:val="002E1197"/>
    <w:rsid w:val="002E1312"/>
    <w:rsid w:val="002E1AB7"/>
    <w:rsid w:val="002E1AF1"/>
    <w:rsid w:val="002E1F29"/>
    <w:rsid w:val="002E24D4"/>
    <w:rsid w:val="002E293D"/>
    <w:rsid w:val="002E2A27"/>
    <w:rsid w:val="002E3911"/>
    <w:rsid w:val="002E3E8A"/>
    <w:rsid w:val="002E527B"/>
    <w:rsid w:val="002E56B2"/>
    <w:rsid w:val="002E5ACF"/>
    <w:rsid w:val="002E604B"/>
    <w:rsid w:val="002E6084"/>
    <w:rsid w:val="002E710B"/>
    <w:rsid w:val="002E7C69"/>
    <w:rsid w:val="002F06D0"/>
    <w:rsid w:val="002F15AD"/>
    <w:rsid w:val="002F2CF2"/>
    <w:rsid w:val="002F369F"/>
    <w:rsid w:val="002F3830"/>
    <w:rsid w:val="002F38D7"/>
    <w:rsid w:val="002F3EFA"/>
    <w:rsid w:val="002F40EA"/>
    <w:rsid w:val="002F42D9"/>
    <w:rsid w:val="002F4929"/>
    <w:rsid w:val="002F5989"/>
    <w:rsid w:val="002F694D"/>
    <w:rsid w:val="002F73F4"/>
    <w:rsid w:val="002F7DD0"/>
    <w:rsid w:val="002F7DDE"/>
    <w:rsid w:val="002F7E97"/>
    <w:rsid w:val="003000FF"/>
    <w:rsid w:val="003006A1"/>
    <w:rsid w:val="003012A2"/>
    <w:rsid w:val="00301499"/>
    <w:rsid w:val="003018B7"/>
    <w:rsid w:val="0030204B"/>
    <w:rsid w:val="003020C6"/>
    <w:rsid w:val="0030280A"/>
    <w:rsid w:val="00302C8C"/>
    <w:rsid w:val="00303EF4"/>
    <w:rsid w:val="00304ACA"/>
    <w:rsid w:val="00304F2A"/>
    <w:rsid w:val="00305A1B"/>
    <w:rsid w:val="003062D8"/>
    <w:rsid w:val="0030704A"/>
    <w:rsid w:val="003070B7"/>
    <w:rsid w:val="00307309"/>
    <w:rsid w:val="003075BC"/>
    <w:rsid w:val="00307E7E"/>
    <w:rsid w:val="003101EC"/>
    <w:rsid w:val="003104EE"/>
    <w:rsid w:val="003106DE"/>
    <w:rsid w:val="00311663"/>
    <w:rsid w:val="00311B59"/>
    <w:rsid w:val="0031227B"/>
    <w:rsid w:val="003127F4"/>
    <w:rsid w:val="00312A20"/>
    <w:rsid w:val="00312A92"/>
    <w:rsid w:val="003133C7"/>
    <w:rsid w:val="00313652"/>
    <w:rsid w:val="0031376D"/>
    <w:rsid w:val="00313D36"/>
    <w:rsid w:val="00314899"/>
    <w:rsid w:val="003151B5"/>
    <w:rsid w:val="00315AF8"/>
    <w:rsid w:val="00315C91"/>
    <w:rsid w:val="003168A7"/>
    <w:rsid w:val="003175F3"/>
    <w:rsid w:val="00317835"/>
    <w:rsid w:val="00317A71"/>
    <w:rsid w:val="00317C72"/>
    <w:rsid w:val="00320ED9"/>
    <w:rsid w:val="00321DAA"/>
    <w:rsid w:val="003225D9"/>
    <w:rsid w:val="00322AF3"/>
    <w:rsid w:val="0032306C"/>
    <w:rsid w:val="00323146"/>
    <w:rsid w:val="003235CC"/>
    <w:rsid w:val="003240B6"/>
    <w:rsid w:val="00324EC4"/>
    <w:rsid w:val="00324FE0"/>
    <w:rsid w:val="00325427"/>
    <w:rsid w:val="00325668"/>
    <w:rsid w:val="00325823"/>
    <w:rsid w:val="00325E60"/>
    <w:rsid w:val="0032752E"/>
    <w:rsid w:val="00327705"/>
    <w:rsid w:val="00330014"/>
    <w:rsid w:val="0033097A"/>
    <w:rsid w:val="00330C51"/>
    <w:rsid w:val="00330DCC"/>
    <w:rsid w:val="003310D4"/>
    <w:rsid w:val="0033199D"/>
    <w:rsid w:val="00331CFC"/>
    <w:rsid w:val="0033241A"/>
    <w:rsid w:val="00332627"/>
    <w:rsid w:val="00332A87"/>
    <w:rsid w:val="00332E97"/>
    <w:rsid w:val="00332F1F"/>
    <w:rsid w:val="00333196"/>
    <w:rsid w:val="0033432E"/>
    <w:rsid w:val="00334EB2"/>
    <w:rsid w:val="003351CE"/>
    <w:rsid w:val="0033535C"/>
    <w:rsid w:val="00335589"/>
    <w:rsid w:val="0033559C"/>
    <w:rsid w:val="0033625F"/>
    <w:rsid w:val="003362C9"/>
    <w:rsid w:val="003379DC"/>
    <w:rsid w:val="00337C8D"/>
    <w:rsid w:val="00340D7B"/>
    <w:rsid w:val="00341556"/>
    <w:rsid w:val="0034178A"/>
    <w:rsid w:val="003429E0"/>
    <w:rsid w:val="003436C7"/>
    <w:rsid w:val="00343A3B"/>
    <w:rsid w:val="00343B7B"/>
    <w:rsid w:val="00343C1E"/>
    <w:rsid w:val="003441F0"/>
    <w:rsid w:val="00346021"/>
    <w:rsid w:val="00346127"/>
    <w:rsid w:val="00346B36"/>
    <w:rsid w:val="0034796D"/>
    <w:rsid w:val="00347CC0"/>
    <w:rsid w:val="0035093A"/>
    <w:rsid w:val="003509E6"/>
    <w:rsid w:val="00350F1B"/>
    <w:rsid w:val="00351016"/>
    <w:rsid w:val="00351237"/>
    <w:rsid w:val="00351946"/>
    <w:rsid w:val="00351B53"/>
    <w:rsid w:val="00351FF0"/>
    <w:rsid w:val="0035210E"/>
    <w:rsid w:val="003521FD"/>
    <w:rsid w:val="00352802"/>
    <w:rsid w:val="00352C0E"/>
    <w:rsid w:val="00353085"/>
    <w:rsid w:val="003535EF"/>
    <w:rsid w:val="003538EF"/>
    <w:rsid w:val="00354D5C"/>
    <w:rsid w:val="0035515E"/>
    <w:rsid w:val="0035543B"/>
    <w:rsid w:val="00355868"/>
    <w:rsid w:val="00355E2C"/>
    <w:rsid w:val="00355EAC"/>
    <w:rsid w:val="00357596"/>
    <w:rsid w:val="003575B9"/>
    <w:rsid w:val="00357828"/>
    <w:rsid w:val="00357895"/>
    <w:rsid w:val="00357916"/>
    <w:rsid w:val="00357B15"/>
    <w:rsid w:val="0036025D"/>
    <w:rsid w:val="00360937"/>
    <w:rsid w:val="00360957"/>
    <w:rsid w:val="00360B19"/>
    <w:rsid w:val="00360FCE"/>
    <w:rsid w:val="0036193E"/>
    <w:rsid w:val="003626D8"/>
    <w:rsid w:val="00362D25"/>
    <w:rsid w:val="00362DF3"/>
    <w:rsid w:val="00362E82"/>
    <w:rsid w:val="00363384"/>
    <w:rsid w:val="00364001"/>
    <w:rsid w:val="003658BD"/>
    <w:rsid w:val="00365B5F"/>
    <w:rsid w:val="00365DC3"/>
    <w:rsid w:val="0036633C"/>
    <w:rsid w:val="00366CA4"/>
    <w:rsid w:val="00366CC9"/>
    <w:rsid w:val="0036763E"/>
    <w:rsid w:val="00367773"/>
    <w:rsid w:val="00367C14"/>
    <w:rsid w:val="00367E02"/>
    <w:rsid w:val="0037013D"/>
    <w:rsid w:val="0037078A"/>
    <w:rsid w:val="00370DA4"/>
    <w:rsid w:val="003710CD"/>
    <w:rsid w:val="00371CE1"/>
    <w:rsid w:val="00372673"/>
    <w:rsid w:val="00372E91"/>
    <w:rsid w:val="00372FAD"/>
    <w:rsid w:val="00372FD5"/>
    <w:rsid w:val="003731FD"/>
    <w:rsid w:val="00373321"/>
    <w:rsid w:val="003739D8"/>
    <w:rsid w:val="00375433"/>
    <w:rsid w:val="0037552F"/>
    <w:rsid w:val="0037573C"/>
    <w:rsid w:val="003758C3"/>
    <w:rsid w:val="0037633B"/>
    <w:rsid w:val="00376958"/>
    <w:rsid w:val="00376B25"/>
    <w:rsid w:val="00376C1A"/>
    <w:rsid w:val="00376DE7"/>
    <w:rsid w:val="0037769F"/>
    <w:rsid w:val="0037792A"/>
    <w:rsid w:val="00377C17"/>
    <w:rsid w:val="00377C46"/>
    <w:rsid w:val="003817A9"/>
    <w:rsid w:val="00382BFE"/>
    <w:rsid w:val="00383057"/>
    <w:rsid w:val="00383AFB"/>
    <w:rsid w:val="00383B9B"/>
    <w:rsid w:val="0038431A"/>
    <w:rsid w:val="0038547C"/>
    <w:rsid w:val="003857D3"/>
    <w:rsid w:val="00385A88"/>
    <w:rsid w:val="00385BA5"/>
    <w:rsid w:val="00386E93"/>
    <w:rsid w:val="00387900"/>
    <w:rsid w:val="00387AF8"/>
    <w:rsid w:val="00387BE8"/>
    <w:rsid w:val="00390065"/>
    <w:rsid w:val="00390A1E"/>
    <w:rsid w:val="0039120F"/>
    <w:rsid w:val="00393383"/>
    <w:rsid w:val="00393660"/>
    <w:rsid w:val="00393F9F"/>
    <w:rsid w:val="003940A4"/>
    <w:rsid w:val="00394A88"/>
    <w:rsid w:val="003957B6"/>
    <w:rsid w:val="003958AE"/>
    <w:rsid w:val="00395D43"/>
    <w:rsid w:val="00396076"/>
    <w:rsid w:val="0039618A"/>
    <w:rsid w:val="0039624A"/>
    <w:rsid w:val="0039709D"/>
    <w:rsid w:val="00397213"/>
    <w:rsid w:val="003A00C9"/>
    <w:rsid w:val="003A0258"/>
    <w:rsid w:val="003A08CE"/>
    <w:rsid w:val="003A11C4"/>
    <w:rsid w:val="003A1F69"/>
    <w:rsid w:val="003A47E8"/>
    <w:rsid w:val="003A4AB7"/>
    <w:rsid w:val="003A5083"/>
    <w:rsid w:val="003A58BA"/>
    <w:rsid w:val="003A67C6"/>
    <w:rsid w:val="003A7124"/>
    <w:rsid w:val="003B00B8"/>
    <w:rsid w:val="003B02EC"/>
    <w:rsid w:val="003B0718"/>
    <w:rsid w:val="003B1455"/>
    <w:rsid w:val="003B1639"/>
    <w:rsid w:val="003B196D"/>
    <w:rsid w:val="003B216A"/>
    <w:rsid w:val="003B23AF"/>
    <w:rsid w:val="003B2AC6"/>
    <w:rsid w:val="003B2F30"/>
    <w:rsid w:val="003B3019"/>
    <w:rsid w:val="003B34C2"/>
    <w:rsid w:val="003B39D7"/>
    <w:rsid w:val="003B3BF0"/>
    <w:rsid w:val="003B4B2E"/>
    <w:rsid w:val="003B4B41"/>
    <w:rsid w:val="003B51EE"/>
    <w:rsid w:val="003B61F0"/>
    <w:rsid w:val="003B62DF"/>
    <w:rsid w:val="003B6357"/>
    <w:rsid w:val="003B64B3"/>
    <w:rsid w:val="003B693A"/>
    <w:rsid w:val="003B6AB8"/>
    <w:rsid w:val="003B6DBC"/>
    <w:rsid w:val="003B6E18"/>
    <w:rsid w:val="003B7053"/>
    <w:rsid w:val="003B7102"/>
    <w:rsid w:val="003B774F"/>
    <w:rsid w:val="003B7778"/>
    <w:rsid w:val="003B7D49"/>
    <w:rsid w:val="003B7E00"/>
    <w:rsid w:val="003B7EA2"/>
    <w:rsid w:val="003C02CC"/>
    <w:rsid w:val="003C0862"/>
    <w:rsid w:val="003C0C25"/>
    <w:rsid w:val="003C160A"/>
    <w:rsid w:val="003C19D0"/>
    <w:rsid w:val="003C2377"/>
    <w:rsid w:val="003C2BBD"/>
    <w:rsid w:val="003C2CE7"/>
    <w:rsid w:val="003C2D62"/>
    <w:rsid w:val="003C3097"/>
    <w:rsid w:val="003C3816"/>
    <w:rsid w:val="003C4234"/>
    <w:rsid w:val="003C4C8B"/>
    <w:rsid w:val="003C54B4"/>
    <w:rsid w:val="003C5F5E"/>
    <w:rsid w:val="003C5FC2"/>
    <w:rsid w:val="003C656D"/>
    <w:rsid w:val="003C6612"/>
    <w:rsid w:val="003C6A1E"/>
    <w:rsid w:val="003C6BB7"/>
    <w:rsid w:val="003C7603"/>
    <w:rsid w:val="003D0A88"/>
    <w:rsid w:val="003D0DC8"/>
    <w:rsid w:val="003D12C2"/>
    <w:rsid w:val="003D19A0"/>
    <w:rsid w:val="003D265F"/>
    <w:rsid w:val="003D27BD"/>
    <w:rsid w:val="003D3202"/>
    <w:rsid w:val="003D353C"/>
    <w:rsid w:val="003D63C8"/>
    <w:rsid w:val="003D6472"/>
    <w:rsid w:val="003D6A4E"/>
    <w:rsid w:val="003D7756"/>
    <w:rsid w:val="003E059A"/>
    <w:rsid w:val="003E08FA"/>
    <w:rsid w:val="003E0A78"/>
    <w:rsid w:val="003E19E7"/>
    <w:rsid w:val="003E29B3"/>
    <w:rsid w:val="003E36C0"/>
    <w:rsid w:val="003E3724"/>
    <w:rsid w:val="003E3957"/>
    <w:rsid w:val="003E398D"/>
    <w:rsid w:val="003E4289"/>
    <w:rsid w:val="003E4800"/>
    <w:rsid w:val="003E487B"/>
    <w:rsid w:val="003E4957"/>
    <w:rsid w:val="003E4981"/>
    <w:rsid w:val="003E55E5"/>
    <w:rsid w:val="003E57F9"/>
    <w:rsid w:val="003E5DFE"/>
    <w:rsid w:val="003E5F4F"/>
    <w:rsid w:val="003E6144"/>
    <w:rsid w:val="003E6395"/>
    <w:rsid w:val="003E6A80"/>
    <w:rsid w:val="003E6EF7"/>
    <w:rsid w:val="003E7F59"/>
    <w:rsid w:val="003F0D8B"/>
    <w:rsid w:val="003F1BF6"/>
    <w:rsid w:val="003F1E6F"/>
    <w:rsid w:val="003F1F9E"/>
    <w:rsid w:val="003F27BF"/>
    <w:rsid w:val="003F2A93"/>
    <w:rsid w:val="003F3604"/>
    <w:rsid w:val="003F3BC1"/>
    <w:rsid w:val="003F3D76"/>
    <w:rsid w:val="003F43E6"/>
    <w:rsid w:val="003F4894"/>
    <w:rsid w:val="003F490D"/>
    <w:rsid w:val="003F4DDB"/>
    <w:rsid w:val="003F5542"/>
    <w:rsid w:val="003F5842"/>
    <w:rsid w:val="003F6190"/>
    <w:rsid w:val="003F61E1"/>
    <w:rsid w:val="003F704D"/>
    <w:rsid w:val="003F755C"/>
    <w:rsid w:val="003F77FC"/>
    <w:rsid w:val="003F7E56"/>
    <w:rsid w:val="004000BE"/>
    <w:rsid w:val="00400122"/>
    <w:rsid w:val="004015C7"/>
    <w:rsid w:val="00401A49"/>
    <w:rsid w:val="00401D3D"/>
    <w:rsid w:val="004020AB"/>
    <w:rsid w:val="004024ED"/>
    <w:rsid w:val="004026BA"/>
    <w:rsid w:val="00403038"/>
    <w:rsid w:val="004030D5"/>
    <w:rsid w:val="0040388F"/>
    <w:rsid w:val="00404249"/>
    <w:rsid w:val="004042BA"/>
    <w:rsid w:val="004050B4"/>
    <w:rsid w:val="00405746"/>
    <w:rsid w:val="004062EC"/>
    <w:rsid w:val="00406755"/>
    <w:rsid w:val="004067DB"/>
    <w:rsid w:val="004069C5"/>
    <w:rsid w:val="00406D6A"/>
    <w:rsid w:val="0040709C"/>
    <w:rsid w:val="00407F30"/>
    <w:rsid w:val="00410ECC"/>
    <w:rsid w:val="004116DA"/>
    <w:rsid w:val="004117D6"/>
    <w:rsid w:val="00411834"/>
    <w:rsid w:val="00411963"/>
    <w:rsid w:val="00411B1C"/>
    <w:rsid w:val="00411C7A"/>
    <w:rsid w:val="00412A23"/>
    <w:rsid w:val="004149DA"/>
    <w:rsid w:val="00414A2E"/>
    <w:rsid w:val="00415755"/>
    <w:rsid w:val="00415B3D"/>
    <w:rsid w:val="004161DE"/>
    <w:rsid w:val="00416211"/>
    <w:rsid w:val="004162D1"/>
    <w:rsid w:val="004167B1"/>
    <w:rsid w:val="0042035D"/>
    <w:rsid w:val="00420604"/>
    <w:rsid w:val="00420841"/>
    <w:rsid w:val="00421E00"/>
    <w:rsid w:val="004226AA"/>
    <w:rsid w:val="00422793"/>
    <w:rsid w:val="00423732"/>
    <w:rsid w:val="0042396F"/>
    <w:rsid w:val="00423FCE"/>
    <w:rsid w:val="004249C4"/>
    <w:rsid w:val="00424F24"/>
    <w:rsid w:val="004259F9"/>
    <w:rsid w:val="00425B31"/>
    <w:rsid w:val="00425BAA"/>
    <w:rsid w:val="0042648D"/>
    <w:rsid w:val="00426957"/>
    <w:rsid w:val="00426976"/>
    <w:rsid w:val="00426BBE"/>
    <w:rsid w:val="00426D02"/>
    <w:rsid w:val="00427722"/>
    <w:rsid w:val="00427A13"/>
    <w:rsid w:val="00427C25"/>
    <w:rsid w:val="00427F4F"/>
    <w:rsid w:val="00430027"/>
    <w:rsid w:val="00430E76"/>
    <w:rsid w:val="00430ED0"/>
    <w:rsid w:val="00431731"/>
    <w:rsid w:val="00431779"/>
    <w:rsid w:val="00431A2A"/>
    <w:rsid w:val="00431CE6"/>
    <w:rsid w:val="00431F2E"/>
    <w:rsid w:val="0043240F"/>
    <w:rsid w:val="00433C39"/>
    <w:rsid w:val="00433C3E"/>
    <w:rsid w:val="00433DA2"/>
    <w:rsid w:val="004343BC"/>
    <w:rsid w:val="00434AC5"/>
    <w:rsid w:val="00435A31"/>
    <w:rsid w:val="0043648F"/>
    <w:rsid w:val="004365F0"/>
    <w:rsid w:val="00436DA8"/>
    <w:rsid w:val="00437108"/>
    <w:rsid w:val="00437D2F"/>
    <w:rsid w:val="00440246"/>
    <w:rsid w:val="00440912"/>
    <w:rsid w:val="00441588"/>
    <w:rsid w:val="00441CF2"/>
    <w:rsid w:val="00441EE6"/>
    <w:rsid w:val="00442540"/>
    <w:rsid w:val="0044307B"/>
    <w:rsid w:val="004431F9"/>
    <w:rsid w:val="00443484"/>
    <w:rsid w:val="00443B1B"/>
    <w:rsid w:val="00444072"/>
    <w:rsid w:val="004440D4"/>
    <w:rsid w:val="004441C7"/>
    <w:rsid w:val="00444204"/>
    <w:rsid w:val="004446E5"/>
    <w:rsid w:val="00446A46"/>
    <w:rsid w:val="00446BAE"/>
    <w:rsid w:val="004473E9"/>
    <w:rsid w:val="0045044A"/>
    <w:rsid w:val="004504BB"/>
    <w:rsid w:val="00450B23"/>
    <w:rsid w:val="004511AB"/>
    <w:rsid w:val="004511FA"/>
    <w:rsid w:val="004514DB"/>
    <w:rsid w:val="0045234D"/>
    <w:rsid w:val="0045235F"/>
    <w:rsid w:val="004533F1"/>
    <w:rsid w:val="00453797"/>
    <w:rsid w:val="00453ABE"/>
    <w:rsid w:val="004542A8"/>
    <w:rsid w:val="004546CE"/>
    <w:rsid w:val="00455912"/>
    <w:rsid w:val="004560D2"/>
    <w:rsid w:val="004576E8"/>
    <w:rsid w:val="00457CEE"/>
    <w:rsid w:val="00460794"/>
    <w:rsid w:val="00461DF1"/>
    <w:rsid w:val="00462B10"/>
    <w:rsid w:val="00462BA8"/>
    <w:rsid w:val="00462C0D"/>
    <w:rsid w:val="00462E57"/>
    <w:rsid w:val="00463731"/>
    <w:rsid w:val="00463A9F"/>
    <w:rsid w:val="00463CEF"/>
    <w:rsid w:val="00463DEF"/>
    <w:rsid w:val="004648AA"/>
    <w:rsid w:val="00464FEE"/>
    <w:rsid w:val="00466302"/>
    <w:rsid w:val="004672B7"/>
    <w:rsid w:val="00467391"/>
    <w:rsid w:val="004706A0"/>
    <w:rsid w:val="0047103A"/>
    <w:rsid w:val="00471318"/>
    <w:rsid w:val="004715A8"/>
    <w:rsid w:val="00471789"/>
    <w:rsid w:val="00471907"/>
    <w:rsid w:val="00472190"/>
    <w:rsid w:val="004724BF"/>
    <w:rsid w:val="00472695"/>
    <w:rsid w:val="004729E0"/>
    <w:rsid w:val="00473164"/>
    <w:rsid w:val="00473E9C"/>
    <w:rsid w:val="004744D7"/>
    <w:rsid w:val="00474823"/>
    <w:rsid w:val="00474AAA"/>
    <w:rsid w:val="00474BF7"/>
    <w:rsid w:val="00474D9B"/>
    <w:rsid w:val="00474E5C"/>
    <w:rsid w:val="00474F62"/>
    <w:rsid w:val="00475824"/>
    <w:rsid w:val="00475E1A"/>
    <w:rsid w:val="00476230"/>
    <w:rsid w:val="004762ED"/>
    <w:rsid w:val="004763E6"/>
    <w:rsid w:val="00476F6F"/>
    <w:rsid w:val="00477469"/>
    <w:rsid w:val="004774B6"/>
    <w:rsid w:val="004775E8"/>
    <w:rsid w:val="00477A87"/>
    <w:rsid w:val="00477C56"/>
    <w:rsid w:val="00477EAF"/>
    <w:rsid w:val="00480487"/>
    <w:rsid w:val="0048052E"/>
    <w:rsid w:val="00481888"/>
    <w:rsid w:val="004827FE"/>
    <w:rsid w:val="00482BE4"/>
    <w:rsid w:val="004831E5"/>
    <w:rsid w:val="0048370B"/>
    <w:rsid w:val="00483C2E"/>
    <w:rsid w:val="00483E9A"/>
    <w:rsid w:val="004848D1"/>
    <w:rsid w:val="0048491E"/>
    <w:rsid w:val="00486750"/>
    <w:rsid w:val="00487EBC"/>
    <w:rsid w:val="00490DDC"/>
    <w:rsid w:val="00490E33"/>
    <w:rsid w:val="00491D56"/>
    <w:rsid w:val="00491D60"/>
    <w:rsid w:val="004930DF"/>
    <w:rsid w:val="004947D5"/>
    <w:rsid w:val="0049492A"/>
    <w:rsid w:val="00494CD1"/>
    <w:rsid w:val="00494CDA"/>
    <w:rsid w:val="00494F25"/>
    <w:rsid w:val="00495713"/>
    <w:rsid w:val="004957BA"/>
    <w:rsid w:val="0049590A"/>
    <w:rsid w:val="004959FF"/>
    <w:rsid w:val="00495CE9"/>
    <w:rsid w:val="004962C7"/>
    <w:rsid w:val="004963CC"/>
    <w:rsid w:val="004970C9"/>
    <w:rsid w:val="00497428"/>
    <w:rsid w:val="00497574"/>
    <w:rsid w:val="004977CF"/>
    <w:rsid w:val="004978DC"/>
    <w:rsid w:val="00497B5E"/>
    <w:rsid w:val="004A0C7E"/>
    <w:rsid w:val="004A1416"/>
    <w:rsid w:val="004A224A"/>
    <w:rsid w:val="004A275E"/>
    <w:rsid w:val="004A28DD"/>
    <w:rsid w:val="004A2F02"/>
    <w:rsid w:val="004A3074"/>
    <w:rsid w:val="004A32DD"/>
    <w:rsid w:val="004A41C2"/>
    <w:rsid w:val="004A570E"/>
    <w:rsid w:val="004A59B2"/>
    <w:rsid w:val="004A60ED"/>
    <w:rsid w:val="004A74F3"/>
    <w:rsid w:val="004A79D9"/>
    <w:rsid w:val="004A7CEC"/>
    <w:rsid w:val="004B00A4"/>
    <w:rsid w:val="004B06E1"/>
    <w:rsid w:val="004B129A"/>
    <w:rsid w:val="004B24A3"/>
    <w:rsid w:val="004B24F7"/>
    <w:rsid w:val="004B26C7"/>
    <w:rsid w:val="004B28AF"/>
    <w:rsid w:val="004B2A91"/>
    <w:rsid w:val="004B2F98"/>
    <w:rsid w:val="004B31C7"/>
    <w:rsid w:val="004B4BDC"/>
    <w:rsid w:val="004B4D42"/>
    <w:rsid w:val="004B4E10"/>
    <w:rsid w:val="004B60AB"/>
    <w:rsid w:val="004B612C"/>
    <w:rsid w:val="004B618B"/>
    <w:rsid w:val="004B62A5"/>
    <w:rsid w:val="004B6816"/>
    <w:rsid w:val="004B6BC5"/>
    <w:rsid w:val="004B702E"/>
    <w:rsid w:val="004B7487"/>
    <w:rsid w:val="004B7E3E"/>
    <w:rsid w:val="004C0165"/>
    <w:rsid w:val="004C0544"/>
    <w:rsid w:val="004C07ED"/>
    <w:rsid w:val="004C1AF9"/>
    <w:rsid w:val="004C1C4F"/>
    <w:rsid w:val="004C1C62"/>
    <w:rsid w:val="004C228F"/>
    <w:rsid w:val="004C2469"/>
    <w:rsid w:val="004C2585"/>
    <w:rsid w:val="004C279B"/>
    <w:rsid w:val="004C281D"/>
    <w:rsid w:val="004C2E9D"/>
    <w:rsid w:val="004C3128"/>
    <w:rsid w:val="004C3294"/>
    <w:rsid w:val="004C4513"/>
    <w:rsid w:val="004C4BEC"/>
    <w:rsid w:val="004C5A9B"/>
    <w:rsid w:val="004C60DC"/>
    <w:rsid w:val="004C631D"/>
    <w:rsid w:val="004C7022"/>
    <w:rsid w:val="004C7663"/>
    <w:rsid w:val="004C7FC6"/>
    <w:rsid w:val="004D055D"/>
    <w:rsid w:val="004D08E0"/>
    <w:rsid w:val="004D129E"/>
    <w:rsid w:val="004D25B5"/>
    <w:rsid w:val="004D31BD"/>
    <w:rsid w:val="004D31CA"/>
    <w:rsid w:val="004D47B9"/>
    <w:rsid w:val="004D489C"/>
    <w:rsid w:val="004D49C8"/>
    <w:rsid w:val="004D4B5F"/>
    <w:rsid w:val="004D5428"/>
    <w:rsid w:val="004D5D5C"/>
    <w:rsid w:val="004D5FBA"/>
    <w:rsid w:val="004D6E67"/>
    <w:rsid w:val="004D752E"/>
    <w:rsid w:val="004E00B4"/>
    <w:rsid w:val="004E02BD"/>
    <w:rsid w:val="004E0745"/>
    <w:rsid w:val="004E0963"/>
    <w:rsid w:val="004E0B2F"/>
    <w:rsid w:val="004E0CCF"/>
    <w:rsid w:val="004E1B3F"/>
    <w:rsid w:val="004E21ED"/>
    <w:rsid w:val="004E2A8E"/>
    <w:rsid w:val="004E4559"/>
    <w:rsid w:val="004E458C"/>
    <w:rsid w:val="004E70F1"/>
    <w:rsid w:val="004E714B"/>
    <w:rsid w:val="004E7930"/>
    <w:rsid w:val="004F000D"/>
    <w:rsid w:val="004F0497"/>
    <w:rsid w:val="004F0EC9"/>
    <w:rsid w:val="004F0F77"/>
    <w:rsid w:val="004F224B"/>
    <w:rsid w:val="004F27DD"/>
    <w:rsid w:val="004F40AB"/>
    <w:rsid w:val="004F47F7"/>
    <w:rsid w:val="004F4C76"/>
    <w:rsid w:val="004F5AD4"/>
    <w:rsid w:val="004F5E74"/>
    <w:rsid w:val="004F5ED2"/>
    <w:rsid w:val="004F7CCB"/>
    <w:rsid w:val="0050050B"/>
    <w:rsid w:val="00500DC6"/>
    <w:rsid w:val="0050132A"/>
    <w:rsid w:val="00502F3E"/>
    <w:rsid w:val="00503196"/>
    <w:rsid w:val="005035E4"/>
    <w:rsid w:val="00503672"/>
    <w:rsid w:val="00503967"/>
    <w:rsid w:val="00503ADE"/>
    <w:rsid w:val="00503FC8"/>
    <w:rsid w:val="00504302"/>
    <w:rsid w:val="005044E0"/>
    <w:rsid w:val="0050467F"/>
    <w:rsid w:val="00504706"/>
    <w:rsid w:val="00504E60"/>
    <w:rsid w:val="0050553B"/>
    <w:rsid w:val="00505D13"/>
    <w:rsid w:val="005066F9"/>
    <w:rsid w:val="0050674F"/>
    <w:rsid w:val="00506767"/>
    <w:rsid w:val="00506A2E"/>
    <w:rsid w:val="00510478"/>
    <w:rsid w:val="00510BE0"/>
    <w:rsid w:val="00510C5C"/>
    <w:rsid w:val="00511288"/>
    <w:rsid w:val="00511A73"/>
    <w:rsid w:val="00511E62"/>
    <w:rsid w:val="00513492"/>
    <w:rsid w:val="00513696"/>
    <w:rsid w:val="005139F7"/>
    <w:rsid w:val="005148F6"/>
    <w:rsid w:val="00515EAB"/>
    <w:rsid w:val="00517065"/>
    <w:rsid w:val="005178CD"/>
    <w:rsid w:val="005207B3"/>
    <w:rsid w:val="005208AC"/>
    <w:rsid w:val="00520B14"/>
    <w:rsid w:val="00520BF3"/>
    <w:rsid w:val="005219BF"/>
    <w:rsid w:val="00521DC2"/>
    <w:rsid w:val="00521EFA"/>
    <w:rsid w:val="005221C4"/>
    <w:rsid w:val="0052230A"/>
    <w:rsid w:val="0052266F"/>
    <w:rsid w:val="00522B6D"/>
    <w:rsid w:val="00522BED"/>
    <w:rsid w:val="00522CEC"/>
    <w:rsid w:val="00522D01"/>
    <w:rsid w:val="00523237"/>
    <w:rsid w:val="00523A16"/>
    <w:rsid w:val="00523D2D"/>
    <w:rsid w:val="00524432"/>
    <w:rsid w:val="00524822"/>
    <w:rsid w:val="005256BB"/>
    <w:rsid w:val="005256DB"/>
    <w:rsid w:val="00525AC4"/>
    <w:rsid w:val="00525B79"/>
    <w:rsid w:val="005264A5"/>
    <w:rsid w:val="00526754"/>
    <w:rsid w:val="00526A8A"/>
    <w:rsid w:val="00526D01"/>
    <w:rsid w:val="00526D9F"/>
    <w:rsid w:val="00530860"/>
    <w:rsid w:val="00531932"/>
    <w:rsid w:val="00531C3D"/>
    <w:rsid w:val="005326BA"/>
    <w:rsid w:val="0053277C"/>
    <w:rsid w:val="00532EB0"/>
    <w:rsid w:val="005335BC"/>
    <w:rsid w:val="005336CE"/>
    <w:rsid w:val="00533CD5"/>
    <w:rsid w:val="00533FD5"/>
    <w:rsid w:val="00534621"/>
    <w:rsid w:val="00534871"/>
    <w:rsid w:val="00534F33"/>
    <w:rsid w:val="00535069"/>
    <w:rsid w:val="00535A60"/>
    <w:rsid w:val="005368AB"/>
    <w:rsid w:val="005372AF"/>
    <w:rsid w:val="00537F74"/>
    <w:rsid w:val="00540D5C"/>
    <w:rsid w:val="00540EBB"/>
    <w:rsid w:val="005414C4"/>
    <w:rsid w:val="00541971"/>
    <w:rsid w:val="00541FF9"/>
    <w:rsid w:val="00544481"/>
    <w:rsid w:val="005444FD"/>
    <w:rsid w:val="00544A27"/>
    <w:rsid w:val="00544C2E"/>
    <w:rsid w:val="0054689F"/>
    <w:rsid w:val="00546DAD"/>
    <w:rsid w:val="0054701C"/>
    <w:rsid w:val="0055024A"/>
    <w:rsid w:val="0055040D"/>
    <w:rsid w:val="00550CE9"/>
    <w:rsid w:val="00550D90"/>
    <w:rsid w:val="0055248D"/>
    <w:rsid w:val="00552EC6"/>
    <w:rsid w:val="00553590"/>
    <w:rsid w:val="005538CF"/>
    <w:rsid w:val="005542A1"/>
    <w:rsid w:val="005549AB"/>
    <w:rsid w:val="005557FE"/>
    <w:rsid w:val="00555A0C"/>
    <w:rsid w:val="00555A17"/>
    <w:rsid w:val="00555EC7"/>
    <w:rsid w:val="005570AD"/>
    <w:rsid w:val="00557DCC"/>
    <w:rsid w:val="0056092A"/>
    <w:rsid w:val="00560C7F"/>
    <w:rsid w:val="00561169"/>
    <w:rsid w:val="005615B9"/>
    <w:rsid w:val="005617DA"/>
    <w:rsid w:val="00561AAC"/>
    <w:rsid w:val="00561B18"/>
    <w:rsid w:val="00561C21"/>
    <w:rsid w:val="00561F0C"/>
    <w:rsid w:val="005623E3"/>
    <w:rsid w:val="005624E0"/>
    <w:rsid w:val="005629EE"/>
    <w:rsid w:val="0056329F"/>
    <w:rsid w:val="0056339B"/>
    <w:rsid w:val="00563DF3"/>
    <w:rsid w:val="00564EBB"/>
    <w:rsid w:val="00565022"/>
    <w:rsid w:val="0056580C"/>
    <w:rsid w:val="00565B20"/>
    <w:rsid w:val="00566C79"/>
    <w:rsid w:val="00567966"/>
    <w:rsid w:val="00570169"/>
    <w:rsid w:val="00571DC3"/>
    <w:rsid w:val="00571DD3"/>
    <w:rsid w:val="00571FF4"/>
    <w:rsid w:val="005720B2"/>
    <w:rsid w:val="005721C8"/>
    <w:rsid w:val="00572D19"/>
    <w:rsid w:val="00573C76"/>
    <w:rsid w:val="0057402C"/>
    <w:rsid w:val="005748A1"/>
    <w:rsid w:val="00575001"/>
    <w:rsid w:val="005757C3"/>
    <w:rsid w:val="00575C32"/>
    <w:rsid w:val="0057720B"/>
    <w:rsid w:val="00577800"/>
    <w:rsid w:val="00577D2F"/>
    <w:rsid w:val="00580185"/>
    <w:rsid w:val="005809B5"/>
    <w:rsid w:val="005812EF"/>
    <w:rsid w:val="00582010"/>
    <w:rsid w:val="0058254B"/>
    <w:rsid w:val="0058351E"/>
    <w:rsid w:val="00584064"/>
    <w:rsid w:val="00584584"/>
    <w:rsid w:val="00584922"/>
    <w:rsid w:val="005854E3"/>
    <w:rsid w:val="005858C5"/>
    <w:rsid w:val="00585EF3"/>
    <w:rsid w:val="00587914"/>
    <w:rsid w:val="005900F4"/>
    <w:rsid w:val="0059181C"/>
    <w:rsid w:val="005921B3"/>
    <w:rsid w:val="005925EC"/>
    <w:rsid w:val="00592ACB"/>
    <w:rsid w:val="00593ADA"/>
    <w:rsid w:val="00593E4F"/>
    <w:rsid w:val="00594F57"/>
    <w:rsid w:val="00595265"/>
    <w:rsid w:val="005958A0"/>
    <w:rsid w:val="0059611F"/>
    <w:rsid w:val="005964F5"/>
    <w:rsid w:val="00597224"/>
    <w:rsid w:val="005A0727"/>
    <w:rsid w:val="005A0F0D"/>
    <w:rsid w:val="005A1B7D"/>
    <w:rsid w:val="005A1FB5"/>
    <w:rsid w:val="005A21F0"/>
    <w:rsid w:val="005A2B32"/>
    <w:rsid w:val="005A3592"/>
    <w:rsid w:val="005A3696"/>
    <w:rsid w:val="005A4082"/>
    <w:rsid w:val="005A46DD"/>
    <w:rsid w:val="005A5176"/>
    <w:rsid w:val="005A64FE"/>
    <w:rsid w:val="005A6C46"/>
    <w:rsid w:val="005A71E5"/>
    <w:rsid w:val="005B0AAB"/>
    <w:rsid w:val="005B2FBF"/>
    <w:rsid w:val="005B3AF7"/>
    <w:rsid w:val="005B3F91"/>
    <w:rsid w:val="005B409A"/>
    <w:rsid w:val="005B40F1"/>
    <w:rsid w:val="005B4285"/>
    <w:rsid w:val="005B48B5"/>
    <w:rsid w:val="005B4EB8"/>
    <w:rsid w:val="005B5497"/>
    <w:rsid w:val="005B5790"/>
    <w:rsid w:val="005B5E9D"/>
    <w:rsid w:val="005B5FA3"/>
    <w:rsid w:val="005B5FD3"/>
    <w:rsid w:val="005B633B"/>
    <w:rsid w:val="005B66C5"/>
    <w:rsid w:val="005B6C43"/>
    <w:rsid w:val="005B6F1B"/>
    <w:rsid w:val="005B711B"/>
    <w:rsid w:val="005B72C0"/>
    <w:rsid w:val="005C0DB2"/>
    <w:rsid w:val="005C1453"/>
    <w:rsid w:val="005C196C"/>
    <w:rsid w:val="005C1C71"/>
    <w:rsid w:val="005C205B"/>
    <w:rsid w:val="005C2CA2"/>
    <w:rsid w:val="005C3064"/>
    <w:rsid w:val="005C3121"/>
    <w:rsid w:val="005C3191"/>
    <w:rsid w:val="005C3464"/>
    <w:rsid w:val="005C3C86"/>
    <w:rsid w:val="005C42DE"/>
    <w:rsid w:val="005C4651"/>
    <w:rsid w:val="005C5C1C"/>
    <w:rsid w:val="005C7161"/>
    <w:rsid w:val="005C725E"/>
    <w:rsid w:val="005C7653"/>
    <w:rsid w:val="005C7BBF"/>
    <w:rsid w:val="005D0057"/>
    <w:rsid w:val="005D019B"/>
    <w:rsid w:val="005D15AC"/>
    <w:rsid w:val="005D22E9"/>
    <w:rsid w:val="005D3069"/>
    <w:rsid w:val="005D31CB"/>
    <w:rsid w:val="005D370F"/>
    <w:rsid w:val="005D3730"/>
    <w:rsid w:val="005D3BD1"/>
    <w:rsid w:val="005D40A5"/>
    <w:rsid w:val="005D4675"/>
    <w:rsid w:val="005D57F3"/>
    <w:rsid w:val="005D5940"/>
    <w:rsid w:val="005D5A15"/>
    <w:rsid w:val="005D5D26"/>
    <w:rsid w:val="005D5EBA"/>
    <w:rsid w:val="005D60AE"/>
    <w:rsid w:val="005D7907"/>
    <w:rsid w:val="005E00F5"/>
    <w:rsid w:val="005E0B86"/>
    <w:rsid w:val="005E0FA3"/>
    <w:rsid w:val="005E2F89"/>
    <w:rsid w:val="005E362C"/>
    <w:rsid w:val="005E374E"/>
    <w:rsid w:val="005E41CC"/>
    <w:rsid w:val="005E42AA"/>
    <w:rsid w:val="005E4545"/>
    <w:rsid w:val="005E4A75"/>
    <w:rsid w:val="005E4E13"/>
    <w:rsid w:val="005E5020"/>
    <w:rsid w:val="005E5138"/>
    <w:rsid w:val="005E5616"/>
    <w:rsid w:val="005E5730"/>
    <w:rsid w:val="005E5F5C"/>
    <w:rsid w:val="005E62CE"/>
    <w:rsid w:val="005E73A1"/>
    <w:rsid w:val="005E7458"/>
    <w:rsid w:val="005E76FD"/>
    <w:rsid w:val="005F013F"/>
    <w:rsid w:val="005F0547"/>
    <w:rsid w:val="005F06EC"/>
    <w:rsid w:val="005F19C6"/>
    <w:rsid w:val="005F1C17"/>
    <w:rsid w:val="005F3F86"/>
    <w:rsid w:val="005F4197"/>
    <w:rsid w:val="005F45D3"/>
    <w:rsid w:val="005F4B38"/>
    <w:rsid w:val="005F4C67"/>
    <w:rsid w:val="005F4F12"/>
    <w:rsid w:val="005F5163"/>
    <w:rsid w:val="005F52C6"/>
    <w:rsid w:val="005F541C"/>
    <w:rsid w:val="005F5A77"/>
    <w:rsid w:val="005F6596"/>
    <w:rsid w:val="005F6751"/>
    <w:rsid w:val="005F73CC"/>
    <w:rsid w:val="005F7601"/>
    <w:rsid w:val="005F7D76"/>
    <w:rsid w:val="00600709"/>
    <w:rsid w:val="00601491"/>
    <w:rsid w:val="00601639"/>
    <w:rsid w:val="006024F3"/>
    <w:rsid w:val="006028B7"/>
    <w:rsid w:val="00602D46"/>
    <w:rsid w:val="00603543"/>
    <w:rsid w:val="00603572"/>
    <w:rsid w:val="00603665"/>
    <w:rsid w:val="00604ACB"/>
    <w:rsid w:val="006055FE"/>
    <w:rsid w:val="00605FE7"/>
    <w:rsid w:val="006067DB"/>
    <w:rsid w:val="006073F9"/>
    <w:rsid w:val="00607C34"/>
    <w:rsid w:val="00607F86"/>
    <w:rsid w:val="0061009A"/>
    <w:rsid w:val="006104F9"/>
    <w:rsid w:val="00610669"/>
    <w:rsid w:val="00610BC0"/>
    <w:rsid w:val="00610FEC"/>
    <w:rsid w:val="00611335"/>
    <w:rsid w:val="006114ED"/>
    <w:rsid w:val="0061157C"/>
    <w:rsid w:val="0061278F"/>
    <w:rsid w:val="0061282A"/>
    <w:rsid w:val="00612ACE"/>
    <w:rsid w:val="00612C9E"/>
    <w:rsid w:val="006131E5"/>
    <w:rsid w:val="006132AE"/>
    <w:rsid w:val="00615427"/>
    <w:rsid w:val="00615E96"/>
    <w:rsid w:val="006167B8"/>
    <w:rsid w:val="00617C22"/>
    <w:rsid w:val="00620A9C"/>
    <w:rsid w:val="00620D7C"/>
    <w:rsid w:val="00621047"/>
    <w:rsid w:val="00621A6D"/>
    <w:rsid w:val="00621DB3"/>
    <w:rsid w:val="00621F03"/>
    <w:rsid w:val="00621FED"/>
    <w:rsid w:val="0062265E"/>
    <w:rsid w:val="00622F11"/>
    <w:rsid w:val="00623213"/>
    <w:rsid w:val="006246E4"/>
    <w:rsid w:val="00624BC2"/>
    <w:rsid w:val="006251DE"/>
    <w:rsid w:val="006254EE"/>
    <w:rsid w:val="00625B63"/>
    <w:rsid w:val="00626190"/>
    <w:rsid w:val="00626DB8"/>
    <w:rsid w:val="00627149"/>
    <w:rsid w:val="00627517"/>
    <w:rsid w:val="00630B1A"/>
    <w:rsid w:val="006311F7"/>
    <w:rsid w:val="006313B9"/>
    <w:rsid w:val="00632281"/>
    <w:rsid w:val="00632364"/>
    <w:rsid w:val="006324C1"/>
    <w:rsid w:val="006327BE"/>
    <w:rsid w:val="00632A4A"/>
    <w:rsid w:val="00634573"/>
    <w:rsid w:val="006348CC"/>
    <w:rsid w:val="00635A24"/>
    <w:rsid w:val="00635DDF"/>
    <w:rsid w:val="006366BE"/>
    <w:rsid w:val="00636818"/>
    <w:rsid w:val="00636ADD"/>
    <w:rsid w:val="00636C79"/>
    <w:rsid w:val="006373D4"/>
    <w:rsid w:val="00640221"/>
    <w:rsid w:val="006406E5"/>
    <w:rsid w:val="00640B24"/>
    <w:rsid w:val="0064110A"/>
    <w:rsid w:val="006417BC"/>
    <w:rsid w:val="0064185B"/>
    <w:rsid w:val="00641C9C"/>
    <w:rsid w:val="00641EE6"/>
    <w:rsid w:val="00641F0C"/>
    <w:rsid w:val="006422EA"/>
    <w:rsid w:val="00642EB3"/>
    <w:rsid w:val="006441AD"/>
    <w:rsid w:val="006442C8"/>
    <w:rsid w:val="0064464F"/>
    <w:rsid w:val="006446B7"/>
    <w:rsid w:val="0064476C"/>
    <w:rsid w:val="00644B90"/>
    <w:rsid w:val="00646E32"/>
    <w:rsid w:val="00646E56"/>
    <w:rsid w:val="00647687"/>
    <w:rsid w:val="00647768"/>
    <w:rsid w:val="006505E5"/>
    <w:rsid w:val="006509AD"/>
    <w:rsid w:val="00651AD8"/>
    <w:rsid w:val="0065230F"/>
    <w:rsid w:val="0065353F"/>
    <w:rsid w:val="00653CF8"/>
    <w:rsid w:val="00653F72"/>
    <w:rsid w:val="006546B9"/>
    <w:rsid w:val="00654B60"/>
    <w:rsid w:val="00655090"/>
    <w:rsid w:val="0065588C"/>
    <w:rsid w:val="00655E6B"/>
    <w:rsid w:val="00656911"/>
    <w:rsid w:val="00656F58"/>
    <w:rsid w:val="00657727"/>
    <w:rsid w:val="00660969"/>
    <w:rsid w:val="00660B48"/>
    <w:rsid w:val="00662650"/>
    <w:rsid w:val="006634BC"/>
    <w:rsid w:val="0066366C"/>
    <w:rsid w:val="006648D1"/>
    <w:rsid w:val="00664D37"/>
    <w:rsid w:val="00664E1D"/>
    <w:rsid w:val="00666BA1"/>
    <w:rsid w:val="0066772B"/>
    <w:rsid w:val="00667D20"/>
    <w:rsid w:val="006700CB"/>
    <w:rsid w:val="0067011A"/>
    <w:rsid w:val="00670428"/>
    <w:rsid w:val="00670786"/>
    <w:rsid w:val="006708BC"/>
    <w:rsid w:val="00670BF6"/>
    <w:rsid w:val="00671FD0"/>
    <w:rsid w:val="006721DF"/>
    <w:rsid w:val="006727A0"/>
    <w:rsid w:val="00672956"/>
    <w:rsid w:val="00672A20"/>
    <w:rsid w:val="0067345B"/>
    <w:rsid w:val="006734ED"/>
    <w:rsid w:val="006738C1"/>
    <w:rsid w:val="00673D00"/>
    <w:rsid w:val="00674329"/>
    <w:rsid w:val="00674808"/>
    <w:rsid w:val="00674CE6"/>
    <w:rsid w:val="00674F39"/>
    <w:rsid w:val="00674FC2"/>
    <w:rsid w:val="006758EF"/>
    <w:rsid w:val="00675D53"/>
    <w:rsid w:val="006767DB"/>
    <w:rsid w:val="00676BB6"/>
    <w:rsid w:val="00676FCA"/>
    <w:rsid w:val="00677279"/>
    <w:rsid w:val="00677979"/>
    <w:rsid w:val="0067798B"/>
    <w:rsid w:val="00680232"/>
    <w:rsid w:val="00680316"/>
    <w:rsid w:val="006803A0"/>
    <w:rsid w:val="00680AC2"/>
    <w:rsid w:val="0068141A"/>
    <w:rsid w:val="0068146E"/>
    <w:rsid w:val="00681809"/>
    <w:rsid w:val="00681B55"/>
    <w:rsid w:val="00682088"/>
    <w:rsid w:val="0068273E"/>
    <w:rsid w:val="0068303F"/>
    <w:rsid w:val="006830FC"/>
    <w:rsid w:val="00683770"/>
    <w:rsid w:val="00683926"/>
    <w:rsid w:val="00683B58"/>
    <w:rsid w:val="0068416C"/>
    <w:rsid w:val="006849B0"/>
    <w:rsid w:val="006849D2"/>
    <w:rsid w:val="00685035"/>
    <w:rsid w:val="00685F7C"/>
    <w:rsid w:val="00686775"/>
    <w:rsid w:val="00686A7E"/>
    <w:rsid w:val="00686C41"/>
    <w:rsid w:val="00686CAE"/>
    <w:rsid w:val="006903A2"/>
    <w:rsid w:val="00690509"/>
    <w:rsid w:val="00690963"/>
    <w:rsid w:val="00690B95"/>
    <w:rsid w:val="00690EA6"/>
    <w:rsid w:val="00691156"/>
    <w:rsid w:val="00691601"/>
    <w:rsid w:val="00691998"/>
    <w:rsid w:val="00691CDA"/>
    <w:rsid w:val="00691E0A"/>
    <w:rsid w:val="00691FAB"/>
    <w:rsid w:val="0069205B"/>
    <w:rsid w:val="0069283C"/>
    <w:rsid w:val="00693751"/>
    <w:rsid w:val="00693795"/>
    <w:rsid w:val="006937ED"/>
    <w:rsid w:val="00693CE6"/>
    <w:rsid w:val="006940D6"/>
    <w:rsid w:val="0069414F"/>
    <w:rsid w:val="00694391"/>
    <w:rsid w:val="00695005"/>
    <w:rsid w:val="0069571C"/>
    <w:rsid w:val="00695E3A"/>
    <w:rsid w:val="00695E56"/>
    <w:rsid w:val="00695FA3"/>
    <w:rsid w:val="00696375"/>
    <w:rsid w:val="006965DF"/>
    <w:rsid w:val="00696CA3"/>
    <w:rsid w:val="00697BFC"/>
    <w:rsid w:val="006A0169"/>
    <w:rsid w:val="006A0433"/>
    <w:rsid w:val="006A09A4"/>
    <w:rsid w:val="006A134B"/>
    <w:rsid w:val="006A1957"/>
    <w:rsid w:val="006A21CC"/>
    <w:rsid w:val="006A22CA"/>
    <w:rsid w:val="006A291A"/>
    <w:rsid w:val="006A3856"/>
    <w:rsid w:val="006A438F"/>
    <w:rsid w:val="006A503A"/>
    <w:rsid w:val="006A65A6"/>
    <w:rsid w:val="006A66BF"/>
    <w:rsid w:val="006A6750"/>
    <w:rsid w:val="006A7601"/>
    <w:rsid w:val="006A7D6E"/>
    <w:rsid w:val="006A7FA7"/>
    <w:rsid w:val="006B0417"/>
    <w:rsid w:val="006B0634"/>
    <w:rsid w:val="006B0F9B"/>
    <w:rsid w:val="006B1837"/>
    <w:rsid w:val="006B1C34"/>
    <w:rsid w:val="006B1FDC"/>
    <w:rsid w:val="006B1FF1"/>
    <w:rsid w:val="006B2896"/>
    <w:rsid w:val="006B293F"/>
    <w:rsid w:val="006B34DE"/>
    <w:rsid w:val="006B35F3"/>
    <w:rsid w:val="006B40C1"/>
    <w:rsid w:val="006B5F49"/>
    <w:rsid w:val="006B60A2"/>
    <w:rsid w:val="006B6490"/>
    <w:rsid w:val="006B6A20"/>
    <w:rsid w:val="006C078D"/>
    <w:rsid w:val="006C086F"/>
    <w:rsid w:val="006C0D6F"/>
    <w:rsid w:val="006C164E"/>
    <w:rsid w:val="006C1EDD"/>
    <w:rsid w:val="006C2188"/>
    <w:rsid w:val="006C22E4"/>
    <w:rsid w:val="006C25AD"/>
    <w:rsid w:val="006C2C69"/>
    <w:rsid w:val="006C2F5C"/>
    <w:rsid w:val="006C319D"/>
    <w:rsid w:val="006C3573"/>
    <w:rsid w:val="006C3593"/>
    <w:rsid w:val="006C4010"/>
    <w:rsid w:val="006C41FC"/>
    <w:rsid w:val="006C477E"/>
    <w:rsid w:val="006C4EC2"/>
    <w:rsid w:val="006C50D1"/>
    <w:rsid w:val="006C5AD3"/>
    <w:rsid w:val="006C6599"/>
    <w:rsid w:val="006C6D7A"/>
    <w:rsid w:val="006C7F0A"/>
    <w:rsid w:val="006D0350"/>
    <w:rsid w:val="006D037E"/>
    <w:rsid w:val="006D0C02"/>
    <w:rsid w:val="006D0F19"/>
    <w:rsid w:val="006D1BE0"/>
    <w:rsid w:val="006D24F7"/>
    <w:rsid w:val="006D2B2B"/>
    <w:rsid w:val="006D2DE9"/>
    <w:rsid w:val="006D35F8"/>
    <w:rsid w:val="006D36C1"/>
    <w:rsid w:val="006D3949"/>
    <w:rsid w:val="006D39A5"/>
    <w:rsid w:val="006D3E8B"/>
    <w:rsid w:val="006D3FB0"/>
    <w:rsid w:val="006D443D"/>
    <w:rsid w:val="006D4512"/>
    <w:rsid w:val="006D46C7"/>
    <w:rsid w:val="006D4C04"/>
    <w:rsid w:val="006D4E80"/>
    <w:rsid w:val="006D5A07"/>
    <w:rsid w:val="006D5DCC"/>
    <w:rsid w:val="006D5E38"/>
    <w:rsid w:val="006D614A"/>
    <w:rsid w:val="006D61AF"/>
    <w:rsid w:val="006D65EC"/>
    <w:rsid w:val="006D6B5E"/>
    <w:rsid w:val="006D6CA1"/>
    <w:rsid w:val="006D712E"/>
    <w:rsid w:val="006D7DA7"/>
    <w:rsid w:val="006E08F5"/>
    <w:rsid w:val="006E09B5"/>
    <w:rsid w:val="006E0EE2"/>
    <w:rsid w:val="006E0FAD"/>
    <w:rsid w:val="006E1E87"/>
    <w:rsid w:val="006E2057"/>
    <w:rsid w:val="006E2715"/>
    <w:rsid w:val="006E27D1"/>
    <w:rsid w:val="006E2953"/>
    <w:rsid w:val="006E2ADA"/>
    <w:rsid w:val="006E2CD8"/>
    <w:rsid w:val="006E3E4E"/>
    <w:rsid w:val="006E4019"/>
    <w:rsid w:val="006E43D2"/>
    <w:rsid w:val="006E4462"/>
    <w:rsid w:val="006E465C"/>
    <w:rsid w:val="006E48B7"/>
    <w:rsid w:val="006E4B08"/>
    <w:rsid w:val="006E4EB7"/>
    <w:rsid w:val="006E558B"/>
    <w:rsid w:val="006E753A"/>
    <w:rsid w:val="006E7A5E"/>
    <w:rsid w:val="006E7C6D"/>
    <w:rsid w:val="006E7D59"/>
    <w:rsid w:val="006E7F4D"/>
    <w:rsid w:val="006E7F81"/>
    <w:rsid w:val="006F12A6"/>
    <w:rsid w:val="006F1443"/>
    <w:rsid w:val="006F17D6"/>
    <w:rsid w:val="006F17DA"/>
    <w:rsid w:val="006F1C69"/>
    <w:rsid w:val="006F22F8"/>
    <w:rsid w:val="006F2579"/>
    <w:rsid w:val="006F2855"/>
    <w:rsid w:val="006F2887"/>
    <w:rsid w:val="006F2958"/>
    <w:rsid w:val="006F2DD6"/>
    <w:rsid w:val="006F5439"/>
    <w:rsid w:val="006F69AA"/>
    <w:rsid w:val="006F713E"/>
    <w:rsid w:val="006F7400"/>
    <w:rsid w:val="006F750C"/>
    <w:rsid w:val="006F7BB3"/>
    <w:rsid w:val="006F7EB1"/>
    <w:rsid w:val="00700A36"/>
    <w:rsid w:val="00700AD5"/>
    <w:rsid w:val="00701834"/>
    <w:rsid w:val="0070199E"/>
    <w:rsid w:val="007019C6"/>
    <w:rsid w:val="00701B71"/>
    <w:rsid w:val="00701BDD"/>
    <w:rsid w:val="00701E8E"/>
    <w:rsid w:val="00702171"/>
    <w:rsid w:val="00702B93"/>
    <w:rsid w:val="00702D4F"/>
    <w:rsid w:val="00703943"/>
    <w:rsid w:val="00703D5F"/>
    <w:rsid w:val="007045FC"/>
    <w:rsid w:val="0070488F"/>
    <w:rsid w:val="00704CDE"/>
    <w:rsid w:val="00704CF9"/>
    <w:rsid w:val="00704ECD"/>
    <w:rsid w:val="00705075"/>
    <w:rsid w:val="00705199"/>
    <w:rsid w:val="00705711"/>
    <w:rsid w:val="0070582E"/>
    <w:rsid w:val="0070596D"/>
    <w:rsid w:val="00706AAB"/>
    <w:rsid w:val="00707178"/>
    <w:rsid w:val="007073E2"/>
    <w:rsid w:val="0070772C"/>
    <w:rsid w:val="00707EED"/>
    <w:rsid w:val="00710713"/>
    <w:rsid w:val="00710A96"/>
    <w:rsid w:val="00711B38"/>
    <w:rsid w:val="00711F83"/>
    <w:rsid w:val="007122C3"/>
    <w:rsid w:val="007123C3"/>
    <w:rsid w:val="0071266E"/>
    <w:rsid w:val="00712C38"/>
    <w:rsid w:val="00712E25"/>
    <w:rsid w:val="00712E70"/>
    <w:rsid w:val="007130F7"/>
    <w:rsid w:val="00714183"/>
    <w:rsid w:val="00714B95"/>
    <w:rsid w:val="00715CA4"/>
    <w:rsid w:val="00715E75"/>
    <w:rsid w:val="0071643E"/>
    <w:rsid w:val="0071691D"/>
    <w:rsid w:val="0071695A"/>
    <w:rsid w:val="007172B6"/>
    <w:rsid w:val="0071779F"/>
    <w:rsid w:val="00717CD9"/>
    <w:rsid w:val="00720C6C"/>
    <w:rsid w:val="00720D93"/>
    <w:rsid w:val="007218A2"/>
    <w:rsid w:val="00721EC2"/>
    <w:rsid w:val="007225C9"/>
    <w:rsid w:val="00722634"/>
    <w:rsid w:val="007226F3"/>
    <w:rsid w:val="00722D51"/>
    <w:rsid w:val="0072328D"/>
    <w:rsid w:val="0072344E"/>
    <w:rsid w:val="007237EE"/>
    <w:rsid w:val="007240C3"/>
    <w:rsid w:val="007243CC"/>
    <w:rsid w:val="0072530B"/>
    <w:rsid w:val="007263B7"/>
    <w:rsid w:val="0072677C"/>
    <w:rsid w:val="00727471"/>
    <w:rsid w:val="00727632"/>
    <w:rsid w:val="007301CB"/>
    <w:rsid w:val="0073087D"/>
    <w:rsid w:val="00731957"/>
    <w:rsid w:val="007323E0"/>
    <w:rsid w:val="00732744"/>
    <w:rsid w:val="0073288D"/>
    <w:rsid w:val="00732974"/>
    <w:rsid w:val="00732BB6"/>
    <w:rsid w:val="00733697"/>
    <w:rsid w:val="00733C12"/>
    <w:rsid w:val="00733C2F"/>
    <w:rsid w:val="00733EF3"/>
    <w:rsid w:val="007344A7"/>
    <w:rsid w:val="007356BB"/>
    <w:rsid w:val="00735B0B"/>
    <w:rsid w:val="00735BED"/>
    <w:rsid w:val="0073666D"/>
    <w:rsid w:val="0073669E"/>
    <w:rsid w:val="00736799"/>
    <w:rsid w:val="0073707B"/>
    <w:rsid w:val="00737C67"/>
    <w:rsid w:val="00737D1D"/>
    <w:rsid w:val="00737F76"/>
    <w:rsid w:val="007404A0"/>
    <w:rsid w:val="007406D2"/>
    <w:rsid w:val="00740FC0"/>
    <w:rsid w:val="00741002"/>
    <w:rsid w:val="00741637"/>
    <w:rsid w:val="007418D4"/>
    <w:rsid w:val="00741E81"/>
    <w:rsid w:val="00742121"/>
    <w:rsid w:val="00742CE6"/>
    <w:rsid w:val="00743353"/>
    <w:rsid w:val="00743655"/>
    <w:rsid w:val="00743FDA"/>
    <w:rsid w:val="0074467F"/>
    <w:rsid w:val="00744F24"/>
    <w:rsid w:val="0074501E"/>
    <w:rsid w:val="00745868"/>
    <w:rsid w:val="00746472"/>
    <w:rsid w:val="00746CD0"/>
    <w:rsid w:val="00746F76"/>
    <w:rsid w:val="007471B6"/>
    <w:rsid w:val="00747C5A"/>
    <w:rsid w:val="00747CD0"/>
    <w:rsid w:val="007500B9"/>
    <w:rsid w:val="007502B5"/>
    <w:rsid w:val="00750846"/>
    <w:rsid w:val="007516D1"/>
    <w:rsid w:val="00751ADF"/>
    <w:rsid w:val="00751DE7"/>
    <w:rsid w:val="00752CE8"/>
    <w:rsid w:val="00753790"/>
    <w:rsid w:val="0075428A"/>
    <w:rsid w:val="0075561B"/>
    <w:rsid w:val="00755E24"/>
    <w:rsid w:val="00756E8B"/>
    <w:rsid w:val="007575BC"/>
    <w:rsid w:val="007603BD"/>
    <w:rsid w:val="00760A78"/>
    <w:rsid w:val="007618B2"/>
    <w:rsid w:val="007620C8"/>
    <w:rsid w:val="00763C94"/>
    <w:rsid w:val="0076468E"/>
    <w:rsid w:val="00764725"/>
    <w:rsid w:val="0076472C"/>
    <w:rsid w:val="007649D6"/>
    <w:rsid w:val="00764B6B"/>
    <w:rsid w:val="00764F0C"/>
    <w:rsid w:val="007659EF"/>
    <w:rsid w:val="00765B31"/>
    <w:rsid w:val="00766029"/>
    <w:rsid w:val="00766432"/>
    <w:rsid w:val="00766983"/>
    <w:rsid w:val="00767A28"/>
    <w:rsid w:val="00767D99"/>
    <w:rsid w:val="00770893"/>
    <w:rsid w:val="007712C3"/>
    <w:rsid w:val="00771D33"/>
    <w:rsid w:val="00771F1C"/>
    <w:rsid w:val="00771F3F"/>
    <w:rsid w:val="007724C4"/>
    <w:rsid w:val="007725DF"/>
    <w:rsid w:val="00772E14"/>
    <w:rsid w:val="00772E1A"/>
    <w:rsid w:val="007736D0"/>
    <w:rsid w:val="00773A11"/>
    <w:rsid w:val="00773D01"/>
    <w:rsid w:val="0077411F"/>
    <w:rsid w:val="00774C10"/>
    <w:rsid w:val="007754D1"/>
    <w:rsid w:val="007758B8"/>
    <w:rsid w:val="007758CF"/>
    <w:rsid w:val="00775FEC"/>
    <w:rsid w:val="00776317"/>
    <w:rsid w:val="00776B10"/>
    <w:rsid w:val="00776D06"/>
    <w:rsid w:val="007775F6"/>
    <w:rsid w:val="00780317"/>
    <w:rsid w:val="00780E1B"/>
    <w:rsid w:val="007810BC"/>
    <w:rsid w:val="00781EB4"/>
    <w:rsid w:val="007823D7"/>
    <w:rsid w:val="00782941"/>
    <w:rsid w:val="00782E96"/>
    <w:rsid w:val="007844DE"/>
    <w:rsid w:val="007848DA"/>
    <w:rsid w:val="00784A3D"/>
    <w:rsid w:val="00785A39"/>
    <w:rsid w:val="00785E47"/>
    <w:rsid w:val="007861AA"/>
    <w:rsid w:val="0078659F"/>
    <w:rsid w:val="00787447"/>
    <w:rsid w:val="0078776F"/>
    <w:rsid w:val="007900EA"/>
    <w:rsid w:val="00790BDA"/>
    <w:rsid w:val="00790CD2"/>
    <w:rsid w:val="0079103F"/>
    <w:rsid w:val="007918A1"/>
    <w:rsid w:val="00792169"/>
    <w:rsid w:val="00793091"/>
    <w:rsid w:val="00793F12"/>
    <w:rsid w:val="00794320"/>
    <w:rsid w:val="007943A8"/>
    <w:rsid w:val="007947F4"/>
    <w:rsid w:val="00795DC8"/>
    <w:rsid w:val="00795FC0"/>
    <w:rsid w:val="007963D7"/>
    <w:rsid w:val="00796527"/>
    <w:rsid w:val="007966D8"/>
    <w:rsid w:val="007975AC"/>
    <w:rsid w:val="00797CF6"/>
    <w:rsid w:val="007A0F7C"/>
    <w:rsid w:val="007A10D6"/>
    <w:rsid w:val="007A1167"/>
    <w:rsid w:val="007A12A7"/>
    <w:rsid w:val="007A14FC"/>
    <w:rsid w:val="007A1803"/>
    <w:rsid w:val="007A20A0"/>
    <w:rsid w:val="007A289D"/>
    <w:rsid w:val="007A2AD1"/>
    <w:rsid w:val="007A2B71"/>
    <w:rsid w:val="007A2BE6"/>
    <w:rsid w:val="007A2C5D"/>
    <w:rsid w:val="007A340C"/>
    <w:rsid w:val="007A367F"/>
    <w:rsid w:val="007A36E5"/>
    <w:rsid w:val="007A38B8"/>
    <w:rsid w:val="007A4A3D"/>
    <w:rsid w:val="007A4E3F"/>
    <w:rsid w:val="007A5090"/>
    <w:rsid w:val="007A5A11"/>
    <w:rsid w:val="007A5AB8"/>
    <w:rsid w:val="007A6F16"/>
    <w:rsid w:val="007A72CA"/>
    <w:rsid w:val="007A7512"/>
    <w:rsid w:val="007A752A"/>
    <w:rsid w:val="007A7B6E"/>
    <w:rsid w:val="007A7E3D"/>
    <w:rsid w:val="007A7F7F"/>
    <w:rsid w:val="007A7FD6"/>
    <w:rsid w:val="007B028F"/>
    <w:rsid w:val="007B09DF"/>
    <w:rsid w:val="007B0CC3"/>
    <w:rsid w:val="007B16A1"/>
    <w:rsid w:val="007B217C"/>
    <w:rsid w:val="007B2DB6"/>
    <w:rsid w:val="007B300E"/>
    <w:rsid w:val="007B30CA"/>
    <w:rsid w:val="007B3A11"/>
    <w:rsid w:val="007B3AFD"/>
    <w:rsid w:val="007B4DDD"/>
    <w:rsid w:val="007B530F"/>
    <w:rsid w:val="007B567F"/>
    <w:rsid w:val="007B57E8"/>
    <w:rsid w:val="007B58BF"/>
    <w:rsid w:val="007B5D4F"/>
    <w:rsid w:val="007B65D4"/>
    <w:rsid w:val="007B67FE"/>
    <w:rsid w:val="007B7101"/>
    <w:rsid w:val="007B7B2B"/>
    <w:rsid w:val="007B7B34"/>
    <w:rsid w:val="007B7DA1"/>
    <w:rsid w:val="007B7F68"/>
    <w:rsid w:val="007C0BE9"/>
    <w:rsid w:val="007C10C6"/>
    <w:rsid w:val="007C17BF"/>
    <w:rsid w:val="007C1B02"/>
    <w:rsid w:val="007C1D91"/>
    <w:rsid w:val="007C200D"/>
    <w:rsid w:val="007C204B"/>
    <w:rsid w:val="007C398B"/>
    <w:rsid w:val="007C4C4F"/>
    <w:rsid w:val="007C5323"/>
    <w:rsid w:val="007C6187"/>
    <w:rsid w:val="007C63B8"/>
    <w:rsid w:val="007C67EE"/>
    <w:rsid w:val="007C7A8C"/>
    <w:rsid w:val="007D05C7"/>
    <w:rsid w:val="007D07F8"/>
    <w:rsid w:val="007D0EE9"/>
    <w:rsid w:val="007D1707"/>
    <w:rsid w:val="007D1B89"/>
    <w:rsid w:val="007D1BEA"/>
    <w:rsid w:val="007D24AB"/>
    <w:rsid w:val="007D2C5E"/>
    <w:rsid w:val="007D3405"/>
    <w:rsid w:val="007D3D41"/>
    <w:rsid w:val="007D41C2"/>
    <w:rsid w:val="007D42D5"/>
    <w:rsid w:val="007D467D"/>
    <w:rsid w:val="007D4BFC"/>
    <w:rsid w:val="007D5080"/>
    <w:rsid w:val="007D6193"/>
    <w:rsid w:val="007D6B1C"/>
    <w:rsid w:val="007D78EE"/>
    <w:rsid w:val="007D7A92"/>
    <w:rsid w:val="007D7BFE"/>
    <w:rsid w:val="007E01C5"/>
    <w:rsid w:val="007E0750"/>
    <w:rsid w:val="007E0A49"/>
    <w:rsid w:val="007E0B1E"/>
    <w:rsid w:val="007E0F2C"/>
    <w:rsid w:val="007E0FAF"/>
    <w:rsid w:val="007E112F"/>
    <w:rsid w:val="007E1356"/>
    <w:rsid w:val="007E1C60"/>
    <w:rsid w:val="007E3301"/>
    <w:rsid w:val="007E3CC5"/>
    <w:rsid w:val="007E441D"/>
    <w:rsid w:val="007E450C"/>
    <w:rsid w:val="007E4A09"/>
    <w:rsid w:val="007E4C9C"/>
    <w:rsid w:val="007E5486"/>
    <w:rsid w:val="007E54AD"/>
    <w:rsid w:val="007E5B1C"/>
    <w:rsid w:val="007E5F2E"/>
    <w:rsid w:val="007E5FB5"/>
    <w:rsid w:val="007E6196"/>
    <w:rsid w:val="007E6656"/>
    <w:rsid w:val="007E6E12"/>
    <w:rsid w:val="007E70BF"/>
    <w:rsid w:val="007E717D"/>
    <w:rsid w:val="007E724E"/>
    <w:rsid w:val="007E735A"/>
    <w:rsid w:val="007E7432"/>
    <w:rsid w:val="007E7F06"/>
    <w:rsid w:val="007F0085"/>
    <w:rsid w:val="007F080F"/>
    <w:rsid w:val="007F0F01"/>
    <w:rsid w:val="007F11B6"/>
    <w:rsid w:val="007F155F"/>
    <w:rsid w:val="007F1A99"/>
    <w:rsid w:val="007F1C4A"/>
    <w:rsid w:val="007F22A7"/>
    <w:rsid w:val="007F22ED"/>
    <w:rsid w:val="007F24DA"/>
    <w:rsid w:val="007F2ED8"/>
    <w:rsid w:val="007F3253"/>
    <w:rsid w:val="007F4457"/>
    <w:rsid w:val="007F4DE5"/>
    <w:rsid w:val="007F4F42"/>
    <w:rsid w:val="007F536B"/>
    <w:rsid w:val="007F59CD"/>
    <w:rsid w:val="007F5E48"/>
    <w:rsid w:val="007F67DD"/>
    <w:rsid w:val="007F67F0"/>
    <w:rsid w:val="007F6BC7"/>
    <w:rsid w:val="007F7F32"/>
    <w:rsid w:val="00800A70"/>
    <w:rsid w:val="00800DF8"/>
    <w:rsid w:val="008017C2"/>
    <w:rsid w:val="00801DBA"/>
    <w:rsid w:val="00801E32"/>
    <w:rsid w:val="00801FB7"/>
    <w:rsid w:val="008021FD"/>
    <w:rsid w:val="00802554"/>
    <w:rsid w:val="008026FA"/>
    <w:rsid w:val="00802B21"/>
    <w:rsid w:val="00802DB4"/>
    <w:rsid w:val="008036BE"/>
    <w:rsid w:val="00803B18"/>
    <w:rsid w:val="00803B2E"/>
    <w:rsid w:val="00804501"/>
    <w:rsid w:val="0080493A"/>
    <w:rsid w:val="00804BA2"/>
    <w:rsid w:val="00804FE6"/>
    <w:rsid w:val="008050F8"/>
    <w:rsid w:val="00805224"/>
    <w:rsid w:val="0080556B"/>
    <w:rsid w:val="00805FD6"/>
    <w:rsid w:val="00806809"/>
    <w:rsid w:val="00806ABD"/>
    <w:rsid w:val="00807D00"/>
    <w:rsid w:val="00807EA4"/>
    <w:rsid w:val="00807EB6"/>
    <w:rsid w:val="008106E3"/>
    <w:rsid w:val="00810F07"/>
    <w:rsid w:val="008115B8"/>
    <w:rsid w:val="008115CF"/>
    <w:rsid w:val="00811E77"/>
    <w:rsid w:val="00812315"/>
    <w:rsid w:val="00813018"/>
    <w:rsid w:val="008143C7"/>
    <w:rsid w:val="00814DCA"/>
    <w:rsid w:val="008150BE"/>
    <w:rsid w:val="0081539C"/>
    <w:rsid w:val="008154EA"/>
    <w:rsid w:val="008157B3"/>
    <w:rsid w:val="00815822"/>
    <w:rsid w:val="00815D1B"/>
    <w:rsid w:val="008163BE"/>
    <w:rsid w:val="008164A8"/>
    <w:rsid w:val="00816C1F"/>
    <w:rsid w:val="008174AD"/>
    <w:rsid w:val="00820876"/>
    <w:rsid w:val="0082143F"/>
    <w:rsid w:val="0082159A"/>
    <w:rsid w:val="00821718"/>
    <w:rsid w:val="00822064"/>
    <w:rsid w:val="008220AD"/>
    <w:rsid w:val="00822738"/>
    <w:rsid w:val="00822969"/>
    <w:rsid w:val="00823196"/>
    <w:rsid w:val="00823610"/>
    <w:rsid w:val="008237DE"/>
    <w:rsid w:val="00824ABF"/>
    <w:rsid w:val="00824E32"/>
    <w:rsid w:val="00825B9C"/>
    <w:rsid w:val="00827EFF"/>
    <w:rsid w:val="008301C6"/>
    <w:rsid w:val="0083049A"/>
    <w:rsid w:val="00830846"/>
    <w:rsid w:val="008319DA"/>
    <w:rsid w:val="00831D1D"/>
    <w:rsid w:val="008321A6"/>
    <w:rsid w:val="00832C7E"/>
    <w:rsid w:val="00833393"/>
    <w:rsid w:val="0083380F"/>
    <w:rsid w:val="00833A60"/>
    <w:rsid w:val="00833C3B"/>
    <w:rsid w:val="00833D2C"/>
    <w:rsid w:val="00835CF4"/>
    <w:rsid w:val="00835FCE"/>
    <w:rsid w:val="008368DE"/>
    <w:rsid w:val="0083696A"/>
    <w:rsid w:val="00840BCC"/>
    <w:rsid w:val="00840E25"/>
    <w:rsid w:val="0084161A"/>
    <w:rsid w:val="00841962"/>
    <w:rsid w:val="008424BB"/>
    <w:rsid w:val="00842B3A"/>
    <w:rsid w:val="00843613"/>
    <w:rsid w:val="0084383C"/>
    <w:rsid w:val="0084456D"/>
    <w:rsid w:val="00844729"/>
    <w:rsid w:val="008461B4"/>
    <w:rsid w:val="008465CB"/>
    <w:rsid w:val="00846695"/>
    <w:rsid w:val="00846A62"/>
    <w:rsid w:val="0085127E"/>
    <w:rsid w:val="008515CC"/>
    <w:rsid w:val="008517C6"/>
    <w:rsid w:val="00852898"/>
    <w:rsid w:val="00852F4F"/>
    <w:rsid w:val="00853308"/>
    <w:rsid w:val="008534CC"/>
    <w:rsid w:val="00853646"/>
    <w:rsid w:val="00853C98"/>
    <w:rsid w:val="00854103"/>
    <w:rsid w:val="00854773"/>
    <w:rsid w:val="008549B1"/>
    <w:rsid w:val="00854B47"/>
    <w:rsid w:val="008550BA"/>
    <w:rsid w:val="0085543E"/>
    <w:rsid w:val="00855820"/>
    <w:rsid w:val="008568B0"/>
    <w:rsid w:val="0085710E"/>
    <w:rsid w:val="008578F2"/>
    <w:rsid w:val="00857A16"/>
    <w:rsid w:val="00857DB6"/>
    <w:rsid w:val="008600ED"/>
    <w:rsid w:val="00860366"/>
    <w:rsid w:val="008614BF"/>
    <w:rsid w:val="008619B4"/>
    <w:rsid w:val="00861CAB"/>
    <w:rsid w:val="008623CA"/>
    <w:rsid w:val="008627A8"/>
    <w:rsid w:val="00862B21"/>
    <w:rsid w:val="00863523"/>
    <w:rsid w:val="008636D6"/>
    <w:rsid w:val="00863E02"/>
    <w:rsid w:val="0086489A"/>
    <w:rsid w:val="00865274"/>
    <w:rsid w:val="00865301"/>
    <w:rsid w:val="00865940"/>
    <w:rsid w:val="00865A0D"/>
    <w:rsid w:val="00865EEC"/>
    <w:rsid w:val="00866416"/>
    <w:rsid w:val="00866A27"/>
    <w:rsid w:val="00866C88"/>
    <w:rsid w:val="0086726E"/>
    <w:rsid w:val="00867C61"/>
    <w:rsid w:val="008701DC"/>
    <w:rsid w:val="00870234"/>
    <w:rsid w:val="00870335"/>
    <w:rsid w:val="0087051A"/>
    <w:rsid w:val="0087081B"/>
    <w:rsid w:val="008714CD"/>
    <w:rsid w:val="00872A6E"/>
    <w:rsid w:val="008739F1"/>
    <w:rsid w:val="00873F33"/>
    <w:rsid w:val="00874197"/>
    <w:rsid w:val="00874308"/>
    <w:rsid w:val="00874882"/>
    <w:rsid w:val="00875375"/>
    <w:rsid w:val="008753E4"/>
    <w:rsid w:val="00875827"/>
    <w:rsid w:val="008764DF"/>
    <w:rsid w:val="00876C7F"/>
    <w:rsid w:val="00876DA9"/>
    <w:rsid w:val="00877B13"/>
    <w:rsid w:val="00880AB5"/>
    <w:rsid w:val="00880AD5"/>
    <w:rsid w:val="00880C01"/>
    <w:rsid w:val="00881095"/>
    <w:rsid w:val="00881457"/>
    <w:rsid w:val="00881918"/>
    <w:rsid w:val="00881E91"/>
    <w:rsid w:val="00882802"/>
    <w:rsid w:val="00882B0F"/>
    <w:rsid w:val="008836A7"/>
    <w:rsid w:val="00883749"/>
    <w:rsid w:val="008837DA"/>
    <w:rsid w:val="00884467"/>
    <w:rsid w:val="0088452E"/>
    <w:rsid w:val="00884AB6"/>
    <w:rsid w:val="0088559A"/>
    <w:rsid w:val="00885D99"/>
    <w:rsid w:val="00886448"/>
    <w:rsid w:val="0088656B"/>
    <w:rsid w:val="00887031"/>
    <w:rsid w:val="008872D7"/>
    <w:rsid w:val="00887E8C"/>
    <w:rsid w:val="00887F03"/>
    <w:rsid w:val="0089055E"/>
    <w:rsid w:val="00891448"/>
    <w:rsid w:val="008914A2"/>
    <w:rsid w:val="00891D38"/>
    <w:rsid w:val="00891D7B"/>
    <w:rsid w:val="008923EA"/>
    <w:rsid w:val="00893B95"/>
    <w:rsid w:val="008941B2"/>
    <w:rsid w:val="0089486E"/>
    <w:rsid w:val="00894DEA"/>
    <w:rsid w:val="00895941"/>
    <w:rsid w:val="00896875"/>
    <w:rsid w:val="008A0D44"/>
    <w:rsid w:val="008A1084"/>
    <w:rsid w:val="008A1C2F"/>
    <w:rsid w:val="008A1DA7"/>
    <w:rsid w:val="008A29BC"/>
    <w:rsid w:val="008A3884"/>
    <w:rsid w:val="008A3A4B"/>
    <w:rsid w:val="008A41DE"/>
    <w:rsid w:val="008A49EA"/>
    <w:rsid w:val="008A4ABF"/>
    <w:rsid w:val="008A5519"/>
    <w:rsid w:val="008A6614"/>
    <w:rsid w:val="008A739F"/>
    <w:rsid w:val="008A7517"/>
    <w:rsid w:val="008A790C"/>
    <w:rsid w:val="008B0108"/>
    <w:rsid w:val="008B0CD7"/>
    <w:rsid w:val="008B1123"/>
    <w:rsid w:val="008B18E3"/>
    <w:rsid w:val="008B3670"/>
    <w:rsid w:val="008B392A"/>
    <w:rsid w:val="008B3E82"/>
    <w:rsid w:val="008B4157"/>
    <w:rsid w:val="008B4A24"/>
    <w:rsid w:val="008B51DE"/>
    <w:rsid w:val="008B5AFF"/>
    <w:rsid w:val="008B5E0B"/>
    <w:rsid w:val="008B758A"/>
    <w:rsid w:val="008B7C72"/>
    <w:rsid w:val="008B7CD2"/>
    <w:rsid w:val="008C00EF"/>
    <w:rsid w:val="008C053C"/>
    <w:rsid w:val="008C0C4F"/>
    <w:rsid w:val="008C0F75"/>
    <w:rsid w:val="008C12F3"/>
    <w:rsid w:val="008C1433"/>
    <w:rsid w:val="008C17EE"/>
    <w:rsid w:val="008C1D8B"/>
    <w:rsid w:val="008C1F03"/>
    <w:rsid w:val="008C21EC"/>
    <w:rsid w:val="008C277A"/>
    <w:rsid w:val="008C2F47"/>
    <w:rsid w:val="008C3373"/>
    <w:rsid w:val="008C49A9"/>
    <w:rsid w:val="008C561D"/>
    <w:rsid w:val="008C62EC"/>
    <w:rsid w:val="008C6316"/>
    <w:rsid w:val="008C7911"/>
    <w:rsid w:val="008C7FAF"/>
    <w:rsid w:val="008D0BE4"/>
    <w:rsid w:val="008D0F42"/>
    <w:rsid w:val="008D1475"/>
    <w:rsid w:val="008D151E"/>
    <w:rsid w:val="008D19DB"/>
    <w:rsid w:val="008D35E2"/>
    <w:rsid w:val="008D3981"/>
    <w:rsid w:val="008D41B5"/>
    <w:rsid w:val="008D48AA"/>
    <w:rsid w:val="008D52D5"/>
    <w:rsid w:val="008D5BE0"/>
    <w:rsid w:val="008D72C3"/>
    <w:rsid w:val="008D7537"/>
    <w:rsid w:val="008D7689"/>
    <w:rsid w:val="008D7B10"/>
    <w:rsid w:val="008E041A"/>
    <w:rsid w:val="008E04F6"/>
    <w:rsid w:val="008E0FD3"/>
    <w:rsid w:val="008E154C"/>
    <w:rsid w:val="008E1B76"/>
    <w:rsid w:val="008E1DCB"/>
    <w:rsid w:val="008E2248"/>
    <w:rsid w:val="008E237A"/>
    <w:rsid w:val="008E24CD"/>
    <w:rsid w:val="008E2CD5"/>
    <w:rsid w:val="008E2DF1"/>
    <w:rsid w:val="008E3BD0"/>
    <w:rsid w:val="008E53E7"/>
    <w:rsid w:val="008E5B3B"/>
    <w:rsid w:val="008E5D69"/>
    <w:rsid w:val="008E5EE3"/>
    <w:rsid w:val="008E63EA"/>
    <w:rsid w:val="008E7537"/>
    <w:rsid w:val="008E7558"/>
    <w:rsid w:val="008E7C23"/>
    <w:rsid w:val="008E7F8D"/>
    <w:rsid w:val="008F06E9"/>
    <w:rsid w:val="008F11C4"/>
    <w:rsid w:val="008F19BB"/>
    <w:rsid w:val="008F2850"/>
    <w:rsid w:val="008F2FC2"/>
    <w:rsid w:val="008F302C"/>
    <w:rsid w:val="008F327F"/>
    <w:rsid w:val="008F3305"/>
    <w:rsid w:val="008F3A1B"/>
    <w:rsid w:val="008F3C46"/>
    <w:rsid w:val="008F3E18"/>
    <w:rsid w:val="008F4783"/>
    <w:rsid w:val="008F4C45"/>
    <w:rsid w:val="008F5481"/>
    <w:rsid w:val="008F5D1E"/>
    <w:rsid w:val="008F6FE8"/>
    <w:rsid w:val="008F7242"/>
    <w:rsid w:val="008F75F1"/>
    <w:rsid w:val="008F7D34"/>
    <w:rsid w:val="008F7FBB"/>
    <w:rsid w:val="009011A5"/>
    <w:rsid w:val="00901457"/>
    <w:rsid w:val="00901C77"/>
    <w:rsid w:val="0090233F"/>
    <w:rsid w:val="00902698"/>
    <w:rsid w:val="009026E8"/>
    <w:rsid w:val="009030B0"/>
    <w:rsid w:val="009031E3"/>
    <w:rsid w:val="009035A2"/>
    <w:rsid w:val="0090368C"/>
    <w:rsid w:val="00903C20"/>
    <w:rsid w:val="00903E1E"/>
    <w:rsid w:val="00903EBB"/>
    <w:rsid w:val="00904067"/>
    <w:rsid w:val="00904674"/>
    <w:rsid w:val="00904BC9"/>
    <w:rsid w:val="009056C1"/>
    <w:rsid w:val="009056CA"/>
    <w:rsid w:val="009057C5"/>
    <w:rsid w:val="00905F4A"/>
    <w:rsid w:val="009062BB"/>
    <w:rsid w:val="0090688C"/>
    <w:rsid w:val="0090766E"/>
    <w:rsid w:val="0091038B"/>
    <w:rsid w:val="009119D3"/>
    <w:rsid w:val="00911F66"/>
    <w:rsid w:val="00913377"/>
    <w:rsid w:val="0091344B"/>
    <w:rsid w:val="00913491"/>
    <w:rsid w:val="009136AF"/>
    <w:rsid w:val="00913DCC"/>
    <w:rsid w:val="0091409A"/>
    <w:rsid w:val="00914378"/>
    <w:rsid w:val="00914F27"/>
    <w:rsid w:val="00916333"/>
    <w:rsid w:val="00916B50"/>
    <w:rsid w:val="00917B21"/>
    <w:rsid w:val="00921839"/>
    <w:rsid w:val="00921E03"/>
    <w:rsid w:val="00922101"/>
    <w:rsid w:val="00922A4B"/>
    <w:rsid w:val="00923492"/>
    <w:rsid w:val="009236F3"/>
    <w:rsid w:val="009241BB"/>
    <w:rsid w:val="009244F7"/>
    <w:rsid w:val="00924C0D"/>
    <w:rsid w:val="00924D94"/>
    <w:rsid w:val="0092501B"/>
    <w:rsid w:val="0092587F"/>
    <w:rsid w:val="00925AA4"/>
    <w:rsid w:val="00926BE1"/>
    <w:rsid w:val="009272CD"/>
    <w:rsid w:val="00930FA6"/>
    <w:rsid w:val="00931158"/>
    <w:rsid w:val="009313BE"/>
    <w:rsid w:val="009318B0"/>
    <w:rsid w:val="00932FE2"/>
    <w:rsid w:val="00933907"/>
    <w:rsid w:val="00933DCB"/>
    <w:rsid w:val="0093405E"/>
    <w:rsid w:val="009340AB"/>
    <w:rsid w:val="0093426D"/>
    <w:rsid w:val="00934498"/>
    <w:rsid w:val="00936192"/>
    <w:rsid w:val="00937516"/>
    <w:rsid w:val="0094066E"/>
    <w:rsid w:val="0094182D"/>
    <w:rsid w:val="00942004"/>
    <w:rsid w:val="0094245B"/>
    <w:rsid w:val="00942913"/>
    <w:rsid w:val="00942A08"/>
    <w:rsid w:val="00942CAD"/>
    <w:rsid w:val="009432E4"/>
    <w:rsid w:val="00943363"/>
    <w:rsid w:val="009434CF"/>
    <w:rsid w:val="009434EA"/>
    <w:rsid w:val="009442EB"/>
    <w:rsid w:val="00944491"/>
    <w:rsid w:val="009447D8"/>
    <w:rsid w:val="00945752"/>
    <w:rsid w:val="009461AA"/>
    <w:rsid w:val="0094624F"/>
    <w:rsid w:val="009463C5"/>
    <w:rsid w:val="009468E9"/>
    <w:rsid w:val="00946910"/>
    <w:rsid w:val="00946D18"/>
    <w:rsid w:val="00947C38"/>
    <w:rsid w:val="00947E63"/>
    <w:rsid w:val="00951718"/>
    <w:rsid w:val="00951817"/>
    <w:rsid w:val="00952CCB"/>
    <w:rsid w:val="00953322"/>
    <w:rsid w:val="00953BFE"/>
    <w:rsid w:val="009550BB"/>
    <w:rsid w:val="0095545C"/>
    <w:rsid w:val="00955935"/>
    <w:rsid w:val="00955992"/>
    <w:rsid w:val="00955AB7"/>
    <w:rsid w:val="00955B26"/>
    <w:rsid w:val="00955B99"/>
    <w:rsid w:val="00956067"/>
    <w:rsid w:val="00956115"/>
    <w:rsid w:val="00956244"/>
    <w:rsid w:val="00956304"/>
    <w:rsid w:val="009566DC"/>
    <w:rsid w:val="00957342"/>
    <w:rsid w:val="009574F2"/>
    <w:rsid w:val="00957921"/>
    <w:rsid w:val="00957A1E"/>
    <w:rsid w:val="00957A76"/>
    <w:rsid w:val="00957C00"/>
    <w:rsid w:val="00960719"/>
    <w:rsid w:val="00960F89"/>
    <w:rsid w:val="009616B6"/>
    <w:rsid w:val="009619CF"/>
    <w:rsid w:val="00962255"/>
    <w:rsid w:val="00962B2A"/>
    <w:rsid w:val="00963502"/>
    <w:rsid w:val="00963C96"/>
    <w:rsid w:val="009648EF"/>
    <w:rsid w:val="009649FF"/>
    <w:rsid w:val="00965DC9"/>
    <w:rsid w:val="00966B53"/>
    <w:rsid w:val="00967433"/>
    <w:rsid w:val="009700F8"/>
    <w:rsid w:val="00970584"/>
    <w:rsid w:val="00970F04"/>
    <w:rsid w:val="009710FB"/>
    <w:rsid w:val="0097114B"/>
    <w:rsid w:val="00971224"/>
    <w:rsid w:val="00971F36"/>
    <w:rsid w:val="009720C3"/>
    <w:rsid w:val="0097319E"/>
    <w:rsid w:val="0097358B"/>
    <w:rsid w:val="00973730"/>
    <w:rsid w:val="00973A12"/>
    <w:rsid w:val="00973AFE"/>
    <w:rsid w:val="00974614"/>
    <w:rsid w:val="009748FF"/>
    <w:rsid w:val="00975084"/>
    <w:rsid w:val="00975243"/>
    <w:rsid w:val="009754BC"/>
    <w:rsid w:val="0097588C"/>
    <w:rsid w:val="00975C3B"/>
    <w:rsid w:val="0097620F"/>
    <w:rsid w:val="00976397"/>
    <w:rsid w:val="00976588"/>
    <w:rsid w:val="00976FE8"/>
    <w:rsid w:val="009771A0"/>
    <w:rsid w:val="0097799A"/>
    <w:rsid w:val="00977C25"/>
    <w:rsid w:val="009807C9"/>
    <w:rsid w:val="0098082E"/>
    <w:rsid w:val="00980CAF"/>
    <w:rsid w:val="00980DB8"/>
    <w:rsid w:val="0098122A"/>
    <w:rsid w:val="0098137E"/>
    <w:rsid w:val="009816C8"/>
    <w:rsid w:val="0098173F"/>
    <w:rsid w:val="00981DC5"/>
    <w:rsid w:val="00981FC9"/>
    <w:rsid w:val="00982327"/>
    <w:rsid w:val="009833CB"/>
    <w:rsid w:val="009836FB"/>
    <w:rsid w:val="009837A3"/>
    <w:rsid w:val="00983F27"/>
    <w:rsid w:val="009843E2"/>
    <w:rsid w:val="0098582B"/>
    <w:rsid w:val="009858DA"/>
    <w:rsid w:val="009861EE"/>
    <w:rsid w:val="00986262"/>
    <w:rsid w:val="00987566"/>
    <w:rsid w:val="0098760C"/>
    <w:rsid w:val="0098795A"/>
    <w:rsid w:val="00987F32"/>
    <w:rsid w:val="0099011B"/>
    <w:rsid w:val="00990487"/>
    <w:rsid w:val="009912E2"/>
    <w:rsid w:val="00991536"/>
    <w:rsid w:val="009915AA"/>
    <w:rsid w:val="00991648"/>
    <w:rsid w:val="009918AC"/>
    <w:rsid w:val="0099255B"/>
    <w:rsid w:val="00992A8B"/>
    <w:rsid w:val="00993DAC"/>
    <w:rsid w:val="00995D5C"/>
    <w:rsid w:val="00996373"/>
    <w:rsid w:val="00996A23"/>
    <w:rsid w:val="00997046"/>
    <w:rsid w:val="009973B6"/>
    <w:rsid w:val="00997585"/>
    <w:rsid w:val="00997705"/>
    <w:rsid w:val="00997BEC"/>
    <w:rsid w:val="00997C26"/>
    <w:rsid w:val="009A06D0"/>
    <w:rsid w:val="009A0B7F"/>
    <w:rsid w:val="009A0E19"/>
    <w:rsid w:val="009A1215"/>
    <w:rsid w:val="009A1416"/>
    <w:rsid w:val="009A20E4"/>
    <w:rsid w:val="009A2440"/>
    <w:rsid w:val="009A2448"/>
    <w:rsid w:val="009A28F6"/>
    <w:rsid w:val="009A3437"/>
    <w:rsid w:val="009A3D15"/>
    <w:rsid w:val="009A3E6F"/>
    <w:rsid w:val="009A3FD3"/>
    <w:rsid w:val="009A4588"/>
    <w:rsid w:val="009A4ECB"/>
    <w:rsid w:val="009A5F3F"/>
    <w:rsid w:val="009A6007"/>
    <w:rsid w:val="009A6A00"/>
    <w:rsid w:val="009A6E33"/>
    <w:rsid w:val="009A6F9E"/>
    <w:rsid w:val="009A714A"/>
    <w:rsid w:val="009A718B"/>
    <w:rsid w:val="009A7318"/>
    <w:rsid w:val="009A7B51"/>
    <w:rsid w:val="009A7E2A"/>
    <w:rsid w:val="009B0602"/>
    <w:rsid w:val="009B0987"/>
    <w:rsid w:val="009B0CAB"/>
    <w:rsid w:val="009B121B"/>
    <w:rsid w:val="009B144A"/>
    <w:rsid w:val="009B14F4"/>
    <w:rsid w:val="009B177F"/>
    <w:rsid w:val="009B17DB"/>
    <w:rsid w:val="009B26EE"/>
    <w:rsid w:val="009B3199"/>
    <w:rsid w:val="009B38BC"/>
    <w:rsid w:val="009B4EC5"/>
    <w:rsid w:val="009B50CC"/>
    <w:rsid w:val="009B51A4"/>
    <w:rsid w:val="009B5A4A"/>
    <w:rsid w:val="009B5ACD"/>
    <w:rsid w:val="009B5E21"/>
    <w:rsid w:val="009B67B3"/>
    <w:rsid w:val="009B7146"/>
    <w:rsid w:val="009B7391"/>
    <w:rsid w:val="009B739B"/>
    <w:rsid w:val="009B7407"/>
    <w:rsid w:val="009B7BAA"/>
    <w:rsid w:val="009C067B"/>
    <w:rsid w:val="009C08E6"/>
    <w:rsid w:val="009C09D7"/>
    <w:rsid w:val="009C0D27"/>
    <w:rsid w:val="009C1B38"/>
    <w:rsid w:val="009C205F"/>
    <w:rsid w:val="009C2E0C"/>
    <w:rsid w:val="009C307F"/>
    <w:rsid w:val="009C3B2A"/>
    <w:rsid w:val="009C4249"/>
    <w:rsid w:val="009C44E4"/>
    <w:rsid w:val="009C4614"/>
    <w:rsid w:val="009C477B"/>
    <w:rsid w:val="009C4918"/>
    <w:rsid w:val="009C4C78"/>
    <w:rsid w:val="009C5124"/>
    <w:rsid w:val="009C51F7"/>
    <w:rsid w:val="009C5C5F"/>
    <w:rsid w:val="009C5F2B"/>
    <w:rsid w:val="009C5F5B"/>
    <w:rsid w:val="009C61C6"/>
    <w:rsid w:val="009C61EE"/>
    <w:rsid w:val="009C6454"/>
    <w:rsid w:val="009C6CF4"/>
    <w:rsid w:val="009C74B8"/>
    <w:rsid w:val="009C78E3"/>
    <w:rsid w:val="009C7FFB"/>
    <w:rsid w:val="009D04DD"/>
    <w:rsid w:val="009D1DCA"/>
    <w:rsid w:val="009D2018"/>
    <w:rsid w:val="009D2D62"/>
    <w:rsid w:val="009D31CD"/>
    <w:rsid w:val="009D4E10"/>
    <w:rsid w:val="009D4F53"/>
    <w:rsid w:val="009D5454"/>
    <w:rsid w:val="009D69CD"/>
    <w:rsid w:val="009D7121"/>
    <w:rsid w:val="009D7892"/>
    <w:rsid w:val="009E01B8"/>
    <w:rsid w:val="009E0843"/>
    <w:rsid w:val="009E0B3D"/>
    <w:rsid w:val="009E18D5"/>
    <w:rsid w:val="009E1B79"/>
    <w:rsid w:val="009E1BC8"/>
    <w:rsid w:val="009E1E84"/>
    <w:rsid w:val="009E3111"/>
    <w:rsid w:val="009E38AF"/>
    <w:rsid w:val="009E40B7"/>
    <w:rsid w:val="009E4205"/>
    <w:rsid w:val="009E52A8"/>
    <w:rsid w:val="009E673E"/>
    <w:rsid w:val="009E68BE"/>
    <w:rsid w:val="009E68ED"/>
    <w:rsid w:val="009E6A49"/>
    <w:rsid w:val="009E74CA"/>
    <w:rsid w:val="009E759E"/>
    <w:rsid w:val="009E7AD8"/>
    <w:rsid w:val="009F096D"/>
    <w:rsid w:val="009F0C01"/>
    <w:rsid w:val="009F0D41"/>
    <w:rsid w:val="009F161C"/>
    <w:rsid w:val="009F1BC2"/>
    <w:rsid w:val="009F1D57"/>
    <w:rsid w:val="009F28F7"/>
    <w:rsid w:val="009F29A4"/>
    <w:rsid w:val="009F2B8A"/>
    <w:rsid w:val="009F2BAF"/>
    <w:rsid w:val="009F2F18"/>
    <w:rsid w:val="009F3041"/>
    <w:rsid w:val="009F3655"/>
    <w:rsid w:val="009F38E8"/>
    <w:rsid w:val="009F39AD"/>
    <w:rsid w:val="009F4EF8"/>
    <w:rsid w:val="009F4F1B"/>
    <w:rsid w:val="009F5872"/>
    <w:rsid w:val="009F5FF4"/>
    <w:rsid w:val="009F6DB9"/>
    <w:rsid w:val="009F70AA"/>
    <w:rsid w:val="009F740D"/>
    <w:rsid w:val="009F77F0"/>
    <w:rsid w:val="009F7E73"/>
    <w:rsid w:val="00A0020E"/>
    <w:rsid w:val="00A00370"/>
    <w:rsid w:val="00A0073E"/>
    <w:rsid w:val="00A00F88"/>
    <w:rsid w:val="00A016A7"/>
    <w:rsid w:val="00A01A02"/>
    <w:rsid w:val="00A01AAA"/>
    <w:rsid w:val="00A01AED"/>
    <w:rsid w:val="00A02007"/>
    <w:rsid w:val="00A024F6"/>
    <w:rsid w:val="00A0288A"/>
    <w:rsid w:val="00A02A8B"/>
    <w:rsid w:val="00A02B6A"/>
    <w:rsid w:val="00A02F74"/>
    <w:rsid w:val="00A030F3"/>
    <w:rsid w:val="00A03652"/>
    <w:rsid w:val="00A041C7"/>
    <w:rsid w:val="00A04E7C"/>
    <w:rsid w:val="00A04F4B"/>
    <w:rsid w:val="00A06B3C"/>
    <w:rsid w:val="00A06DB6"/>
    <w:rsid w:val="00A10003"/>
    <w:rsid w:val="00A1084E"/>
    <w:rsid w:val="00A10A09"/>
    <w:rsid w:val="00A113B3"/>
    <w:rsid w:val="00A114CC"/>
    <w:rsid w:val="00A11A74"/>
    <w:rsid w:val="00A11CB9"/>
    <w:rsid w:val="00A12CC9"/>
    <w:rsid w:val="00A134B1"/>
    <w:rsid w:val="00A13648"/>
    <w:rsid w:val="00A1449A"/>
    <w:rsid w:val="00A1467F"/>
    <w:rsid w:val="00A14921"/>
    <w:rsid w:val="00A151D1"/>
    <w:rsid w:val="00A15B66"/>
    <w:rsid w:val="00A15B7F"/>
    <w:rsid w:val="00A16462"/>
    <w:rsid w:val="00A168C8"/>
    <w:rsid w:val="00A169B5"/>
    <w:rsid w:val="00A17386"/>
    <w:rsid w:val="00A20173"/>
    <w:rsid w:val="00A2060D"/>
    <w:rsid w:val="00A20B21"/>
    <w:rsid w:val="00A216B7"/>
    <w:rsid w:val="00A21708"/>
    <w:rsid w:val="00A217B1"/>
    <w:rsid w:val="00A2186A"/>
    <w:rsid w:val="00A23EF0"/>
    <w:rsid w:val="00A242AE"/>
    <w:rsid w:val="00A242EA"/>
    <w:rsid w:val="00A2504D"/>
    <w:rsid w:val="00A26BB3"/>
    <w:rsid w:val="00A271B3"/>
    <w:rsid w:val="00A272BE"/>
    <w:rsid w:val="00A273BD"/>
    <w:rsid w:val="00A27757"/>
    <w:rsid w:val="00A2797C"/>
    <w:rsid w:val="00A27C35"/>
    <w:rsid w:val="00A30231"/>
    <w:rsid w:val="00A30317"/>
    <w:rsid w:val="00A30545"/>
    <w:rsid w:val="00A309B7"/>
    <w:rsid w:val="00A30B94"/>
    <w:rsid w:val="00A31850"/>
    <w:rsid w:val="00A318DD"/>
    <w:rsid w:val="00A31D0C"/>
    <w:rsid w:val="00A322BE"/>
    <w:rsid w:val="00A33274"/>
    <w:rsid w:val="00A33342"/>
    <w:rsid w:val="00A3344C"/>
    <w:rsid w:val="00A33719"/>
    <w:rsid w:val="00A33DF9"/>
    <w:rsid w:val="00A34383"/>
    <w:rsid w:val="00A3529A"/>
    <w:rsid w:val="00A376F0"/>
    <w:rsid w:val="00A40262"/>
    <w:rsid w:val="00A40858"/>
    <w:rsid w:val="00A40A77"/>
    <w:rsid w:val="00A4137E"/>
    <w:rsid w:val="00A41515"/>
    <w:rsid w:val="00A41B5E"/>
    <w:rsid w:val="00A41E03"/>
    <w:rsid w:val="00A41FEE"/>
    <w:rsid w:val="00A42042"/>
    <w:rsid w:val="00A422C2"/>
    <w:rsid w:val="00A42659"/>
    <w:rsid w:val="00A426D4"/>
    <w:rsid w:val="00A4281A"/>
    <w:rsid w:val="00A42CF9"/>
    <w:rsid w:val="00A42F88"/>
    <w:rsid w:val="00A43F0E"/>
    <w:rsid w:val="00A44228"/>
    <w:rsid w:val="00A44C41"/>
    <w:rsid w:val="00A44E81"/>
    <w:rsid w:val="00A45529"/>
    <w:rsid w:val="00A461E4"/>
    <w:rsid w:val="00A466AC"/>
    <w:rsid w:val="00A47031"/>
    <w:rsid w:val="00A4765E"/>
    <w:rsid w:val="00A50604"/>
    <w:rsid w:val="00A50E26"/>
    <w:rsid w:val="00A51518"/>
    <w:rsid w:val="00A51A8B"/>
    <w:rsid w:val="00A522C3"/>
    <w:rsid w:val="00A52331"/>
    <w:rsid w:val="00A524A6"/>
    <w:rsid w:val="00A543D2"/>
    <w:rsid w:val="00A54818"/>
    <w:rsid w:val="00A54C21"/>
    <w:rsid w:val="00A550AB"/>
    <w:rsid w:val="00A55DC6"/>
    <w:rsid w:val="00A55DD4"/>
    <w:rsid w:val="00A56070"/>
    <w:rsid w:val="00A56859"/>
    <w:rsid w:val="00A569E0"/>
    <w:rsid w:val="00A56D42"/>
    <w:rsid w:val="00A56D83"/>
    <w:rsid w:val="00A5707D"/>
    <w:rsid w:val="00A6008D"/>
    <w:rsid w:val="00A60997"/>
    <w:rsid w:val="00A60CA4"/>
    <w:rsid w:val="00A61446"/>
    <w:rsid w:val="00A615E0"/>
    <w:rsid w:val="00A61D87"/>
    <w:rsid w:val="00A62285"/>
    <w:rsid w:val="00A62821"/>
    <w:rsid w:val="00A6338B"/>
    <w:rsid w:val="00A6390A"/>
    <w:rsid w:val="00A64524"/>
    <w:rsid w:val="00A64A9B"/>
    <w:rsid w:val="00A65A66"/>
    <w:rsid w:val="00A65C73"/>
    <w:rsid w:val="00A66BBF"/>
    <w:rsid w:val="00A66EE4"/>
    <w:rsid w:val="00A6710E"/>
    <w:rsid w:val="00A67235"/>
    <w:rsid w:val="00A67460"/>
    <w:rsid w:val="00A675DD"/>
    <w:rsid w:val="00A70197"/>
    <w:rsid w:val="00A7047F"/>
    <w:rsid w:val="00A70571"/>
    <w:rsid w:val="00A70585"/>
    <w:rsid w:val="00A70728"/>
    <w:rsid w:val="00A70C52"/>
    <w:rsid w:val="00A715EF"/>
    <w:rsid w:val="00A71A8E"/>
    <w:rsid w:val="00A71BDB"/>
    <w:rsid w:val="00A720B7"/>
    <w:rsid w:val="00A72719"/>
    <w:rsid w:val="00A72BCC"/>
    <w:rsid w:val="00A731D2"/>
    <w:rsid w:val="00A73387"/>
    <w:rsid w:val="00A73405"/>
    <w:rsid w:val="00A74310"/>
    <w:rsid w:val="00A745D3"/>
    <w:rsid w:val="00A7462D"/>
    <w:rsid w:val="00A748DB"/>
    <w:rsid w:val="00A7498A"/>
    <w:rsid w:val="00A7549A"/>
    <w:rsid w:val="00A77966"/>
    <w:rsid w:val="00A77A0F"/>
    <w:rsid w:val="00A77E09"/>
    <w:rsid w:val="00A77F4A"/>
    <w:rsid w:val="00A8029C"/>
    <w:rsid w:val="00A8033D"/>
    <w:rsid w:val="00A80449"/>
    <w:rsid w:val="00A826A0"/>
    <w:rsid w:val="00A826B4"/>
    <w:rsid w:val="00A82E1A"/>
    <w:rsid w:val="00A8395A"/>
    <w:rsid w:val="00A83B75"/>
    <w:rsid w:val="00A83C7E"/>
    <w:rsid w:val="00A8418C"/>
    <w:rsid w:val="00A84DA1"/>
    <w:rsid w:val="00A85505"/>
    <w:rsid w:val="00A85676"/>
    <w:rsid w:val="00A856DD"/>
    <w:rsid w:val="00A85812"/>
    <w:rsid w:val="00A85DC4"/>
    <w:rsid w:val="00A864D8"/>
    <w:rsid w:val="00A866C4"/>
    <w:rsid w:val="00A869C4"/>
    <w:rsid w:val="00A8700B"/>
    <w:rsid w:val="00A871C9"/>
    <w:rsid w:val="00A87FE2"/>
    <w:rsid w:val="00A91271"/>
    <w:rsid w:val="00A9140C"/>
    <w:rsid w:val="00A915C6"/>
    <w:rsid w:val="00A917FF"/>
    <w:rsid w:val="00A91E31"/>
    <w:rsid w:val="00A9205F"/>
    <w:rsid w:val="00A92202"/>
    <w:rsid w:val="00A92AC2"/>
    <w:rsid w:val="00A93498"/>
    <w:rsid w:val="00A93C3D"/>
    <w:rsid w:val="00A93D3C"/>
    <w:rsid w:val="00A940A9"/>
    <w:rsid w:val="00A9456E"/>
    <w:rsid w:val="00A948B2"/>
    <w:rsid w:val="00A95355"/>
    <w:rsid w:val="00A95EE6"/>
    <w:rsid w:val="00A95F70"/>
    <w:rsid w:val="00A960E9"/>
    <w:rsid w:val="00A964C7"/>
    <w:rsid w:val="00A97B41"/>
    <w:rsid w:val="00A97DC4"/>
    <w:rsid w:val="00A97F0C"/>
    <w:rsid w:val="00A97F93"/>
    <w:rsid w:val="00AA0147"/>
    <w:rsid w:val="00AA0E4D"/>
    <w:rsid w:val="00AA219A"/>
    <w:rsid w:val="00AA25C5"/>
    <w:rsid w:val="00AA2964"/>
    <w:rsid w:val="00AA2B8B"/>
    <w:rsid w:val="00AA2C6E"/>
    <w:rsid w:val="00AA3E2B"/>
    <w:rsid w:val="00AA3F84"/>
    <w:rsid w:val="00AA46DD"/>
    <w:rsid w:val="00AA4886"/>
    <w:rsid w:val="00AA509E"/>
    <w:rsid w:val="00AA53A0"/>
    <w:rsid w:val="00AA53AC"/>
    <w:rsid w:val="00AA626F"/>
    <w:rsid w:val="00AA6484"/>
    <w:rsid w:val="00AA66A3"/>
    <w:rsid w:val="00AA7874"/>
    <w:rsid w:val="00AA7D0F"/>
    <w:rsid w:val="00AB0396"/>
    <w:rsid w:val="00AB0440"/>
    <w:rsid w:val="00AB0479"/>
    <w:rsid w:val="00AB05C9"/>
    <w:rsid w:val="00AB0A0C"/>
    <w:rsid w:val="00AB0BC7"/>
    <w:rsid w:val="00AB0FDF"/>
    <w:rsid w:val="00AB1831"/>
    <w:rsid w:val="00AB20AB"/>
    <w:rsid w:val="00AB27B9"/>
    <w:rsid w:val="00AB282E"/>
    <w:rsid w:val="00AB2831"/>
    <w:rsid w:val="00AB2AAE"/>
    <w:rsid w:val="00AB2C0F"/>
    <w:rsid w:val="00AB2D52"/>
    <w:rsid w:val="00AB3DD2"/>
    <w:rsid w:val="00AB40A0"/>
    <w:rsid w:val="00AB5528"/>
    <w:rsid w:val="00AB5538"/>
    <w:rsid w:val="00AB5825"/>
    <w:rsid w:val="00AB58D9"/>
    <w:rsid w:val="00AB5983"/>
    <w:rsid w:val="00AB6656"/>
    <w:rsid w:val="00AB7178"/>
    <w:rsid w:val="00AB74C3"/>
    <w:rsid w:val="00AC0E72"/>
    <w:rsid w:val="00AC1250"/>
    <w:rsid w:val="00AC21C6"/>
    <w:rsid w:val="00AC3779"/>
    <w:rsid w:val="00AC422A"/>
    <w:rsid w:val="00AC4739"/>
    <w:rsid w:val="00AC4979"/>
    <w:rsid w:val="00AC640E"/>
    <w:rsid w:val="00AC673B"/>
    <w:rsid w:val="00AC79A8"/>
    <w:rsid w:val="00AC7B7D"/>
    <w:rsid w:val="00AD0097"/>
    <w:rsid w:val="00AD020B"/>
    <w:rsid w:val="00AD07EF"/>
    <w:rsid w:val="00AD08E5"/>
    <w:rsid w:val="00AD0D5C"/>
    <w:rsid w:val="00AD0E15"/>
    <w:rsid w:val="00AD129B"/>
    <w:rsid w:val="00AD12B6"/>
    <w:rsid w:val="00AD1A96"/>
    <w:rsid w:val="00AD1E0A"/>
    <w:rsid w:val="00AD1E79"/>
    <w:rsid w:val="00AD2385"/>
    <w:rsid w:val="00AD23F3"/>
    <w:rsid w:val="00AD2A29"/>
    <w:rsid w:val="00AD2FCF"/>
    <w:rsid w:val="00AD36A2"/>
    <w:rsid w:val="00AD420D"/>
    <w:rsid w:val="00AD4728"/>
    <w:rsid w:val="00AD4CC2"/>
    <w:rsid w:val="00AD4F89"/>
    <w:rsid w:val="00AD52A6"/>
    <w:rsid w:val="00AD5AEC"/>
    <w:rsid w:val="00AD620C"/>
    <w:rsid w:val="00AD669D"/>
    <w:rsid w:val="00AD6AD0"/>
    <w:rsid w:val="00AD6D0B"/>
    <w:rsid w:val="00AD7537"/>
    <w:rsid w:val="00AD7D99"/>
    <w:rsid w:val="00AD7DC1"/>
    <w:rsid w:val="00AE07B8"/>
    <w:rsid w:val="00AE11D6"/>
    <w:rsid w:val="00AE2C85"/>
    <w:rsid w:val="00AE328A"/>
    <w:rsid w:val="00AE42F5"/>
    <w:rsid w:val="00AE4721"/>
    <w:rsid w:val="00AE4736"/>
    <w:rsid w:val="00AE4C09"/>
    <w:rsid w:val="00AE541B"/>
    <w:rsid w:val="00AE56D5"/>
    <w:rsid w:val="00AE6180"/>
    <w:rsid w:val="00AE7160"/>
    <w:rsid w:val="00AE747B"/>
    <w:rsid w:val="00AE7B1F"/>
    <w:rsid w:val="00AE7D07"/>
    <w:rsid w:val="00AE7DE5"/>
    <w:rsid w:val="00AF03C7"/>
    <w:rsid w:val="00AF03E3"/>
    <w:rsid w:val="00AF12DE"/>
    <w:rsid w:val="00AF1653"/>
    <w:rsid w:val="00AF209A"/>
    <w:rsid w:val="00AF22E3"/>
    <w:rsid w:val="00AF3BF4"/>
    <w:rsid w:val="00AF3F93"/>
    <w:rsid w:val="00AF46CB"/>
    <w:rsid w:val="00AF48C9"/>
    <w:rsid w:val="00AF4BB9"/>
    <w:rsid w:val="00AF50BF"/>
    <w:rsid w:val="00AF5369"/>
    <w:rsid w:val="00AF5612"/>
    <w:rsid w:val="00AF5C96"/>
    <w:rsid w:val="00AF63E5"/>
    <w:rsid w:val="00AF67F3"/>
    <w:rsid w:val="00AF71D2"/>
    <w:rsid w:val="00B00325"/>
    <w:rsid w:val="00B00478"/>
    <w:rsid w:val="00B01410"/>
    <w:rsid w:val="00B01BCB"/>
    <w:rsid w:val="00B01DF0"/>
    <w:rsid w:val="00B026D2"/>
    <w:rsid w:val="00B02B12"/>
    <w:rsid w:val="00B02B2E"/>
    <w:rsid w:val="00B02C5B"/>
    <w:rsid w:val="00B02DE3"/>
    <w:rsid w:val="00B037AA"/>
    <w:rsid w:val="00B03A9D"/>
    <w:rsid w:val="00B053DD"/>
    <w:rsid w:val="00B054BA"/>
    <w:rsid w:val="00B06804"/>
    <w:rsid w:val="00B0782C"/>
    <w:rsid w:val="00B07908"/>
    <w:rsid w:val="00B07ADC"/>
    <w:rsid w:val="00B1005C"/>
    <w:rsid w:val="00B11D8C"/>
    <w:rsid w:val="00B11F8A"/>
    <w:rsid w:val="00B122A0"/>
    <w:rsid w:val="00B1256E"/>
    <w:rsid w:val="00B13430"/>
    <w:rsid w:val="00B13787"/>
    <w:rsid w:val="00B14007"/>
    <w:rsid w:val="00B1445B"/>
    <w:rsid w:val="00B15801"/>
    <w:rsid w:val="00B1644E"/>
    <w:rsid w:val="00B16CE0"/>
    <w:rsid w:val="00B177F3"/>
    <w:rsid w:val="00B17AAC"/>
    <w:rsid w:val="00B20571"/>
    <w:rsid w:val="00B215D0"/>
    <w:rsid w:val="00B21F73"/>
    <w:rsid w:val="00B22176"/>
    <w:rsid w:val="00B226F3"/>
    <w:rsid w:val="00B226FA"/>
    <w:rsid w:val="00B22B7D"/>
    <w:rsid w:val="00B22D7B"/>
    <w:rsid w:val="00B2329D"/>
    <w:rsid w:val="00B2343E"/>
    <w:rsid w:val="00B2355A"/>
    <w:rsid w:val="00B23822"/>
    <w:rsid w:val="00B23A32"/>
    <w:rsid w:val="00B23A60"/>
    <w:rsid w:val="00B23B72"/>
    <w:rsid w:val="00B23D80"/>
    <w:rsid w:val="00B240C7"/>
    <w:rsid w:val="00B243A4"/>
    <w:rsid w:val="00B245B8"/>
    <w:rsid w:val="00B24ABA"/>
    <w:rsid w:val="00B255C5"/>
    <w:rsid w:val="00B25E98"/>
    <w:rsid w:val="00B25FB2"/>
    <w:rsid w:val="00B26A92"/>
    <w:rsid w:val="00B26D21"/>
    <w:rsid w:val="00B26DCD"/>
    <w:rsid w:val="00B274C7"/>
    <w:rsid w:val="00B27A36"/>
    <w:rsid w:val="00B27DB4"/>
    <w:rsid w:val="00B30276"/>
    <w:rsid w:val="00B30861"/>
    <w:rsid w:val="00B32642"/>
    <w:rsid w:val="00B328CA"/>
    <w:rsid w:val="00B33676"/>
    <w:rsid w:val="00B33FC9"/>
    <w:rsid w:val="00B343CF"/>
    <w:rsid w:val="00B34A70"/>
    <w:rsid w:val="00B34D05"/>
    <w:rsid w:val="00B34E1F"/>
    <w:rsid w:val="00B35194"/>
    <w:rsid w:val="00B352DD"/>
    <w:rsid w:val="00B3606F"/>
    <w:rsid w:val="00B36C97"/>
    <w:rsid w:val="00B37179"/>
    <w:rsid w:val="00B37AAA"/>
    <w:rsid w:val="00B37AE6"/>
    <w:rsid w:val="00B37C41"/>
    <w:rsid w:val="00B4078C"/>
    <w:rsid w:val="00B40A92"/>
    <w:rsid w:val="00B40D0C"/>
    <w:rsid w:val="00B41227"/>
    <w:rsid w:val="00B4191E"/>
    <w:rsid w:val="00B42C6D"/>
    <w:rsid w:val="00B43418"/>
    <w:rsid w:val="00B437D7"/>
    <w:rsid w:val="00B43B49"/>
    <w:rsid w:val="00B4461F"/>
    <w:rsid w:val="00B4481E"/>
    <w:rsid w:val="00B4516E"/>
    <w:rsid w:val="00B455D4"/>
    <w:rsid w:val="00B45B27"/>
    <w:rsid w:val="00B45D33"/>
    <w:rsid w:val="00B46233"/>
    <w:rsid w:val="00B467ED"/>
    <w:rsid w:val="00B46CB0"/>
    <w:rsid w:val="00B47A4F"/>
    <w:rsid w:val="00B50983"/>
    <w:rsid w:val="00B50BD3"/>
    <w:rsid w:val="00B5139A"/>
    <w:rsid w:val="00B51669"/>
    <w:rsid w:val="00B52315"/>
    <w:rsid w:val="00B5294D"/>
    <w:rsid w:val="00B52D8A"/>
    <w:rsid w:val="00B52DAB"/>
    <w:rsid w:val="00B539BE"/>
    <w:rsid w:val="00B53BAE"/>
    <w:rsid w:val="00B53CF9"/>
    <w:rsid w:val="00B54336"/>
    <w:rsid w:val="00B54F44"/>
    <w:rsid w:val="00B5549D"/>
    <w:rsid w:val="00B56011"/>
    <w:rsid w:val="00B56152"/>
    <w:rsid w:val="00B565D0"/>
    <w:rsid w:val="00B56C51"/>
    <w:rsid w:val="00B56EF5"/>
    <w:rsid w:val="00B575F4"/>
    <w:rsid w:val="00B57C19"/>
    <w:rsid w:val="00B60423"/>
    <w:rsid w:val="00B6058A"/>
    <w:rsid w:val="00B6070A"/>
    <w:rsid w:val="00B60A02"/>
    <w:rsid w:val="00B6183E"/>
    <w:rsid w:val="00B61D05"/>
    <w:rsid w:val="00B61DAB"/>
    <w:rsid w:val="00B62043"/>
    <w:rsid w:val="00B622BD"/>
    <w:rsid w:val="00B626BA"/>
    <w:rsid w:val="00B62901"/>
    <w:rsid w:val="00B633AD"/>
    <w:rsid w:val="00B63682"/>
    <w:rsid w:val="00B63C66"/>
    <w:rsid w:val="00B64183"/>
    <w:rsid w:val="00B65076"/>
    <w:rsid w:val="00B65787"/>
    <w:rsid w:val="00B6581A"/>
    <w:rsid w:val="00B6639E"/>
    <w:rsid w:val="00B670E5"/>
    <w:rsid w:val="00B70775"/>
    <w:rsid w:val="00B70807"/>
    <w:rsid w:val="00B70890"/>
    <w:rsid w:val="00B71CAF"/>
    <w:rsid w:val="00B71DB8"/>
    <w:rsid w:val="00B72ED7"/>
    <w:rsid w:val="00B7320C"/>
    <w:rsid w:val="00B73271"/>
    <w:rsid w:val="00B73752"/>
    <w:rsid w:val="00B73779"/>
    <w:rsid w:val="00B749EC"/>
    <w:rsid w:val="00B74DA0"/>
    <w:rsid w:val="00B74DFD"/>
    <w:rsid w:val="00B7733B"/>
    <w:rsid w:val="00B778F3"/>
    <w:rsid w:val="00B77E7C"/>
    <w:rsid w:val="00B809A7"/>
    <w:rsid w:val="00B80A20"/>
    <w:rsid w:val="00B80BD8"/>
    <w:rsid w:val="00B80F85"/>
    <w:rsid w:val="00B81892"/>
    <w:rsid w:val="00B81B52"/>
    <w:rsid w:val="00B81CDF"/>
    <w:rsid w:val="00B824E7"/>
    <w:rsid w:val="00B827FD"/>
    <w:rsid w:val="00B829D3"/>
    <w:rsid w:val="00B82AA3"/>
    <w:rsid w:val="00B82D29"/>
    <w:rsid w:val="00B83703"/>
    <w:rsid w:val="00B83B7C"/>
    <w:rsid w:val="00B83E7E"/>
    <w:rsid w:val="00B83EBF"/>
    <w:rsid w:val="00B84F90"/>
    <w:rsid w:val="00B85A66"/>
    <w:rsid w:val="00B86396"/>
    <w:rsid w:val="00B86CFF"/>
    <w:rsid w:val="00B86E92"/>
    <w:rsid w:val="00B879A2"/>
    <w:rsid w:val="00B87DBB"/>
    <w:rsid w:val="00B90370"/>
    <w:rsid w:val="00B907B5"/>
    <w:rsid w:val="00B90F3B"/>
    <w:rsid w:val="00B91053"/>
    <w:rsid w:val="00B91270"/>
    <w:rsid w:val="00B916F3"/>
    <w:rsid w:val="00B91DE9"/>
    <w:rsid w:val="00B92397"/>
    <w:rsid w:val="00B92EB5"/>
    <w:rsid w:val="00B92EEB"/>
    <w:rsid w:val="00B9309E"/>
    <w:rsid w:val="00B93544"/>
    <w:rsid w:val="00B946DE"/>
    <w:rsid w:val="00B94A45"/>
    <w:rsid w:val="00B955E4"/>
    <w:rsid w:val="00B957C1"/>
    <w:rsid w:val="00B95994"/>
    <w:rsid w:val="00B95A58"/>
    <w:rsid w:val="00B95A9E"/>
    <w:rsid w:val="00B9625A"/>
    <w:rsid w:val="00B96795"/>
    <w:rsid w:val="00B96958"/>
    <w:rsid w:val="00B972EB"/>
    <w:rsid w:val="00B9730B"/>
    <w:rsid w:val="00B974A4"/>
    <w:rsid w:val="00B9752D"/>
    <w:rsid w:val="00B976DB"/>
    <w:rsid w:val="00B979F7"/>
    <w:rsid w:val="00BA00D5"/>
    <w:rsid w:val="00BA01C1"/>
    <w:rsid w:val="00BA0438"/>
    <w:rsid w:val="00BA06FA"/>
    <w:rsid w:val="00BA0A23"/>
    <w:rsid w:val="00BA33A9"/>
    <w:rsid w:val="00BA3460"/>
    <w:rsid w:val="00BA39C2"/>
    <w:rsid w:val="00BA441A"/>
    <w:rsid w:val="00BA49AF"/>
    <w:rsid w:val="00BA4B61"/>
    <w:rsid w:val="00BA5BDA"/>
    <w:rsid w:val="00BA5EB3"/>
    <w:rsid w:val="00BA5F1E"/>
    <w:rsid w:val="00BA6D44"/>
    <w:rsid w:val="00BA6F31"/>
    <w:rsid w:val="00BA7240"/>
    <w:rsid w:val="00BA7782"/>
    <w:rsid w:val="00BB0472"/>
    <w:rsid w:val="00BB0D77"/>
    <w:rsid w:val="00BB134D"/>
    <w:rsid w:val="00BB2A4D"/>
    <w:rsid w:val="00BB2F5F"/>
    <w:rsid w:val="00BB3A0C"/>
    <w:rsid w:val="00BB3D35"/>
    <w:rsid w:val="00BB3D7A"/>
    <w:rsid w:val="00BB3DB6"/>
    <w:rsid w:val="00BB4B53"/>
    <w:rsid w:val="00BB4D5A"/>
    <w:rsid w:val="00BB5337"/>
    <w:rsid w:val="00BB6658"/>
    <w:rsid w:val="00BB686D"/>
    <w:rsid w:val="00BC0A42"/>
    <w:rsid w:val="00BC286A"/>
    <w:rsid w:val="00BC35D9"/>
    <w:rsid w:val="00BC3C65"/>
    <w:rsid w:val="00BC45E1"/>
    <w:rsid w:val="00BC471A"/>
    <w:rsid w:val="00BC52D2"/>
    <w:rsid w:val="00BC5FEE"/>
    <w:rsid w:val="00BC6152"/>
    <w:rsid w:val="00BC62C7"/>
    <w:rsid w:val="00BC6C9D"/>
    <w:rsid w:val="00BC6F58"/>
    <w:rsid w:val="00BD00C4"/>
    <w:rsid w:val="00BD07C7"/>
    <w:rsid w:val="00BD0E15"/>
    <w:rsid w:val="00BD1371"/>
    <w:rsid w:val="00BD14CE"/>
    <w:rsid w:val="00BD194D"/>
    <w:rsid w:val="00BD2421"/>
    <w:rsid w:val="00BD2506"/>
    <w:rsid w:val="00BD28F9"/>
    <w:rsid w:val="00BD2EF0"/>
    <w:rsid w:val="00BD3541"/>
    <w:rsid w:val="00BD4652"/>
    <w:rsid w:val="00BD4A2D"/>
    <w:rsid w:val="00BD4A8F"/>
    <w:rsid w:val="00BD4DE9"/>
    <w:rsid w:val="00BD513D"/>
    <w:rsid w:val="00BD525F"/>
    <w:rsid w:val="00BD5EDD"/>
    <w:rsid w:val="00BD62A2"/>
    <w:rsid w:val="00BD6A96"/>
    <w:rsid w:val="00BD6BF0"/>
    <w:rsid w:val="00BD74B1"/>
    <w:rsid w:val="00BD76C9"/>
    <w:rsid w:val="00BE0172"/>
    <w:rsid w:val="00BE037A"/>
    <w:rsid w:val="00BE0AF2"/>
    <w:rsid w:val="00BE0F38"/>
    <w:rsid w:val="00BE112A"/>
    <w:rsid w:val="00BE1561"/>
    <w:rsid w:val="00BE17E6"/>
    <w:rsid w:val="00BE17EB"/>
    <w:rsid w:val="00BE187B"/>
    <w:rsid w:val="00BE1D6C"/>
    <w:rsid w:val="00BE27CF"/>
    <w:rsid w:val="00BE2C4B"/>
    <w:rsid w:val="00BE2D7E"/>
    <w:rsid w:val="00BE32B4"/>
    <w:rsid w:val="00BE3A56"/>
    <w:rsid w:val="00BE3EAD"/>
    <w:rsid w:val="00BE4084"/>
    <w:rsid w:val="00BE40C9"/>
    <w:rsid w:val="00BE4426"/>
    <w:rsid w:val="00BE4966"/>
    <w:rsid w:val="00BE5178"/>
    <w:rsid w:val="00BE540B"/>
    <w:rsid w:val="00BE6364"/>
    <w:rsid w:val="00BE6576"/>
    <w:rsid w:val="00BE6C1C"/>
    <w:rsid w:val="00BE7433"/>
    <w:rsid w:val="00BE7CB6"/>
    <w:rsid w:val="00BF048F"/>
    <w:rsid w:val="00BF062D"/>
    <w:rsid w:val="00BF0B8A"/>
    <w:rsid w:val="00BF0F92"/>
    <w:rsid w:val="00BF159A"/>
    <w:rsid w:val="00BF1A2A"/>
    <w:rsid w:val="00BF1A6B"/>
    <w:rsid w:val="00BF1EEF"/>
    <w:rsid w:val="00BF1FCA"/>
    <w:rsid w:val="00BF282B"/>
    <w:rsid w:val="00BF3924"/>
    <w:rsid w:val="00BF44FB"/>
    <w:rsid w:val="00BF5160"/>
    <w:rsid w:val="00BF6E43"/>
    <w:rsid w:val="00BF72CB"/>
    <w:rsid w:val="00BF7494"/>
    <w:rsid w:val="00BF7FF6"/>
    <w:rsid w:val="00C00270"/>
    <w:rsid w:val="00C00650"/>
    <w:rsid w:val="00C00E23"/>
    <w:rsid w:val="00C012C4"/>
    <w:rsid w:val="00C014C3"/>
    <w:rsid w:val="00C01507"/>
    <w:rsid w:val="00C021BB"/>
    <w:rsid w:val="00C026F9"/>
    <w:rsid w:val="00C028E5"/>
    <w:rsid w:val="00C02BBE"/>
    <w:rsid w:val="00C0331F"/>
    <w:rsid w:val="00C037A3"/>
    <w:rsid w:val="00C03932"/>
    <w:rsid w:val="00C03D86"/>
    <w:rsid w:val="00C04812"/>
    <w:rsid w:val="00C04D79"/>
    <w:rsid w:val="00C0626D"/>
    <w:rsid w:val="00C06879"/>
    <w:rsid w:val="00C06B98"/>
    <w:rsid w:val="00C06DE4"/>
    <w:rsid w:val="00C0702A"/>
    <w:rsid w:val="00C076B5"/>
    <w:rsid w:val="00C110FB"/>
    <w:rsid w:val="00C1171A"/>
    <w:rsid w:val="00C1312A"/>
    <w:rsid w:val="00C1340F"/>
    <w:rsid w:val="00C138FD"/>
    <w:rsid w:val="00C13EFE"/>
    <w:rsid w:val="00C143CD"/>
    <w:rsid w:val="00C14B68"/>
    <w:rsid w:val="00C14FA2"/>
    <w:rsid w:val="00C15480"/>
    <w:rsid w:val="00C166E5"/>
    <w:rsid w:val="00C16980"/>
    <w:rsid w:val="00C16A27"/>
    <w:rsid w:val="00C17F02"/>
    <w:rsid w:val="00C204EF"/>
    <w:rsid w:val="00C21013"/>
    <w:rsid w:val="00C21459"/>
    <w:rsid w:val="00C214B9"/>
    <w:rsid w:val="00C234F7"/>
    <w:rsid w:val="00C23824"/>
    <w:rsid w:val="00C23B84"/>
    <w:rsid w:val="00C24599"/>
    <w:rsid w:val="00C25FA6"/>
    <w:rsid w:val="00C264D9"/>
    <w:rsid w:val="00C2655A"/>
    <w:rsid w:val="00C266E4"/>
    <w:rsid w:val="00C269D6"/>
    <w:rsid w:val="00C26F6A"/>
    <w:rsid w:val="00C27E4A"/>
    <w:rsid w:val="00C30F83"/>
    <w:rsid w:val="00C31069"/>
    <w:rsid w:val="00C3126C"/>
    <w:rsid w:val="00C312F5"/>
    <w:rsid w:val="00C31354"/>
    <w:rsid w:val="00C3135E"/>
    <w:rsid w:val="00C319FB"/>
    <w:rsid w:val="00C31C5A"/>
    <w:rsid w:val="00C31EAC"/>
    <w:rsid w:val="00C325F4"/>
    <w:rsid w:val="00C3269C"/>
    <w:rsid w:val="00C335C6"/>
    <w:rsid w:val="00C342CA"/>
    <w:rsid w:val="00C34515"/>
    <w:rsid w:val="00C34A03"/>
    <w:rsid w:val="00C34D9A"/>
    <w:rsid w:val="00C34ECA"/>
    <w:rsid w:val="00C350DE"/>
    <w:rsid w:val="00C35396"/>
    <w:rsid w:val="00C3552E"/>
    <w:rsid w:val="00C35A85"/>
    <w:rsid w:val="00C35B4B"/>
    <w:rsid w:val="00C360A1"/>
    <w:rsid w:val="00C36498"/>
    <w:rsid w:val="00C36C08"/>
    <w:rsid w:val="00C36CF8"/>
    <w:rsid w:val="00C36FF2"/>
    <w:rsid w:val="00C37183"/>
    <w:rsid w:val="00C373FF"/>
    <w:rsid w:val="00C40B69"/>
    <w:rsid w:val="00C40C2A"/>
    <w:rsid w:val="00C40E5E"/>
    <w:rsid w:val="00C412AD"/>
    <w:rsid w:val="00C413B0"/>
    <w:rsid w:val="00C418F0"/>
    <w:rsid w:val="00C419F7"/>
    <w:rsid w:val="00C42040"/>
    <w:rsid w:val="00C42448"/>
    <w:rsid w:val="00C4313B"/>
    <w:rsid w:val="00C435AB"/>
    <w:rsid w:val="00C44016"/>
    <w:rsid w:val="00C4528C"/>
    <w:rsid w:val="00C45F01"/>
    <w:rsid w:val="00C4698C"/>
    <w:rsid w:val="00C46B5F"/>
    <w:rsid w:val="00C472FB"/>
    <w:rsid w:val="00C508AD"/>
    <w:rsid w:val="00C51434"/>
    <w:rsid w:val="00C516F1"/>
    <w:rsid w:val="00C51AE8"/>
    <w:rsid w:val="00C5207F"/>
    <w:rsid w:val="00C5231F"/>
    <w:rsid w:val="00C52604"/>
    <w:rsid w:val="00C52AC9"/>
    <w:rsid w:val="00C52D21"/>
    <w:rsid w:val="00C5317E"/>
    <w:rsid w:val="00C53FC7"/>
    <w:rsid w:val="00C540A5"/>
    <w:rsid w:val="00C548A9"/>
    <w:rsid w:val="00C54C93"/>
    <w:rsid w:val="00C5509F"/>
    <w:rsid w:val="00C5543B"/>
    <w:rsid w:val="00C55F27"/>
    <w:rsid w:val="00C56B88"/>
    <w:rsid w:val="00C573B1"/>
    <w:rsid w:val="00C57B64"/>
    <w:rsid w:val="00C600EE"/>
    <w:rsid w:val="00C60567"/>
    <w:rsid w:val="00C611F9"/>
    <w:rsid w:val="00C61C88"/>
    <w:rsid w:val="00C6294C"/>
    <w:rsid w:val="00C62B06"/>
    <w:rsid w:val="00C62DF8"/>
    <w:rsid w:val="00C62E03"/>
    <w:rsid w:val="00C6321D"/>
    <w:rsid w:val="00C64192"/>
    <w:rsid w:val="00C647CB"/>
    <w:rsid w:val="00C64B47"/>
    <w:rsid w:val="00C651FF"/>
    <w:rsid w:val="00C65B99"/>
    <w:rsid w:val="00C66A35"/>
    <w:rsid w:val="00C66BB7"/>
    <w:rsid w:val="00C67D33"/>
    <w:rsid w:val="00C70135"/>
    <w:rsid w:val="00C71A35"/>
    <w:rsid w:val="00C7235F"/>
    <w:rsid w:val="00C72D39"/>
    <w:rsid w:val="00C72EB7"/>
    <w:rsid w:val="00C7333C"/>
    <w:rsid w:val="00C7346F"/>
    <w:rsid w:val="00C7351D"/>
    <w:rsid w:val="00C73A25"/>
    <w:rsid w:val="00C73D60"/>
    <w:rsid w:val="00C73E33"/>
    <w:rsid w:val="00C747F2"/>
    <w:rsid w:val="00C752A5"/>
    <w:rsid w:val="00C752EB"/>
    <w:rsid w:val="00C75878"/>
    <w:rsid w:val="00C75BD1"/>
    <w:rsid w:val="00C76BBB"/>
    <w:rsid w:val="00C7713E"/>
    <w:rsid w:val="00C77212"/>
    <w:rsid w:val="00C776FE"/>
    <w:rsid w:val="00C779D4"/>
    <w:rsid w:val="00C77B57"/>
    <w:rsid w:val="00C77C0E"/>
    <w:rsid w:val="00C80094"/>
    <w:rsid w:val="00C80125"/>
    <w:rsid w:val="00C809C6"/>
    <w:rsid w:val="00C81430"/>
    <w:rsid w:val="00C823B7"/>
    <w:rsid w:val="00C83677"/>
    <w:rsid w:val="00C83899"/>
    <w:rsid w:val="00C85536"/>
    <w:rsid w:val="00C8569F"/>
    <w:rsid w:val="00C861EB"/>
    <w:rsid w:val="00C86377"/>
    <w:rsid w:val="00C86829"/>
    <w:rsid w:val="00C86A4F"/>
    <w:rsid w:val="00C86DA3"/>
    <w:rsid w:val="00C871F5"/>
    <w:rsid w:val="00C8735E"/>
    <w:rsid w:val="00C878EC"/>
    <w:rsid w:val="00C879EA"/>
    <w:rsid w:val="00C87C1A"/>
    <w:rsid w:val="00C87EBA"/>
    <w:rsid w:val="00C90FB0"/>
    <w:rsid w:val="00C911A9"/>
    <w:rsid w:val="00C9135D"/>
    <w:rsid w:val="00C914F8"/>
    <w:rsid w:val="00C9209C"/>
    <w:rsid w:val="00C92A01"/>
    <w:rsid w:val="00C9319C"/>
    <w:rsid w:val="00C935F6"/>
    <w:rsid w:val="00C93DD4"/>
    <w:rsid w:val="00C93ED0"/>
    <w:rsid w:val="00C9420E"/>
    <w:rsid w:val="00C95234"/>
    <w:rsid w:val="00C971B3"/>
    <w:rsid w:val="00C97715"/>
    <w:rsid w:val="00C9788C"/>
    <w:rsid w:val="00C97C59"/>
    <w:rsid w:val="00C97FC7"/>
    <w:rsid w:val="00CA047B"/>
    <w:rsid w:val="00CA06A9"/>
    <w:rsid w:val="00CA08E3"/>
    <w:rsid w:val="00CA0C2B"/>
    <w:rsid w:val="00CA1087"/>
    <w:rsid w:val="00CA12D5"/>
    <w:rsid w:val="00CA2734"/>
    <w:rsid w:val="00CA32B5"/>
    <w:rsid w:val="00CA37CC"/>
    <w:rsid w:val="00CA418B"/>
    <w:rsid w:val="00CA42DE"/>
    <w:rsid w:val="00CA52C0"/>
    <w:rsid w:val="00CA5922"/>
    <w:rsid w:val="00CA5C69"/>
    <w:rsid w:val="00CA6C2E"/>
    <w:rsid w:val="00CA7A1E"/>
    <w:rsid w:val="00CB0884"/>
    <w:rsid w:val="00CB12E9"/>
    <w:rsid w:val="00CB16E0"/>
    <w:rsid w:val="00CB1766"/>
    <w:rsid w:val="00CB1BC5"/>
    <w:rsid w:val="00CB1E90"/>
    <w:rsid w:val="00CB1EB4"/>
    <w:rsid w:val="00CB328F"/>
    <w:rsid w:val="00CB3573"/>
    <w:rsid w:val="00CB364D"/>
    <w:rsid w:val="00CB3A38"/>
    <w:rsid w:val="00CB3B10"/>
    <w:rsid w:val="00CB425D"/>
    <w:rsid w:val="00CB46B1"/>
    <w:rsid w:val="00CB4831"/>
    <w:rsid w:val="00CB5609"/>
    <w:rsid w:val="00CB5C51"/>
    <w:rsid w:val="00CB5DBA"/>
    <w:rsid w:val="00CB5FBD"/>
    <w:rsid w:val="00CB65DC"/>
    <w:rsid w:val="00CB6DC9"/>
    <w:rsid w:val="00CB7F2D"/>
    <w:rsid w:val="00CC10A8"/>
    <w:rsid w:val="00CC16EE"/>
    <w:rsid w:val="00CC1763"/>
    <w:rsid w:val="00CC21F6"/>
    <w:rsid w:val="00CC2600"/>
    <w:rsid w:val="00CC3F69"/>
    <w:rsid w:val="00CC4526"/>
    <w:rsid w:val="00CC4B0F"/>
    <w:rsid w:val="00CC4B86"/>
    <w:rsid w:val="00CC5A1A"/>
    <w:rsid w:val="00CC5EA6"/>
    <w:rsid w:val="00CC6B67"/>
    <w:rsid w:val="00CC6CE2"/>
    <w:rsid w:val="00CC6D02"/>
    <w:rsid w:val="00CC70C2"/>
    <w:rsid w:val="00CC71C7"/>
    <w:rsid w:val="00CC759C"/>
    <w:rsid w:val="00CD0363"/>
    <w:rsid w:val="00CD11A6"/>
    <w:rsid w:val="00CD171A"/>
    <w:rsid w:val="00CD18B3"/>
    <w:rsid w:val="00CD1CCA"/>
    <w:rsid w:val="00CD2B43"/>
    <w:rsid w:val="00CD2C7C"/>
    <w:rsid w:val="00CD33A6"/>
    <w:rsid w:val="00CD3886"/>
    <w:rsid w:val="00CD3D9B"/>
    <w:rsid w:val="00CD4E01"/>
    <w:rsid w:val="00CD4F9A"/>
    <w:rsid w:val="00CD5608"/>
    <w:rsid w:val="00CD6935"/>
    <w:rsid w:val="00CD6C36"/>
    <w:rsid w:val="00CD7204"/>
    <w:rsid w:val="00CD7CC3"/>
    <w:rsid w:val="00CE0A6E"/>
    <w:rsid w:val="00CE113C"/>
    <w:rsid w:val="00CE1E9C"/>
    <w:rsid w:val="00CE1F89"/>
    <w:rsid w:val="00CE1F94"/>
    <w:rsid w:val="00CE2C20"/>
    <w:rsid w:val="00CE2CC9"/>
    <w:rsid w:val="00CE3FC9"/>
    <w:rsid w:val="00CE42F4"/>
    <w:rsid w:val="00CE47E8"/>
    <w:rsid w:val="00CE4C9B"/>
    <w:rsid w:val="00CE6109"/>
    <w:rsid w:val="00CE6260"/>
    <w:rsid w:val="00CE62A5"/>
    <w:rsid w:val="00CE633C"/>
    <w:rsid w:val="00CE6C1C"/>
    <w:rsid w:val="00CE7150"/>
    <w:rsid w:val="00CE7B3F"/>
    <w:rsid w:val="00CE7C81"/>
    <w:rsid w:val="00CF0386"/>
    <w:rsid w:val="00CF08B2"/>
    <w:rsid w:val="00CF0A1E"/>
    <w:rsid w:val="00CF0D83"/>
    <w:rsid w:val="00CF0EF2"/>
    <w:rsid w:val="00CF234B"/>
    <w:rsid w:val="00CF3400"/>
    <w:rsid w:val="00CF34B6"/>
    <w:rsid w:val="00CF3BB6"/>
    <w:rsid w:val="00CF40C5"/>
    <w:rsid w:val="00CF4357"/>
    <w:rsid w:val="00CF47E5"/>
    <w:rsid w:val="00CF5B2D"/>
    <w:rsid w:val="00CF5BB5"/>
    <w:rsid w:val="00CF6964"/>
    <w:rsid w:val="00CF6AA3"/>
    <w:rsid w:val="00CF732A"/>
    <w:rsid w:val="00D00533"/>
    <w:rsid w:val="00D00540"/>
    <w:rsid w:val="00D0083A"/>
    <w:rsid w:val="00D0094E"/>
    <w:rsid w:val="00D00AA4"/>
    <w:rsid w:val="00D00E4F"/>
    <w:rsid w:val="00D00F77"/>
    <w:rsid w:val="00D01406"/>
    <w:rsid w:val="00D015A7"/>
    <w:rsid w:val="00D015CB"/>
    <w:rsid w:val="00D01ABC"/>
    <w:rsid w:val="00D01D87"/>
    <w:rsid w:val="00D0250E"/>
    <w:rsid w:val="00D041BB"/>
    <w:rsid w:val="00D0423A"/>
    <w:rsid w:val="00D048C7"/>
    <w:rsid w:val="00D04A90"/>
    <w:rsid w:val="00D05C02"/>
    <w:rsid w:val="00D05D7C"/>
    <w:rsid w:val="00D06573"/>
    <w:rsid w:val="00D06989"/>
    <w:rsid w:val="00D06EF2"/>
    <w:rsid w:val="00D07131"/>
    <w:rsid w:val="00D07526"/>
    <w:rsid w:val="00D07E3B"/>
    <w:rsid w:val="00D10705"/>
    <w:rsid w:val="00D11276"/>
    <w:rsid w:val="00D1233D"/>
    <w:rsid w:val="00D123CF"/>
    <w:rsid w:val="00D127DF"/>
    <w:rsid w:val="00D1308F"/>
    <w:rsid w:val="00D13678"/>
    <w:rsid w:val="00D1460D"/>
    <w:rsid w:val="00D148E4"/>
    <w:rsid w:val="00D14B1E"/>
    <w:rsid w:val="00D14DCC"/>
    <w:rsid w:val="00D150F9"/>
    <w:rsid w:val="00D152F0"/>
    <w:rsid w:val="00D1550B"/>
    <w:rsid w:val="00D15858"/>
    <w:rsid w:val="00D165A5"/>
    <w:rsid w:val="00D166CC"/>
    <w:rsid w:val="00D17E05"/>
    <w:rsid w:val="00D17F23"/>
    <w:rsid w:val="00D2058A"/>
    <w:rsid w:val="00D207B2"/>
    <w:rsid w:val="00D2106D"/>
    <w:rsid w:val="00D216CF"/>
    <w:rsid w:val="00D220F4"/>
    <w:rsid w:val="00D22B49"/>
    <w:rsid w:val="00D22C80"/>
    <w:rsid w:val="00D23867"/>
    <w:rsid w:val="00D23F60"/>
    <w:rsid w:val="00D240C0"/>
    <w:rsid w:val="00D24A6C"/>
    <w:rsid w:val="00D24AC2"/>
    <w:rsid w:val="00D250F6"/>
    <w:rsid w:val="00D2514B"/>
    <w:rsid w:val="00D25A76"/>
    <w:rsid w:val="00D2692A"/>
    <w:rsid w:val="00D278F4"/>
    <w:rsid w:val="00D27C28"/>
    <w:rsid w:val="00D27E31"/>
    <w:rsid w:val="00D308D8"/>
    <w:rsid w:val="00D31186"/>
    <w:rsid w:val="00D311F7"/>
    <w:rsid w:val="00D318AF"/>
    <w:rsid w:val="00D322C3"/>
    <w:rsid w:val="00D32350"/>
    <w:rsid w:val="00D32B0E"/>
    <w:rsid w:val="00D3344A"/>
    <w:rsid w:val="00D3355A"/>
    <w:rsid w:val="00D33AB7"/>
    <w:rsid w:val="00D34CA3"/>
    <w:rsid w:val="00D35AA2"/>
    <w:rsid w:val="00D35BC0"/>
    <w:rsid w:val="00D36103"/>
    <w:rsid w:val="00D362BE"/>
    <w:rsid w:val="00D36BE9"/>
    <w:rsid w:val="00D3722A"/>
    <w:rsid w:val="00D37579"/>
    <w:rsid w:val="00D379CE"/>
    <w:rsid w:val="00D4006F"/>
    <w:rsid w:val="00D4068D"/>
    <w:rsid w:val="00D40B0A"/>
    <w:rsid w:val="00D42ACE"/>
    <w:rsid w:val="00D43569"/>
    <w:rsid w:val="00D43F58"/>
    <w:rsid w:val="00D43FC2"/>
    <w:rsid w:val="00D4457A"/>
    <w:rsid w:val="00D44932"/>
    <w:rsid w:val="00D44AF1"/>
    <w:rsid w:val="00D45734"/>
    <w:rsid w:val="00D45F69"/>
    <w:rsid w:val="00D46162"/>
    <w:rsid w:val="00D46172"/>
    <w:rsid w:val="00D46610"/>
    <w:rsid w:val="00D46632"/>
    <w:rsid w:val="00D46D5A"/>
    <w:rsid w:val="00D46E9D"/>
    <w:rsid w:val="00D47282"/>
    <w:rsid w:val="00D4779F"/>
    <w:rsid w:val="00D47829"/>
    <w:rsid w:val="00D47B29"/>
    <w:rsid w:val="00D47E7C"/>
    <w:rsid w:val="00D47EF5"/>
    <w:rsid w:val="00D50AD1"/>
    <w:rsid w:val="00D517BD"/>
    <w:rsid w:val="00D542A9"/>
    <w:rsid w:val="00D54305"/>
    <w:rsid w:val="00D5443B"/>
    <w:rsid w:val="00D54789"/>
    <w:rsid w:val="00D54F6A"/>
    <w:rsid w:val="00D5501F"/>
    <w:rsid w:val="00D55807"/>
    <w:rsid w:val="00D56540"/>
    <w:rsid w:val="00D56BA3"/>
    <w:rsid w:val="00D56D40"/>
    <w:rsid w:val="00D56D87"/>
    <w:rsid w:val="00D57242"/>
    <w:rsid w:val="00D57A8E"/>
    <w:rsid w:val="00D57F64"/>
    <w:rsid w:val="00D57FAB"/>
    <w:rsid w:val="00D57FD7"/>
    <w:rsid w:val="00D604C4"/>
    <w:rsid w:val="00D605E1"/>
    <w:rsid w:val="00D60C3B"/>
    <w:rsid w:val="00D624DF"/>
    <w:rsid w:val="00D62550"/>
    <w:rsid w:val="00D62693"/>
    <w:rsid w:val="00D635F6"/>
    <w:rsid w:val="00D63645"/>
    <w:rsid w:val="00D63929"/>
    <w:rsid w:val="00D63C1C"/>
    <w:rsid w:val="00D63E1C"/>
    <w:rsid w:val="00D6421D"/>
    <w:rsid w:val="00D645E0"/>
    <w:rsid w:val="00D65124"/>
    <w:rsid w:val="00D65231"/>
    <w:rsid w:val="00D65507"/>
    <w:rsid w:val="00D656B6"/>
    <w:rsid w:val="00D6599A"/>
    <w:rsid w:val="00D65B73"/>
    <w:rsid w:val="00D660C7"/>
    <w:rsid w:val="00D66534"/>
    <w:rsid w:val="00D66977"/>
    <w:rsid w:val="00D669A4"/>
    <w:rsid w:val="00D66E91"/>
    <w:rsid w:val="00D66EFA"/>
    <w:rsid w:val="00D675FE"/>
    <w:rsid w:val="00D679B1"/>
    <w:rsid w:val="00D67C8A"/>
    <w:rsid w:val="00D704A2"/>
    <w:rsid w:val="00D709B7"/>
    <w:rsid w:val="00D71211"/>
    <w:rsid w:val="00D7143F"/>
    <w:rsid w:val="00D72409"/>
    <w:rsid w:val="00D72A0C"/>
    <w:rsid w:val="00D72AD0"/>
    <w:rsid w:val="00D72F4D"/>
    <w:rsid w:val="00D73033"/>
    <w:rsid w:val="00D73621"/>
    <w:rsid w:val="00D73785"/>
    <w:rsid w:val="00D74162"/>
    <w:rsid w:val="00D74745"/>
    <w:rsid w:val="00D74857"/>
    <w:rsid w:val="00D74B58"/>
    <w:rsid w:val="00D7507B"/>
    <w:rsid w:val="00D7557F"/>
    <w:rsid w:val="00D75794"/>
    <w:rsid w:val="00D75BC9"/>
    <w:rsid w:val="00D75CC0"/>
    <w:rsid w:val="00D77016"/>
    <w:rsid w:val="00D77153"/>
    <w:rsid w:val="00D77953"/>
    <w:rsid w:val="00D77B31"/>
    <w:rsid w:val="00D77D62"/>
    <w:rsid w:val="00D8028D"/>
    <w:rsid w:val="00D80B5C"/>
    <w:rsid w:val="00D81BB1"/>
    <w:rsid w:val="00D83554"/>
    <w:rsid w:val="00D84D29"/>
    <w:rsid w:val="00D84F6A"/>
    <w:rsid w:val="00D8506B"/>
    <w:rsid w:val="00D855D0"/>
    <w:rsid w:val="00D85A8B"/>
    <w:rsid w:val="00D86ADC"/>
    <w:rsid w:val="00D876CD"/>
    <w:rsid w:val="00D90124"/>
    <w:rsid w:val="00D90791"/>
    <w:rsid w:val="00D90A08"/>
    <w:rsid w:val="00D90F27"/>
    <w:rsid w:val="00D90F8B"/>
    <w:rsid w:val="00D9114E"/>
    <w:rsid w:val="00D91524"/>
    <w:rsid w:val="00D91C1A"/>
    <w:rsid w:val="00D928A3"/>
    <w:rsid w:val="00D93A74"/>
    <w:rsid w:val="00D9440E"/>
    <w:rsid w:val="00D94DD6"/>
    <w:rsid w:val="00D9526D"/>
    <w:rsid w:val="00D95433"/>
    <w:rsid w:val="00D95689"/>
    <w:rsid w:val="00D956B6"/>
    <w:rsid w:val="00D95EF6"/>
    <w:rsid w:val="00D95F43"/>
    <w:rsid w:val="00D961DA"/>
    <w:rsid w:val="00D9772E"/>
    <w:rsid w:val="00DA07B1"/>
    <w:rsid w:val="00DA0DC8"/>
    <w:rsid w:val="00DA1481"/>
    <w:rsid w:val="00DA17B0"/>
    <w:rsid w:val="00DA2689"/>
    <w:rsid w:val="00DA27C6"/>
    <w:rsid w:val="00DA2C00"/>
    <w:rsid w:val="00DA33EC"/>
    <w:rsid w:val="00DA3B79"/>
    <w:rsid w:val="00DA3F09"/>
    <w:rsid w:val="00DA48B0"/>
    <w:rsid w:val="00DA5BA5"/>
    <w:rsid w:val="00DA5E1F"/>
    <w:rsid w:val="00DA65BB"/>
    <w:rsid w:val="00DA6D82"/>
    <w:rsid w:val="00DA70A5"/>
    <w:rsid w:val="00DA74AE"/>
    <w:rsid w:val="00DA77D0"/>
    <w:rsid w:val="00DA7E29"/>
    <w:rsid w:val="00DB06D2"/>
    <w:rsid w:val="00DB1330"/>
    <w:rsid w:val="00DB169C"/>
    <w:rsid w:val="00DB180E"/>
    <w:rsid w:val="00DB19FA"/>
    <w:rsid w:val="00DB21E9"/>
    <w:rsid w:val="00DB25CD"/>
    <w:rsid w:val="00DB27AF"/>
    <w:rsid w:val="00DB292F"/>
    <w:rsid w:val="00DB3608"/>
    <w:rsid w:val="00DB3966"/>
    <w:rsid w:val="00DB3F0F"/>
    <w:rsid w:val="00DB4D5B"/>
    <w:rsid w:val="00DB597B"/>
    <w:rsid w:val="00DB5A3F"/>
    <w:rsid w:val="00DB6199"/>
    <w:rsid w:val="00DB6496"/>
    <w:rsid w:val="00DB78EC"/>
    <w:rsid w:val="00DB7EAE"/>
    <w:rsid w:val="00DC0112"/>
    <w:rsid w:val="00DC01B2"/>
    <w:rsid w:val="00DC124A"/>
    <w:rsid w:val="00DC1BD9"/>
    <w:rsid w:val="00DC1FC3"/>
    <w:rsid w:val="00DC2393"/>
    <w:rsid w:val="00DC23B0"/>
    <w:rsid w:val="00DC2400"/>
    <w:rsid w:val="00DC246B"/>
    <w:rsid w:val="00DC2998"/>
    <w:rsid w:val="00DC2AD7"/>
    <w:rsid w:val="00DC2CDA"/>
    <w:rsid w:val="00DC54DF"/>
    <w:rsid w:val="00DC5A4C"/>
    <w:rsid w:val="00DC6443"/>
    <w:rsid w:val="00DC68D3"/>
    <w:rsid w:val="00DC6EBF"/>
    <w:rsid w:val="00DD0581"/>
    <w:rsid w:val="00DD085F"/>
    <w:rsid w:val="00DD1761"/>
    <w:rsid w:val="00DD19C3"/>
    <w:rsid w:val="00DD273A"/>
    <w:rsid w:val="00DD2EE7"/>
    <w:rsid w:val="00DD3483"/>
    <w:rsid w:val="00DD40A3"/>
    <w:rsid w:val="00DD4C6C"/>
    <w:rsid w:val="00DD4D17"/>
    <w:rsid w:val="00DD5846"/>
    <w:rsid w:val="00DD620A"/>
    <w:rsid w:val="00DD65CF"/>
    <w:rsid w:val="00DD6AAC"/>
    <w:rsid w:val="00DD6F71"/>
    <w:rsid w:val="00DD7392"/>
    <w:rsid w:val="00DD7C97"/>
    <w:rsid w:val="00DE0462"/>
    <w:rsid w:val="00DE0888"/>
    <w:rsid w:val="00DE10A6"/>
    <w:rsid w:val="00DE11D6"/>
    <w:rsid w:val="00DE1AEE"/>
    <w:rsid w:val="00DE2212"/>
    <w:rsid w:val="00DE2457"/>
    <w:rsid w:val="00DE2796"/>
    <w:rsid w:val="00DE2C8D"/>
    <w:rsid w:val="00DE36B6"/>
    <w:rsid w:val="00DE4021"/>
    <w:rsid w:val="00DE4278"/>
    <w:rsid w:val="00DE5E69"/>
    <w:rsid w:val="00DE6107"/>
    <w:rsid w:val="00DE610C"/>
    <w:rsid w:val="00DE6776"/>
    <w:rsid w:val="00DE6C81"/>
    <w:rsid w:val="00DE7B73"/>
    <w:rsid w:val="00DE7CEB"/>
    <w:rsid w:val="00DE7F13"/>
    <w:rsid w:val="00DF0396"/>
    <w:rsid w:val="00DF06C4"/>
    <w:rsid w:val="00DF090E"/>
    <w:rsid w:val="00DF0C8E"/>
    <w:rsid w:val="00DF0E4D"/>
    <w:rsid w:val="00DF1212"/>
    <w:rsid w:val="00DF12DD"/>
    <w:rsid w:val="00DF16E3"/>
    <w:rsid w:val="00DF1A38"/>
    <w:rsid w:val="00DF1CAA"/>
    <w:rsid w:val="00DF234C"/>
    <w:rsid w:val="00DF2530"/>
    <w:rsid w:val="00DF2C09"/>
    <w:rsid w:val="00DF3A31"/>
    <w:rsid w:val="00DF3DDB"/>
    <w:rsid w:val="00DF563C"/>
    <w:rsid w:val="00DF5D6C"/>
    <w:rsid w:val="00DF631D"/>
    <w:rsid w:val="00DF6C1A"/>
    <w:rsid w:val="00DF6C2D"/>
    <w:rsid w:val="00DF6D88"/>
    <w:rsid w:val="00DF74F4"/>
    <w:rsid w:val="00DF752A"/>
    <w:rsid w:val="00E00415"/>
    <w:rsid w:val="00E010DC"/>
    <w:rsid w:val="00E0165D"/>
    <w:rsid w:val="00E01D4D"/>
    <w:rsid w:val="00E02894"/>
    <w:rsid w:val="00E028C1"/>
    <w:rsid w:val="00E02941"/>
    <w:rsid w:val="00E03081"/>
    <w:rsid w:val="00E03B96"/>
    <w:rsid w:val="00E03BA2"/>
    <w:rsid w:val="00E03FAB"/>
    <w:rsid w:val="00E04119"/>
    <w:rsid w:val="00E04231"/>
    <w:rsid w:val="00E04A8B"/>
    <w:rsid w:val="00E04B64"/>
    <w:rsid w:val="00E05816"/>
    <w:rsid w:val="00E0592D"/>
    <w:rsid w:val="00E059E0"/>
    <w:rsid w:val="00E05B90"/>
    <w:rsid w:val="00E05BF7"/>
    <w:rsid w:val="00E06224"/>
    <w:rsid w:val="00E06316"/>
    <w:rsid w:val="00E06B80"/>
    <w:rsid w:val="00E06E46"/>
    <w:rsid w:val="00E0787E"/>
    <w:rsid w:val="00E10E16"/>
    <w:rsid w:val="00E10EA2"/>
    <w:rsid w:val="00E10F8D"/>
    <w:rsid w:val="00E11171"/>
    <w:rsid w:val="00E112C9"/>
    <w:rsid w:val="00E114D9"/>
    <w:rsid w:val="00E11EF2"/>
    <w:rsid w:val="00E11FDF"/>
    <w:rsid w:val="00E12004"/>
    <w:rsid w:val="00E126BB"/>
    <w:rsid w:val="00E126F6"/>
    <w:rsid w:val="00E1305B"/>
    <w:rsid w:val="00E13069"/>
    <w:rsid w:val="00E13402"/>
    <w:rsid w:val="00E134A9"/>
    <w:rsid w:val="00E135F9"/>
    <w:rsid w:val="00E13649"/>
    <w:rsid w:val="00E136F7"/>
    <w:rsid w:val="00E13771"/>
    <w:rsid w:val="00E13D6B"/>
    <w:rsid w:val="00E140FF"/>
    <w:rsid w:val="00E14AED"/>
    <w:rsid w:val="00E14D31"/>
    <w:rsid w:val="00E150E0"/>
    <w:rsid w:val="00E155F6"/>
    <w:rsid w:val="00E167A2"/>
    <w:rsid w:val="00E16B4A"/>
    <w:rsid w:val="00E17534"/>
    <w:rsid w:val="00E17AB3"/>
    <w:rsid w:val="00E20C2E"/>
    <w:rsid w:val="00E2108D"/>
    <w:rsid w:val="00E214F0"/>
    <w:rsid w:val="00E218A3"/>
    <w:rsid w:val="00E21F9F"/>
    <w:rsid w:val="00E220EA"/>
    <w:rsid w:val="00E2262C"/>
    <w:rsid w:val="00E2294C"/>
    <w:rsid w:val="00E22E16"/>
    <w:rsid w:val="00E23054"/>
    <w:rsid w:val="00E2320D"/>
    <w:rsid w:val="00E236F6"/>
    <w:rsid w:val="00E237A8"/>
    <w:rsid w:val="00E23C15"/>
    <w:rsid w:val="00E23C73"/>
    <w:rsid w:val="00E24A7C"/>
    <w:rsid w:val="00E24D59"/>
    <w:rsid w:val="00E24F7C"/>
    <w:rsid w:val="00E25852"/>
    <w:rsid w:val="00E259D4"/>
    <w:rsid w:val="00E25B67"/>
    <w:rsid w:val="00E25F3E"/>
    <w:rsid w:val="00E25FDB"/>
    <w:rsid w:val="00E26152"/>
    <w:rsid w:val="00E267CF"/>
    <w:rsid w:val="00E26DDA"/>
    <w:rsid w:val="00E27379"/>
    <w:rsid w:val="00E30009"/>
    <w:rsid w:val="00E30A6C"/>
    <w:rsid w:val="00E30B9B"/>
    <w:rsid w:val="00E30FF3"/>
    <w:rsid w:val="00E3151F"/>
    <w:rsid w:val="00E31BA9"/>
    <w:rsid w:val="00E31C80"/>
    <w:rsid w:val="00E31DD1"/>
    <w:rsid w:val="00E31E1C"/>
    <w:rsid w:val="00E31E48"/>
    <w:rsid w:val="00E32CB6"/>
    <w:rsid w:val="00E337C4"/>
    <w:rsid w:val="00E337E8"/>
    <w:rsid w:val="00E33990"/>
    <w:rsid w:val="00E339C0"/>
    <w:rsid w:val="00E33A8F"/>
    <w:rsid w:val="00E33AE6"/>
    <w:rsid w:val="00E33EC0"/>
    <w:rsid w:val="00E34274"/>
    <w:rsid w:val="00E3485E"/>
    <w:rsid w:val="00E34AA2"/>
    <w:rsid w:val="00E34E43"/>
    <w:rsid w:val="00E353B2"/>
    <w:rsid w:val="00E35486"/>
    <w:rsid w:val="00E35A3A"/>
    <w:rsid w:val="00E36AD6"/>
    <w:rsid w:val="00E3737C"/>
    <w:rsid w:val="00E379DE"/>
    <w:rsid w:val="00E37FAF"/>
    <w:rsid w:val="00E4090B"/>
    <w:rsid w:val="00E4098C"/>
    <w:rsid w:val="00E40ABB"/>
    <w:rsid w:val="00E412A9"/>
    <w:rsid w:val="00E4166F"/>
    <w:rsid w:val="00E416FB"/>
    <w:rsid w:val="00E419BD"/>
    <w:rsid w:val="00E41F06"/>
    <w:rsid w:val="00E422DC"/>
    <w:rsid w:val="00E42314"/>
    <w:rsid w:val="00E42827"/>
    <w:rsid w:val="00E42B30"/>
    <w:rsid w:val="00E42DA2"/>
    <w:rsid w:val="00E447FE"/>
    <w:rsid w:val="00E44CAD"/>
    <w:rsid w:val="00E4596A"/>
    <w:rsid w:val="00E45E6B"/>
    <w:rsid w:val="00E465FE"/>
    <w:rsid w:val="00E46B19"/>
    <w:rsid w:val="00E476B7"/>
    <w:rsid w:val="00E47A35"/>
    <w:rsid w:val="00E47A7A"/>
    <w:rsid w:val="00E50167"/>
    <w:rsid w:val="00E5097C"/>
    <w:rsid w:val="00E50EAA"/>
    <w:rsid w:val="00E513DE"/>
    <w:rsid w:val="00E51879"/>
    <w:rsid w:val="00E51DDA"/>
    <w:rsid w:val="00E52A08"/>
    <w:rsid w:val="00E5361B"/>
    <w:rsid w:val="00E5366E"/>
    <w:rsid w:val="00E537AB"/>
    <w:rsid w:val="00E544E3"/>
    <w:rsid w:val="00E54925"/>
    <w:rsid w:val="00E5566F"/>
    <w:rsid w:val="00E57188"/>
    <w:rsid w:val="00E604A4"/>
    <w:rsid w:val="00E609FD"/>
    <w:rsid w:val="00E61C4E"/>
    <w:rsid w:val="00E62147"/>
    <w:rsid w:val="00E629E6"/>
    <w:rsid w:val="00E62F93"/>
    <w:rsid w:val="00E631DE"/>
    <w:rsid w:val="00E633BE"/>
    <w:rsid w:val="00E635C2"/>
    <w:rsid w:val="00E6371C"/>
    <w:rsid w:val="00E63872"/>
    <w:rsid w:val="00E63C6C"/>
    <w:rsid w:val="00E63F87"/>
    <w:rsid w:val="00E6527E"/>
    <w:rsid w:val="00E65A41"/>
    <w:rsid w:val="00E665CB"/>
    <w:rsid w:val="00E70259"/>
    <w:rsid w:val="00E70C65"/>
    <w:rsid w:val="00E710C9"/>
    <w:rsid w:val="00E71666"/>
    <w:rsid w:val="00E71676"/>
    <w:rsid w:val="00E71BFF"/>
    <w:rsid w:val="00E71C69"/>
    <w:rsid w:val="00E724E4"/>
    <w:rsid w:val="00E73155"/>
    <w:rsid w:val="00E73312"/>
    <w:rsid w:val="00E735D4"/>
    <w:rsid w:val="00E73AFD"/>
    <w:rsid w:val="00E7411D"/>
    <w:rsid w:val="00E7483A"/>
    <w:rsid w:val="00E7525A"/>
    <w:rsid w:val="00E76205"/>
    <w:rsid w:val="00E7637E"/>
    <w:rsid w:val="00E76439"/>
    <w:rsid w:val="00E76936"/>
    <w:rsid w:val="00E76CBC"/>
    <w:rsid w:val="00E77415"/>
    <w:rsid w:val="00E778EC"/>
    <w:rsid w:val="00E77D98"/>
    <w:rsid w:val="00E77EE6"/>
    <w:rsid w:val="00E80317"/>
    <w:rsid w:val="00E80877"/>
    <w:rsid w:val="00E810DA"/>
    <w:rsid w:val="00E81377"/>
    <w:rsid w:val="00E81E0D"/>
    <w:rsid w:val="00E829B0"/>
    <w:rsid w:val="00E829FE"/>
    <w:rsid w:val="00E82ABB"/>
    <w:rsid w:val="00E82B29"/>
    <w:rsid w:val="00E82B62"/>
    <w:rsid w:val="00E83021"/>
    <w:rsid w:val="00E841D8"/>
    <w:rsid w:val="00E84E02"/>
    <w:rsid w:val="00E850A8"/>
    <w:rsid w:val="00E85588"/>
    <w:rsid w:val="00E858D9"/>
    <w:rsid w:val="00E85DC1"/>
    <w:rsid w:val="00E862F4"/>
    <w:rsid w:val="00E8666E"/>
    <w:rsid w:val="00E86D33"/>
    <w:rsid w:val="00E9032B"/>
    <w:rsid w:val="00E90393"/>
    <w:rsid w:val="00E90B5E"/>
    <w:rsid w:val="00E91579"/>
    <w:rsid w:val="00E91640"/>
    <w:rsid w:val="00E92BD9"/>
    <w:rsid w:val="00E92DE1"/>
    <w:rsid w:val="00E936A7"/>
    <w:rsid w:val="00E93717"/>
    <w:rsid w:val="00E94339"/>
    <w:rsid w:val="00E944FD"/>
    <w:rsid w:val="00E94CF9"/>
    <w:rsid w:val="00E94FA2"/>
    <w:rsid w:val="00E94FDF"/>
    <w:rsid w:val="00E9546A"/>
    <w:rsid w:val="00E95546"/>
    <w:rsid w:val="00E95563"/>
    <w:rsid w:val="00E96188"/>
    <w:rsid w:val="00E97CCA"/>
    <w:rsid w:val="00E97E2B"/>
    <w:rsid w:val="00EA015C"/>
    <w:rsid w:val="00EA0177"/>
    <w:rsid w:val="00EA07F0"/>
    <w:rsid w:val="00EA0D5B"/>
    <w:rsid w:val="00EA0D76"/>
    <w:rsid w:val="00EA224E"/>
    <w:rsid w:val="00EA3FF6"/>
    <w:rsid w:val="00EA5683"/>
    <w:rsid w:val="00EA6DC0"/>
    <w:rsid w:val="00EA7FBE"/>
    <w:rsid w:val="00EB0C5B"/>
    <w:rsid w:val="00EB1185"/>
    <w:rsid w:val="00EB159B"/>
    <w:rsid w:val="00EB2033"/>
    <w:rsid w:val="00EB2481"/>
    <w:rsid w:val="00EB257B"/>
    <w:rsid w:val="00EB2A1F"/>
    <w:rsid w:val="00EB2D88"/>
    <w:rsid w:val="00EB370F"/>
    <w:rsid w:val="00EB404A"/>
    <w:rsid w:val="00EB44D2"/>
    <w:rsid w:val="00EB4BE5"/>
    <w:rsid w:val="00EB5234"/>
    <w:rsid w:val="00EB52CC"/>
    <w:rsid w:val="00EB610E"/>
    <w:rsid w:val="00EB6335"/>
    <w:rsid w:val="00EB722E"/>
    <w:rsid w:val="00EB733C"/>
    <w:rsid w:val="00EC091F"/>
    <w:rsid w:val="00EC0E72"/>
    <w:rsid w:val="00EC2028"/>
    <w:rsid w:val="00EC2317"/>
    <w:rsid w:val="00EC25BA"/>
    <w:rsid w:val="00EC2990"/>
    <w:rsid w:val="00EC2A4D"/>
    <w:rsid w:val="00EC3301"/>
    <w:rsid w:val="00EC340D"/>
    <w:rsid w:val="00EC348F"/>
    <w:rsid w:val="00EC376C"/>
    <w:rsid w:val="00EC3CE7"/>
    <w:rsid w:val="00EC43F0"/>
    <w:rsid w:val="00EC4BBD"/>
    <w:rsid w:val="00EC4E0E"/>
    <w:rsid w:val="00EC4EC1"/>
    <w:rsid w:val="00EC4FBB"/>
    <w:rsid w:val="00EC6001"/>
    <w:rsid w:val="00EC61E5"/>
    <w:rsid w:val="00EC63BD"/>
    <w:rsid w:val="00EC6654"/>
    <w:rsid w:val="00EC67A3"/>
    <w:rsid w:val="00EC6FC0"/>
    <w:rsid w:val="00EC7EEF"/>
    <w:rsid w:val="00ED0D0F"/>
    <w:rsid w:val="00ED0E87"/>
    <w:rsid w:val="00ED1037"/>
    <w:rsid w:val="00ED11BA"/>
    <w:rsid w:val="00ED1575"/>
    <w:rsid w:val="00ED1764"/>
    <w:rsid w:val="00ED19B7"/>
    <w:rsid w:val="00ED200B"/>
    <w:rsid w:val="00ED2520"/>
    <w:rsid w:val="00ED2E12"/>
    <w:rsid w:val="00ED3C62"/>
    <w:rsid w:val="00ED3EDC"/>
    <w:rsid w:val="00ED4F03"/>
    <w:rsid w:val="00ED52B2"/>
    <w:rsid w:val="00ED54B4"/>
    <w:rsid w:val="00ED552A"/>
    <w:rsid w:val="00ED56DC"/>
    <w:rsid w:val="00ED6F74"/>
    <w:rsid w:val="00ED7038"/>
    <w:rsid w:val="00ED76DC"/>
    <w:rsid w:val="00ED7D19"/>
    <w:rsid w:val="00ED7F87"/>
    <w:rsid w:val="00EE094E"/>
    <w:rsid w:val="00EE0ADC"/>
    <w:rsid w:val="00EE173D"/>
    <w:rsid w:val="00EE1BE8"/>
    <w:rsid w:val="00EE231A"/>
    <w:rsid w:val="00EE24D6"/>
    <w:rsid w:val="00EE289F"/>
    <w:rsid w:val="00EE2B04"/>
    <w:rsid w:val="00EE3626"/>
    <w:rsid w:val="00EE3B13"/>
    <w:rsid w:val="00EE424C"/>
    <w:rsid w:val="00EE59C6"/>
    <w:rsid w:val="00EE69B9"/>
    <w:rsid w:val="00EE75E5"/>
    <w:rsid w:val="00EE76C8"/>
    <w:rsid w:val="00EF0066"/>
    <w:rsid w:val="00EF1864"/>
    <w:rsid w:val="00EF26B4"/>
    <w:rsid w:val="00EF2732"/>
    <w:rsid w:val="00EF2A9D"/>
    <w:rsid w:val="00EF2BB9"/>
    <w:rsid w:val="00EF3131"/>
    <w:rsid w:val="00EF33BF"/>
    <w:rsid w:val="00EF41F1"/>
    <w:rsid w:val="00EF491E"/>
    <w:rsid w:val="00EF50F3"/>
    <w:rsid w:val="00EF5D14"/>
    <w:rsid w:val="00EF6828"/>
    <w:rsid w:val="00EF6E6D"/>
    <w:rsid w:val="00EF6EAC"/>
    <w:rsid w:val="00EF775A"/>
    <w:rsid w:val="00EF7A66"/>
    <w:rsid w:val="00EF7D2B"/>
    <w:rsid w:val="00F00020"/>
    <w:rsid w:val="00F00B05"/>
    <w:rsid w:val="00F00DA4"/>
    <w:rsid w:val="00F01A7F"/>
    <w:rsid w:val="00F0227A"/>
    <w:rsid w:val="00F02E36"/>
    <w:rsid w:val="00F03426"/>
    <w:rsid w:val="00F036BA"/>
    <w:rsid w:val="00F03C4D"/>
    <w:rsid w:val="00F03CE3"/>
    <w:rsid w:val="00F04655"/>
    <w:rsid w:val="00F04707"/>
    <w:rsid w:val="00F04ACD"/>
    <w:rsid w:val="00F04D5B"/>
    <w:rsid w:val="00F0536F"/>
    <w:rsid w:val="00F0539D"/>
    <w:rsid w:val="00F0571B"/>
    <w:rsid w:val="00F062AE"/>
    <w:rsid w:val="00F0635E"/>
    <w:rsid w:val="00F071CC"/>
    <w:rsid w:val="00F07867"/>
    <w:rsid w:val="00F10181"/>
    <w:rsid w:val="00F107A8"/>
    <w:rsid w:val="00F10F01"/>
    <w:rsid w:val="00F110F6"/>
    <w:rsid w:val="00F111F9"/>
    <w:rsid w:val="00F115DB"/>
    <w:rsid w:val="00F11D6E"/>
    <w:rsid w:val="00F122E7"/>
    <w:rsid w:val="00F135FA"/>
    <w:rsid w:val="00F13671"/>
    <w:rsid w:val="00F13D28"/>
    <w:rsid w:val="00F1428B"/>
    <w:rsid w:val="00F14BA7"/>
    <w:rsid w:val="00F152B2"/>
    <w:rsid w:val="00F1567A"/>
    <w:rsid w:val="00F15DE4"/>
    <w:rsid w:val="00F16949"/>
    <w:rsid w:val="00F16D8C"/>
    <w:rsid w:val="00F177AD"/>
    <w:rsid w:val="00F17C72"/>
    <w:rsid w:val="00F17D2D"/>
    <w:rsid w:val="00F201D4"/>
    <w:rsid w:val="00F20894"/>
    <w:rsid w:val="00F20D29"/>
    <w:rsid w:val="00F20D34"/>
    <w:rsid w:val="00F2115A"/>
    <w:rsid w:val="00F22383"/>
    <w:rsid w:val="00F2241D"/>
    <w:rsid w:val="00F22AEB"/>
    <w:rsid w:val="00F22AFE"/>
    <w:rsid w:val="00F22BCA"/>
    <w:rsid w:val="00F23754"/>
    <w:rsid w:val="00F237A4"/>
    <w:rsid w:val="00F23F6D"/>
    <w:rsid w:val="00F24087"/>
    <w:rsid w:val="00F24334"/>
    <w:rsid w:val="00F243A3"/>
    <w:rsid w:val="00F243AE"/>
    <w:rsid w:val="00F24A5E"/>
    <w:rsid w:val="00F250A9"/>
    <w:rsid w:val="00F265F6"/>
    <w:rsid w:val="00F26653"/>
    <w:rsid w:val="00F27291"/>
    <w:rsid w:val="00F2770C"/>
    <w:rsid w:val="00F3016B"/>
    <w:rsid w:val="00F30CB6"/>
    <w:rsid w:val="00F31113"/>
    <w:rsid w:val="00F311A3"/>
    <w:rsid w:val="00F314C0"/>
    <w:rsid w:val="00F314D3"/>
    <w:rsid w:val="00F31ABF"/>
    <w:rsid w:val="00F31D20"/>
    <w:rsid w:val="00F31E5C"/>
    <w:rsid w:val="00F31EE7"/>
    <w:rsid w:val="00F32084"/>
    <w:rsid w:val="00F32457"/>
    <w:rsid w:val="00F32541"/>
    <w:rsid w:val="00F3254D"/>
    <w:rsid w:val="00F32569"/>
    <w:rsid w:val="00F32D1C"/>
    <w:rsid w:val="00F33889"/>
    <w:rsid w:val="00F33B34"/>
    <w:rsid w:val="00F347C0"/>
    <w:rsid w:val="00F351D3"/>
    <w:rsid w:val="00F357FA"/>
    <w:rsid w:val="00F35C22"/>
    <w:rsid w:val="00F364B2"/>
    <w:rsid w:val="00F377FB"/>
    <w:rsid w:val="00F37FE3"/>
    <w:rsid w:val="00F40306"/>
    <w:rsid w:val="00F40663"/>
    <w:rsid w:val="00F41337"/>
    <w:rsid w:val="00F4140B"/>
    <w:rsid w:val="00F41940"/>
    <w:rsid w:val="00F43AF6"/>
    <w:rsid w:val="00F43E13"/>
    <w:rsid w:val="00F44405"/>
    <w:rsid w:val="00F44796"/>
    <w:rsid w:val="00F44C14"/>
    <w:rsid w:val="00F44D8E"/>
    <w:rsid w:val="00F461AD"/>
    <w:rsid w:val="00F46255"/>
    <w:rsid w:val="00F478ED"/>
    <w:rsid w:val="00F47DC5"/>
    <w:rsid w:val="00F505DA"/>
    <w:rsid w:val="00F50665"/>
    <w:rsid w:val="00F50A23"/>
    <w:rsid w:val="00F50E9F"/>
    <w:rsid w:val="00F51174"/>
    <w:rsid w:val="00F518F3"/>
    <w:rsid w:val="00F5367B"/>
    <w:rsid w:val="00F539D9"/>
    <w:rsid w:val="00F53B3B"/>
    <w:rsid w:val="00F542AC"/>
    <w:rsid w:val="00F54B12"/>
    <w:rsid w:val="00F55403"/>
    <w:rsid w:val="00F55934"/>
    <w:rsid w:val="00F5608F"/>
    <w:rsid w:val="00F560B9"/>
    <w:rsid w:val="00F579FF"/>
    <w:rsid w:val="00F6027C"/>
    <w:rsid w:val="00F60415"/>
    <w:rsid w:val="00F60DAD"/>
    <w:rsid w:val="00F60DE0"/>
    <w:rsid w:val="00F61271"/>
    <w:rsid w:val="00F617DE"/>
    <w:rsid w:val="00F61846"/>
    <w:rsid w:val="00F6194D"/>
    <w:rsid w:val="00F61F8E"/>
    <w:rsid w:val="00F61FFA"/>
    <w:rsid w:val="00F620EC"/>
    <w:rsid w:val="00F62233"/>
    <w:rsid w:val="00F6251B"/>
    <w:rsid w:val="00F626C6"/>
    <w:rsid w:val="00F62CF6"/>
    <w:rsid w:val="00F63405"/>
    <w:rsid w:val="00F63C7A"/>
    <w:rsid w:val="00F64156"/>
    <w:rsid w:val="00F6576A"/>
    <w:rsid w:val="00F65925"/>
    <w:rsid w:val="00F6658A"/>
    <w:rsid w:val="00F66924"/>
    <w:rsid w:val="00F66F13"/>
    <w:rsid w:val="00F66FA6"/>
    <w:rsid w:val="00F67BD1"/>
    <w:rsid w:val="00F67C59"/>
    <w:rsid w:val="00F70293"/>
    <w:rsid w:val="00F708A1"/>
    <w:rsid w:val="00F70C8A"/>
    <w:rsid w:val="00F71087"/>
    <w:rsid w:val="00F71242"/>
    <w:rsid w:val="00F717FF"/>
    <w:rsid w:val="00F71A3F"/>
    <w:rsid w:val="00F71C01"/>
    <w:rsid w:val="00F721AC"/>
    <w:rsid w:val="00F7246A"/>
    <w:rsid w:val="00F731E5"/>
    <w:rsid w:val="00F73A04"/>
    <w:rsid w:val="00F73ECA"/>
    <w:rsid w:val="00F743A3"/>
    <w:rsid w:val="00F74A72"/>
    <w:rsid w:val="00F74DE7"/>
    <w:rsid w:val="00F74E5A"/>
    <w:rsid w:val="00F751B6"/>
    <w:rsid w:val="00F76A83"/>
    <w:rsid w:val="00F774C8"/>
    <w:rsid w:val="00F802C8"/>
    <w:rsid w:val="00F813B4"/>
    <w:rsid w:val="00F81D96"/>
    <w:rsid w:val="00F81F18"/>
    <w:rsid w:val="00F826E7"/>
    <w:rsid w:val="00F827AA"/>
    <w:rsid w:val="00F82C6C"/>
    <w:rsid w:val="00F83978"/>
    <w:rsid w:val="00F83ED3"/>
    <w:rsid w:val="00F83F3F"/>
    <w:rsid w:val="00F83FE2"/>
    <w:rsid w:val="00F840B9"/>
    <w:rsid w:val="00F857B4"/>
    <w:rsid w:val="00F85C14"/>
    <w:rsid w:val="00F85C44"/>
    <w:rsid w:val="00F85F4D"/>
    <w:rsid w:val="00F86002"/>
    <w:rsid w:val="00F86371"/>
    <w:rsid w:val="00F86648"/>
    <w:rsid w:val="00F86C88"/>
    <w:rsid w:val="00F86D13"/>
    <w:rsid w:val="00F86DBB"/>
    <w:rsid w:val="00F87027"/>
    <w:rsid w:val="00F874B8"/>
    <w:rsid w:val="00F87535"/>
    <w:rsid w:val="00F877A0"/>
    <w:rsid w:val="00F90859"/>
    <w:rsid w:val="00F916C9"/>
    <w:rsid w:val="00F91915"/>
    <w:rsid w:val="00F91D8C"/>
    <w:rsid w:val="00F921C0"/>
    <w:rsid w:val="00F92282"/>
    <w:rsid w:val="00F931F5"/>
    <w:rsid w:val="00F932FB"/>
    <w:rsid w:val="00F9337A"/>
    <w:rsid w:val="00F9347F"/>
    <w:rsid w:val="00F944B3"/>
    <w:rsid w:val="00F94D65"/>
    <w:rsid w:val="00F9549D"/>
    <w:rsid w:val="00F95724"/>
    <w:rsid w:val="00F960B1"/>
    <w:rsid w:val="00F962B4"/>
    <w:rsid w:val="00F96CF3"/>
    <w:rsid w:val="00F96F4D"/>
    <w:rsid w:val="00F972B0"/>
    <w:rsid w:val="00FA0210"/>
    <w:rsid w:val="00FA08D8"/>
    <w:rsid w:val="00FA2500"/>
    <w:rsid w:val="00FA2BF8"/>
    <w:rsid w:val="00FA32FF"/>
    <w:rsid w:val="00FA381D"/>
    <w:rsid w:val="00FA3AA3"/>
    <w:rsid w:val="00FA3D00"/>
    <w:rsid w:val="00FA4324"/>
    <w:rsid w:val="00FA4C1F"/>
    <w:rsid w:val="00FA538C"/>
    <w:rsid w:val="00FA5C2C"/>
    <w:rsid w:val="00FA5D62"/>
    <w:rsid w:val="00FA5FDE"/>
    <w:rsid w:val="00FA6040"/>
    <w:rsid w:val="00FA6293"/>
    <w:rsid w:val="00FA6373"/>
    <w:rsid w:val="00FA686A"/>
    <w:rsid w:val="00FA6C96"/>
    <w:rsid w:val="00FA7214"/>
    <w:rsid w:val="00FA7547"/>
    <w:rsid w:val="00FB00F7"/>
    <w:rsid w:val="00FB08CC"/>
    <w:rsid w:val="00FB1304"/>
    <w:rsid w:val="00FB1514"/>
    <w:rsid w:val="00FB1AF1"/>
    <w:rsid w:val="00FB333E"/>
    <w:rsid w:val="00FB3686"/>
    <w:rsid w:val="00FB3958"/>
    <w:rsid w:val="00FB3CD7"/>
    <w:rsid w:val="00FB3FD6"/>
    <w:rsid w:val="00FB4545"/>
    <w:rsid w:val="00FB478F"/>
    <w:rsid w:val="00FB4AA0"/>
    <w:rsid w:val="00FB4B89"/>
    <w:rsid w:val="00FB5045"/>
    <w:rsid w:val="00FB56BD"/>
    <w:rsid w:val="00FB578C"/>
    <w:rsid w:val="00FB58BB"/>
    <w:rsid w:val="00FB597D"/>
    <w:rsid w:val="00FB5AF9"/>
    <w:rsid w:val="00FB634D"/>
    <w:rsid w:val="00FB6695"/>
    <w:rsid w:val="00FB66D9"/>
    <w:rsid w:val="00FB74E5"/>
    <w:rsid w:val="00FC05C1"/>
    <w:rsid w:val="00FC0A0F"/>
    <w:rsid w:val="00FC0D59"/>
    <w:rsid w:val="00FC1673"/>
    <w:rsid w:val="00FC1A3D"/>
    <w:rsid w:val="00FC1A5C"/>
    <w:rsid w:val="00FC1C53"/>
    <w:rsid w:val="00FC1D2A"/>
    <w:rsid w:val="00FC2B88"/>
    <w:rsid w:val="00FC2D03"/>
    <w:rsid w:val="00FC2D4C"/>
    <w:rsid w:val="00FC39EA"/>
    <w:rsid w:val="00FC469C"/>
    <w:rsid w:val="00FC473D"/>
    <w:rsid w:val="00FC4943"/>
    <w:rsid w:val="00FC49E0"/>
    <w:rsid w:val="00FC4AA6"/>
    <w:rsid w:val="00FC559A"/>
    <w:rsid w:val="00FC56B8"/>
    <w:rsid w:val="00FC5CFE"/>
    <w:rsid w:val="00FC60B8"/>
    <w:rsid w:val="00FC6DE6"/>
    <w:rsid w:val="00FC6E48"/>
    <w:rsid w:val="00FD0A9D"/>
    <w:rsid w:val="00FD0A9E"/>
    <w:rsid w:val="00FD0F14"/>
    <w:rsid w:val="00FD15AF"/>
    <w:rsid w:val="00FD2F1A"/>
    <w:rsid w:val="00FD3053"/>
    <w:rsid w:val="00FD3715"/>
    <w:rsid w:val="00FD37D0"/>
    <w:rsid w:val="00FD3DE0"/>
    <w:rsid w:val="00FD3FA0"/>
    <w:rsid w:val="00FD440C"/>
    <w:rsid w:val="00FD4EC8"/>
    <w:rsid w:val="00FD556D"/>
    <w:rsid w:val="00FD5684"/>
    <w:rsid w:val="00FD5E81"/>
    <w:rsid w:val="00FD5FF0"/>
    <w:rsid w:val="00FD60B6"/>
    <w:rsid w:val="00FD6616"/>
    <w:rsid w:val="00FD7F01"/>
    <w:rsid w:val="00FD7F02"/>
    <w:rsid w:val="00FE0775"/>
    <w:rsid w:val="00FE0F88"/>
    <w:rsid w:val="00FE1A47"/>
    <w:rsid w:val="00FE1D5C"/>
    <w:rsid w:val="00FE2400"/>
    <w:rsid w:val="00FE2C02"/>
    <w:rsid w:val="00FE3782"/>
    <w:rsid w:val="00FE3A6A"/>
    <w:rsid w:val="00FE3AC5"/>
    <w:rsid w:val="00FE413B"/>
    <w:rsid w:val="00FE44CF"/>
    <w:rsid w:val="00FE4721"/>
    <w:rsid w:val="00FE4D2A"/>
    <w:rsid w:val="00FE4FA0"/>
    <w:rsid w:val="00FE4FD0"/>
    <w:rsid w:val="00FE5051"/>
    <w:rsid w:val="00FE53DC"/>
    <w:rsid w:val="00FE566B"/>
    <w:rsid w:val="00FE5839"/>
    <w:rsid w:val="00FE5B58"/>
    <w:rsid w:val="00FE6DE2"/>
    <w:rsid w:val="00FE6E80"/>
    <w:rsid w:val="00FF02E4"/>
    <w:rsid w:val="00FF0677"/>
    <w:rsid w:val="00FF0DA9"/>
    <w:rsid w:val="00FF10F1"/>
    <w:rsid w:val="00FF2986"/>
    <w:rsid w:val="00FF2F3F"/>
    <w:rsid w:val="00FF3A63"/>
    <w:rsid w:val="00FF4902"/>
    <w:rsid w:val="00FF524A"/>
    <w:rsid w:val="00FF524F"/>
    <w:rsid w:val="00FF58A5"/>
    <w:rsid w:val="00FF58F3"/>
    <w:rsid w:val="00FF5AA4"/>
    <w:rsid w:val="00FF6251"/>
    <w:rsid w:val="00FF6A5E"/>
    <w:rsid w:val="00FF7151"/>
    <w:rsid w:val="00FF7523"/>
    <w:rsid w:val="00FF7B13"/>
    <w:rsid w:val="00FF7C29"/>
    <w:rsid w:val="00FF7C5F"/>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basedOn w:val="DefaultParagraphFont"/>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rsid w:val="00A2504D"/>
    <w:pPr>
      <w:jc w:val="both"/>
    </w:pPr>
    <w:rPr>
      <w:rFonts w:eastAsia="Calibri"/>
      <w:smallCaps/>
      <w:szCs w:val="22"/>
      <w:lang w:val="en-CA"/>
    </w:rPr>
  </w:style>
  <w:style w:type="character" w:customStyle="1" w:styleId="SCCBanSummaryChar">
    <w:name w:val="SCC.BanSummary Char"/>
    <w:basedOn w:val="DefaultParagraphFont"/>
    <w:link w:val="SCCBanSummary"/>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styleId="CommentReference">
    <w:name w:val="annotation reference"/>
    <w:basedOn w:val="DefaultParagraphFont"/>
    <w:uiPriority w:val="99"/>
    <w:semiHidden/>
    <w:unhideWhenUsed/>
    <w:rsid w:val="001D1E16"/>
    <w:rPr>
      <w:sz w:val="16"/>
      <w:szCs w:val="16"/>
    </w:rPr>
  </w:style>
  <w:style w:type="paragraph" w:styleId="CommentText">
    <w:name w:val="annotation text"/>
    <w:basedOn w:val="Normal"/>
    <w:link w:val="CommentTextChar"/>
    <w:uiPriority w:val="99"/>
    <w:semiHidden/>
    <w:unhideWhenUsed/>
    <w:rsid w:val="001D1E16"/>
    <w:rPr>
      <w:sz w:val="20"/>
    </w:rPr>
  </w:style>
  <w:style w:type="character" w:customStyle="1" w:styleId="CommentTextChar">
    <w:name w:val="Comment Text Char"/>
    <w:basedOn w:val="DefaultParagraphFont"/>
    <w:link w:val="CommentText"/>
    <w:uiPriority w:val="99"/>
    <w:semiHidden/>
    <w:rsid w:val="001D1E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1E16"/>
    <w:rPr>
      <w:b/>
      <w:bCs/>
    </w:rPr>
  </w:style>
  <w:style w:type="character" w:customStyle="1" w:styleId="CommentSubjectChar">
    <w:name w:val="Comment Subject Char"/>
    <w:basedOn w:val="CommentTextChar"/>
    <w:link w:val="CommentSubject"/>
    <w:uiPriority w:val="99"/>
    <w:semiHidden/>
    <w:rsid w:val="001D1E16"/>
    <w:rPr>
      <w:rFonts w:ascii="Times New Roman" w:eastAsia="Times New Roman" w:hAnsi="Times New Roman"/>
      <w:b/>
      <w:bCs/>
    </w:rPr>
  </w:style>
  <w:style w:type="table" w:styleId="TableGrid">
    <w:name w:val="Table Grid"/>
    <w:basedOn w:val="TableNormal"/>
    <w:uiPriority w:val="59"/>
    <w:rsid w:val="003240B6"/>
    <w:rPr>
      <w:rFonts w:ascii="Times New Roman" w:hAnsi="Times New Roman"/>
      <w:sz w:val="24"/>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CCLsocOtherPartySeparator">
    <w:name w:val="SCC.Lsoc.OtherPartySeparator"/>
    <w:basedOn w:val="Normal"/>
    <w:next w:val="Normal"/>
    <w:link w:val="SCCLsocOtherPartySeparatorChar"/>
    <w:rsid w:val="00537F74"/>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537F74"/>
    <w:rPr>
      <w:rFonts w:ascii="Times New Roman" w:eastAsiaTheme="minorHAnsi" w:hAnsi="Times New Roman" w:cstheme="minorBidi"/>
      <w:b/>
      <w:sz w:val="24"/>
      <w:szCs w:val="22"/>
      <w:lang w:val="fr-CA"/>
    </w:rPr>
  </w:style>
  <w:style w:type="paragraph" w:customStyle="1" w:styleId="mainparagraph1">
    <w:name w:val="mainparagraph1"/>
    <w:basedOn w:val="Normal"/>
    <w:rsid w:val="00537F74"/>
    <w:pPr>
      <w:spacing w:after="240"/>
      <w:ind w:left="720" w:hanging="720"/>
      <w:jc w:val="both"/>
    </w:pPr>
    <w:rPr>
      <w:szCs w:val="24"/>
    </w:rPr>
  </w:style>
  <w:style w:type="paragraph" w:customStyle="1" w:styleId="aparanumbering1">
    <w:name w:val="aparanumbering1"/>
    <w:basedOn w:val="Normal"/>
    <w:rsid w:val="00537F74"/>
    <w:pPr>
      <w:spacing w:before="120" w:after="120"/>
      <w:jc w:val="both"/>
    </w:pPr>
    <w:rPr>
      <w:rFonts w:ascii="Arial" w:hAnsi="Arial" w:cs="Arial"/>
      <w:sz w:val="26"/>
      <w:szCs w:val="26"/>
    </w:rPr>
  </w:style>
  <w:style w:type="paragraph" w:customStyle="1" w:styleId="number1">
    <w:name w:val="number1"/>
    <w:basedOn w:val="Normal"/>
    <w:rsid w:val="00FE413B"/>
    <w:pPr>
      <w:jc w:val="both"/>
    </w:pPr>
    <w:rPr>
      <w:rFonts w:ascii="Tahoma" w:hAnsi="Tahoma" w:cs="Tahoma"/>
      <w:szCs w:val="24"/>
    </w:rPr>
  </w:style>
  <w:style w:type="character" w:customStyle="1" w:styleId="reflex3-block">
    <w:name w:val="reflex3-block"/>
    <w:basedOn w:val="DefaultParagraphFont"/>
    <w:rsid w:val="00FE413B"/>
  </w:style>
  <w:style w:type="character" w:customStyle="1" w:styleId="reflex3-alt">
    <w:name w:val="reflex3-alt"/>
    <w:basedOn w:val="DefaultParagraphFont"/>
    <w:rsid w:val="00FE413B"/>
  </w:style>
  <w:style w:type="paragraph" w:customStyle="1" w:styleId="scjnumber1">
    <w:name w:val="scjnumber1"/>
    <w:basedOn w:val="Normal"/>
    <w:rsid w:val="00CA32B5"/>
    <w:pPr>
      <w:spacing w:after="240"/>
    </w:pPr>
    <w:rPr>
      <w:rFonts w:ascii="Arial" w:hAnsi="Arial" w:cs="Arial"/>
      <w:szCs w:val="24"/>
    </w:rPr>
  </w:style>
  <w:style w:type="character" w:customStyle="1" w:styleId="reflex">
    <w:name w:val="reflex"/>
    <w:basedOn w:val="DefaultParagraphFont"/>
    <w:rsid w:val="00E85588"/>
  </w:style>
  <w:style w:type="paragraph" w:customStyle="1" w:styleId="paragraphe">
    <w:name w:val="paragraphe"/>
    <w:basedOn w:val="Normal"/>
    <w:rsid w:val="007A38B8"/>
    <w:pPr>
      <w:spacing w:before="100" w:beforeAutospacing="1" w:after="100" w:afterAutospacing="1"/>
    </w:pPr>
    <w:rPr>
      <w:szCs w:val="24"/>
    </w:rPr>
  </w:style>
  <w:style w:type="character" w:customStyle="1" w:styleId="nowrap">
    <w:name w:val="nowrap"/>
    <w:basedOn w:val="DefaultParagraphFont"/>
    <w:rsid w:val="007A38B8"/>
  </w:style>
  <w:style w:type="paragraph" w:customStyle="1" w:styleId="SCCLsocSubfileSeparator">
    <w:name w:val="SCC.Lsoc.SubfileSeparator"/>
    <w:basedOn w:val="Normal"/>
    <w:next w:val="Normal"/>
    <w:link w:val="SCCLsocSubfileSeparatorChar"/>
    <w:rsid w:val="003F6190"/>
    <w:pPr>
      <w:jc w:val="both"/>
    </w:pPr>
    <w:rPr>
      <w:rFonts w:eastAsiaTheme="minorHAnsi"/>
      <w:b/>
      <w:szCs w:val="24"/>
      <w:lang w:val="en-CA"/>
    </w:rPr>
  </w:style>
  <w:style w:type="character" w:customStyle="1" w:styleId="SCCLsocSubfileSeparatorChar">
    <w:name w:val="SCC.Lsoc.SubfileSeparator Char"/>
    <w:basedOn w:val="DefaultParagraphFont"/>
    <w:link w:val="SCCLsocSubfileSeparator"/>
    <w:rsid w:val="003F6190"/>
    <w:rPr>
      <w:rFonts w:ascii="Times New Roman" w:eastAsiaTheme="minorHAnsi" w:hAnsi="Times New Roman"/>
      <w:b/>
      <w:sz w:val="24"/>
      <w:szCs w:val="24"/>
      <w:lang w:val="en-CA"/>
    </w:rPr>
  </w:style>
  <w:style w:type="paragraph" w:customStyle="1" w:styleId="s3">
    <w:name w:val="s3"/>
    <w:basedOn w:val="Normal"/>
    <w:rsid w:val="00B328CA"/>
    <w:pPr>
      <w:spacing w:before="100" w:beforeAutospacing="1" w:after="100" w:afterAutospacing="1"/>
    </w:pPr>
    <w:rPr>
      <w:rFonts w:eastAsiaTheme="minorHAnsi"/>
      <w:szCs w:val="24"/>
    </w:rPr>
  </w:style>
  <w:style w:type="character" w:customStyle="1" w:styleId="s4">
    <w:name w:val="s4"/>
    <w:basedOn w:val="DefaultParagraphFont"/>
    <w:rsid w:val="00B328CA"/>
  </w:style>
  <w:style w:type="character" w:customStyle="1" w:styleId="s5">
    <w:name w:val="s5"/>
    <w:basedOn w:val="DefaultParagraphFont"/>
    <w:rsid w:val="00B328CA"/>
  </w:style>
  <w:style w:type="paragraph" w:customStyle="1" w:styleId="paragraphenumrot">
    <w:name w:val="paragraphenumrot"/>
    <w:basedOn w:val="Normal"/>
    <w:rsid w:val="001E2AA6"/>
    <w:pPr>
      <w:spacing w:before="100" w:beforeAutospacing="1" w:after="100" w:afterAutospacing="1"/>
    </w:pPr>
    <w:rPr>
      <w:szCs w:val="24"/>
    </w:rPr>
  </w:style>
  <w:style w:type="paragraph" w:customStyle="1" w:styleId="paragnum">
    <w:name w:val="paragnum"/>
    <w:basedOn w:val="Normal"/>
    <w:rsid w:val="0098760C"/>
    <w:pPr>
      <w:spacing w:before="100" w:beforeAutospacing="1" w:after="100" w:afterAutospacing="1"/>
    </w:pPr>
    <w:rPr>
      <w:szCs w:val="24"/>
    </w:rPr>
  </w:style>
  <w:style w:type="character" w:customStyle="1" w:styleId="sh3135415119">
    <w:name w:val="sh_3135415119"/>
    <w:basedOn w:val="DefaultParagraphFont"/>
    <w:rsid w:val="00843613"/>
  </w:style>
  <w:style w:type="character" w:styleId="Emphasis">
    <w:name w:val="Emphasis"/>
    <w:basedOn w:val="DefaultParagraphFont"/>
    <w:uiPriority w:val="20"/>
    <w:qFormat/>
    <w:rsid w:val="0039120F"/>
    <w:rPr>
      <w:i/>
      <w:iCs/>
    </w:rPr>
  </w:style>
  <w:style w:type="paragraph" w:customStyle="1" w:styleId="aparanumbering">
    <w:name w:val="aparanumbering"/>
    <w:basedOn w:val="Normal"/>
    <w:rsid w:val="002E6084"/>
    <w:pPr>
      <w:spacing w:before="100" w:beforeAutospacing="1" w:after="100" w:afterAutospacing="1"/>
    </w:pPr>
    <w:rPr>
      <w:szCs w:val="24"/>
    </w:rPr>
  </w:style>
  <w:style w:type="character" w:customStyle="1" w:styleId="citationcar">
    <w:name w:val="citationcar"/>
    <w:basedOn w:val="DefaultParagraphFont"/>
    <w:rsid w:val="00314899"/>
  </w:style>
  <w:style w:type="paragraph" w:customStyle="1" w:styleId="scjnumber">
    <w:name w:val="scjnumber"/>
    <w:basedOn w:val="Normal"/>
    <w:rsid w:val="006509AD"/>
    <w:pPr>
      <w:spacing w:before="100" w:beforeAutospacing="1" w:after="100" w:afterAutospacing="1"/>
    </w:pPr>
    <w:rPr>
      <w:szCs w:val="24"/>
    </w:rPr>
  </w:style>
  <w:style w:type="paragraph" w:customStyle="1" w:styleId="felskynumbering12">
    <w:name w:val="felskynumbering12"/>
    <w:basedOn w:val="Normal"/>
    <w:rsid w:val="0012542D"/>
    <w:pPr>
      <w:spacing w:before="100" w:beforeAutospacing="1" w:after="100" w:afterAutospacing="1"/>
    </w:pPr>
    <w:rPr>
      <w:szCs w:val="24"/>
    </w:rPr>
  </w:style>
  <w:style w:type="character" w:styleId="IntenseReference">
    <w:name w:val="Intense Reference"/>
    <w:basedOn w:val="DefaultParagraphFont"/>
    <w:uiPriority w:val="32"/>
    <w:qFormat/>
    <w:rsid w:val="0012542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906">
      <w:bodyDiv w:val="1"/>
      <w:marLeft w:val="0"/>
      <w:marRight w:val="0"/>
      <w:marTop w:val="0"/>
      <w:marBottom w:val="0"/>
      <w:divBdr>
        <w:top w:val="none" w:sz="0" w:space="0" w:color="auto"/>
        <w:left w:val="none" w:sz="0" w:space="0" w:color="auto"/>
        <w:bottom w:val="none" w:sz="0" w:space="0" w:color="auto"/>
        <w:right w:val="none" w:sz="0" w:space="0" w:color="auto"/>
      </w:divBdr>
    </w:div>
    <w:div w:id="9529092">
      <w:bodyDiv w:val="1"/>
      <w:marLeft w:val="0"/>
      <w:marRight w:val="0"/>
      <w:marTop w:val="0"/>
      <w:marBottom w:val="0"/>
      <w:divBdr>
        <w:top w:val="none" w:sz="0" w:space="0" w:color="auto"/>
        <w:left w:val="none" w:sz="0" w:space="0" w:color="auto"/>
        <w:bottom w:val="none" w:sz="0" w:space="0" w:color="auto"/>
        <w:right w:val="none" w:sz="0" w:space="0" w:color="auto"/>
      </w:divBdr>
    </w:div>
    <w:div w:id="18161495">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66611507">
      <w:bodyDiv w:val="1"/>
      <w:marLeft w:val="0"/>
      <w:marRight w:val="0"/>
      <w:marTop w:val="0"/>
      <w:marBottom w:val="0"/>
      <w:divBdr>
        <w:top w:val="none" w:sz="0" w:space="0" w:color="auto"/>
        <w:left w:val="none" w:sz="0" w:space="0" w:color="auto"/>
        <w:bottom w:val="none" w:sz="0" w:space="0" w:color="auto"/>
        <w:right w:val="none" w:sz="0" w:space="0" w:color="auto"/>
      </w:divBdr>
    </w:div>
    <w:div w:id="74206133">
      <w:bodyDiv w:val="1"/>
      <w:marLeft w:val="0"/>
      <w:marRight w:val="0"/>
      <w:marTop w:val="0"/>
      <w:marBottom w:val="0"/>
      <w:divBdr>
        <w:top w:val="none" w:sz="0" w:space="0" w:color="auto"/>
        <w:left w:val="none" w:sz="0" w:space="0" w:color="auto"/>
        <w:bottom w:val="none" w:sz="0" w:space="0" w:color="auto"/>
        <w:right w:val="none" w:sz="0" w:space="0" w:color="auto"/>
      </w:divBdr>
    </w:div>
    <w:div w:id="95904926">
      <w:bodyDiv w:val="1"/>
      <w:marLeft w:val="0"/>
      <w:marRight w:val="0"/>
      <w:marTop w:val="0"/>
      <w:marBottom w:val="0"/>
      <w:divBdr>
        <w:top w:val="none" w:sz="0" w:space="0" w:color="auto"/>
        <w:left w:val="none" w:sz="0" w:space="0" w:color="auto"/>
        <w:bottom w:val="none" w:sz="0" w:space="0" w:color="auto"/>
        <w:right w:val="none" w:sz="0" w:space="0" w:color="auto"/>
      </w:divBdr>
    </w:div>
    <w:div w:id="112752442">
      <w:bodyDiv w:val="1"/>
      <w:marLeft w:val="0"/>
      <w:marRight w:val="0"/>
      <w:marTop w:val="0"/>
      <w:marBottom w:val="0"/>
      <w:divBdr>
        <w:top w:val="none" w:sz="0" w:space="0" w:color="auto"/>
        <w:left w:val="none" w:sz="0" w:space="0" w:color="auto"/>
        <w:bottom w:val="none" w:sz="0" w:space="0" w:color="auto"/>
        <w:right w:val="none" w:sz="0" w:space="0" w:color="auto"/>
      </w:divBdr>
    </w:div>
    <w:div w:id="117800852">
      <w:bodyDiv w:val="1"/>
      <w:marLeft w:val="0"/>
      <w:marRight w:val="0"/>
      <w:marTop w:val="0"/>
      <w:marBottom w:val="0"/>
      <w:divBdr>
        <w:top w:val="none" w:sz="0" w:space="0" w:color="auto"/>
        <w:left w:val="none" w:sz="0" w:space="0" w:color="auto"/>
        <w:bottom w:val="none" w:sz="0" w:space="0" w:color="auto"/>
        <w:right w:val="none" w:sz="0" w:space="0" w:color="auto"/>
      </w:divBdr>
    </w:div>
    <w:div w:id="125588093">
      <w:bodyDiv w:val="1"/>
      <w:marLeft w:val="0"/>
      <w:marRight w:val="0"/>
      <w:marTop w:val="0"/>
      <w:marBottom w:val="0"/>
      <w:divBdr>
        <w:top w:val="none" w:sz="0" w:space="0" w:color="auto"/>
        <w:left w:val="none" w:sz="0" w:space="0" w:color="auto"/>
        <w:bottom w:val="none" w:sz="0" w:space="0" w:color="auto"/>
        <w:right w:val="none" w:sz="0" w:space="0" w:color="auto"/>
      </w:divBdr>
    </w:div>
    <w:div w:id="158467292">
      <w:bodyDiv w:val="1"/>
      <w:marLeft w:val="0"/>
      <w:marRight w:val="0"/>
      <w:marTop w:val="0"/>
      <w:marBottom w:val="0"/>
      <w:divBdr>
        <w:top w:val="none" w:sz="0" w:space="0" w:color="auto"/>
        <w:left w:val="none" w:sz="0" w:space="0" w:color="auto"/>
        <w:bottom w:val="none" w:sz="0" w:space="0" w:color="auto"/>
        <w:right w:val="none" w:sz="0" w:space="0" w:color="auto"/>
      </w:divBdr>
    </w:div>
    <w:div w:id="177543389">
      <w:bodyDiv w:val="1"/>
      <w:marLeft w:val="0"/>
      <w:marRight w:val="0"/>
      <w:marTop w:val="0"/>
      <w:marBottom w:val="0"/>
      <w:divBdr>
        <w:top w:val="none" w:sz="0" w:space="0" w:color="auto"/>
        <w:left w:val="none" w:sz="0" w:space="0" w:color="auto"/>
        <w:bottom w:val="none" w:sz="0" w:space="0" w:color="auto"/>
        <w:right w:val="none" w:sz="0" w:space="0" w:color="auto"/>
      </w:divBdr>
      <w:divsChild>
        <w:div w:id="1837987795">
          <w:marLeft w:val="0"/>
          <w:marRight w:val="0"/>
          <w:marTop w:val="0"/>
          <w:marBottom w:val="0"/>
          <w:divBdr>
            <w:top w:val="none" w:sz="0" w:space="0" w:color="auto"/>
            <w:left w:val="none" w:sz="0" w:space="0" w:color="auto"/>
            <w:bottom w:val="none" w:sz="0" w:space="0" w:color="auto"/>
            <w:right w:val="none" w:sz="0" w:space="0" w:color="auto"/>
          </w:divBdr>
          <w:divsChild>
            <w:div w:id="1328560028">
              <w:marLeft w:val="-225"/>
              <w:marRight w:val="-225"/>
              <w:marTop w:val="0"/>
              <w:marBottom w:val="0"/>
              <w:divBdr>
                <w:top w:val="none" w:sz="0" w:space="0" w:color="auto"/>
                <w:left w:val="none" w:sz="0" w:space="0" w:color="auto"/>
                <w:bottom w:val="none" w:sz="0" w:space="0" w:color="auto"/>
                <w:right w:val="none" w:sz="0" w:space="0" w:color="auto"/>
              </w:divBdr>
              <w:divsChild>
                <w:div w:id="981228292">
                  <w:marLeft w:val="0"/>
                  <w:marRight w:val="0"/>
                  <w:marTop w:val="0"/>
                  <w:marBottom w:val="0"/>
                  <w:divBdr>
                    <w:top w:val="none" w:sz="0" w:space="0" w:color="auto"/>
                    <w:left w:val="none" w:sz="0" w:space="0" w:color="auto"/>
                    <w:bottom w:val="none" w:sz="0" w:space="0" w:color="auto"/>
                    <w:right w:val="none" w:sz="0" w:space="0" w:color="auto"/>
                  </w:divBdr>
                  <w:divsChild>
                    <w:div w:id="2108845742">
                      <w:marLeft w:val="0"/>
                      <w:marRight w:val="0"/>
                      <w:marTop w:val="0"/>
                      <w:marBottom w:val="0"/>
                      <w:divBdr>
                        <w:top w:val="none" w:sz="0" w:space="0" w:color="auto"/>
                        <w:left w:val="none" w:sz="0" w:space="0" w:color="auto"/>
                        <w:bottom w:val="none" w:sz="0" w:space="0" w:color="auto"/>
                        <w:right w:val="none" w:sz="0" w:space="0" w:color="auto"/>
                      </w:divBdr>
                      <w:divsChild>
                        <w:div w:id="658730996">
                          <w:marLeft w:val="0"/>
                          <w:marRight w:val="0"/>
                          <w:marTop w:val="225"/>
                          <w:marBottom w:val="0"/>
                          <w:divBdr>
                            <w:top w:val="none" w:sz="0" w:space="0" w:color="auto"/>
                            <w:left w:val="none" w:sz="0" w:space="0" w:color="auto"/>
                            <w:bottom w:val="none" w:sz="0" w:space="0" w:color="auto"/>
                            <w:right w:val="none" w:sz="0" w:space="0" w:color="auto"/>
                          </w:divBdr>
                          <w:divsChild>
                            <w:div w:id="692267055">
                              <w:marLeft w:val="0"/>
                              <w:marRight w:val="0"/>
                              <w:marTop w:val="0"/>
                              <w:marBottom w:val="0"/>
                              <w:divBdr>
                                <w:top w:val="none" w:sz="0" w:space="0" w:color="auto"/>
                                <w:left w:val="none" w:sz="0" w:space="0" w:color="auto"/>
                                <w:bottom w:val="none" w:sz="0" w:space="0" w:color="auto"/>
                                <w:right w:val="none" w:sz="0" w:space="0" w:color="auto"/>
                              </w:divBdr>
                            </w:div>
                            <w:div w:id="7700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99090">
      <w:bodyDiv w:val="1"/>
      <w:marLeft w:val="0"/>
      <w:marRight w:val="0"/>
      <w:marTop w:val="0"/>
      <w:marBottom w:val="0"/>
      <w:divBdr>
        <w:top w:val="none" w:sz="0" w:space="0" w:color="auto"/>
        <w:left w:val="none" w:sz="0" w:space="0" w:color="auto"/>
        <w:bottom w:val="none" w:sz="0" w:space="0" w:color="auto"/>
        <w:right w:val="none" w:sz="0" w:space="0" w:color="auto"/>
      </w:divBdr>
    </w:div>
    <w:div w:id="180122840">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14895378">
      <w:bodyDiv w:val="1"/>
      <w:marLeft w:val="0"/>
      <w:marRight w:val="0"/>
      <w:marTop w:val="0"/>
      <w:marBottom w:val="0"/>
      <w:divBdr>
        <w:top w:val="none" w:sz="0" w:space="0" w:color="auto"/>
        <w:left w:val="none" w:sz="0" w:space="0" w:color="auto"/>
        <w:bottom w:val="none" w:sz="0" w:space="0" w:color="auto"/>
        <w:right w:val="none" w:sz="0" w:space="0" w:color="auto"/>
      </w:divBdr>
    </w:div>
    <w:div w:id="227494801">
      <w:bodyDiv w:val="1"/>
      <w:marLeft w:val="0"/>
      <w:marRight w:val="0"/>
      <w:marTop w:val="0"/>
      <w:marBottom w:val="0"/>
      <w:divBdr>
        <w:top w:val="none" w:sz="0" w:space="0" w:color="auto"/>
        <w:left w:val="none" w:sz="0" w:space="0" w:color="auto"/>
        <w:bottom w:val="none" w:sz="0" w:space="0" w:color="auto"/>
        <w:right w:val="none" w:sz="0" w:space="0" w:color="auto"/>
      </w:divBdr>
    </w:div>
    <w:div w:id="259413056">
      <w:bodyDiv w:val="1"/>
      <w:marLeft w:val="0"/>
      <w:marRight w:val="0"/>
      <w:marTop w:val="0"/>
      <w:marBottom w:val="0"/>
      <w:divBdr>
        <w:top w:val="none" w:sz="0" w:space="0" w:color="auto"/>
        <w:left w:val="none" w:sz="0" w:space="0" w:color="auto"/>
        <w:bottom w:val="none" w:sz="0" w:space="0" w:color="auto"/>
        <w:right w:val="none" w:sz="0" w:space="0" w:color="auto"/>
      </w:divBdr>
    </w:div>
    <w:div w:id="269892612">
      <w:bodyDiv w:val="1"/>
      <w:marLeft w:val="0"/>
      <w:marRight w:val="0"/>
      <w:marTop w:val="0"/>
      <w:marBottom w:val="0"/>
      <w:divBdr>
        <w:top w:val="none" w:sz="0" w:space="0" w:color="auto"/>
        <w:left w:val="none" w:sz="0" w:space="0" w:color="auto"/>
        <w:bottom w:val="none" w:sz="0" w:space="0" w:color="auto"/>
        <w:right w:val="none" w:sz="0" w:space="0" w:color="auto"/>
      </w:divBdr>
    </w:div>
    <w:div w:id="327291651">
      <w:bodyDiv w:val="1"/>
      <w:marLeft w:val="0"/>
      <w:marRight w:val="0"/>
      <w:marTop w:val="0"/>
      <w:marBottom w:val="0"/>
      <w:divBdr>
        <w:top w:val="none" w:sz="0" w:space="0" w:color="auto"/>
        <w:left w:val="none" w:sz="0" w:space="0" w:color="auto"/>
        <w:bottom w:val="none" w:sz="0" w:space="0" w:color="auto"/>
        <w:right w:val="none" w:sz="0" w:space="0" w:color="auto"/>
      </w:divBdr>
    </w:div>
    <w:div w:id="375324905">
      <w:bodyDiv w:val="1"/>
      <w:marLeft w:val="0"/>
      <w:marRight w:val="0"/>
      <w:marTop w:val="0"/>
      <w:marBottom w:val="0"/>
      <w:divBdr>
        <w:top w:val="none" w:sz="0" w:space="0" w:color="auto"/>
        <w:left w:val="none" w:sz="0" w:space="0" w:color="auto"/>
        <w:bottom w:val="none" w:sz="0" w:space="0" w:color="auto"/>
        <w:right w:val="none" w:sz="0" w:space="0" w:color="auto"/>
      </w:divBdr>
    </w:div>
    <w:div w:id="396323573">
      <w:bodyDiv w:val="1"/>
      <w:marLeft w:val="0"/>
      <w:marRight w:val="0"/>
      <w:marTop w:val="0"/>
      <w:marBottom w:val="0"/>
      <w:divBdr>
        <w:top w:val="none" w:sz="0" w:space="0" w:color="auto"/>
        <w:left w:val="none" w:sz="0" w:space="0" w:color="auto"/>
        <w:bottom w:val="none" w:sz="0" w:space="0" w:color="auto"/>
        <w:right w:val="none" w:sz="0" w:space="0" w:color="auto"/>
      </w:divBdr>
    </w:div>
    <w:div w:id="441999488">
      <w:bodyDiv w:val="1"/>
      <w:marLeft w:val="0"/>
      <w:marRight w:val="0"/>
      <w:marTop w:val="0"/>
      <w:marBottom w:val="0"/>
      <w:divBdr>
        <w:top w:val="none" w:sz="0" w:space="0" w:color="auto"/>
        <w:left w:val="none" w:sz="0" w:space="0" w:color="auto"/>
        <w:bottom w:val="none" w:sz="0" w:space="0" w:color="auto"/>
        <w:right w:val="none" w:sz="0" w:space="0" w:color="auto"/>
      </w:divBdr>
    </w:div>
    <w:div w:id="464660479">
      <w:bodyDiv w:val="1"/>
      <w:marLeft w:val="0"/>
      <w:marRight w:val="0"/>
      <w:marTop w:val="0"/>
      <w:marBottom w:val="0"/>
      <w:divBdr>
        <w:top w:val="none" w:sz="0" w:space="0" w:color="auto"/>
        <w:left w:val="none" w:sz="0" w:space="0" w:color="auto"/>
        <w:bottom w:val="none" w:sz="0" w:space="0" w:color="auto"/>
        <w:right w:val="none" w:sz="0" w:space="0" w:color="auto"/>
      </w:divBdr>
    </w:div>
    <w:div w:id="490677603">
      <w:bodyDiv w:val="1"/>
      <w:marLeft w:val="0"/>
      <w:marRight w:val="0"/>
      <w:marTop w:val="0"/>
      <w:marBottom w:val="0"/>
      <w:divBdr>
        <w:top w:val="none" w:sz="0" w:space="0" w:color="auto"/>
        <w:left w:val="none" w:sz="0" w:space="0" w:color="auto"/>
        <w:bottom w:val="none" w:sz="0" w:space="0" w:color="auto"/>
        <w:right w:val="none" w:sz="0" w:space="0" w:color="auto"/>
      </w:divBdr>
    </w:div>
    <w:div w:id="493565629">
      <w:bodyDiv w:val="1"/>
      <w:marLeft w:val="0"/>
      <w:marRight w:val="0"/>
      <w:marTop w:val="0"/>
      <w:marBottom w:val="0"/>
      <w:divBdr>
        <w:top w:val="none" w:sz="0" w:space="0" w:color="auto"/>
        <w:left w:val="none" w:sz="0" w:space="0" w:color="auto"/>
        <w:bottom w:val="none" w:sz="0" w:space="0" w:color="auto"/>
        <w:right w:val="none" w:sz="0" w:space="0" w:color="auto"/>
      </w:divBdr>
    </w:div>
    <w:div w:id="498548245">
      <w:bodyDiv w:val="1"/>
      <w:marLeft w:val="0"/>
      <w:marRight w:val="0"/>
      <w:marTop w:val="0"/>
      <w:marBottom w:val="0"/>
      <w:divBdr>
        <w:top w:val="none" w:sz="0" w:space="0" w:color="auto"/>
        <w:left w:val="none" w:sz="0" w:space="0" w:color="auto"/>
        <w:bottom w:val="none" w:sz="0" w:space="0" w:color="auto"/>
        <w:right w:val="none" w:sz="0" w:space="0" w:color="auto"/>
      </w:divBdr>
    </w:div>
    <w:div w:id="512649646">
      <w:bodyDiv w:val="1"/>
      <w:marLeft w:val="0"/>
      <w:marRight w:val="0"/>
      <w:marTop w:val="0"/>
      <w:marBottom w:val="0"/>
      <w:divBdr>
        <w:top w:val="none" w:sz="0" w:space="0" w:color="auto"/>
        <w:left w:val="none" w:sz="0" w:space="0" w:color="auto"/>
        <w:bottom w:val="none" w:sz="0" w:space="0" w:color="auto"/>
        <w:right w:val="none" w:sz="0" w:space="0" w:color="auto"/>
      </w:divBdr>
    </w:div>
    <w:div w:id="567806713">
      <w:bodyDiv w:val="1"/>
      <w:marLeft w:val="0"/>
      <w:marRight w:val="0"/>
      <w:marTop w:val="0"/>
      <w:marBottom w:val="0"/>
      <w:divBdr>
        <w:top w:val="none" w:sz="0" w:space="0" w:color="auto"/>
        <w:left w:val="none" w:sz="0" w:space="0" w:color="auto"/>
        <w:bottom w:val="none" w:sz="0" w:space="0" w:color="auto"/>
        <w:right w:val="none" w:sz="0" w:space="0" w:color="auto"/>
      </w:divBdr>
    </w:div>
    <w:div w:id="584610887">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94116326">
      <w:bodyDiv w:val="1"/>
      <w:marLeft w:val="0"/>
      <w:marRight w:val="0"/>
      <w:marTop w:val="0"/>
      <w:marBottom w:val="0"/>
      <w:divBdr>
        <w:top w:val="none" w:sz="0" w:space="0" w:color="auto"/>
        <w:left w:val="none" w:sz="0" w:space="0" w:color="auto"/>
        <w:bottom w:val="none" w:sz="0" w:space="0" w:color="auto"/>
        <w:right w:val="none" w:sz="0" w:space="0" w:color="auto"/>
      </w:divBdr>
    </w:div>
    <w:div w:id="732242612">
      <w:bodyDiv w:val="1"/>
      <w:marLeft w:val="0"/>
      <w:marRight w:val="0"/>
      <w:marTop w:val="0"/>
      <w:marBottom w:val="0"/>
      <w:divBdr>
        <w:top w:val="none" w:sz="0" w:space="0" w:color="auto"/>
        <w:left w:val="none" w:sz="0" w:space="0" w:color="auto"/>
        <w:bottom w:val="none" w:sz="0" w:space="0" w:color="auto"/>
        <w:right w:val="none" w:sz="0" w:space="0" w:color="auto"/>
      </w:divBdr>
    </w:div>
    <w:div w:id="781534562">
      <w:bodyDiv w:val="1"/>
      <w:marLeft w:val="0"/>
      <w:marRight w:val="0"/>
      <w:marTop w:val="0"/>
      <w:marBottom w:val="0"/>
      <w:divBdr>
        <w:top w:val="none" w:sz="0" w:space="0" w:color="auto"/>
        <w:left w:val="none" w:sz="0" w:space="0" w:color="auto"/>
        <w:bottom w:val="none" w:sz="0" w:space="0" w:color="auto"/>
        <w:right w:val="none" w:sz="0" w:space="0" w:color="auto"/>
      </w:divBdr>
    </w:div>
    <w:div w:id="79417419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54156564">
      <w:bodyDiv w:val="1"/>
      <w:marLeft w:val="0"/>
      <w:marRight w:val="0"/>
      <w:marTop w:val="0"/>
      <w:marBottom w:val="0"/>
      <w:divBdr>
        <w:top w:val="none" w:sz="0" w:space="0" w:color="auto"/>
        <w:left w:val="none" w:sz="0" w:space="0" w:color="auto"/>
        <w:bottom w:val="none" w:sz="0" w:space="0" w:color="auto"/>
        <w:right w:val="none" w:sz="0" w:space="0" w:color="auto"/>
      </w:divBdr>
    </w:div>
    <w:div w:id="858854321">
      <w:bodyDiv w:val="1"/>
      <w:marLeft w:val="0"/>
      <w:marRight w:val="0"/>
      <w:marTop w:val="0"/>
      <w:marBottom w:val="0"/>
      <w:divBdr>
        <w:top w:val="none" w:sz="0" w:space="0" w:color="auto"/>
        <w:left w:val="none" w:sz="0" w:space="0" w:color="auto"/>
        <w:bottom w:val="none" w:sz="0" w:space="0" w:color="auto"/>
        <w:right w:val="none" w:sz="0" w:space="0" w:color="auto"/>
      </w:divBdr>
    </w:div>
    <w:div w:id="874344606">
      <w:bodyDiv w:val="1"/>
      <w:marLeft w:val="0"/>
      <w:marRight w:val="0"/>
      <w:marTop w:val="0"/>
      <w:marBottom w:val="0"/>
      <w:divBdr>
        <w:top w:val="none" w:sz="0" w:space="0" w:color="auto"/>
        <w:left w:val="none" w:sz="0" w:space="0" w:color="auto"/>
        <w:bottom w:val="none" w:sz="0" w:space="0" w:color="auto"/>
        <w:right w:val="none" w:sz="0" w:space="0" w:color="auto"/>
      </w:divBdr>
    </w:div>
    <w:div w:id="899562612">
      <w:bodyDiv w:val="1"/>
      <w:marLeft w:val="0"/>
      <w:marRight w:val="0"/>
      <w:marTop w:val="0"/>
      <w:marBottom w:val="0"/>
      <w:divBdr>
        <w:top w:val="none" w:sz="0" w:space="0" w:color="auto"/>
        <w:left w:val="none" w:sz="0" w:space="0" w:color="auto"/>
        <w:bottom w:val="none" w:sz="0" w:space="0" w:color="auto"/>
        <w:right w:val="none" w:sz="0" w:space="0" w:color="auto"/>
      </w:divBdr>
    </w:div>
    <w:div w:id="908536618">
      <w:bodyDiv w:val="1"/>
      <w:marLeft w:val="0"/>
      <w:marRight w:val="0"/>
      <w:marTop w:val="0"/>
      <w:marBottom w:val="0"/>
      <w:divBdr>
        <w:top w:val="none" w:sz="0" w:space="0" w:color="auto"/>
        <w:left w:val="none" w:sz="0" w:space="0" w:color="auto"/>
        <w:bottom w:val="none" w:sz="0" w:space="0" w:color="auto"/>
        <w:right w:val="none" w:sz="0" w:space="0" w:color="auto"/>
      </w:divBdr>
    </w:div>
    <w:div w:id="912279638">
      <w:bodyDiv w:val="1"/>
      <w:marLeft w:val="0"/>
      <w:marRight w:val="0"/>
      <w:marTop w:val="0"/>
      <w:marBottom w:val="0"/>
      <w:divBdr>
        <w:top w:val="none" w:sz="0" w:space="0" w:color="auto"/>
        <w:left w:val="none" w:sz="0" w:space="0" w:color="auto"/>
        <w:bottom w:val="none" w:sz="0" w:space="0" w:color="auto"/>
        <w:right w:val="none" w:sz="0" w:space="0" w:color="auto"/>
      </w:divBdr>
    </w:div>
    <w:div w:id="953173637">
      <w:bodyDiv w:val="1"/>
      <w:marLeft w:val="0"/>
      <w:marRight w:val="0"/>
      <w:marTop w:val="0"/>
      <w:marBottom w:val="0"/>
      <w:divBdr>
        <w:top w:val="none" w:sz="0" w:space="0" w:color="auto"/>
        <w:left w:val="none" w:sz="0" w:space="0" w:color="auto"/>
        <w:bottom w:val="none" w:sz="0" w:space="0" w:color="auto"/>
        <w:right w:val="none" w:sz="0" w:space="0" w:color="auto"/>
      </w:divBdr>
    </w:div>
    <w:div w:id="1052073396">
      <w:bodyDiv w:val="1"/>
      <w:marLeft w:val="0"/>
      <w:marRight w:val="0"/>
      <w:marTop w:val="0"/>
      <w:marBottom w:val="0"/>
      <w:divBdr>
        <w:top w:val="none" w:sz="0" w:space="0" w:color="auto"/>
        <w:left w:val="none" w:sz="0" w:space="0" w:color="auto"/>
        <w:bottom w:val="none" w:sz="0" w:space="0" w:color="auto"/>
        <w:right w:val="none" w:sz="0" w:space="0" w:color="auto"/>
      </w:divBdr>
    </w:div>
    <w:div w:id="1093890777">
      <w:bodyDiv w:val="1"/>
      <w:marLeft w:val="0"/>
      <w:marRight w:val="0"/>
      <w:marTop w:val="0"/>
      <w:marBottom w:val="0"/>
      <w:divBdr>
        <w:top w:val="none" w:sz="0" w:space="0" w:color="auto"/>
        <w:left w:val="none" w:sz="0" w:space="0" w:color="auto"/>
        <w:bottom w:val="none" w:sz="0" w:space="0" w:color="auto"/>
        <w:right w:val="none" w:sz="0" w:space="0" w:color="auto"/>
      </w:divBdr>
    </w:div>
    <w:div w:id="1107042722">
      <w:bodyDiv w:val="1"/>
      <w:marLeft w:val="0"/>
      <w:marRight w:val="0"/>
      <w:marTop w:val="0"/>
      <w:marBottom w:val="0"/>
      <w:divBdr>
        <w:top w:val="none" w:sz="0" w:space="0" w:color="auto"/>
        <w:left w:val="none" w:sz="0" w:space="0" w:color="auto"/>
        <w:bottom w:val="none" w:sz="0" w:space="0" w:color="auto"/>
        <w:right w:val="none" w:sz="0" w:space="0" w:color="auto"/>
      </w:divBdr>
    </w:div>
    <w:div w:id="1121651338">
      <w:bodyDiv w:val="1"/>
      <w:marLeft w:val="0"/>
      <w:marRight w:val="0"/>
      <w:marTop w:val="0"/>
      <w:marBottom w:val="0"/>
      <w:divBdr>
        <w:top w:val="none" w:sz="0" w:space="0" w:color="auto"/>
        <w:left w:val="none" w:sz="0" w:space="0" w:color="auto"/>
        <w:bottom w:val="none" w:sz="0" w:space="0" w:color="auto"/>
        <w:right w:val="none" w:sz="0" w:space="0" w:color="auto"/>
      </w:divBdr>
    </w:div>
    <w:div w:id="122047965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763134">
      <w:bodyDiv w:val="1"/>
      <w:marLeft w:val="0"/>
      <w:marRight w:val="0"/>
      <w:marTop w:val="0"/>
      <w:marBottom w:val="0"/>
      <w:divBdr>
        <w:top w:val="none" w:sz="0" w:space="0" w:color="auto"/>
        <w:left w:val="none" w:sz="0" w:space="0" w:color="auto"/>
        <w:bottom w:val="none" w:sz="0" w:space="0" w:color="auto"/>
        <w:right w:val="none" w:sz="0" w:space="0" w:color="auto"/>
      </w:divBdr>
    </w:div>
    <w:div w:id="1231765835">
      <w:bodyDiv w:val="1"/>
      <w:marLeft w:val="0"/>
      <w:marRight w:val="0"/>
      <w:marTop w:val="0"/>
      <w:marBottom w:val="0"/>
      <w:divBdr>
        <w:top w:val="none" w:sz="0" w:space="0" w:color="auto"/>
        <w:left w:val="none" w:sz="0" w:space="0" w:color="auto"/>
        <w:bottom w:val="none" w:sz="0" w:space="0" w:color="auto"/>
        <w:right w:val="none" w:sz="0" w:space="0" w:color="auto"/>
      </w:divBdr>
    </w:div>
    <w:div w:id="1238591797">
      <w:bodyDiv w:val="1"/>
      <w:marLeft w:val="0"/>
      <w:marRight w:val="0"/>
      <w:marTop w:val="0"/>
      <w:marBottom w:val="0"/>
      <w:divBdr>
        <w:top w:val="none" w:sz="0" w:space="0" w:color="auto"/>
        <w:left w:val="none" w:sz="0" w:space="0" w:color="auto"/>
        <w:bottom w:val="none" w:sz="0" w:space="0" w:color="auto"/>
        <w:right w:val="none" w:sz="0" w:space="0" w:color="auto"/>
      </w:divBdr>
    </w:div>
    <w:div w:id="1249122291">
      <w:bodyDiv w:val="1"/>
      <w:marLeft w:val="0"/>
      <w:marRight w:val="0"/>
      <w:marTop w:val="0"/>
      <w:marBottom w:val="0"/>
      <w:divBdr>
        <w:top w:val="none" w:sz="0" w:space="0" w:color="auto"/>
        <w:left w:val="none" w:sz="0" w:space="0" w:color="auto"/>
        <w:bottom w:val="none" w:sz="0" w:space="0" w:color="auto"/>
        <w:right w:val="none" w:sz="0" w:space="0" w:color="auto"/>
      </w:divBdr>
    </w:div>
    <w:div w:id="1267150737">
      <w:bodyDiv w:val="1"/>
      <w:marLeft w:val="0"/>
      <w:marRight w:val="0"/>
      <w:marTop w:val="0"/>
      <w:marBottom w:val="0"/>
      <w:divBdr>
        <w:top w:val="none" w:sz="0" w:space="0" w:color="auto"/>
        <w:left w:val="none" w:sz="0" w:space="0" w:color="auto"/>
        <w:bottom w:val="none" w:sz="0" w:space="0" w:color="auto"/>
        <w:right w:val="none" w:sz="0" w:space="0" w:color="auto"/>
      </w:divBdr>
    </w:div>
    <w:div w:id="127227922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392479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8243772">
      <w:bodyDiv w:val="1"/>
      <w:marLeft w:val="0"/>
      <w:marRight w:val="0"/>
      <w:marTop w:val="0"/>
      <w:marBottom w:val="0"/>
      <w:divBdr>
        <w:top w:val="none" w:sz="0" w:space="0" w:color="auto"/>
        <w:left w:val="none" w:sz="0" w:space="0" w:color="auto"/>
        <w:bottom w:val="none" w:sz="0" w:space="0" w:color="auto"/>
        <w:right w:val="none" w:sz="0" w:space="0" w:color="auto"/>
      </w:divBdr>
    </w:div>
    <w:div w:id="13442360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62701270">
      <w:bodyDiv w:val="1"/>
      <w:marLeft w:val="0"/>
      <w:marRight w:val="0"/>
      <w:marTop w:val="0"/>
      <w:marBottom w:val="0"/>
      <w:divBdr>
        <w:top w:val="none" w:sz="0" w:space="0" w:color="auto"/>
        <w:left w:val="none" w:sz="0" w:space="0" w:color="auto"/>
        <w:bottom w:val="none" w:sz="0" w:space="0" w:color="auto"/>
        <w:right w:val="none" w:sz="0" w:space="0" w:color="auto"/>
      </w:divBdr>
    </w:div>
    <w:div w:id="1365909297">
      <w:bodyDiv w:val="1"/>
      <w:marLeft w:val="0"/>
      <w:marRight w:val="0"/>
      <w:marTop w:val="0"/>
      <w:marBottom w:val="0"/>
      <w:divBdr>
        <w:top w:val="none" w:sz="0" w:space="0" w:color="auto"/>
        <w:left w:val="none" w:sz="0" w:space="0" w:color="auto"/>
        <w:bottom w:val="none" w:sz="0" w:space="0" w:color="auto"/>
        <w:right w:val="none" w:sz="0" w:space="0" w:color="auto"/>
      </w:divBdr>
    </w:div>
    <w:div w:id="1441873817">
      <w:bodyDiv w:val="1"/>
      <w:marLeft w:val="0"/>
      <w:marRight w:val="0"/>
      <w:marTop w:val="0"/>
      <w:marBottom w:val="0"/>
      <w:divBdr>
        <w:top w:val="none" w:sz="0" w:space="0" w:color="auto"/>
        <w:left w:val="none" w:sz="0" w:space="0" w:color="auto"/>
        <w:bottom w:val="none" w:sz="0" w:space="0" w:color="auto"/>
        <w:right w:val="none" w:sz="0" w:space="0" w:color="auto"/>
      </w:divBdr>
    </w:div>
    <w:div w:id="1467579258">
      <w:bodyDiv w:val="1"/>
      <w:marLeft w:val="0"/>
      <w:marRight w:val="0"/>
      <w:marTop w:val="0"/>
      <w:marBottom w:val="0"/>
      <w:divBdr>
        <w:top w:val="none" w:sz="0" w:space="0" w:color="auto"/>
        <w:left w:val="none" w:sz="0" w:space="0" w:color="auto"/>
        <w:bottom w:val="none" w:sz="0" w:space="0" w:color="auto"/>
        <w:right w:val="none" w:sz="0" w:space="0" w:color="auto"/>
      </w:divBdr>
    </w:div>
    <w:div w:id="1474909894">
      <w:bodyDiv w:val="1"/>
      <w:marLeft w:val="0"/>
      <w:marRight w:val="0"/>
      <w:marTop w:val="0"/>
      <w:marBottom w:val="0"/>
      <w:divBdr>
        <w:top w:val="none" w:sz="0" w:space="0" w:color="auto"/>
        <w:left w:val="none" w:sz="0" w:space="0" w:color="auto"/>
        <w:bottom w:val="none" w:sz="0" w:space="0" w:color="auto"/>
        <w:right w:val="none" w:sz="0" w:space="0" w:color="auto"/>
      </w:divBdr>
    </w:div>
    <w:div w:id="1487436763">
      <w:bodyDiv w:val="1"/>
      <w:marLeft w:val="0"/>
      <w:marRight w:val="0"/>
      <w:marTop w:val="0"/>
      <w:marBottom w:val="0"/>
      <w:divBdr>
        <w:top w:val="none" w:sz="0" w:space="0" w:color="auto"/>
        <w:left w:val="none" w:sz="0" w:space="0" w:color="auto"/>
        <w:bottom w:val="none" w:sz="0" w:space="0" w:color="auto"/>
        <w:right w:val="none" w:sz="0" w:space="0" w:color="auto"/>
      </w:divBdr>
    </w:div>
    <w:div w:id="1488475584">
      <w:bodyDiv w:val="1"/>
      <w:marLeft w:val="0"/>
      <w:marRight w:val="0"/>
      <w:marTop w:val="0"/>
      <w:marBottom w:val="0"/>
      <w:divBdr>
        <w:top w:val="none" w:sz="0" w:space="0" w:color="auto"/>
        <w:left w:val="none" w:sz="0" w:space="0" w:color="auto"/>
        <w:bottom w:val="none" w:sz="0" w:space="0" w:color="auto"/>
        <w:right w:val="none" w:sz="0" w:space="0" w:color="auto"/>
      </w:divBdr>
    </w:div>
    <w:div w:id="1516841784">
      <w:bodyDiv w:val="1"/>
      <w:marLeft w:val="0"/>
      <w:marRight w:val="0"/>
      <w:marTop w:val="0"/>
      <w:marBottom w:val="0"/>
      <w:divBdr>
        <w:top w:val="none" w:sz="0" w:space="0" w:color="auto"/>
        <w:left w:val="none" w:sz="0" w:space="0" w:color="auto"/>
        <w:bottom w:val="none" w:sz="0" w:space="0" w:color="auto"/>
        <w:right w:val="none" w:sz="0" w:space="0" w:color="auto"/>
      </w:divBdr>
    </w:div>
    <w:div w:id="1528175819">
      <w:bodyDiv w:val="1"/>
      <w:marLeft w:val="0"/>
      <w:marRight w:val="0"/>
      <w:marTop w:val="0"/>
      <w:marBottom w:val="0"/>
      <w:divBdr>
        <w:top w:val="none" w:sz="0" w:space="0" w:color="auto"/>
        <w:left w:val="none" w:sz="0" w:space="0" w:color="auto"/>
        <w:bottom w:val="none" w:sz="0" w:space="0" w:color="auto"/>
        <w:right w:val="none" w:sz="0" w:space="0" w:color="auto"/>
      </w:divBdr>
    </w:div>
    <w:div w:id="1555501231">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74851304">
      <w:bodyDiv w:val="1"/>
      <w:marLeft w:val="0"/>
      <w:marRight w:val="0"/>
      <w:marTop w:val="0"/>
      <w:marBottom w:val="0"/>
      <w:divBdr>
        <w:top w:val="none" w:sz="0" w:space="0" w:color="auto"/>
        <w:left w:val="none" w:sz="0" w:space="0" w:color="auto"/>
        <w:bottom w:val="none" w:sz="0" w:space="0" w:color="auto"/>
        <w:right w:val="none" w:sz="0" w:space="0" w:color="auto"/>
      </w:divBdr>
    </w:div>
    <w:div w:id="1612198747">
      <w:bodyDiv w:val="1"/>
      <w:marLeft w:val="0"/>
      <w:marRight w:val="0"/>
      <w:marTop w:val="0"/>
      <w:marBottom w:val="0"/>
      <w:divBdr>
        <w:top w:val="none" w:sz="0" w:space="0" w:color="auto"/>
        <w:left w:val="none" w:sz="0" w:space="0" w:color="auto"/>
        <w:bottom w:val="none" w:sz="0" w:space="0" w:color="auto"/>
        <w:right w:val="none" w:sz="0" w:space="0" w:color="auto"/>
      </w:divBdr>
    </w:div>
    <w:div w:id="1621064657">
      <w:bodyDiv w:val="1"/>
      <w:marLeft w:val="0"/>
      <w:marRight w:val="0"/>
      <w:marTop w:val="0"/>
      <w:marBottom w:val="0"/>
      <w:divBdr>
        <w:top w:val="none" w:sz="0" w:space="0" w:color="auto"/>
        <w:left w:val="none" w:sz="0" w:space="0" w:color="auto"/>
        <w:bottom w:val="none" w:sz="0" w:space="0" w:color="auto"/>
        <w:right w:val="none" w:sz="0" w:space="0" w:color="auto"/>
      </w:divBdr>
    </w:div>
    <w:div w:id="1635789143">
      <w:bodyDiv w:val="1"/>
      <w:marLeft w:val="0"/>
      <w:marRight w:val="0"/>
      <w:marTop w:val="0"/>
      <w:marBottom w:val="0"/>
      <w:divBdr>
        <w:top w:val="none" w:sz="0" w:space="0" w:color="auto"/>
        <w:left w:val="none" w:sz="0" w:space="0" w:color="auto"/>
        <w:bottom w:val="none" w:sz="0" w:space="0" w:color="auto"/>
        <w:right w:val="none" w:sz="0" w:space="0" w:color="auto"/>
      </w:divBdr>
    </w:div>
    <w:div w:id="1677880677">
      <w:bodyDiv w:val="1"/>
      <w:marLeft w:val="0"/>
      <w:marRight w:val="0"/>
      <w:marTop w:val="0"/>
      <w:marBottom w:val="0"/>
      <w:divBdr>
        <w:top w:val="none" w:sz="0" w:space="0" w:color="auto"/>
        <w:left w:val="none" w:sz="0" w:space="0" w:color="auto"/>
        <w:bottom w:val="none" w:sz="0" w:space="0" w:color="auto"/>
        <w:right w:val="none" w:sz="0" w:space="0" w:color="auto"/>
      </w:divBdr>
    </w:div>
    <w:div w:id="1703941297">
      <w:bodyDiv w:val="1"/>
      <w:marLeft w:val="0"/>
      <w:marRight w:val="0"/>
      <w:marTop w:val="0"/>
      <w:marBottom w:val="0"/>
      <w:divBdr>
        <w:top w:val="none" w:sz="0" w:space="0" w:color="auto"/>
        <w:left w:val="none" w:sz="0" w:space="0" w:color="auto"/>
        <w:bottom w:val="none" w:sz="0" w:space="0" w:color="auto"/>
        <w:right w:val="none" w:sz="0" w:space="0" w:color="auto"/>
      </w:divBdr>
    </w:div>
    <w:div w:id="1759591717">
      <w:bodyDiv w:val="1"/>
      <w:marLeft w:val="0"/>
      <w:marRight w:val="0"/>
      <w:marTop w:val="0"/>
      <w:marBottom w:val="0"/>
      <w:divBdr>
        <w:top w:val="none" w:sz="0" w:space="0" w:color="auto"/>
        <w:left w:val="none" w:sz="0" w:space="0" w:color="auto"/>
        <w:bottom w:val="none" w:sz="0" w:space="0" w:color="auto"/>
        <w:right w:val="none" w:sz="0" w:space="0" w:color="auto"/>
      </w:divBdr>
    </w:div>
    <w:div w:id="1766918350">
      <w:bodyDiv w:val="1"/>
      <w:marLeft w:val="0"/>
      <w:marRight w:val="0"/>
      <w:marTop w:val="0"/>
      <w:marBottom w:val="0"/>
      <w:divBdr>
        <w:top w:val="none" w:sz="0" w:space="0" w:color="auto"/>
        <w:left w:val="none" w:sz="0" w:space="0" w:color="auto"/>
        <w:bottom w:val="none" w:sz="0" w:space="0" w:color="auto"/>
        <w:right w:val="none" w:sz="0" w:space="0" w:color="auto"/>
      </w:divBdr>
    </w:div>
    <w:div w:id="1770782759">
      <w:bodyDiv w:val="1"/>
      <w:marLeft w:val="0"/>
      <w:marRight w:val="0"/>
      <w:marTop w:val="0"/>
      <w:marBottom w:val="0"/>
      <w:divBdr>
        <w:top w:val="none" w:sz="0" w:space="0" w:color="auto"/>
        <w:left w:val="none" w:sz="0" w:space="0" w:color="auto"/>
        <w:bottom w:val="none" w:sz="0" w:space="0" w:color="auto"/>
        <w:right w:val="none" w:sz="0" w:space="0" w:color="auto"/>
      </w:divBdr>
    </w:div>
    <w:div w:id="1774785672">
      <w:bodyDiv w:val="1"/>
      <w:marLeft w:val="0"/>
      <w:marRight w:val="0"/>
      <w:marTop w:val="0"/>
      <w:marBottom w:val="0"/>
      <w:divBdr>
        <w:top w:val="none" w:sz="0" w:space="0" w:color="auto"/>
        <w:left w:val="none" w:sz="0" w:space="0" w:color="auto"/>
        <w:bottom w:val="none" w:sz="0" w:space="0" w:color="auto"/>
        <w:right w:val="none" w:sz="0" w:space="0" w:color="auto"/>
      </w:divBdr>
    </w:div>
    <w:div w:id="1778058972">
      <w:bodyDiv w:val="1"/>
      <w:marLeft w:val="0"/>
      <w:marRight w:val="0"/>
      <w:marTop w:val="0"/>
      <w:marBottom w:val="0"/>
      <w:divBdr>
        <w:top w:val="none" w:sz="0" w:space="0" w:color="auto"/>
        <w:left w:val="none" w:sz="0" w:space="0" w:color="auto"/>
        <w:bottom w:val="none" w:sz="0" w:space="0" w:color="auto"/>
        <w:right w:val="none" w:sz="0" w:space="0" w:color="auto"/>
      </w:divBdr>
    </w:div>
    <w:div w:id="179131978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924555">
      <w:bodyDiv w:val="1"/>
      <w:marLeft w:val="0"/>
      <w:marRight w:val="0"/>
      <w:marTop w:val="0"/>
      <w:marBottom w:val="0"/>
      <w:divBdr>
        <w:top w:val="none" w:sz="0" w:space="0" w:color="auto"/>
        <w:left w:val="none" w:sz="0" w:space="0" w:color="auto"/>
        <w:bottom w:val="none" w:sz="0" w:space="0" w:color="auto"/>
        <w:right w:val="none" w:sz="0" w:space="0" w:color="auto"/>
      </w:divBdr>
    </w:div>
    <w:div w:id="1815369194">
      <w:bodyDiv w:val="1"/>
      <w:marLeft w:val="0"/>
      <w:marRight w:val="0"/>
      <w:marTop w:val="0"/>
      <w:marBottom w:val="0"/>
      <w:divBdr>
        <w:top w:val="none" w:sz="0" w:space="0" w:color="auto"/>
        <w:left w:val="none" w:sz="0" w:space="0" w:color="auto"/>
        <w:bottom w:val="none" w:sz="0" w:space="0" w:color="auto"/>
        <w:right w:val="none" w:sz="0" w:space="0" w:color="auto"/>
      </w:divBdr>
    </w:div>
    <w:div w:id="1825662139">
      <w:bodyDiv w:val="1"/>
      <w:marLeft w:val="0"/>
      <w:marRight w:val="0"/>
      <w:marTop w:val="0"/>
      <w:marBottom w:val="0"/>
      <w:divBdr>
        <w:top w:val="none" w:sz="0" w:space="0" w:color="auto"/>
        <w:left w:val="none" w:sz="0" w:space="0" w:color="auto"/>
        <w:bottom w:val="none" w:sz="0" w:space="0" w:color="auto"/>
        <w:right w:val="none" w:sz="0" w:space="0" w:color="auto"/>
      </w:divBdr>
    </w:div>
    <w:div w:id="1854494205">
      <w:bodyDiv w:val="1"/>
      <w:marLeft w:val="0"/>
      <w:marRight w:val="0"/>
      <w:marTop w:val="0"/>
      <w:marBottom w:val="0"/>
      <w:divBdr>
        <w:top w:val="none" w:sz="0" w:space="0" w:color="auto"/>
        <w:left w:val="none" w:sz="0" w:space="0" w:color="auto"/>
        <w:bottom w:val="none" w:sz="0" w:space="0" w:color="auto"/>
        <w:right w:val="none" w:sz="0" w:space="0" w:color="auto"/>
      </w:divBdr>
    </w:div>
    <w:div w:id="1858542319">
      <w:bodyDiv w:val="1"/>
      <w:marLeft w:val="0"/>
      <w:marRight w:val="0"/>
      <w:marTop w:val="0"/>
      <w:marBottom w:val="0"/>
      <w:divBdr>
        <w:top w:val="none" w:sz="0" w:space="0" w:color="auto"/>
        <w:left w:val="none" w:sz="0" w:space="0" w:color="auto"/>
        <w:bottom w:val="none" w:sz="0" w:space="0" w:color="auto"/>
        <w:right w:val="none" w:sz="0" w:space="0" w:color="auto"/>
      </w:divBdr>
    </w:div>
    <w:div w:id="1904565714">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1237626">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79450139">
      <w:bodyDiv w:val="1"/>
      <w:marLeft w:val="0"/>
      <w:marRight w:val="0"/>
      <w:marTop w:val="0"/>
      <w:marBottom w:val="0"/>
      <w:divBdr>
        <w:top w:val="none" w:sz="0" w:space="0" w:color="auto"/>
        <w:left w:val="none" w:sz="0" w:space="0" w:color="auto"/>
        <w:bottom w:val="none" w:sz="0" w:space="0" w:color="auto"/>
        <w:right w:val="none" w:sz="0" w:space="0" w:color="auto"/>
      </w:divBdr>
    </w:div>
    <w:div w:id="1986542580">
      <w:bodyDiv w:val="1"/>
      <w:marLeft w:val="0"/>
      <w:marRight w:val="0"/>
      <w:marTop w:val="0"/>
      <w:marBottom w:val="0"/>
      <w:divBdr>
        <w:top w:val="none" w:sz="0" w:space="0" w:color="auto"/>
        <w:left w:val="none" w:sz="0" w:space="0" w:color="auto"/>
        <w:bottom w:val="none" w:sz="0" w:space="0" w:color="auto"/>
        <w:right w:val="none" w:sz="0" w:space="0" w:color="auto"/>
      </w:divBdr>
    </w:div>
    <w:div w:id="2011180425">
      <w:bodyDiv w:val="1"/>
      <w:marLeft w:val="0"/>
      <w:marRight w:val="0"/>
      <w:marTop w:val="0"/>
      <w:marBottom w:val="0"/>
      <w:divBdr>
        <w:top w:val="none" w:sz="0" w:space="0" w:color="auto"/>
        <w:left w:val="none" w:sz="0" w:space="0" w:color="auto"/>
        <w:bottom w:val="none" w:sz="0" w:space="0" w:color="auto"/>
        <w:right w:val="none" w:sz="0" w:space="0" w:color="auto"/>
      </w:divBdr>
    </w:div>
    <w:div w:id="2021471672">
      <w:bodyDiv w:val="1"/>
      <w:marLeft w:val="0"/>
      <w:marRight w:val="0"/>
      <w:marTop w:val="0"/>
      <w:marBottom w:val="0"/>
      <w:divBdr>
        <w:top w:val="none" w:sz="0" w:space="0" w:color="auto"/>
        <w:left w:val="none" w:sz="0" w:space="0" w:color="auto"/>
        <w:bottom w:val="none" w:sz="0" w:space="0" w:color="auto"/>
        <w:right w:val="none" w:sz="0" w:space="0" w:color="auto"/>
      </w:divBdr>
    </w:div>
    <w:div w:id="2034837469">
      <w:bodyDiv w:val="1"/>
      <w:marLeft w:val="0"/>
      <w:marRight w:val="0"/>
      <w:marTop w:val="0"/>
      <w:marBottom w:val="0"/>
      <w:divBdr>
        <w:top w:val="none" w:sz="0" w:space="0" w:color="auto"/>
        <w:left w:val="none" w:sz="0" w:space="0" w:color="auto"/>
        <w:bottom w:val="none" w:sz="0" w:space="0" w:color="auto"/>
        <w:right w:val="none" w:sz="0" w:space="0" w:color="auto"/>
      </w:divBdr>
    </w:div>
    <w:div w:id="2042894611">
      <w:bodyDiv w:val="1"/>
      <w:marLeft w:val="0"/>
      <w:marRight w:val="0"/>
      <w:marTop w:val="0"/>
      <w:marBottom w:val="0"/>
      <w:divBdr>
        <w:top w:val="none" w:sz="0" w:space="0" w:color="auto"/>
        <w:left w:val="none" w:sz="0" w:space="0" w:color="auto"/>
        <w:bottom w:val="none" w:sz="0" w:space="0" w:color="auto"/>
        <w:right w:val="none" w:sz="0" w:space="0" w:color="auto"/>
      </w:divBdr>
    </w:div>
    <w:div w:id="2070104349">
      <w:bodyDiv w:val="1"/>
      <w:marLeft w:val="0"/>
      <w:marRight w:val="0"/>
      <w:marTop w:val="0"/>
      <w:marBottom w:val="0"/>
      <w:divBdr>
        <w:top w:val="none" w:sz="0" w:space="0" w:color="auto"/>
        <w:left w:val="none" w:sz="0" w:space="0" w:color="auto"/>
        <w:bottom w:val="none" w:sz="0" w:space="0" w:color="auto"/>
        <w:right w:val="none" w:sz="0" w:space="0" w:color="auto"/>
      </w:divBdr>
    </w:div>
    <w:div w:id="2111778548">
      <w:bodyDiv w:val="1"/>
      <w:marLeft w:val="0"/>
      <w:marRight w:val="0"/>
      <w:marTop w:val="0"/>
      <w:marBottom w:val="0"/>
      <w:divBdr>
        <w:top w:val="none" w:sz="0" w:space="0" w:color="auto"/>
        <w:left w:val="none" w:sz="0" w:space="0" w:color="auto"/>
        <w:bottom w:val="none" w:sz="0" w:space="0" w:color="auto"/>
        <w:right w:val="none" w:sz="0" w:space="0" w:color="auto"/>
      </w:divBdr>
    </w:div>
    <w:div w:id="2136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cc-csc.ca/case-dossier/info/sum-som-eng.aspx?cas=39337" TargetMode="External"/><Relationship Id="rId21" Type="http://schemas.openxmlformats.org/officeDocument/2006/relationships/hyperlink" Target="https://www.scc-csc.ca/case-dossier/info/sum-som-eng.aspx?cas=39274" TargetMode="External"/><Relationship Id="rId42" Type="http://schemas.openxmlformats.org/officeDocument/2006/relationships/hyperlink" Target="https://www.canlii.org/fr/qc/qcca/doc/2020/2020qcca658/2020qcca658.html?autocompleteStr=2020%20qcca%20658&amp;autocompletePos=1" TargetMode="External"/><Relationship Id="rId47" Type="http://schemas.openxmlformats.org/officeDocument/2006/relationships/hyperlink" Target="https://www.canlii.org/fr/qc/qccq/doc/2018/2018qccq10986/2018qccq10986.html?autocompleteStr=2018%20qccq%2010986&amp;autocompletePos=1" TargetMode="External"/><Relationship Id="rId63" Type="http://schemas.openxmlformats.org/officeDocument/2006/relationships/hyperlink" Target="http://canlii.ca/t/hs9qc" TargetMode="External"/><Relationship Id="rId68" Type="http://schemas.openxmlformats.org/officeDocument/2006/relationships/hyperlink" Target="https://www.canlii.org/fr/qc/qcca/doc/2020/2020qcca625/2020qcca625.html" TargetMode="External"/><Relationship Id="rId84" Type="http://schemas.openxmlformats.org/officeDocument/2006/relationships/hyperlink" Target="https://www.canlii.org/en/on/onhrt/doc/2016/2016hrto232/2016hrto232.html?autocompleteStr=2016%20HRTO%20232&amp;autocompletePos=1" TargetMode="External"/><Relationship Id="rId89" Type="http://schemas.openxmlformats.org/officeDocument/2006/relationships/hyperlink" Target="https://www.canlii.org/en/on/onhrt/doc/2017/2017hrto454/2017hrto454.html?autocompleteStr=2017%20HRTO%20454&amp;autocompletePos=1" TargetMode="External"/><Relationship Id="rId112" Type="http://schemas.openxmlformats.org/officeDocument/2006/relationships/footer" Target="footer2.xml"/><Relationship Id="rId16" Type="http://schemas.openxmlformats.org/officeDocument/2006/relationships/hyperlink" Target="https://www.scc-csc.ca/case-dossier/info/sum-som-eng.aspx?cas=39313" TargetMode="External"/><Relationship Id="rId107" Type="http://schemas.openxmlformats.org/officeDocument/2006/relationships/hyperlink" Target="https://www.canlii.org/en/ca/fca/doc/2020/2020fca93/2020fca93.html?resultIndex=1" TargetMode="External"/><Relationship Id="rId11" Type="http://schemas.openxmlformats.org/officeDocument/2006/relationships/hyperlink" Target="https://www.scc-csc.ca/case-dossier/info/sum-som-eng.aspx?cas=39102" TargetMode="External"/><Relationship Id="rId24" Type="http://schemas.openxmlformats.org/officeDocument/2006/relationships/hyperlink" Target="https://www.scc-csc.ca/case-dossier/info/sum-som-eng.aspx?cas=39213" TargetMode="External"/><Relationship Id="rId32" Type="http://schemas.openxmlformats.org/officeDocument/2006/relationships/hyperlink" Target="https://www.canlii.org/fr/qc/qcca/doc/2020/2020qcca681/2020qcca681.html" TargetMode="External"/><Relationship Id="rId37" Type="http://schemas.openxmlformats.org/officeDocument/2006/relationships/hyperlink" Target="https://www.canlii.org/en/on/onsc/doc/2019/2019onsc279/2019onsc279.html?autocompleteStr=2019%20ONSC%20279&amp;autocompletePos=1" TargetMode="External"/><Relationship Id="rId40" Type="http://schemas.openxmlformats.org/officeDocument/2006/relationships/hyperlink" Target="https://www.canlii.org/en/on/onca/doc/2019/2019onca975/2019onca975.html?autocompleteStr=2019%20ONCA%20975&amp;autocompletePos=1" TargetMode="External"/><Relationship Id="rId45" Type="http://schemas.openxmlformats.org/officeDocument/2006/relationships/hyperlink" Target="https://www.canlii.org/fr/qc/qccq/doc/2018/2018qccq10986/2018qccq10986.html?autocompleteStr=2018%20qccq%2010986&amp;autocompletePos=1" TargetMode="External"/><Relationship Id="rId53" Type="http://schemas.openxmlformats.org/officeDocument/2006/relationships/hyperlink" Target="https://www.canlii.org/en/nl/nlsc/doc/2018/2018nlsc60/2018nlsc60.html" TargetMode="External"/><Relationship Id="rId58" Type="http://schemas.openxmlformats.org/officeDocument/2006/relationships/hyperlink" Target="https://www.canlii.org/en/bc/bcca/doc/2020/2020bcca128/2020bcca128.html?searchUrlHash=AAAAAQAKSmlhbiBIdSBXdQAAAAAB&amp;resultIndex=4" TargetMode="External"/><Relationship Id="rId66" Type="http://schemas.openxmlformats.org/officeDocument/2006/relationships/hyperlink" Target="https://www.canlii.org/en/ab/abqb/doc/2019/2019abqb389/2019abqb389.html?resultIndex=1" TargetMode="External"/><Relationship Id="rId74" Type="http://schemas.openxmlformats.org/officeDocument/2006/relationships/hyperlink" Target="http://canlii.ca/t/j6cx6" TargetMode="External"/><Relationship Id="rId79" Type="http://schemas.openxmlformats.org/officeDocument/2006/relationships/hyperlink" Target="http://canlii.ca/t/hr0x6" TargetMode="External"/><Relationship Id="rId87" Type="http://schemas.openxmlformats.org/officeDocument/2006/relationships/hyperlink" Target="https://www.canlii.org/en/on/onhrt/doc/2016/2016hrto86/2016hrto86.html?autocompleteStr=2016%20HRTO%2086&amp;autocompletePos=1" TargetMode="External"/><Relationship Id="rId102" Type="http://schemas.openxmlformats.org/officeDocument/2006/relationships/hyperlink" Target="https://www.canlii.org/en/ca/tcc/doc/2018/2018tcc220/2018tcc220.html" TargetMode="External"/><Relationship Id="rId110" Type="http://schemas.openxmlformats.org/officeDocument/2006/relationships/header" Target="header2.xm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canlii.ca/t/hs9qc" TargetMode="External"/><Relationship Id="rId82" Type="http://schemas.openxmlformats.org/officeDocument/2006/relationships/hyperlink" Target="https://www.canlii.org/en/ab/abca/doc/2019/2019abca507/2019abca507.html?autocompleteStr=2019%20ABCA%20507&amp;autocompletePos=1" TargetMode="External"/><Relationship Id="rId90" Type="http://schemas.openxmlformats.org/officeDocument/2006/relationships/hyperlink" Target="https://www.canlii.org/en/on/onscdc/doc/2019/2019onsc3879/2019onsc3879.html?autocompleteStr=2019%20ONSC%203879&amp;autocompletePos=1" TargetMode="External"/><Relationship Id="rId95" Type="http://schemas.openxmlformats.org/officeDocument/2006/relationships/hyperlink" Target="https://www.canlii.org/en/sk/laws/stat/rss-1978-c-a-35/latest/rss-1978-c-a-35.html" TargetMode="External"/><Relationship Id="rId19" Type="http://schemas.openxmlformats.org/officeDocument/2006/relationships/hyperlink" Target="https://www.scc-csc.ca/case-dossier/info/sum-som-fra.aspx?cas=39242" TargetMode="External"/><Relationship Id="rId14" Type="http://schemas.openxmlformats.org/officeDocument/2006/relationships/hyperlink" Target="https://www.scc-csc.ca/case-dossier/info/sum-som-eng.aspx?cas=39326" TargetMode="External"/><Relationship Id="rId22" Type="http://schemas.openxmlformats.org/officeDocument/2006/relationships/hyperlink" Target="https://www.scc-csc.ca/case-dossier/info/sum-som-eng.aspx?cas=39301" TargetMode="External"/><Relationship Id="rId27" Type="http://schemas.openxmlformats.org/officeDocument/2006/relationships/hyperlink" Target="https://www.scc-csc.ca/case-dossier/info/sum-som-eng.aspx?cas=39303" TargetMode="External"/><Relationship Id="rId30" Type="http://schemas.openxmlformats.org/officeDocument/2006/relationships/hyperlink" Target="https://www.canlii.org/en/on/onca/doc/2020/2020onca307/2020onca307.html?resultIndex=1" TargetMode="External"/><Relationship Id="rId35" Type="http://schemas.openxmlformats.org/officeDocument/2006/relationships/hyperlink" Target="https://www.canlii.org/en/on/onca/doc/2020/2020onca480/2020onca480.html?autocompleteStr=2020%20ONCA%20480&amp;autocompletePos=1" TargetMode="External"/><Relationship Id="rId43" Type="http://schemas.openxmlformats.org/officeDocument/2006/relationships/hyperlink" Target="https://www.canlii.org/fr/qc/qccq/doc/2017/2017qccq21229/2017qccq21229.html" TargetMode="External"/><Relationship Id="rId48" Type="http://schemas.openxmlformats.org/officeDocument/2006/relationships/hyperlink" Target="https://www.canlii.org/fr/qc/qcca/doc/2020/2020qcca850/2020qcca850.html" TargetMode="External"/><Relationship Id="rId56" Type="http://schemas.openxmlformats.org/officeDocument/2006/relationships/hyperlink" Target="https://www.canlii.org/en/nl/nlca/doc/2020/2020nlca27/2020nlca27.html" TargetMode="External"/><Relationship Id="rId64" Type="http://schemas.openxmlformats.org/officeDocument/2006/relationships/hyperlink" Target="http://canlii.ca/t/j5bdq" TargetMode="External"/><Relationship Id="rId69" Type="http://schemas.openxmlformats.org/officeDocument/2006/relationships/hyperlink" Target="http://canlii.ca/t/hqjn7" TargetMode="External"/><Relationship Id="rId77" Type="http://schemas.openxmlformats.org/officeDocument/2006/relationships/hyperlink" Target="http://canlii.ca/t/hr0x6" TargetMode="External"/><Relationship Id="rId100" Type="http://schemas.openxmlformats.org/officeDocument/2006/relationships/hyperlink" Target="https://www.canlii.org/en/ca/tcc/doc/2018/2018tcc220/2018tcc220.html" TargetMode="External"/><Relationship Id="rId105" Type="http://schemas.openxmlformats.org/officeDocument/2006/relationships/hyperlink" Target="https://www.canlii.org/en/ca/fca/doc/2020/2020fca93/2020fca93.html?resultIndex=1" TargetMode="External"/><Relationship Id="rId113" Type="http://schemas.openxmlformats.org/officeDocument/2006/relationships/header" Target="header3.xml"/><Relationship Id="rId8" Type="http://schemas.openxmlformats.org/officeDocument/2006/relationships/hyperlink" Target="https://www.scc-csc.ca/case-dossier/info/sum-som-eng.aspx?cas=39322" TargetMode="External"/><Relationship Id="rId51" Type="http://schemas.openxmlformats.org/officeDocument/2006/relationships/hyperlink" Target="https://www.canlii.org/en/on/onsc/doc/2019/2019onsc5705/2019onsc5705.html?autocompleteStr=2019%20ONSC%205705&amp;autocompletePos=1" TargetMode="External"/><Relationship Id="rId72" Type="http://schemas.openxmlformats.org/officeDocument/2006/relationships/hyperlink" Target="http://canlii.ca/t/j8tgz" TargetMode="External"/><Relationship Id="rId80" Type="http://schemas.openxmlformats.org/officeDocument/2006/relationships/hyperlink" Target="http://canlii.ca/t/j8g84" TargetMode="External"/><Relationship Id="rId85" Type="http://schemas.openxmlformats.org/officeDocument/2006/relationships/hyperlink" Target="https://www.canlii.org/en/on/onhrt/doc/2017/2017hrto454/2017hrto454.html?autocompleteStr=2017%20HRTO%20454&amp;autocompletePos=1" TargetMode="External"/><Relationship Id="rId93" Type="http://schemas.openxmlformats.org/officeDocument/2006/relationships/hyperlink" Target="http://canlii.ca/t/hx9h9" TargetMode="External"/><Relationship Id="rId98" Type="http://schemas.openxmlformats.org/officeDocument/2006/relationships/hyperlink" Target="https://www.canlii.org/en/sk/skqb/doc/2019/2019skqb108/2019skqb108.html?autocompleteStr=2019%20SKQB%20108&amp;autocompletePos=1" TargetMode="External"/><Relationship Id="rId3" Type="http://schemas.openxmlformats.org/officeDocument/2006/relationships/styles" Target="styles.xml"/><Relationship Id="rId12" Type="http://schemas.openxmlformats.org/officeDocument/2006/relationships/hyperlink" Target="https://www.scc-csc.ca/case-dossier/info/sum-som-fra.aspx?cas=39291" TargetMode="External"/><Relationship Id="rId17" Type="http://schemas.openxmlformats.org/officeDocument/2006/relationships/hyperlink" Target="https://www.scc-csc.ca/case-dossier/info/sum-som-fra.aspx?cas=39306" TargetMode="External"/><Relationship Id="rId25" Type="http://schemas.openxmlformats.org/officeDocument/2006/relationships/hyperlink" Target="https://www.scc-csc.ca/case-dossier/info/sum-som-eng.aspx?cas=39191" TargetMode="External"/><Relationship Id="rId33" Type="http://schemas.openxmlformats.org/officeDocument/2006/relationships/hyperlink" Target="https://www.canlii.org/fr/qc/qccq/doc/2018/2018qccq556/2018qccq556.html?resultIndex=1" TargetMode="External"/><Relationship Id="rId38" Type="http://schemas.openxmlformats.org/officeDocument/2006/relationships/hyperlink" Target="https://www.canlii.org/en/on/onca/doc/2019/2019onca975/2019onca975.html?autocompleteStr=2019%20ONCA%20975&amp;autocompletePos=1" TargetMode="External"/><Relationship Id="rId46" Type="http://schemas.openxmlformats.org/officeDocument/2006/relationships/hyperlink" Target="https://www.canlii.org/en/qc/qcca/doc/2018/2018qcca1269/2018qcca1269.html" TargetMode="External"/><Relationship Id="rId59" Type="http://schemas.openxmlformats.org/officeDocument/2006/relationships/hyperlink" Target="https://www.canlii.org/en/bc/bcsc/doc/2017/2017bcsc2271/2017bcsc2271.html?searchUrlHash=AAAAAQAOMjAxNyBCQ1NDIDIyNzEAAAAAAQ&amp;resultIndex=1" TargetMode="External"/><Relationship Id="rId67" Type="http://schemas.openxmlformats.org/officeDocument/2006/relationships/hyperlink" Target="https://www.canlii.org/fr/qc/qcca/doc/2020/2020qcca625/2020qcca625.html" TargetMode="External"/><Relationship Id="rId103" Type="http://schemas.openxmlformats.org/officeDocument/2006/relationships/hyperlink" Target="https://www.canlii.org/en/ca/fca/doc/2020/2020fca93/2020fca93.html?resultIndex=1" TargetMode="External"/><Relationship Id="rId108" Type="http://schemas.openxmlformats.org/officeDocument/2006/relationships/hyperlink" Target="mailto:comments-commentaires@scc-csc.ca" TargetMode="External"/><Relationship Id="rId116" Type="http://schemas.openxmlformats.org/officeDocument/2006/relationships/theme" Target="theme/theme1.xml"/><Relationship Id="rId20" Type="http://schemas.openxmlformats.org/officeDocument/2006/relationships/hyperlink" Target="https://www.scc-csc.ca/case-dossier/info/sum-som-eng.aspx?cas=39346" TargetMode="External"/><Relationship Id="rId41" Type="http://schemas.openxmlformats.org/officeDocument/2006/relationships/hyperlink" Target="https://www.canlii.org/fr/qc/qccq/doc/2017/2017qccq21229/2017qccq21229.html" TargetMode="External"/><Relationship Id="rId54" Type="http://schemas.openxmlformats.org/officeDocument/2006/relationships/hyperlink" Target="https://www.canlii.org/en/nl/nlca/doc/2020/2020nlca27/2020nlca27.html" TargetMode="External"/><Relationship Id="rId62" Type="http://schemas.openxmlformats.org/officeDocument/2006/relationships/hyperlink" Target="http://canlii.ca/t/j5bdq" TargetMode="External"/><Relationship Id="rId70" Type="http://schemas.openxmlformats.org/officeDocument/2006/relationships/hyperlink" Target="http://canlii.ca/t/j8tgz" TargetMode="External"/><Relationship Id="rId75" Type="http://schemas.openxmlformats.org/officeDocument/2006/relationships/hyperlink" Target="http://canlii.ca/t/h5j0q" TargetMode="External"/><Relationship Id="rId83" Type="http://schemas.openxmlformats.org/officeDocument/2006/relationships/hyperlink" Target="https://www.canlii.org/en/on/onhrt/doc/2016/2016hrto86/2016hrto86.html?autocompleteStr=2016%20HRTO%2086&amp;autocompletePos=1" TargetMode="External"/><Relationship Id="rId88" Type="http://schemas.openxmlformats.org/officeDocument/2006/relationships/hyperlink" Target="https://www.canlii.org/en/on/onhrt/doc/2016/2016hrto232/2016hrto232.html?autocompleteStr=2016%20HRTO%20232&amp;autocompletePos=1" TargetMode="External"/><Relationship Id="rId91" Type="http://schemas.openxmlformats.org/officeDocument/2006/relationships/hyperlink" Target="http://canlii.ca/t/hx9h9" TargetMode="External"/><Relationship Id="rId96" Type="http://schemas.openxmlformats.org/officeDocument/2006/relationships/hyperlink" Target="https://www.canlii.org/en/sk/skqb/doc/2019/2019skqb108/2019skqb108.html?autocompleteStr=2019%20SKQB%20108&amp;autocompletePos=1"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c-csc.ca/case-dossier/info/sum-som-eng.aspx?cas=39343" TargetMode="External"/><Relationship Id="rId23" Type="http://schemas.openxmlformats.org/officeDocument/2006/relationships/hyperlink" Target="https://www.scc-csc.ca/case-dossier/info/sum-som-eng.aspx?cas=39250" TargetMode="External"/><Relationship Id="rId28" Type="http://schemas.openxmlformats.org/officeDocument/2006/relationships/hyperlink" Target="https://www.scc-csc.ca/case-dossier/info/sum-som-eng.aspx?cas=39359" TargetMode="External"/><Relationship Id="rId36" Type="http://schemas.openxmlformats.org/officeDocument/2006/relationships/hyperlink" Target="https://www.canlii.org/en/on/onca/doc/2020/2020onca480/2020onca480.html?autocompleteStr=2020%20ONCA%20480&amp;autocompletePos=1" TargetMode="External"/><Relationship Id="rId49" Type="http://schemas.openxmlformats.org/officeDocument/2006/relationships/hyperlink" Target="https://www.canlii.org/en/on/onsc/doc/2019/2019onsc5705/2019onsc5705.html?autocompleteStr=2019%20ONSC%205705&amp;autocompletePos=1" TargetMode="External"/><Relationship Id="rId57" Type="http://schemas.openxmlformats.org/officeDocument/2006/relationships/hyperlink" Target="https://www.canlii.org/en/bc/bcsc/doc/2017/2017bcsc2271/2017bcsc2271.html?searchUrlHash=AAAAAQAOMjAxNyBCQ1NDIDIyNzEAAAAAAQ&amp;resultIndex=1" TargetMode="External"/><Relationship Id="rId106" Type="http://schemas.openxmlformats.org/officeDocument/2006/relationships/hyperlink" Target="https://www.canlii.org/en/ca/tcc/doc/2018/2018tcc220/2018tcc220.html" TargetMode="External"/><Relationship Id="rId114" Type="http://schemas.openxmlformats.org/officeDocument/2006/relationships/footer" Target="footer3.xml"/><Relationship Id="rId10" Type="http://schemas.openxmlformats.org/officeDocument/2006/relationships/hyperlink" Target="https://www.scc-csc.ca/case-dossier/info/sum-som-eng.aspx?cas=39318" TargetMode="External"/><Relationship Id="rId31" Type="http://schemas.openxmlformats.org/officeDocument/2006/relationships/hyperlink" Target="https://www.canlii.org/fr/qc/qccq/doc/2018/2018qccq556/2018qccq556.html?resultIndex=1" TargetMode="External"/><Relationship Id="rId44" Type="http://schemas.openxmlformats.org/officeDocument/2006/relationships/hyperlink" Target="https://www.canlii.org/fr/qc/qcca/doc/2020/2020qcca658/2020qcca658.html?autocompleteStr=2020%20qcca%20658&amp;autocompletePos=1" TargetMode="External"/><Relationship Id="rId52" Type="http://schemas.openxmlformats.org/officeDocument/2006/relationships/hyperlink" Target="https://www.canlii.org/en/on/onca/doc/2020/2020onca391/2020onca391.html" TargetMode="External"/><Relationship Id="rId60" Type="http://schemas.openxmlformats.org/officeDocument/2006/relationships/hyperlink" Target="https://www.canlii.org/en/bc/bcca/doc/2020/2020bcca128/2020bcca128.html?searchUrlHash=AAAAAQAKSmlhbiBIdSBXdQAAAAAB&amp;resultIndex=4" TargetMode="External"/><Relationship Id="rId65" Type="http://schemas.openxmlformats.org/officeDocument/2006/relationships/hyperlink" Target="https://www.canlii.org/en/ab/abqb/doc/2019/2019abqb389/2019abqb389.html?resultIndex=1" TargetMode="External"/><Relationship Id="rId73" Type="http://schemas.openxmlformats.org/officeDocument/2006/relationships/hyperlink" Target="http://canlii.ca/t/h5j0q" TargetMode="External"/><Relationship Id="rId78" Type="http://schemas.openxmlformats.org/officeDocument/2006/relationships/hyperlink" Target="http://canlii.ca/t/j8g84" TargetMode="External"/><Relationship Id="rId81" Type="http://schemas.openxmlformats.org/officeDocument/2006/relationships/hyperlink" Target="https://www.canlii.org/en/ab/abca/doc/2019/2019abca507/2019abca507.html?autocompleteStr=2019%20ABCA%20507&amp;autocompletePos=1" TargetMode="External"/><Relationship Id="rId86" Type="http://schemas.openxmlformats.org/officeDocument/2006/relationships/hyperlink" Target="https://www.canlii.org/en/on/onscdc/doc/2019/2019onsc3879/2019onsc3879.html?autocompleteStr=2019%20ONSC%203879&amp;autocompletePos=1" TargetMode="External"/><Relationship Id="rId94" Type="http://schemas.openxmlformats.org/officeDocument/2006/relationships/hyperlink" Target="http://canlii.ca/t/j65lv" TargetMode="External"/><Relationship Id="rId99" Type="http://schemas.openxmlformats.org/officeDocument/2006/relationships/hyperlink" Target="https://www.canlii.org/en/sk/skca/doc/2020/2020skca88/2020skca88.html?autocompleteStr=2020%20SKCA%2088&amp;autocompletePos=1&amp;searchUrlHash=AAAAAQAKaW50ZXJ2ZW5vcgAAAAAB&amp;offset=504" TargetMode="External"/><Relationship Id="rId101" Type="http://schemas.openxmlformats.org/officeDocument/2006/relationships/hyperlink" Target="https://www.canlii.org/en/ca/fca/doc/2020/2020fca93/2020fca93.html?resultIndex=1" TargetMode="External"/><Relationship Id="rId4" Type="http://schemas.openxmlformats.org/officeDocument/2006/relationships/settings" Target="settings.xml"/><Relationship Id="rId9" Type="http://schemas.openxmlformats.org/officeDocument/2006/relationships/hyperlink" Target="https://www.scc-csc.ca/case-dossier/info/sum-som-fra.aspx?cas=39309" TargetMode="External"/><Relationship Id="rId13" Type="http://schemas.openxmlformats.org/officeDocument/2006/relationships/hyperlink" Target="https://www.scc-csc.ca/case-dossier/info/sum-som-fra.aspx?cas=39342" TargetMode="External"/><Relationship Id="rId18" Type="http://schemas.openxmlformats.org/officeDocument/2006/relationships/hyperlink" Target="https://www.scc-csc.ca/case-dossier/info/sum-som-eng.aspx?cas=39320" TargetMode="External"/><Relationship Id="rId39" Type="http://schemas.openxmlformats.org/officeDocument/2006/relationships/hyperlink" Target="https://www.canlii.org/en/on/onsc/doc/2019/2019onsc279/2019onsc279.html?autocompleteStr=2019%20ONSC%20279&amp;autocompletePos=1" TargetMode="External"/><Relationship Id="rId109" Type="http://schemas.openxmlformats.org/officeDocument/2006/relationships/header" Target="header1.xml"/><Relationship Id="rId34" Type="http://schemas.openxmlformats.org/officeDocument/2006/relationships/hyperlink" Target="https://www.canlii.org/fr/qc/qcca/doc/2020/2020qcca681/2020qcca681.html" TargetMode="External"/><Relationship Id="rId50" Type="http://schemas.openxmlformats.org/officeDocument/2006/relationships/hyperlink" Target="https://www.canlii.org/en/on/onca/doc/2020/2020onca391/2020onca391.html" TargetMode="External"/><Relationship Id="rId55" Type="http://schemas.openxmlformats.org/officeDocument/2006/relationships/hyperlink" Target="https://www.canlii.org/en/nl/nlsc/doc/2018/2018nlsc60/2018nlsc60.html" TargetMode="External"/><Relationship Id="rId76" Type="http://schemas.openxmlformats.org/officeDocument/2006/relationships/hyperlink" Target="http://canlii.ca/t/j6cx6" TargetMode="External"/><Relationship Id="rId97" Type="http://schemas.openxmlformats.org/officeDocument/2006/relationships/hyperlink" Target="https://www.canlii.org/en/sk/skca/doc/2020/2020skca88/2020skca88.html?autocompleteStr=2020%20SKCA%2088&amp;autocompletePos=1&amp;searchUrlHash=AAAAAQAKaW50ZXJ2ZW5vcgAAAAAB&amp;offset=504" TargetMode="External"/><Relationship Id="rId104" Type="http://schemas.openxmlformats.org/officeDocument/2006/relationships/hyperlink" Target="https://www.canlii.org/en/ca/tcc/doc/2018/2018tcc220/2018tcc220.html" TargetMode="External"/><Relationship Id="rId7" Type="http://schemas.openxmlformats.org/officeDocument/2006/relationships/endnotes" Target="endnotes.xml"/><Relationship Id="rId71" Type="http://schemas.openxmlformats.org/officeDocument/2006/relationships/hyperlink" Target="http://canlii.ca/t/hqjn7" TargetMode="External"/><Relationship Id="rId92" Type="http://schemas.openxmlformats.org/officeDocument/2006/relationships/hyperlink" Target="http://canlii.ca/t/j65lv" TargetMode="External"/><Relationship Id="rId2" Type="http://schemas.openxmlformats.org/officeDocument/2006/relationships/numbering" Target="numbering.xml"/><Relationship Id="rId29" Type="http://schemas.openxmlformats.org/officeDocument/2006/relationships/hyperlink" Target="https://www.canlii.org/en/on/onca/doc/2020/2020onca307/2020onca307.html?result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8A06F-A13A-47C3-90E6-FA555EC1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20111</Words>
  <Characters>114634</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134477</CharactersWithSpaces>
  <SharedDoc>false</SharedDoc>
  <HLinks>
    <vt:vector size="96" baseType="variant">
      <vt:variant>
        <vt:i4>524364</vt:i4>
      </vt:variant>
      <vt:variant>
        <vt:i4>47</vt:i4>
      </vt:variant>
      <vt:variant>
        <vt:i4>0</vt:i4>
      </vt:variant>
      <vt:variant>
        <vt:i4>5</vt:i4>
      </vt:variant>
      <vt:variant>
        <vt:lpwstr>http://www.scc-csc.gc.ca/news-nouv/rel-com/subs-abon-fra.aspx</vt:lpwstr>
      </vt:variant>
      <vt:variant>
        <vt:lpwstr/>
      </vt:variant>
      <vt:variant>
        <vt:i4>852048</vt:i4>
      </vt:variant>
      <vt:variant>
        <vt:i4>44</vt:i4>
      </vt:variant>
      <vt:variant>
        <vt:i4>0</vt:i4>
      </vt:variant>
      <vt:variant>
        <vt:i4>5</vt:i4>
      </vt:variant>
      <vt:variant>
        <vt:lpwstr>http://www.scc-csc.gc.ca/news-nouv/rel-com/subs-abon-eng.aspx</vt:lpwstr>
      </vt:variant>
      <vt:variant>
        <vt:lpwstr/>
      </vt:variant>
      <vt:variant>
        <vt:i4>3080213</vt:i4>
      </vt:variant>
      <vt:variant>
        <vt:i4>41</vt:i4>
      </vt:variant>
      <vt:variant>
        <vt:i4>0</vt:i4>
      </vt:variant>
      <vt:variant>
        <vt:i4>5</vt:i4>
      </vt:variant>
      <vt:variant>
        <vt:lpwstr>mailto:comments-commentaires@scc-csc.ca</vt:lpwstr>
      </vt:variant>
      <vt:variant>
        <vt:lpwstr/>
      </vt:variant>
      <vt:variant>
        <vt:i4>983045</vt:i4>
      </vt:variant>
      <vt:variant>
        <vt:i4>38</vt:i4>
      </vt:variant>
      <vt:variant>
        <vt:i4>0</vt:i4>
      </vt:variant>
      <vt:variant>
        <vt:i4>5</vt:i4>
      </vt:variant>
      <vt:variant>
        <vt:lpwstr>http://www.scc-csc.gc.ca/case-dossier/info/sum-som-eng.aspx?cas=36302</vt:lpwstr>
      </vt:variant>
      <vt:variant>
        <vt:lpwstr/>
      </vt:variant>
      <vt:variant>
        <vt:i4>917509</vt:i4>
      </vt:variant>
      <vt:variant>
        <vt:i4>35</vt:i4>
      </vt:variant>
      <vt:variant>
        <vt:i4>0</vt:i4>
      </vt:variant>
      <vt:variant>
        <vt:i4>5</vt:i4>
      </vt:variant>
      <vt:variant>
        <vt:lpwstr>http://www.scc-csc.gc.ca/case-dossier/info/sum-som-eng.aspx?cas=36316</vt:lpwstr>
      </vt:variant>
      <vt:variant>
        <vt:lpwstr/>
      </vt:variant>
      <vt:variant>
        <vt:i4>655364</vt:i4>
      </vt:variant>
      <vt:variant>
        <vt:i4>32</vt:i4>
      </vt:variant>
      <vt:variant>
        <vt:i4>0</vt:i4>
      </vt:variant>
      <vt:variant>
        <vt:i4>5</vt:i4>
      </vt:variant>
      <vt:variant>
        <vt:lpwstr>http://www.scc-csc.gc.ca/case-dossier/info/sum-som-eng.aspx?cas=36258</vt:lpwstr>
      </vt:variant>
      <vt:variant>
        <vt:lpwstr/>
      </vt:variant>
      <vt:variant>
        <vt:i4>851973</vt:i4>
      </vt:variant>
      <vt:variant>
        <vt:i4>29</vt:i4>
      </vt:variant>
      <vt:variant>
        <vt:i4>0</vt:i4>
      </vt:variant>
      <vt:variant>
        <vt:i4>5</vt:i4>
      </vt:variant>
      <vt:variant>
        <vt:lpwstr>http://www.scc-csc.gc.ca/case-dossier/info/sum-som-eng.aspx?cas=36324</vt:lpwstr>
      </vt:variant>
      <vt:variant>
        <vt:lpwstr/>
      </vt:variant>
      <vt:variant>
        <vt:i4>720901</vt:i4>
      </vt:variant>
      <vt:variant>
        <vt:i4>26</vt:i4>
      </vt:variant>
      <vt:variant>
        <vt:i4>0</vt:i4>
      </vt:variant>
      <vt:variant>
        <vt:i4>5</vt:i4>
      </vt:variant>
      <vt:variant>
        <vt:lpwstr>http://www.scc-csc.gc.ca/case-dossier/info/sum-som-eng.aspx?cas=36346</vt:lpwstr>
      </vt:variant>
      <vt:variant>
        <vt:lpwstr/>
      </vt:variant>
      <vt:variant>
        <vt:i4>524295</vt:i4>
      </vt:variant>
      <vt:variant>
        <vt:i4>23</vt:i4>
      </vt:variant>
      <vt:variant>
        <vt:i4>0</vt:i4>
      </vt:variant>
      <vt:variant>
        <vt:i4>5</vt:i4>
      </vt:variant>
      <vt:variant>
        <vt:lpwstr>http://www.scc-csc.gc.ca/case-dossier/info/sum-som-eng.aspx?cas=36174</vt:lpwstr>
      </vt:variant>
      <vt:variant>
        <vt:lpwstr/>
      </vt:variant>
      <vt:variant>
        <vt:i4>851992</vt:i4>
      </vt:variant>
      <vt:variant>
        <vt:i4>20</vt:i4>
      </vt:variant>
      <vt:variant>
        <vt:i4>0</vt:i4>
      </vt:variant>
      <vt:variant>
        <vt:i4>5</vt:i4>
      </vt:variant>
      <vt:variant>
        <vt:lpwstr>http://www.scc-csc.gc.ca/case-dossier/info/sum-som-fra.aspx?cas=36275</vt:lpwstr>
      </vt:variant>
      <vt:variant>
        <vt:lpwstr/>
      </vt:variant>
      <vt:variant>
        <vt:i4>786456</vt:i4>
      </vt:variant>
      <vt:variant>
        <vt:i4>17</vt:i4>
      </vt:variant>
      <vt:variant>
        <vt:i4>0</vt:i4>
      </vt:variant>
      <vt:variant>
        <vt:i4>5</vt:i4>
      </vt:variant>
      <vt:variant>
        <vt:lpwstr>http://www.scc-csc.gc.ca/case-dossier/info/sum-som-fra.aspx?cas=36261</vt:lpwstr>
      </vt:variant>
      <vt:variant>
        <vt:lpwstr/>
      </vt:variant>
      <vt:variant>
        <vt:i4>917509</vt:i4>
      </vt:variant>
      <vt:variant>
        <vt:i4>14</vt:i4>
      </vt:variant>
      <vt:variant>
        <vt:i4>0</vt:i4>
      </vt:variant>
      <vt:variant>
        <vt:i4>5</vt:i4>
      </vt:variant>
      <vt:variant>
        <vt:lpwstr>http://www.scc-csc.gc.ca/case-dossier/info/sum-som-eng.aspx?cas=36313</vt:lpwstr>
      </vt:variant>
      <vt:variant>
        <vt:lpwstr/>
      </vt:variant>
      <vt:variant>
        <vt:i4>720901</vt:i4>
      </vt:variant>
      <vt:variant>
        <vt:i4>11</vt:i4>
      </vt:variant>
      <vt:variant>
        <vt:i4>0</vt:i4>
      </vt:variant>
      <vt:variant>
        <vt:i4>5</vt:i4>
      </vt:variant>
      <vt:variant>
        <vt:lpwstr>http://www.scc-csc.gc.ca/case-dossier/info/sum-som-eng.aspx?cas=36349</vt:lpwstr>
      </vt:variant>
      <vt:variant>
        <vt:lpwstr/>
      </vt:variant>
      <vt:variant>
        <vt:i4>917528</vt:i4>
      </vt:variant>
      <vt:variant>
        <vt:i4>8</vt:i4>
      </vt:variant>
      <vt:variant>
        <vt:i4>0</vt:i4>
      </vt:variant>
      <vt:variant>
        <vt:i4>5</vt:i4>
      </vt:variant>
      <vt:variant>
        <vt:lpwstr>http://www.scc-csc.gc.ca/case-dossier/info/sum-som-fra.aspx?cas=36244</vt:lpwstr>
      </vt:variant>
      <vt:variant>
        <vt:lpwstr/>
      </vt:variant>
      <vt:variant>
        <vt:i4>2293820</vt:i4>
      </vt:variant>
      <vt:variant>
        <vt:i4>5</vt:i4>
      </vt:variant>
      <vt:variant>
        <vt:i4>0</vt:i4>
      </vt:variant>
      <vt:variant>
        <vt:i4>5</vt:i4>
      </vt:variant>
      <vt:variant>
        <vt:lpwstr>http://scc-csc.lexum.com/scc-csc/news/fr/item/4920/index.do</vt:lpwstr>
      </vt:variant>
      <vt:variant>
        <vt:lpwstr/>
      </vt:variant>
      <vt:variant>
        <vt:i4>4128831</vt:i4>
      </vt:variant>
      <vt:variant>
        <vt:i4>2</vt:i4>
      </vt:variant>
      <vt:variant>
        <vt:i4>0</vt:i4>
      </vt:variant>
      <vt:variant>
        <vt:i4>5</vt:i4>
      </vt:variant>
      <vt:variant>
        <vt:lpwstr>http://scc-csc.lexum.com/scc-csc/news/en/item/4920/index.do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2019-12-17T19:10:00Z</dcterms:created>
  <dcterms:modified xsi:type="dcterms:W3CDTF">2022-01-20T16:39:00Z</dcterms:modified>
</cp:coreProperties>
</file>