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1F" w:rsidRPr="00364819" w:rsidRDefault="000E391F" w:rsidP="000E391F">
      <w:pPr>
        <w:pStyle w:val="Header"/>
        <w:jc w:val="center"/>
        <w:rPr>
          <w:b/>
          <w:sz w:val="32"/>
        </w:rPr>
      </w:pPr>
      <w:r w:rsidRPr="00364819">
        <w:rPr>
          <w:b/>
          <w:sz w:val="32"/>
        </w:rPr>
        <w:t>Supreme Court of Canada / Cour suprême du Canada</w:t>
      </w:r>
    </w:p>
    <w:p w:rsidR="000E391F" w:rsidRPr="00364819" w:rsidRDefault="000E391F" w:rsidP="000E391F">
      <w:pPr>
        <w:widowControl w:val="0"/>
      </w:pPr>
    </w:p>
    <w:p w:rsidR="000E391F" w:rsidRPr="00364819" w:rsidRDefault="000E391F" w:rsidP="000E391F">
      <w:pPr>
        <w:widowControl w:val="0"/>
        <w:rPr>
          <w:i/>
        </w:rPr>
      </w:pPr>
    </w:p>
    <w:p w:rsidR="006F2579" w:rsidRPr="00364819" w:rsidRDefault="006F2579" w:rsidP="006F2579">
      <w:pPr>
        <w:widowControl w:val="0"/>
        <w:rPr>
          <w:i/>
          <w:sz w:val="20"/>
        </w:rPr>
      </w:pPr>
      <w:r w:rsidRPr="00364819">
        <w:rPr>
          <w:i/>
          <w:sz w:val="20"/>
        </w:rPr>
        <w:t>(</w:t>
      </w:r>
      <w:r w:rsidR="003240B6" w:rsidRPr="00364819">
        <w:rPr>
          <w:i/>
          <w:sz w:val="20"/>
        </w:rPr>
        <w:t>L</w:t>
      </w:r>
      <w:r w:rsidRPr="00364819">
        <w:rPr>
          <w:i/>
          <w:sz w:val="20"/>
        </w:rPr>
        <w:t>e français suit)</w:t>
      </w:r>
    </w:p>
    <w:p w:rsidR="006F2579" w:rsidRPr="00364819" w:rsidRDefault="006F2579" w:rsidP="006F2579">
      <w:pPr>
        <w:widowControl w:val="0"/>
      </w:pPr>
    </w:p>
    <w:p w:rsidR="006F2579" w:rsidRPr="00364819" w:rsidRDefault="00B07908" w:rsidP="006F2579">
      <w:pPr>
        <w:widowControl w:val="0"/>
        <w:jc w:val="center"/>
        <w:rPr>
          <w:b/>
        </w:rPr>
      </w:pPr>
      <w:r w:rsidRPr="00364819">
        <w:fldChar w:fldCharType="begin"/>
      </w:r>
      <w:r w:rsidR="006F2579" w:rsidRPr="00364819">
        <w:instrText xml:space="preserve"> SEQ CHAPTER \h \r 1</w:instrText>
      </w:r>
      <w:r w:rsidRPr="00364819">
        <w:fldChar w:fldCharType="end"/>
      </w:r>
      <w:r w:rsidR="006F2579" w:rsidRPr="00364819">
        <w:rPr>
          <w:b/>
        </w:rPr>
        <w:t>JUDGMENT</w:t>
      </w:r>
      <w:r w:rsidR="00B17AAC" w:rsidRPr="00364819">
        <w:rPr>
          <w:b/>
        </w:rPr>
        <w:t>S</w:t>
      </w:r>
      <w:r w:rsidR="006F2579" w:rsidRPr="00364819">
        <w:rPr>
          <w:b/>
        </w:rPr>
        <w:t xml:space="preserve"> TO B</w:t>
      </w:r>
      <w:r w:rsidR="00001846" w:rsidRPr="00364819">
        <w:rPr>
          <w:b/>
        </w:rPr>
        <w:t>E RENDERED IN LE</w:t>
      </w:r>
      <w:r w:rsidR="00A0288A" w:rsidRPr="00364819">
        <w:rPr>
          <w:b/>
        </w:rPr>
        <w:t>A</w:t>
      </w:r>
      <w:r w:rsidR="00001846" w:rsidRPr="00364819">
        <w:rPr>
          <w:b/>
        </w:rPr>
        <w:t>VE APPLICATION</w:t>
      </w:r>
      <w:r w:rsidR="00511288" w:rsidRPr="00364819">
        <w:rPr>
          <w:b/>
        </w:rPr>
        <w:t>S</w:t>
      </w:r>
    </w:p>
    <w:p w:rsidR="006F2579" w:rsidRPr="00364819" w:rsidRDefault="006F2579" w:rsidP="006F2579">
      <w:pPr>
        <w:widowControl w:val="0"/>
      </w:pPr>
    </w:p>
    <w:p w:rsidR="006F2579" w:rsidRPr="00364819" w:rsidRDefault="0068416C" w:rsidP="006F2579">
      <w:pPr>
        <w:widowControl w:val="0"/>
      </w:pPr>
      <w:r w:rsidRPr="00364819">
        <w:rPr>
          <w:b/>
        </w:rPr>
        <w:t>January</w:t>
      </w:r>
      <w:r w:rsidR="00A15B66" w:rsidRPr="00364819">
        <w:rPr>
          <w:b/>
        </w:rPr>
        <w:t xml:space="preserve"> </w:t>
      </w:r>
      <w:r w:rsidRPr="00364819">
        <w:rPr>
          <w:b/>
        </w:rPr>
        <w:t>1</w:t>
      </w:r>
      <w:r w:rsidR="002F58A9" w:rsidRPr="00364819">
        <w:rPr>
          <w:b/>
        </w:rPr>
        <w:t>8</w:t>
      </w:r>
      <w:r w:rsidR="004441C7" w:rsidRPr="00364819">
        <w:rPr>
          <w:b/>
        </w:rPr>
        <w:t>,</w:t>
      </w:r>
      <w:r w:rsidR="006F2579" w:rsidRPr="00364819">
        <w:rPr>
          <w:b/>
        </w:rPr>
        <w:t xml:space="preserve"> </w:t>
      </w:r>
      <w:r w:rsidR="0054689F" w:rsidRPr="00364819">
        <w:rPr>
          <w:b/>
        </w:rPr>
        <w:t>20</w:t>
      </w:r>
      <w:r w:rsidR="00526754" w:rsidRPr="00364819">
        <w:rPr>
          <w:b/>
        </w:rPr>
        <w:t>2</w:t>
      </w:r>
      <w:r w:rsidRPr="00364819">
        <w:rPr>
          <w:b/>
        </w:rPr>
        <w:t>1</w:t>
      </w:r>
    </w:p>
    <w:p w:rsidR="006F2579" w:rsidRPr="00364819" w:rsidRDefault="00674F39" w:rsidP="006F2579">
      <w:pPr>
        <w:widowControl w:val="0"/>
        <w:rPr>
          <w:b/>
        </w:rPr>
      </w:pPr>
      <w:r w:rsidRPr="00364819">
        <w:rPr>
          <w:b/>
        </w:rPr>
        <w:t>For immediate release</w:t>
      </w:r>
    </w:p>
    <w:p w:rsidR="006F2579" w:rsidRPr="00364819" w:rsidRDefault="006F2579" w:rsidP="006F2579">
      <w:pPr>
        <w:widowControl w:val="0"/>
      </w:pPr>
    </w:p>
    <w:p w:rsidR="006F2579" w:rsidRPr="00364819" w:rsidRDefault="006F2579" w:rsidP="006F2579">
      <w:pPr>
        <w:widowControl w:val="0"/>
        <w:rPr>
          <w:lang w:val="fr-CA"/>
        </w:rPr>
      </w:pPr>
      <w:r w:rsidRPr="00364819">
        <w:rPr>
          <w:b/>
        </w:rPr>
        <w:t>OTTAWA</w:t>
      </w:r>
      <w:r w:rsidRPr="00364819">
        <w:t xml:space="preserve"> – The Supreme Court of Canad</w:t>
      </w:r>
      <w:r w:rsidR="006246E4" w:rsidRPr="00364819">
        <w:t>a</w:t>
      </w:r>
      <w:r w:rsidRPr="00364819">
        <w:t xml:space="preserve"> announced today that judgment in the following </w:t>
      </w:r>
      <w:r w:rsidR="00DB6199" w:rsidRPr="00364819">
        <w:t xml:space="preserve">leave applications </w:t>
      </w:r>
      <w:r w:rsidRPr="00364819">
        <w:t xml:space="preserve">will be delivered at 9:45 a.m. </w:t>
      </w:r>
      <w:r w:rsidR="00E05816" w:rsidRPr="00364819">
        <w:t>E</w:t>
      </w:r>
      <w:r w:rsidR="004C631D" w:rsidRPr="00364819">
        <w:t>S</w:t>
      </w:r>
      <w:r w:rsidR="00E05816" w:rsidRPr="00364819">
        <w:t>T</w:t>
      </w:r>
      <w:r w:rsidRPr="00364819">
        <w:t xml:space="preserve"> on </w:t>
      </w:r>
      <w:r w:rsidR="0068416C" w:rsidRPr="00364819">
        <w:t>Thursday</w:t>
      </w:r>
      <w:r w:rsidRPr="00364819">
        <w:t xml:space="preserve">, </w:t>
      </w:r>
      <w:r w:rsidR="0068416C" w:rsidRPr="00364819">
        <w:t>January</w:t>
      </w:r>
      <w:r w:rsidR="00455912" w:rsidRPr="00364819">
        <w:t xml:space="preserve"> </w:t>
      </w:r>
      <w:r w:rsidR="002F58A9" w:rsidRPr="00364819">
        <w:t>2</w:t>
      </w:r>
      <w:r w:rsidR="0068416C" w:rsidRPr="00364819">
        <w:t>1</w:t>
      </w:r>
      <w:r w:rsidR="007E112F" w:rsidRPr="00364819">
        <w:t>,</w:t>
      </w:r>
      <w:r w:rsidR="002F38D7" w:rsidRPr="00364819">
        <w:t xml:space="preserve"> </w:t>
      </w:r>
      <w:r w:rsidR="006648D1" w:rsidRPr="00364819">
        <w:t>20</w:t>
      </w:r>
      <w:r w:rsidR="00526754" w:rsidRPr="00364819">
        <w:t>2</w:t>
      </w:r>
      <w:r w:rsidR="00DD65CF" w:rsidRPr="00364819">
        <w:t>1</w:t>
      </w:r>
      <w:r w:rsidRPr="00364819">
        <w:t xml:space="preserve">. </w:t>
      </w:r>
      <w:r w:rsidRPr="00364819">
        <w:rPr>
          <w:lang w:val="fr-CA"/>
        </w:rPr>
        <w:t>This list is subject to chang</w:t>
      </w:r>
      <w:r w:rsidR="00192F7F" w:rsidRPr="00364819">
        <w:rPr>
          <w:lang w:val="fr-CA"/>
        </w:rPr>
        <w:t>e</w:t>
      </w:r>
      <w:r w:rsidRPr="00364819">
        <w:rPr>
          <w:lang w:val="fr-CA"/>
        </w:rPr>
        <w:t>.</w:t>
      </w:r>
    </w:p>
    <w:p w:rsidR="00FF5AA4" w:rsidRPr="00364819" w:rsidRDefault="00FF5AA4" w:rsidP="006F2579">
      <w:pPr>
        <w:widowControl w:val="0"/>
        <w:rPr>
          <w:lang w:val="fr-CA"/>
        </w:rPr>
      </w:pPr>
    </w:p>
    <w:p w:rsidR="00B43418" w:rsidRPr="00364819" w:rsidRDefault="00B43418" w:rsidP="006F2579">
      <w:pPr>
        <w:widowControl w:val="0"/>
        <w:rPr>
          <w:lang w:val="fr-CA"/>
        </w:rPr>
      </w:pPr>
    </w:p>
    <w:p w:rsidR="006F2579" w:rsidRPr="00364819" w:rsidRDefault="006F2579" w:rsidP="006F2579">
      <w:pPr>
        <w:widowControl w:val="0"/>
        <w:jc w:val="center"/>
        <w:rPr>
          <w:lang w:val="fr-CA"/>
        </w:rPr>
      </w:pPr>
      <w:r w:rsidRPr="00364819">
        <w:rPr>
          <w:b/>
          <w:lang w:val="fr-CA"/>
        </w:rPr>
        <w:t>PROCHAIN</w:t>
      </w:r>
      <w:r w:rsidR="00B17AAC" w:rsidRPr="00364819">
        <w:rPr>
          <w:b/>
          <w:lang w:val="fr-CA"/>
        </w:rPr>
        <w:t>S</w:t>
      </w:r>
      <w:r w:rsidRPr="00364819">
        <w:rPr>
          <w:b/>
          <w:lang w:val="fr-CA"/>
        </w:rPr>
        <w:t xml:space="preserve"> JUGEMENT</w:t>
      </w:r>
      <w:r w:rsidR="00B17AAC" w:rsidRPr="00364819">
        <w:rPr>
          <w:b/>
          <w:lang w:val="fr-CA"/>
        </w:rPr>
        <w:t>S</w:t>
      </w:r>
      <w:r w:rsidR="00001846" w:rsidRPr="00364819">
        <w:rPr>
          <w:b/>
          <w:lang w:val="fr-CA"/>
        </w:rPr>
        <w:t xml:space="preserve"> SUR DEMANDE</w:t>
      </w:r>
      <w:r w:rsidR="00B17AAC" w:rsidRPr="00364819">
        <w:rPr>
          <w:b/>
          <w:lang w:val="fr-CA"/>
        </w:rPr>
        <w:t>S</w:t>
      </w:r>
      <w:r w:rsidRPr="00364819">
        <w:rPr>
          <w:b/>
          <w:lang w:val="fr-CA"/>
        </w:rPr>
        <w:t xml:space="preserve"> D’AUTORISATION</w:t>
      </w:r>
    </w:p>
    <w:p w:rsidR="006F2579" w:rsidRPr="00364819" w:rsidRDefault="006F2579" w:rsidP="006F2579">
      <w:pPr>
        <w:widowControl w:val="0"/>
        <w:rPr>
          <w:lang w:val="fr-CA"/>
        </w:rPr>
      </w:pPr>
    </w:p>
    <w:p w:rsidR="006F2579" w:rsidRPr="00364819" w:rsidRDefault="006F2579" w:rsidP="006F2579">
      <w:pPr>
        <w:widowControl w:val="0"/>
        <w:rPr>
          <w:lang w:val="fr-CA"/>
        </w:rPr>
      </w:pPr>
      <w:r w:rsidRPr="00364819">
        <w:rPr>
          <w:b/>
          <w:lang w:val="fr-CA"/>
        </w:rPr>
        <w:t>Le</w:t>
      </w:r>
      <w:r w:rsidR="00957A76" w:rsidRPr="00364819">
        <w:rPr>
          <w:b/>
          <w:lang w:val="fr-CA"/>
        </w:rPr>
        <w:t xml:space="preserve"> </w:t>
      </w:r>
      <w:r w:rsidR="0068416C" w:rsidRPr="00364819">
        <w:rPr>
          <w:b/>
          <w:lang w:val="fr-CA"/>
        </w:rPr>
        <w:t>1</w:t>
      </w:r>
      <w:r w:rsidR="002F58A9" w:rsidRPr="00364819">
        <w:rPr>
          <w:b/>
          <w:lang w:val="fr-CA"/>
        </w:rPr>
        <w:t>8</w:t>
      </w:r>
      <w:r w:rsidR="007A72CA" w:rsidRPr="00364819">
        <w:rPr>
          <w:b/>
          <w:lang w:val="fr-CA"/>
        </w:rPr>
        <w:t xml:space="preserve"> </w:t>
      </w:r>
      <w:r w:rsidR="0068416C" w:rsidRPr="00364819">
        <w:rPr>
          <w:b/>
          <w:lang w:val="fr-CA"/>
        </w:rPr>
        <w:t>janvier</w:t>
      </w:r>
      <w:r w:rsidR="00A151D1" w:rsidRPr="00364819">
        <w:rPr>
          <w:b/>
          <w:lang w:val="fr-CA"/>
        </w:rPr>
        <w:t xml:space="preserve"> 20</w:t>
      </w:r>
      <w:r w:rsidR="00526754" w:rsidRPr="00364819">
        <w:rPr>
          <w:b/>
          <w:lang w:val="fr-CA"/>
        </w:rPr>
        <w:t>2</w:t>
      </w:r>
      <w:r w:rsidR="0068416C" w:rsidRPr="00364819">
        <w:rPr>
          <w:b/>
          <w:lang w:val="fr-CA"/>
        </w:rPr>
        <w:t>1</w:t>
      </w:r>
    </w:p>
    <w:p w:rsidR="006F2579" w:rsidRPr="00364819" w:rsidRDefault="006F2579" w:rsidP="006F2579">
      <w:pPr>
        <w:widowControl w:val="0"/>
        <w:rPr>
          <w:b/>
          <w:lang w:val="fr-CA"/>
        </w:rPr>
      </w:pPr>
      <w:r w:rsidRPr="00364819">
        <w:rPr>
          <w:b/>
          <w:lang w:val="fr-CA"/>
        </w:rPr>
        <w:t>Pour diffusion immédiate</w:t>
      </w:r>
    </w:p>
    <w:p w:rsidR="006F2579" w:rsidRPr="00364819" w:rsidRDefault="006F2579" w:rsidP="006F2579">
      <w:pPr>
        <w:widowControl w:val="0"/>
        <w:rPr>
          <w:lang w:val="fr-CA"/>
        </w:rPr>
      </w:pPr>
    </w:p>
    <w:p w:rsidR="006F2579" w:rsidRPr="00364819" w:rsidRDefault="006F2579" w:rsidP="006F2579">
      <w:pPr>
        <w:widowControl w:val="0"/>
        <w:rPr>
          <w:lang w:val="fr-CA"/>
        </w:rPr>
      </w:pPr>
      <w:r w:rsidRPr="00364819">
        <w:rPr>
          <w:b/>
          <w:lang w:val="fr-CA"/>
        </w:rPr>
        <w:t>OTTAWA</w:t>
      </w:r>
      <w:r w:rsidRPr="00364819">
        <w:rPr>
          <w:lang w:val="fr-CA"/>
        </w:rPr>
        <w:t xml:space="preserve"> – La Cour suprême du Canada annonce que jugement ser</w:t>
      </w:r>
      <w:r w:rsidR="004259F9" w:rsidRPr="00364819">
        <w:rPr>
          <w:lang w:val="fr-CA"/>
        </w:rPr>
        <w:t>a</w:t>
      </w:r>
      <w:r w:rsidRPr="00364819">
        <w:rPr>
          <w:lang w:val="fr-CA"/>
        </w:rPr>
        <w:t xml:space="preserve"> rendu dans l</w:t>
      </w:r>
      <w:r w:rsidR="008600ED" w:rsidRPr="00364819">
        <w:rPr>
          <w:lang w:val="fr-CA"/>
        </w:rPr>
        <w:t>es</w:t>
      </w:r>
      <w:r w:rsidRPr="00364819">
        <w:rPr>
          <w:lang w:val="fr-CA"/>
        </w:rPr>
        <w:t xml:space="preserve"> demande</w:t>
      </w:r>
      <w:r w:rsidR="008600ED" w:rsidRPr="00364819">
        <w:rPr>
          <w:lang w:val="fr-CA"/>
        </w:rPr>
        <w:t>s</w:t>
      </w:r>
      <w:r w:rsidRPr="00364819">
        <w:rPr>
          <w:lang w:val="fr-CA"/>
        </w:rPr>
        <w:t xml:space="preserve"> d</w:t>
      </w:r>
      <w:r w:rsidR="00001846" w:rsidRPr="00364819">
        <w:rPr>
          <w:lang w:val="fr-CA"/>
        </w:rPr>
        <w:t>’autorisation suivante</w:t>
      </w:r>
      <w:r w:rsidR="008600ED" w:rsidRPr="00364819">
        <w:rPr>
          <w:lang w:val="fr-CA"/>
        </w:rPr>
        <w:t>s</w:t>
      </w:r>
      <w:r w:rsidRPr="00364819">
        <w:rPr>
          <w:lang w:val="fr-CA"/>
        </w:rPr>
        <w:t xml:space="preserve"> le </w:t>
      </w:r>
      <w:r w:rsidR="0068416C" w:rsidRPr="00364819">
        <w:rPr>
          <w:lang w:val="fr-CA"/>
        </w:rPr>
        <w:t>jeudi</w:t>
      </w:r>
      <w:r w:rsidRPr="00364819">
        <w:rPr>
          <w:lang w:val="fr-CA"/>
        </w:rPr>
        <w:t xml:space="preserve"> </w:t>
      </w:r>
      <w:r w:rsidR="002F58A9" w:rsidRPr="00364819">
        <w:rPr>
          <w:lang w:val="fr-CA"/>
        </w:rPr>
        <w:t>2</w:t>
      </w:r>
      <w:r w:rsidR="0068416C" w:rsidRPr="00364819">
        <w:rPr>
          <w:lang w:val="fr-CA"/>
        </w:rPr>
        <w:t>1</w:t>
      </w:r>
      <w:r w:rsidR="00466302" w:rsidRPr="00364819">
        <w:rPr>
          <w:lang w:val="fr-CA"/>
        </w:rPr>
        <w:t xml:space="preserve"> </w:t>
      </w:r>
      <w:r w:rsidR="0068416C" w:rsidRPr="00364819">
        <w:rPr>
          <w:lang w:val="fr-CA"/>
        </w:rPr>
        <w:t>janvier</w:t>
      </w:r>
      <w:r w:rsidR="00694391" w:rsidRPr="00364819">
        <w:rPr>
          <w:lang w:val="fr-CA"/>
        </w:rPr>
        <w:t xml:space="preserve"> 2</w:t>
      </w:r>
      <w:r w:rsidR="006648D1" w:rsidRPr="00364819">
        <w:rPr>
          <w:lang w:val="fr-CA"/>
        </w:rPr>
        <w:t>0</w:t>
      </w:r>
      <w:r w:rsidR="00526754" w:rsidRPr="00364819">
        <w:rPr>
          <w:lang w:val="fr-CA"/>
        </w:rPr>
        <w:t>2</w:t>
      </w:r>
      <w:r w:rsidR="0068416C" w:rsidRPr="00364819">
        <w:rPr>
          <w:lang w:val="fr-CA"/>
        </w:rPr>
        <w:t>1</w:t>
      </w:r>
      <w:r w:rsidRPr="00364819">
        <w:rPr>
          <w:lang w:val="fr-CA"/>
        </w:rPr>
        <w:t xml:space="preserve">, à 9 h 45 </w:t>
      </w:r>
      <w:r w:rsidR="000627A2" w:rsidRPr="00364819">
        <w:rPr>
          <w:lang w:val="fr-CA"/>
        </w:rPr>
        <w:t>H</w:t>
      </w:r>
      <w:r w:rsidR="004C631D" w:rsidRPr="00364819">
        <w:rPr>
          <w:lang w:val="fr-CA"/>
        </w:rPr>
        <w:t>N</w:t>
      </w:r>
      <w:r w:rsidRPr="00364819">
        <w:rPr>
          <w:lang w:val="fr-CA"/>
        </w:rPr>
        <w:t>E. Cette liste est sujette à modifications.</w:t>
      </w:r>
    </w:p>
    <w:p w:rsidR="0080556B" w:rsidRPr="00364819" w:rsidRDefault="0080556B" w:rsidP="009B14F4">
      <w:pPr>
        <w:widowControl w:val="0"/>
        <w:jc w:val="both"/>
        <w:rPr>
          <w:sz w:val="20"/>
          <w:lang w:val="fr-CA"/>
        </w:rPr>
      </w:pPr>
    </w:p>
    <w:p w:rsidR="00867C61" w:rsidRPr="00364819" w:rsidRDefault="005A78BC" w:rsidP="009B14F4">
      <w:pPr>
        <w:widowControl w:val="0"/>
        <w:jc w:val="both"/>
        <w:rPr>
          <w:sz w:val="20"/>
        </w:rPr>
      </w:pPr>
      <w:r>
        <w:rPr>
          <w:sz w:val="20"/>
        </w:rPr>
        <w:pict>
          <v:rect id="_x0000_i1025" style="width:2in;height:1pt" o:hrpct="0" o:hralign="center" o:hrstd="t" o:hrnoshade="t" o:hr="t" fillcolor="black [3213]" stroked="f"/>
        </w:pict>
      </w:r>
    </w:p>
    <w:p w:rsidR="0029283C" w:rsidRPr="00364819" w:rsidRDefault="0029283C" w:rsidP="0029283C">
      <w:pPr>
        <w:rPr>
          <w:sz w:val="20"/>
        </w:rPr>
      </w:pPr>
    </w:p>
    <w:p w:rsidR="00F036E9" w:rsidRPr="00364819" w:rsidRDefault="00F036E9" w:rsidP="00BB5077">
      <w:pPr>
        <w:pStyle w:val="ListParagraph"/>
        <w:numPr>
          <w:ilvl w:val="0"/>
          <w:numId w:val="29"/>
        </w:numPr>
        <w:ind w:left="357" w:hanging="357"/>
        <w:rPr>
          <w:sz w:val="20"/>
        </w:rPr>
      </w:pPr>
      <w:r w:rsidRPr="00364819">
        <w:rPr>
          <w:i/>
          <w:sz w:val="20"/>
        </w:rPr>
        <w:t>Sylvia H.C.C. Richardson v. Mark Edward Richardson</w:t>
      </w:r>
      <w:r w:rsidR="00BB5077" w:rsidRPr="00364819">
        <w:rPr>
          <w:sz w:val="20"/>
        </w:rPr>
        <w:t xml:space="preserve"> (Ont.) (Civil) (By Leave)</w:t>
      </w:r>
      <w:r w:rsidRPr="00364819">
        <w:rPr>
          <w:sz w:val="20"/>
        </w:rPr>
        <w:t xml:space="preserve"> (</w:t>
      </w:r>
      <w:hyperlink r:id="rId8" w:history="1">
        <w:r w:rsidRPr="00364819">
          <w:rPr>
            <w:rStyle w:val="Hyperlink"/>
            <w:sz w:val="20"/>
          </w:rPr>
          <w:t>39</w:t>
        </w:r>
        <w:r w:rsidR="00BB5077" w:rsidRPr="00364819">
          <w:rPr>
            <w:rStyle w:val="Hyperlink"/>
            <w:sz w:val="20"/>
          </w:rPr>
          <w:t>1</w:t>
        </w:r>
        <w:r w:rsidRPr="00364819">
          <w:rPr>
            <w:rStyle w:val="Hyperlink"/>
            <w:sz w:val="20"/>
          </w:rPr>
          <w:t>2</w:t>
        </w:r>
        <w:r w:rsidR="00BB5077" w:rsidRPr="00364819">
          <w:rPr>
            <w:rStyle w:val="Hyperlink"/>
            <w:sz w:val="20"/>
          </w:rPr>
          <w:t>3</w:t>
        </w:r>
      </w:hyperlink>
      <w:r w:rsidRPr="00364819">
        <w:rPr>
          <w:sz w:val="20"/>
        </w:rPr>
        <w:t>)</w:t>
      </w:r>
    </w:p>
    <w:p w:rsidR="00F036E9" w:rsidRPr="00364819" w:rsidRDefault="00F036E9" w:rsidP="00BB5077">
      <w:pPr>
        <w:ind w:left="357" w:hanging="357"/>
        <w:rPr>
          <w:sz w:val="20"/>
        </w:rPr>
      </w:pPr>
    </w:p>
    <w:p w:rsidR="00F036E9" w:rsidRPr="00364819" w:rsidRDefault="00F036E9" w:rsidP="00BB5077">
      <w:pPr>
        <w:pStyle w:val="ListParagraph"/>
        <w:numPr>
          <w:ilvl w:val="0"/>
          <w:numId w:val="29"/>
        </w:numPr>
        <w:ind w:left="357" w:hanging="357"/>
        <w:rPr>
          <w:sz w:val="20"/>
          <w:lang w:val="fr-CA"/>
        </w:rPr>
      </w:pPr>
      <w:r w:rsidRPr="00364819">
        <w:rPr>
          <w:i/>
          <w:sz w:val="20"/>
        </w:rPr>
        <w:t xml:space="preserve">BC Government and Service Employees’ Union (BCGEU) v. Bryce J. Casavant </w:t>
      </w:r>
      <w:r w:rsidRPr="00364819">
        <w:rPr>
          <w:sz w:val="20"/>
        </w:rPr>
        <w:t xml:space="preserve">(B.C.) </w:t>
      </w:r>
      <w:r w:rsidRPr="00364819">
        <w:rPr>
          <w:sz w:val="20"/>
          <w:lang w:val="fr-CA"/>
        </w:rPr>
        <w:t>(Civil) (By Leave) (</w:t>
      </w:r>
      <w:hyperlink r:id="rId9" w:history="1">
        <w:r w:rsidRPr="00364819">
          <w:rPr>
            <w:rStyle w:val="Hyperlink"/>
            <w:sz w:val="20"/>
            <w:lang w:val="fr-CA"/>
          </w:rPr>
          <w:t>39</w:t>
        </w:r>
        <w:r w:rsidR="00BB5077" w:rsidRPr="00364819">
          <w:rPr>
            <w:rStyle w:val="Hyperlink"/>
            <w:sz w:val="20"/>
            <w:lang w:val="fr-CA"/>
          </w:rPr>
          <w:t>317</w:t>
        </w:r>
      </w:hyperlink>
      <w:r w:rsidRPr="00364819">
        <w:rPr>
          <w:sz w:val="20"/>
          <w:lang w:val="fr-CA"/>
        </w:rPr>
        <w:t>)</w:t>
      </w:r>
    </w:p>
    <w:p w:rsidR="00F036E9" w:rsidRPr="00364819" w:rsidRDefault="00F036E9" w:rsidP="00BB5077">
      <w:pPr>
        <w:ind w:left="357" w:hanging="357"/>
        <w:rPr>
          <w:sz w:val="20"/>
          <w:lang w:val="fr-CA"/>
        </w:rPr>
      </w:pPr>
    </w:p>
    <w:p w:rsidR="00F036E9" w:rsidRPr="00364819" w:rsidRDefault="00F036E9" w:rsidP="00BB5077">
      <w:pPr>
        <w:pStyle w:val="ListParagraph"/>
        <w:numPr>
          <w:ilvl w:val="0"/>
          <w:numId w:val="29"/>
        </w:numPr>
        <w:ind w:left="357" w:hanging="357"/>
        <w:rPr>
          <w:sz w:val="20"/>
          <w:lang w:val="fr-CA"/>
        </w:rPr>
      </w:pPr>
      <w:r w:rsidRPr="00364819">
        <w:rPr>
          <w:bCs/>
          <w:i/>
          <w:iCs/>
          <w:sz w:val="20"/>
          <w:lang w:val="fr-CA"/>
        </w:rPr>
        <w:t xml:space="preserve">Brian Cadieux c. Greyhound Canada Transportation Corp., </w:t>
      </w:r>
      <w:r w:rsidR="00BB5077" w:rsidRPr="00364819">
        <w:rPr>
          <w:bCs/>
          <w:i/>
          <w:iCs/>
          <w:sz w:val="20"/>
          <w:lang w:val="fr-CA"/>
        </w:rPr>
        <w:t>et al.</w:t>
      </w:r>
      <w:r w:rsidRPr="00364819">
        <w:rPr>
          <w:sz w:val="20"/>
          <w:lang w:val="fr-CA"/>
        </w:rPr>
        <w:t xml:space="preserve"> (Qc) (Civile) (Autorisation) (</w:t>
      </w:r>
      <w:hyperlink r:id="rId10" w:history="1">
        <w:r w:rsidRPr="00364819">
          <w:rPr>
            <w:rStyle w:val="Hyperlink"/>
            <w:sz w:val="20"/>
            <w:lang w:val="fr-CA"/>
          </w:rPr>
          <w:t>39</w:t>
        </w:r>
        <w:r w:rsidR="00BB5077" w:rsidRPr="00364819">
          <w:rPr>
            <w:rStyle w:val="Hyperlink"/>
            <w:sz w:val="20"/>
            <w:lang w:val="fr-CA"/>
          </w:rPr>
          <w:t>19</w:t>
        </w:r>
        <w:r w:rsidRPr="00364819">
          <w:rPr>
            <w:rStyle w:val="Hyperlink"/>
            <w:sz w:val="20"/>
            <w:lang w:val="fr-CA"/>
          </w:rPr>
          <w:t>6</w:t>
        </w:r>
      </w:hyperlink>
      <w:r w:rsidRPr="00364819">
        <w:rPr>
          <w:sz w:val="20"/>
          <w:lang w:val="fr-CA"/>
        </w:rPr>
        <w:t>)</w:t>
      </w:r>
    </w:p>
    <w:p w:rsidR="001C6066" w:rsidRPr="00364819" w:rsidRDefault="001C6066" w:rsidP="00BB5077">
      <w:pPr>
        <w:ind w:left="357" w:hanging="357"/>
        <w:rPr>
          <w:sz w:val="20"/>
          <w:lang w:val="fr-CA"/>
        </w:rPr>
      </w:pPr>
    </w:p>
    <w:p w:rsidR="001C6066" w:rsidRPr="00364819" w:rsidRDefault="001C6066" w:rsidP="00BB5077">
      <w:pPr>
        <w:pStyle w:val="ListParagraph"/>
        <w:numPr>
          <w:ilvl w:val="0"/>
          <w:numId w:val="29"/>
        </w:numPr>
        <w:tabs>
          <w:tab w:val="left" w:pos="900"/>
        </w:tabs>
        <w:ind w:left="357" w:hanging="357"/>
        <w:rPr>
          <w:sz w:val="20"/>
        </w:rPr>
      </w:pPr>
      <w:r w:rsidRPr="00364819">
        <w:rPr>
          <w:i/>
          <w:sz w:val="20"/>
        </w:rPr>
        <w:t xml:space="preserve">Youyi Group Holdings (Canada) Ltd., </w:t>
      </w:r>
      <w:r w:rsidR="00701EA6" w:rsidRPr="00364819">
        <w:rPr>
          <w:i/>
          <w:sz w:val="20"/>
        </w:rPr>
        <w:t>et al.</w:t>
      </w:r>
      <w:r w:rsidRPr="00364819">
        <w:rPr>
          <w:i/>
          <w:sz w:val="20"/>
        </w:rPr>
        <w:t xml:space="preserve"> v. Brentwood Lanes Canada Ltd., </w:t>
      </w:r>
      <w:r w:rsidR="00701EA6" w:rsidRPr="00364819">
        <w:rPr>
          <w:i/>
          <w:sz w:val="20"/>
        </w:rPr>
        <w:t>et al.</w:t>
      </w:r>
      <w:r w:rsidRPr="00364819">
        <w:rPr>
          <w:sz w:val="20"/>
        </w:rPr>
        <w:t xml:space="preserve"> (B.C.) (Civil) (By Leave) (</w:t>
      </w:r>
      <w:hyperlink r:id="rId11" w:history="1">
        <w:r w:rsidRPr="00364819">
          <w:rPr>
            <w:rStyle w:val="Hyperlink"/>
            <w:sz w:val="20"/>
            <w:szCs w:val="20"/>
          </w:rPr>
          <w:t>392</w:t>
        </w:r>
        <w:r w:rsidR="00701EA6" w:rsidRPr="00364819">
          <w:rPr>
            <w:rStyle w:val="Hyperlink"/>
            <w:sz w:val="20"/>
            <w:szCs w:val="20"/>
          </w:rPr>
          <w:t>46</w:t>
        </w:r>
      </w:hyperlink>
      <w:r w:rsidRPr="00364819">
        <w:rPr>
          <w:sz w:val="20"/>
        </w:rPr>
        <w:t>)</w:t>
      </w:r>
    </w:p>
    <w:p w:rsidR="001C6066" w:rsidRPr="00364819" w:rsidRDefault="001C6066" w:rsidP="00BB5077">
      <w:pPr>
        <w:ind w:left="357" w:hanging="357"/>
        <w:rPr>
          <w:rFonts w:eastAsia="Calibri"/>
          <w:sz w:val="20"/>
        </w:rPr>
      </w:pPr>
    </w:p>
    <w:p w:rsidR="001C6066" w:rsidRPr="00364819" w:rsidRDefault="001C6066" w:rsidP="00BB5077">
      <w:pPr>
        <w:pStyle w:val="ListParagraph"/>
        <w:numPr>
          <w:ilvl w:val="0"/>
          <w:numId w:val="29"/>
        </w:numPr>
        <w:ind w:left="357" w:hanging="357"/>
        <w:rPr>
          <w:sz w:val="20"/>
          <w:lang w:val="en-CA"/>
        </w:rPr>
      </w:pPr>
      <w:r w:rsidRPr="00364819">
        <w:rPr>
          <w:i/>
          <w:sz w:val="20"/>
        </w:rPr>
        <w:t>Jeremy Newborn v. Her Majesty the Queen</w:t>
      </w:r>
      <w:r w:rsidRPr="00364819">
        <w:rPr>
          <w:i/>
          <w:iCs/>
          <w:sz w:val="20"/>
        </w:rPr>
        <w:t xml:space="preserve"> </w:t>
      </w:r>
      <w:r w:rsidRPr="00364819">
        <w:rPr>
          <w:sz w:val="20"/>
          <w:lang w:val="en-CA"/>
        </w:rPr>
        <w:t xml:space="preserve">(Alta.) (Criminal) (By Leave) </w:t>
      </w:r>
      <w:r w:rsidRPr="00364819">
        <w:rPr>
          <w:sz w:val="20"/>
        </w:rPr>
        <w:t>(</w:t>
      </w:r>
      <w:hyperlink r:id="rId12" w:history="1">
        <w:r w:rsidRPr="00364819">
          <w:rPr>
            <w:rStyle w:val="Hyperlink"/>
            <w:sz w:val="20"/>
            <w:szCs w:val="20"/>
          </w:rPr>
          <w:t>393</w:t>
        </w:r>
        <w:r w:rsidR="00701EA6" w:rsidRPr="00364819">
          <w:rPr>
            <w:rStyle w:val="Hyperlink"/>
            <w:sz w:val="20"/>
            <w:szCs w:val="20"/>
          </w:rPr>
          <w:t>19</w:t>
        </w:r>
      </w:hyperlink>
      <w:r w:rsidRPr="00364819">
        <w:rPr>
          <w:sz w:val="20"/>
        </w:rPr>
        <w:t>)</w:t>
      </w:r>
    </w:p>
    <w:p w:rsidR="001C6066" w:rsidRPr="00364819" w:rsidRDefault="001C6066" w:rsidP="00BB5077">
      <w:pPr>
        <w:widowControl w:val="0"/>
        <w:autoSpaceDE w:val="0"/>
        <w:autoSpaceDN w:val="0"/>
        <w:adjustRightInd w:val="0"/>
        <w:ind w:left="357" w:hanging="357"/>
        <w:contextualSpacing/>
        <w:rPr>
          <w:sz w:val="20"/>
          <w:lang w:val="en-CA"/>
        </w:rPr>
      </w:pPr>
    </w:p>
    <w:p w:rsidR="001C6066" w:rsidRPr="00364819" w:rsidRDefault="001C6066" w:rsidP="00BB5077">
      <w:pPr>
        <w:pStyle w:val="ListParagraph"/>
        <w:numPr>
          <w:ilvl w:val="0"/>
          <w:numId w:val="29"/>
        </w:numPr>
        <w:ind w:left="357" w:hanging="357"/>
        <w:rPr>
          <w:sz w:val="20"/>
          <w:lang w:val="en-CA"/>
        </w:rPr>
      </w:pPr>
      <w:r w:rsidRPr="00364819">
        <w:rPr>
          <w:rFonts w:eastAsiaTheme="minorHAnsi" w:cstheme="minorBidi"/>
          <w:i/>
          <w:sz w:val="20"/>
        </w:rPr>
        <w:t>McLeod Lake Indian Band</w:t>
      </w:r>
      <w:r w:rsidR="00701EA6" w:rsidRPr="00364819">
        <w:rPr>
          <w:rFonts w:eastAsiaTheme="minorHAnsi" w:cstheme="minorBidi"/>
          <w:i/>
          <w:sz w:val="20"/>
        </w:rPr>
        <w:t>, et al.</w:t>
      </w:r>
      <w:r w:rsidRPr="00364819">
        <w:rPr>
          <w:rFonts w:eastAsiaTheme="minorHAnsi" w:cstheme="minorBidi"/>
          <w:i/>
          <w:sz w:val="20"/>
        </w:rPr>
        <w:t xml:space="preserve"> v. West Moberly First Nations, </w:t>
      </w:r>
      <w:r w:rsidR="00701EA6" w:rsidRPr="00364819">
        <w:rPr>
          <w:rFonts w:eastAsiaTheme="minorHAnsi" w:cstheme="minorBidi"/>
          <w:i/>
          <w:sz w:val="20"/>
        </w:rPr>
        <w:t>et al.</w:t>
      </w:r>
      <w:r w:rsidRPr="00364819">
        <w:rPr>
          <w:i/>
          <w:iCs/>
          <w:sz w:val="20"/>
        </w:rPr>
        <w:t xml:space="preserve"> </w:t>
      </w:r>
      <w:r w:rsidRPr="00364819">
        <w:rPr>
          <w:sz w:val="20"/>
          <w:lang w:val="en-CA"/>
        </w:rPr>
        <w:t xml:space="preserve">(B.C.) (Civil) (By Leave) </w:t>
      </w:r>
      <w:r w:rsidRPr="00364819">
        <w:rPr>
          <w:sz w:val="20"/>
        </w:rPr>
        <w:t>(</w:t>
      </w:r>
      <w:hyperlink r:id="rId13" w:history="1">
        <w:r w:rsidRPr="00364819">
          <w:rPr>
            <w:rStyle w:val="Hyperlink"/>
            <w:sz w:val="20"/>
            <w:szCs w:val="20"/>
          </w:rPr>
          <w:t>392</w:t>
        </w:r>
        <w:r w:rsidR="00701EA6" w:rsidRPr="00364819">
          <w:rPr>
            <w:rStyle w:val="Hyperlink"/>
            <w:sz w:val="20"/>
            <w:szCs w:val="20"/>
          </w:rPr>
          <w:t>9</w:t>
        </w:r>
        <w:r w:rsidRPr="00364819">
          <w:rPr>
            <w:rStyle w:val="Hyperlink"/>
            <w:sz w:val="20"/>
            <w:szCs w:val="20"/>
          </w:rPr>
          <w:t>2</w:t>
        </w:r>
      </w:hyperlink>
      <w:r w:rsidRPr="00364819">
        <w:rPr>
          <w:sz w:val="20"/>
        </w:rPr>
        <w:t>)</w:t>
      </w:r>
    </w:p>
    <w:p w:rsidR="001C6066" w:rsidRPr="00364819" w:rsidRDefault="001C6066" w:rsidP="00BB5077">
      <w:pPr>
        <w:widowControl w:val="0"/>
        <w:autoSpaceDE w:val="0"/>
        <w:autoSpaceDN w:val="0"/>
        <w:adjustRightInd w:val="0"/>
        <w:ind w:left="357" w:hanging="357"/>
        <w:contextualSpacing/>
        <w:rPr>
          <w:iCs/>
          <w:sz w:val="20"/>
          <w:lang w:val="en-CA"/>
        </w:rPr>
      </w:pPr>
    </w:p>
    <w:p w:rsidR="001C6066" w:rsidRPr="00364819" w:rsidRDefault="001C6066" w:rsidP="00BB5077">
      <w:pPr>
        <w:pStyle w:val="ListParagraph"/>
        <w:numPr>
          <w:ilvl w:val="0"/>
          <w:numId w:val="29"/>
        </w:numPr>
        <w:ind w:left="357" w:hanging="357"/>
        <w:rPr>
          <w:sz w:val="20"/>
          <w:lang w:val="en-CA"/>
        </w:rPr>
      </w:pPr>
      <w:r w:rsidRPr="00364819">
        <w:rPr>
          <w:i/>
          <w:sz w:val="20"/>
        </w:rPr>
        <w:t xml:space="preserve">Germaine Anderson on her own behalf and on behalf of all other Beaver Lake Cree Nation beneficiaries of Treaty No. 6 and Beaver Lake Cree Nation v. Her Majesty the Queen in Right of the Province of Alberta, </w:t>
      </w:r>
      <w:r w:rsidR="00D63DC1" w:rsidRPr="00364819">
        <w:rPr>
          <w:i/>
          <w:sz w:val="20"/>
        </w:rPr>
        <w:t>et al.</w:t>
      </w:r>
      <w:r w:rsidRPr="00364819">
        <w:rPr>
          <w:iCs/>
          <w:sz w:val="20"/>
        </w:rPr>
        <w:t xml:space="preserve"> </w:t>
      </w:r>
      <w:r w:rsidRPr="00364819">
        <w:rPr>
          <w:sz w:val="20"/>
          <w:lang w:val="en-CA"/>
        </w:rPr>
        <w:t xml:space="preserve">(Alta.) (Civil) (By Leave) </w:t>
      </w:r>
      <w:r w:rsidRPr="00364819">
        <w:rPr>
          <w:sz w:val="20"/>
        </w:rPr>
        <w:t>(</w:t>
      </w:r>
      <w:hyperlink r:id="rId14" w:history="1">
        <w:r w:rsidRPr="00364819">
          <w:rPr>
            <w:rStyle w:val="Hyperlink"/>
            <w:sz w:val="20"/>
            <w:szCs w:val="20"/>
          </w:rPr>
          <w:t>3932</w:t>
        </w:r>
        <w:r w:rsidR="00D63DC1" w:rsidRPr="00364819">
          <w:rPr>
            <w:rStyle w:val="Hyperlink"/>
            <w:sz w:val="20"/>
            <w:szCs w:val="20"/>
          </w:rPr>
          <w:t>3</w:t>
        </w:r>
      </w:hyperlink>
      <w:r w:rsidRPr="00364819">
        <w:rPr>
          <w:sz w:val="20"/>
        </w:rPr>
        <w:t>)</w:t>
      </w:r>
    </w:p>
    <w:p w:rsidR="001C6066" w:rsidRPr="00364819" w:rsidRDefault="001C6066" w:rsidP="00BB5077">
      <w:pPr>
        <w:widowControl w:val="0"/>
        <w:autoSpaceDE w:val="0"/>
        <w:autoSpaceDN w:val="0"/>
        <w:adjustRightInd w:val="0"/>
        <w:ind w:left="357" w:hanging="357"/>
        <w:contextualSpacing/>
        <w:rPr>
          <w:sz w:val="20"/>
          <w:lang w:val="en-CA"/>
        </w:rPr>
      </w:pPr>
    </w:p>
    <w:p w:rsidR="001C6066" w:rsidRPr="00364819" w:rsidRDefault="001C6066" w:rsidP="00BB5077">
      <w:pPr>
        <w:pStyle w:val="ListParagraph"/>
        <w:numPr>
          <w:ilvl w:val="0"/>
          <w:numId w:val="29"/>
        </w:numPr>
        <w:ind w:left="357" w:hanging="357"/>
        <w:rPr>
          <w:sz w:val="20"/>
          <w:lang w:val="en-CA"/>
        </w:rPr>
      </w:pPr>
      <w:r w:rsidRPr="00364819">
        <w:rPr>
          <w:i/>
          <w:sz w:val="20"/>
        </w:rPr>
        <w:t>Hutchingame Growth Capital Corporation v. Independent Electricity System Operator</w:t>
      </w:r>
      <w:r w:rsidRPr="00364819">
        <w:rPr>
          <w:sz w:val="20"/>
          <w:lang w:val="en-CA"/>
        </w:rPr>
        <w:t xml:space="preserve"> (Ont.) (Civil) (By Leave) </w:t>
      </w:r>
      <w:r w:rsidRPr="00364819">
        <w:rPr>
          <w:sz w:val="20"/>
        </w:rPr>
        <w:t>(</w:t>
      </w:r>
      <w:hyperlink r:id="rId15" w:history="1">
        <w:r w:rsidRPr="00364819">
          <w:rPr>
            <w:rStyle w:val="Hyperlink"/>
            <w:sz w:val="20"/>
            <w:szCs w:val="20"/>
          </w:rPr>
          <w:t>393</w:t>
        </w:r>
        <w:r w:rsidR="00D63DC1" w:rsidRPr="00364819">
          <w:rPr>
            <w:rStyle w:val="Hyperlink"/>
            <w:sz w:val="20"/>
            <w:szCs w:val="20"/>
          </w:rPr>
          <w:t>47</w:t>
        </w:r>
      </w:hyperlink>
      <w:r w:rsidRPr="00364819">
        <w:rPr>
          <w:sz w:val="20"/>
        </w:rPr>
        <w:t>)</w:t>
      </w:r>
    </w:p>
    <w:p w:rsidR="002F58A9" w:rsidRPr="00364819" w:rsidRDefault="002F58A9" w:rsidP="002F58A9">
      <w:pPr>
        <w:rPr>
          <w:sz w:val="20"/>
        </w:rPr>
      </w:pPr>
    </w:p>
    <w:p w:rsidR="0057402C" w:rsidRPr="00364819" w:rsidRDefault="005A78BC" w:rsidP="009B14F4">
      <w:pPr>
        <w:widowControl w:val="0"/>
        <w:jc w:val="both"/>
        <w:rPr>
          <w:sz w:val="20"/>
        </w:rPr>
      </w:pPr>
      <w:r>
        <w:rPr>
          <w:sz w:val="20"/>
        </w:rPr>
        <w:pict>
          <v:rect id="_x0000_i1026" style="width:2in;height:1pt" o:hrpct="0" o:hralign="center" o:hrstd="t" o:hrnoshade="t" o:hr="t" fillcolor="black [3213]" stroked="f"/>
        </w:pict>
      </w:r>
    </w:p>
    <w:p w:rsidR="0057402C" w:rsidRPr="00364819" w:rsidRDefault="0057402C" w:rsidP="008615DC">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39123</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Sylvia H.C.C. Richardson v. Mark Edward Richardson</w:t>
            </w:r>
          </w:p>
          <w:p w:rsidR="008615DC" w:rsidRPr="00364819" w:rsidRDefault="008615DC" w:rsidP="008615DC">
            <w:pPr>
              <w:jc w:val="both"/>
              <w:rPr>
                <w:sz w:val="20"/>
              </w:rPr>
            </w:pPr>
            <w:r w:rsidRPr="00364819">
              <w:rPr>
                <w:sz w:val="20"/>
              </w:rPr>
              <w:t>(Ont.) (Civil) (By Leave)</w:t>
            </w:r>
          </w:p>
        </w:tc>
      </w:tr>
      <w:tr w:rsidR="008615DC" w:rsidRPr="00364819" w:rsidTr="00136FEB">
        <w:tc>
          <w:tcPr>
            <w:tcW w:w="5000" w:type="pct"/>
            <w:gridSpan w:val="4"/>
          </w:tcPr>
          <w:p w:rsidR="008615DC" w:rsidRPr="00364819" w:rsidRDefault="008615DC" w:rsidP="008615DC">
            <w:pPr>
              <w:jc w:val="both"/>
              <w:rPr>
                <w:sz w:val="20"/>
              </w:rPr>
            </w:pPr>
            <w:r w:rsidRPr="00364819">
              <w:rPr>
                <w:sz w:val="20"/>
              </w:rPr>
              <w:t xml:space="preserve">Family law — Custody — Judgments and orders — Reasons — Trial judge making custody order contrary to terms of minutes of settlement signed by parties during course of trial — When is it appropriate for courts to reject parties’ reasonable settlement agreements? — What are the standards for rejecting such settlements and what are the </w:t>
            </w:r>
            <w:r w:rsidRPr="00364819">
              <w:rPr>
                <w:sz w:val="20"/>
              </w:rPr>
              <w:lastRenderedPageBreak/>
              <w:t>appropriate steps for a trial judge to take in such circumstances? — When, if ever, is it appropriate for a trial judge to continue to sit on a trial after being privy to the parties’ settlement positions?</w:t>
            </w:r>
          </w:p>
        </w:tc>
      </w:tr>
      <w:tr w:rsidR="008615DC" w:rsidRPr="00364819" w:rsidTr="00136FEB">
        <w:tc>
          <w:tcPr>
            <w:tcW w:w="5000" w:type="pct"/>
            <w:gridSpan w:val="4"/>
          </w:tcPr>
          <w:p w:rsidR="008615DC" w:rsidRPr="00364819" w:rsidRDefault="008615DC" w:rsidP="008615DC">
            <w:pPr>
              <w:jc w:val="both"/>
              <w:rPr>
                <w:sz w:val="20"/>
              </w:rPr>
            </w:pPr>
          </w:p>
        </w:tc>
      </w:tr>
      <w:tr w:rsidR="008615DC" w:rsidRPr="00364819" w:rsidTr="005A78BC">
        <w:tc>
          <w:tcPr>
            <w:tcW w:w="5000" w:type="pct"/>
            <w:gridSpan w:val="4"/>
          </w:tcPr>
          <w:p w:rsidR="008615DC" w:rsidRPr="00364819" w:rsidRDefault="008615DC" w:rsidP="00136FEB">
            <w:pPr>
              <w:pStyle w:val="aparanumbering"/>
              <w:spacing w:before="0" w:beforeAutospacing="0" w:after="0" w:afterAutospacing="0"/>
              <w:jc w:val="both"/>
              <w:rPr>
                <w:sz w:val="20"/>
                <w:szCs w:val="20"/>
                <w:lang w:val="en"/>
              </w:rPr>
            </w:pPr>
            <w:r w:rsidRPr="00364819">
              <w:rPr>
                <w:sz w:val="20"/>
                <w:szCs w:val="20"/>
                <w:lang w:val="en"/>
              </w:rPr>
              <w:t xml:space="preserve">The parties were married in 2003 and divorced in 2015. They have both since remarried. Their daughter was born in 2005 and they had a son in 2011. They all resided in the Niagara region until 2017. In 2015, the parties participated in an assessment pursuant to </w:t>
            </w:r>
            <w:hyperlink r:id="rId16" w:anchor="sec30_smooth" w:history="1">
              <w:r w:rsidRPr="00364819">
                <w:rPr>
                  <w:rStyle w:val="Hyperlink"/>
                  <w:rFonts w:eastAsiaTheme="majorEastAsia"/>
                  <w:sz w:val="20"/>
                  <w:szCs w:val="20"/>
                  <w:lang w:val="en"/>
                </w:rPr>
                <w:t>s. 30</w:t>
              </w:r>
            </w:hyperlink>
            <w:r w:rsidRPr="00364819">
              <w:rPr>
                <w:sz w:val="20"/>
                <w:szCs w:val="20"/>
                <w:lang w:val="en"/>
              </w:rPr>
              <w:t xml:space="preserve"> of the </w:t>
            </w:r>
            <w:hyperlink r:id="rId17" w:history="1">
              <w:r w:rsidRPr="00364819">
                <w:rPr>
                  <w:rStyle w:val="Emphasis"/>
                  <w:rFonts w:eastAsiaTheme="minorHAnsi"/>
                  <w:sz w:val="20"/>
                  <w:szCs w:val="20"/>
                  <w:lang w:val="en"/>
                </w:rPr>
                <w:t>Children’s Law Reform Act</w:t>
              </w:r>
              <w:r w:rsidRPr="00364819">
                <w:rPr>
                  <w:rStyle w:val="Hyperlink"/>
                  <w:rFonts w:eastAsiaTheme="majorEastAsia"/>
                  <w:sz w:val="20"/>
                  <w:szCs w:val="20"/>
                  <w:lang w:val="en"/>
                </w:rPr>
                <w:t>, R.S.O. 1990, c. C.12</w:t>
              </w:r>
            </w:hyperlink>
            <w:r w:rsidRPr="00364819">
              <w:rPr>
                <w:sz w:val="20"/>
                <w:szCs w:val="20"/>
                <w:lang w:val="en"/>
              </w:rPr>
              <w:t>. Ms. Richardson was seeking to have the children move with her to Ottawa, where she planned to relocate. The assessor recommended that the children stay in the Niagara region and that the parties have joint custody. The parties accepted this recommendation and settled the matter pursuant to a consent order in 2016. At the time both parties had residences in the Niagara region and Ms. Richardson was dividing her time between the Niagara region and the Ottawa area, where she had a home with her new spouse.</w:t>
            </w:r>
          </w:p>
          <w:p w:rsidR="00136FEB" w:rsidRPr="00364819" w:rsidRDefault="00136FEB" w:rsidP="00136FEB">
            <w:pPr>
              <w:pStyle w:val="aparanumbering"/>
              <w:spacing w:before="0" w:beforeAutospacing="0" w:after="0" w:afterAutospacing="0"/>
              <w:jc w:val="both"/>
              <w:rPr>
                <w:sz w:val="20"/>
                <w:szCs w:val="20"/>
                <w:lang w:val="en"/>
              </w:rPr>
            </w:pPr>
          </w:p>
          <w:p w:rsidR="008615DC" w:rsidRPr="00364819" w:rsidRDefault="008615DC" w:rsidP="00136FEB">
            <w:pPr>
              <w:pStyle w:val="aparanumbering"/>
              <w:spacing w:before="0" w:beforeAutospacing="0" w:after="0" w:afterAutospacing="0"/>
              <w:jc w:val="both"/>
              <w:rPr>
                <w:sz w:val="20"/>
                <w:szCs w:val="20"/>
              </w:rPr>
            </w:pPr>
            <w:r w:rsidRPr="00364819">
              <w:rPr>
                <w:sz w:val="20"/>
                <w:szCs w:val="20"/>
                <w:lang w:val="en"/>
              </w:rPr>
              <w:t xml:space="preserve">In July 2017, Ms. Richardson sold her Niagara residence and moved to Ottawa. She brought a motion to change the consent order on the basis that it would be in the children’s best interests to reside primarily with her in Ottawa. The parties could not settle the matter and it proceeded to trial. On the third day of the trial, counsel for the parties presented a proposed settlement to the trial judge that provided that the children would move from their home in the Niagara region to Ottawa to live primarily with their mother. The trial judge did not accept the terms of the minutes of settlement and stated that he wanted to hear all of the evidence. The trial proceeded. </w:t>
            </w:r>
            <w:r w:rsidRPr="00364819">
              <w:rPr>
                <w:sz w:val="20"/>
                <w:szCs w:val="20"/>
              </w:rPr>
              <w:t>The trial judge concluded that the children would not relocate to Ottawa. This decision was upheld by a majority of the Court of Appeal.</w:t>
            </w:r>
          </w:p>
          <w:p w:rsidR="008615DC" w:rsidRPr="00364819" w:rsidRDefault="008615DC" w:rsidP="00136FEB">
            <w:pPr>
              <w:pStyle w:val="aparanumbering"/>
              <w:spacing w:before="0" w:beforeAutospacing="0" w:after="0" w:afterAutospacing="0"/>
              <w:jc w:val="both"/>
              <w:rPr>
                <w:sz w:val="20"/>
                <w:szCs w:val="20"/>
                <w:lang w:val="en"/>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April 8, 2019</w:t>
            </w:r>
          </w:p>
          <w:p w:rsidR="008615DC" w:rsidRPr="00364819" w:rsidRDefault="008615DC" w:rsidP="008615DC">
            <w:pPr>
              <w:jc w:val="both"/>
              <w:rPr>
                <w:sz w:val="20"/>
              </w:rPr>
            </w:pPr>
            <w:r w:rsidRPr="00364819">
              <w:rPr>
                <w:sz w:val="20"/>
              </w:rPr>
              <w:t>Ontario Superior Court of Justice</w:t>
            </w:r>
          </w:p>
          <w:p w:rsidR="008615DC" w:rsidRPr="00364819" w:rsidRDefault="008615DC" w:rsidP="008615DC">
            <w:pPr>
              <w:jc w:val="both"/>
              <w:rPr>
                <w:sz w:val="20"/>
              </w:rPr>
            </w:pPr>
            <w:r w:rsidRPr="00364819">
              <w:rPr>
                <w:sz w:val="20"/>
              </w:rPr>
              <w:t>(Ramsay J.)</w:t>
            </w:r>
          </w:p>
          <w:p w:rsidR="008615DC" w:rsidRPr="00364819" w:rsidRDefault="008615DC" w:rsidP="008615DC">
            <w:pPr>
              <w:jc w:val="both"/>
              <w:rPr>
                <w:sz w:val="20"/>
              </w:rPr>
            </w:pPr>
            <w:r w:rsidRPr="00364819">
              <w:rPr>
                <w:sz w:val="20"/>
              </w:rPr>
              <w:t>2019 ONSC 2175</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Trial judge rejecting terms of minutes of settlement and ordering children’s primary residence to be with father</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December 13, 2019</w:t>
            </w:r>
          </w:p>
          <w:p w:rsidR="008615DC" w:rsidRPr="00364819" w:rsidRDefault="008615DC" w:rsidP="008615DC">
            <w:pPr>
              <w:jc w:val="both"/>
              <w:rPr>
                <w:sz w:val="20"/>
              </w:rPr>
            </w:pPr>
            <w:r w:rsidRPr="00364819">
              <w:rPr>
                <w:sz w:val="20"/>
              </w:rPr>
              <w:t>Court of Appeal for Ontario</w:t>
            </w:r>
          </w:p>
          <w:p w:rsidR="008615DC" w:rsidRPr="00364819" w:rsidRDefault="008615DC" w:rsidP="008615DC">
            <w:pPr>
              <w:jc w:val="both"/>
              <w:rPr>
                <w:sz w:val="20"/>
              </w:rPr>
            </w:pPr>
            <w:r w:rsidRPr="00364819">
              <w:rPr>
                <w:sz w:val="20"/>
              </w:rPr>
              <w:t xml:space="preserve">(Rouleau, Huscroft and Nordheimer </w:t>
            </w:r>
          </w:p>
          <w:p w:rsidR="008615DC" w:rsidRPr="00364819" w:rsidRDefault="008615DC" w:rsidP="008615DC">
            <w:pPr>
              <w:jc w:val="both"/>
              <w:rPr>
                <w:sz w:val="20"/>
              </w:rPr>
            </w:pPr>
            <w:r w:rsidRPr="00364819">
              <w:rPr>
                <w:sz w:val="20"/>
              </w:rPr>
              <w:t>[dissenting] JJ.A.)</w:t>
            </w:r>
          </w:p>
          <w:p w:rsidR="008615DC" w:rsidRPr="00364819" w:rsidRDefault="005A78BC" w:rsidP="008615DC">
            <w:pPr>
              <w:jc w:val="both"/>
              <w:rPr>
                <w:sz w:val="20"/>
              </w:rPr>
            </w:pPr>
            <w:hyperlink r:id="rId18" w:history="1">
              <w:r w:rsidR="008615DC" w:rsidRPr="00364819">
                <w:rPr>
                  <w:rStyle w:val="Hyperlink"/>
                  <w:sz w:val="20"/>
                </w:rPr>
                <w:t>2019 ONCA 983</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Applicant’s appeal dismissed</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April 7, 2020</w:t>
            </w:r>
          </w:p>
          <w:p w:rsidR="008615DC" w:rsidRPr="00364819" w:rsidRDefault="008615DC" w:rsidP="008615DC">
            <w:pPr>
              <w:jc w:val="both"/>
              <w:rPr>
                <w:sz w:val="20"/>
              </w:rPr>
            </w:pPr>
            <w:r w:rsidRPr="00364819">
              <w:rPr>
                <w:sz w:val="20"/>
              </w:rPr>
              <w:t>Supreme Court of Canada</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Motion for extension of time in which to serve and file application for leave to appeal and application for leave to appeal filed</w:t>
            </w:r>
          </w:p>
        </w:tc>
      </w:tr>
    </w:tbl>
    <w:p w:rsidR="008615DC" w:rsidRPr="00364819" w:rsidRDefault="008615DC" w:rsidP="008615DC">
      <w:pPr>
        <w:jc w:val="both"/>
        <w:rPr>
          <w:sz w:val="20"/>
        </w:rPr>
      </w:pPr>
    </w:p>
    <w:p w:rsidR="00136FEB" w:rsidRPr="00364819" w:rsidRDefault="005A78BC" w:rsidP="008615DC">
      <w:pPr>
        <w:jc w:val="both"/>
        <w:rPr>
          <w:sz w:val="20"/>
        </w:rPr>
      </w:pPr>
      <w:r>
        <w:rPr>
          <w:sz w:val="20"/>
        </w:rPr>
        <w:pict>
          <v:rect id="_x0000_i1027" style="width:2in;height:1pt" o:hrpct="0" o:hralign="center" o:hrstd="t" o:hrnoshade="t" o:hr="t" fillcolor="black [3213]" stroked="f"/>
        </w:pict>
      </w:r>
    </w:p>
    <w:p w:rsidR="00136FEB" w:rsidRPr="00364819" w:rsidRDefault="00136FEB" w:rsidP="008615DC">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39123</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Sylvia H.C.C. Richardson c. Mark Edward Richardson</w:t>
            </w:r>
          </w:p>
          <w:p w:rsidR="008615DC" w:rsidRPr="00364819" w:rsidRDefault="008615DC" w:rsidP="008615DC">
            <w:pPr>
              <w:jc w:val="both"/>
              <w:rPr>
                <w:sz w:val="20"/>
              </w:rPr>
            </w:pPr>
            <w:r w:rsidRPr="00364819">
              <w:rPr>
                <w:sz w:val="20"/>
              </w:rPr>
              <w:t>(Ont.) (Civile) (Sur autorisation)</w:t>
            </w: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 xml:space="preserve">Droit de la famille — Garde — Jugements et ordonnances — Motifs — Juge de première instance rendant une </w:t>
            </w:r>
            <w:proofErr w:type="spellStart"/>
            <w:r w:rsidRPr="00364819">
              <w:rPr>
                <w:sz w:val="20"/>
                <w:lang w:val="fr-CA"/>
              </w:rPr>
              <w:t>ordonnnance</w:t>
            </w:r>
            <w:proofErr w:type="spellEnd"/>
            <w:r w:rsidRPr="00364819">
              <w:rPr>
                <w:sz w:val="20"/>
                <w:lang w:val="fr-CA"/>
              </w:rPr>
              <w:t xml:space="preserve"> de garde qui va à l’encontre des modalités du procès</w:t>
            </w:r>
            <w:r w:rsidRPr="00364819">
              <w:rPr>
                <w:sz w:val="20"/>
                <w:lang w:val="fr-CA"/>
              </w:rPr>
              <w:noBreakHyphen/>
              <w:t>verbal de règlement signé par les parties au cours du procès — Dans quels cas est</w:t>
            </w:r>
            <w:r w:rsidRPr="00364819">
              <w:rPr>
                <w:sz w:val="20"/>
                <w:lang w:val="fr-CA"/>
              </w:rPr>
              <w:noBreakHyphen/>
              <w:t>il indiqué pour les tribunaux de rejeter les conventions de règlement raisonnables conclues entre les parties? — Quelles sont les normes à appliquer pour rejeter pareils règlements et quelles mesures doit prendre le juge de première instance dans de tels cas? — Dans quelles circonstances, s’il en est, convient-il que le juge de première instance continue de présider le procès après avoir été mis au courant de la position respective des parties à l’égard de leur règlement?</w:t>
            </w:r>
          </w:p>
        </w:tc>
      </w:tr>
      <w:tr w:rsidR="008615DC" w:rsidRPr="005A78BC" w:rsidTr="00136FEB">
        <w:tc>
          <w:tcPr>
            <w:tcW w:w="5000" w:type="pct"/>
            <w:gridSpan w:val="4"/>
          </w:tcPr>
          <w:p w:rsidR="008615DC" w:rsidRPr="00364819" w:rsidRDefault="008615DC" w:rsidP="008615DC">
            <w:pPr>
              <w:jc w:val="both"/>
              <w:rPr>
                <w:sz w:val="20"/>
                <w:lang w:val="fr-CA"/>
              </w:rPr>
            </w:pPr>
          </w:p>
        </w:tc>
      </w:tr>
      <w:tr w:rsidR="00136FEB" w:rsidRPr="005A78BC" w:rsidTr="00136FEB">
        <w:trPr>
          <w:trHeight w:val="569"/>
        </w:trPr>
        <w:tc>
          <w:tcPr>
            <w:tcW w:w="5000" w:type="pct"/>
            <w:gridSpan w:val="4"/>
          </w:tcPr>
          <w:p w:rsidR="00136FEB" w:rsidRPr="00364819" w:rsidRDefault="00136FEB" w:rsidP="00136FEB">
            <w:pPr>
              <w:pStyle w:val="aparanumbering"/>
              <w:spacing w:before="0" w:beforeAutospacing="0" w:after="0" w:afterAutospacing="0"/>
              <w:jc w:val="both"/>
              <w:rPr>
                <w:sz w:val="20"/>
                <w:szCs w:val="20"/>
                <w:lang w:val="fr-CA"/>
              </w:rPr>
            </w:pPr>
            <w:r w:rsidRPr="00364819">
              <w:rPr>
                <w:sz w:val="20"/>
                <w:szCs w:val="20"/>
                <w:lang w:val="fr-CA"/>
              </w:rPr>
              <w:t>Les parties se sont mariées en 2003 et ont divorcé en 2015. Elles ont toutes deux épousé une autre personne depuis. Leur fille est née en 2005 et ils ont eu un fils en 2011. Ils habitaient tous dans la région de Niagara jusqu’en 2017. En 2015, les parties ont participé à une évaluation en application de l’art. </w:t>
            </w:r>
            <w:hyperlink r:id="rId19" w:anchor="sec30_smooth" w:history="1">
              <w:r w:rsidRPr="00364819">
                <w:rPr>
                  <w:rStyle w:val="Hyperlink"/>
                  <w:rFonts w:eastAsiaTheme="majorEastAsia"/>
                  <w:sz w:val="20"/>
                  <w:szCs w:val="20"/>
                  <w:lang w:val="fr-CA"/>
                </w:rPr>
                <w:t>30</w:t>
              </w:r>
            </w:hyperlink>
            <w:r w:rsidRPr="00364819">
              <w:rPr>
                <w:sz w:val="20"/>
                <w:szCs w:val="20"/>
                <w:lang w:val="fr-CA"/>
              </w:rPr>
              <w:t xml:space="preserve"> de la </w:t>
            </w:r>
            <w:r w:rsidRPr="00364819">
              <w:rPr>
                <w:i/>
                <w:sz w:val="20"/>
                <w:szCs w:val="20"/>
                <w:lang w:val="fr-CA"/>
              </w:rPr>
              <w:t>Loi portant réforme du droit de l’enfance</w:t>
            </w:r>
            <w:r w:rsidRPr="00364819">
              <w:rPr>
                <w:sz w:val="20"/>
                <w:szCs w:val="20"/>
                <w:lang w:val="fr-CA"/>
              </w:rPr>
              <w:t>,</w:t>
            </w:r>
            <w:hyperlink r:id="rId20" w:history="1">
              <w:r w:rsidRPr="00364819">
                <w:rPr>
                  <w:rStyle w:val="Emphasis"/>
                  <w:rFonts w:eastAsiaTheme="minorHAnsi"/>
                  <w:sz w:val="20"/>
                  <w:szCs w:val="20"/>
                  <w:lang w:val="fr-CA"/>
                </w:rPr>
                <w:t xml:space="preserve"> L.</w:t>
              </w:r>
              <w:r w:rsidRPr="00364819">
                <w:rPr>
                  <w:rStyle w:val="Hyperlink"/>
                  <w:rFonts w:eastAsiaTheme="majorEastAsia"/>
                  <w:sz w:val="20"/>
                  <w:szCs w:val="20"/>
                  <w:lang w:val="fr-CA"/>
                </w:rPr>
                <w:t>R.O. 1990, c. C.12</w:t>
              </w:r>
            </w:hyperlink>
            <w:r w:rsidRPr="00364819">
              <w:rPr>
                <w:sz w:val="20"/>
                <w:szCs w:val="20"/>
                <w:lang w:val="fr-CA"/>
              </w:rPr>
              <w:t>. M</w:t>
            </w:r>
            <w:r w:rsidRPr="00364819">
              <w:rPr>
                <w:sz w:val="20"/>
                <w:szCs w:val="20"/>
                <w:vertAlign w:val="superscript"/>
                <w:lang w:val="fr-CA"/>
              </w:rPr>
              <w:t>me</w:t>
            </w:r>
            <w:r w:rsidRPr="00364819">
              <w:rPr>
                <w:sz w:val="20"/>
                <w:szCs w:val="20"/>
                <w:lang w:val="fr-CA"/>
              </w:rPr>
              <w:t xml:space="preserve"> Richardson voulait que les enfants emménagent avec elle à Ottawa, où elle prévoyait déménager. L’évaluateur a recommandé que les enfants demeurent dans la région de Niagara et que les parties en aient la garde partagée. Les parties ont accepté cette recommandation et réglé la question par ordonnance sur consentement en 2016. À l’époque, les deux parties possédaient des résidences dans la région de Niagara, et </w:t>
            </w:r>
            <w:r w:rsidRPr="00364819">
              <w:rPr>
                <w:sz w:val="20"/>
                <w:szCs w:val="20"/>
                <w:lang w:val="fr-CA"/>
              </w:rPr>
              <w:lastRenderedPageBreak/>
              <w:t>M</w:t>
            </w:r>
            <w:r w:rsidRPr="00364819">
              <w:rPr>
                <w:sz w:val="20"/>
                <w:szCs w:val="20"/>
                <w:vertAlign w:val="superscript"/>
                <w:lang w:val="fr-CA"/>
              </w:rPr>
              <w:t>me</w:t>
            </w:r>
            <w:r w:rsidRPr="00364819">
              <w:rPr>
                <w:sz w:val="20"/>
                <w:szCs w:val="20"/>
                <w:lang w:val="fr-CA"/>
              </w:rPr>
              <w:t> Richardson partageait son temps entre la région de Niagara et celle d’Ottawa, où elle possédait une maison avec son nouvel époux.</w:t>
            </w:r>
          </w:p>
          <w:p w:rsidR="00136FEB" w:rsidRPr="00364819" w:rsidRDefault="00136FEB" w:rsidP="00136FEB">
            <w:pPr>
              <w:pStyle w:val="aparanumbering"/>
              <w:spacing w:before="0" w:beforeAutospacing="0" w:after="0" w:afterAutospacing="0"/>
              <w:jc w:val="both"/>
              <w:rPr>
                <w:sz w:val="20"/>
                <w:szCs w:val="20"/>
                <w:lang w:val="fr-CA"/>
              </w:rPr>
            </w:pPr>
          </w:p>
        </w:tc>
      </w:tr>
      <w:tr w:rsidR="008615DC" w:rsidRPr="005A78BC" w:rsidTr="005A78BC">
        <w:tc>
          <w:tcPr>
            <w:tcW w:w="5000" w:type="pct"/>
            <w:gridSpan w:val="4"/>
          </w:tcPr>
          <w:p w:rsidR="008615DC" w:rsidRPr="00364819" w:rsidRDefault="008615DC" w:rsidP="00136FEB">
            <w:pPr>
              <w:pStyle w:val="aparanumbering"/>
              <w:spacing w:before="0" w:beforeAutospacing="0" w:after="0" w:afterAutospacing="0"/>
              <w:jc w:val="both"/>
              <w:rPr>
                <w:sz w:val="20"/>
                <w:szCs w:val="20"/>
                <w:lang w:val="fr-CA"/>
              </w:rPr>
            </w:pPr>
            <w:r w:rsidRPr="00364819">
              <w:rPr>
                <w:sz w:val="20"/>
                <w:szCs w:val="20"/>
                <w:lang w:val="fr-CA"/>
              </w:rPr>
              <w:lastRenderedPageBreak/>
              <w:t>En juillet 2017, M</w:t>
            </w:r>
            <w:r w:rsidRPr="00364819">
              <w:rPr>
                <w:sz w:val="20"/>
                <w:szCs w:val="20"/>
                <w:vertAlign w:val="superscript"/>
                <w:lang w:val="fr-CA"/>
              </w:rPr>
              <w:t>me</w:t>
            </w:r>
            <w:r w:rsidRPr="00364819">
              <w:rPr>
                <w:sz w:val="20"/>
                <w:szCs w:val="20"/>
                <w:lang w:val="fr-CA"/>
              </w:rPr>
              <w:t> Richardson a vendu sa résidence de Niagara et déménagé à Ottawa. Elle a déposé une motion pour faire modifier l’ordonnance sur consentement au motif qu’il serait dans l’intérêt véritable des enfants qu’ils demeurent principalement avec elle à Ottawa. Les parties ne sont pas parvenues à s’entendre sur la question, qui a été instruite. Le troisième jour du procès, les avocats des parties ont présenté au juge de première instance une proposition de règlement selon laquelle les enfants déménageraient de leur maison située dans la région de Niagara à Ottawa pour vivre principalement avec leur mère. Le juge de première instance n’a pas accepté les modalités du procès</w:t>
            </w:r>
            <w:r w:rsidRPr="00364819">
              <w:rPr>
                <w:sz w:val="20"/>
                <w:szCs w:val="20"/>
                <w:lang w:val="fr-CA"/>
              </w:rPr>
              <w:noBreakHyphen/>
              <w:t>verbal de règlement et a affirmé vouloir entendre tous les témoignages. Le procès a suivi son cours. Le juge de première instance a décidé que les enfants ne déménageraient pas à Ottawa. La Cour d’appel a confirmé à la majorité cette décision.</w:t>
            </w:r>
            <w:bookmarkStart w:id="0" w:name="_GoBack"/>
            <w:bookmarkEnd w:id="0"/>
          </w:p>
          <w:p w:rsidR="008615DC" w:rsidRPr="00364819" w:rsidRDefault="008615DC" w:rsidP="00136FEB">
            <w:pPr>
              <w:pStyle w:val="aparanumbering"/>
              <w:spacing w:before="0" w:beforeAutospacing="0" w:after="0" w:afterAutospacing="0"/>
              <w:jc w:val="both"/>
              <w:rPr>
                <w:sz w:val="20"/>
                <w:szCs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8 avril 2019</w:t>
            </w:r>
          </w:p>
          <w:p w:rsidR="008615DC" w:rsidRPr="00364819" w:rsidRDefault="008615DC" w:rsidP="008615DC">
            <w:pPr>
              <w:jc w:val="both"/>
              <w:rPr>
                <w:sz w:val="20"/>
                <w:lang w:val="fr-CA"/>
              </w:rPr>
            </w:pPr>
            <w:r w:rsidRPr="00364819">
              <w:rPr>
                <w:sz w:val="20"/>
                <w:lang w:val="fr-CA"/>
              </w:rPr>
              <w:t xml:space="preserve">Cour supérieure de justice de l’Ontario </w:t>
            </w:r>
          </w:p>
          <w:p w:rsidR="008615DC" w:rsidRPr="00364819" w:rsidRDefault="008615DC" w:rsidP="008615DC">
            <w:pPr>
              <w:jc w:val="both"/>
              <w:rPr>
                <w:sz w:val="20"/>
              </w:rPr>
            </w:pPr>
            <w:r w:rsidRPr="00364819">
              <w:rPr>
                <w:sz w:val="20"/>
              </w:rPr>
              <w:t>(Juge Ramsay)</w:t>
            </w:r>
          </w:p>
          <w:p w:rsidR="008615DC" w:rsidRPr="00364819" w:rsidRDefault="008615DC" w:rsidP="008615DC">
            <w:pPr>
              <w:jc w:val="both"/>
              <w:rPr>
                <w:sz w:val="20"/>
              </w:rPr>
            </w:pPr>
            <w:r w:rsidRPr="00364819">
              <w:rPr>
                <w:sz w:val="20"/>
              </w:rPr>
              <w:t>2019 ONSC 2175</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lang w:val="fr-CA"/>
              </w:rPr>
            </w:pPr>
            <w:r w:rsidRPr="00364819">
              <w:rPr>
                <w:sz w:val="20"/>
                <w:lang w:val="fr-CA"/>
              </w:rPr>
              <w:t xml:space="preserve">Modalités du procès-verbal de règlement rejetées par le juge de première instance, qui ordonne que les enfants vivent principalement avec le père </w:t>
            </w:r>
          </w:p>
          <w:p w:rsidR="008615DC" w:rsidRPr="00364819" w:rsidRDefault="008615DC" w:rsidP="008615DC">
            <w:pPr>
              <w:jc w:val="both"/>
              <w:rPr>
                <w:sz w:val="20"/>
                <w:lang w:val="fr-CA"/>
              </w:rPr>
            </w:pP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13 décembre 2019</w:t>
            </w:r>
          </w:p>
          <w:p w:rsidR="008615DC" w:rsidRPr="00364819" w:rsidRDefault="008615DC" w:rsidP="008615DC">
            <w:pPr>
              <w:jc w:val="both"/>
              <w:rPr>
                <w:sz w:val="20"/>
                <w:lang w:val="fr-CA"/>
              </w:rPr>
            </w:pPr>
            <w:r w:rsidRPr="00364819">
              <w:rPr>
                <w:sz w:val="20"/>
                <w:lang w:val="fr-CA"/>
              </w:rPr>
              <w:t>Cour d’appel de l’Ontario</w:t>
            </w:r>
          </w:p>
          <w:p w:rsidR="008615DC" w:rsidRPr="00364819" w:rsidRDefault="008615DC" w:rsidP="008615DC">
            <w:pPr>
              <w:jc w:val="both"/>
              <w:rPr>
                <w:sz w:val="20"/>
                <w:lang w:val="fr-CA"/>
              </w:rPr>
            </w:pPr>
            <w:r w:rsidRPr="00364819">
              <w:rPr>
                <w:sz w:val="20"/>
                <w:lang w:val="fr-CA"/>
              </w:rPr>
              <w:t xml:space="preserve">(Juges Rouleau, Huscroft et Nordheimer </w:t>
            </w:r>
          </w:p>
          <w:p w:rsidR="008615DC" w:rsidRPr="00364819" w:rsidRDefault="008615DC" w:rsidP="008615DC">
            <w:pPr>
              <w:jc w:val="both"/>
              <w:rPr>
                <w:sz w:val="20"/>
              </w:rPr>
            </w:pPr>
            <w:r w:rsidRPr="00364819">
              <w:rPr>
                <w:sz w:val="20"/>
              </w:rPr>
              <w:t>[dissident])</w:t>
            </w:r>
          </w:p>
          <w:p w:rsidR="008615DC" w:rsidRPr="00364819" w:rsidRDefault="005A78BC" w:rsidP="008615DC">
            <w:pPr>
              <w:jc w:val="both"/>
              <w:rPr>
                <w:sz w:val="20"/>
              </w:rPr>
            </w:pPr>
            <w:hyperlink r:id="rId21" w:history="1">
              <w:r w:rsidR="008615DC" w:rsidRPr="00364819">
                <w:rPr>
                  <w:rStyle w:val="Hyperlink"/>
                  <w:sz w:val="20"/>
                </w:rPr>
                <w:t>2019 ONCA 983</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lang w:val="fr-CA"/>
              </w:rPr>
            </w:pPr>
            <w:r w:rsidRPr="00364819">
              <w:rPr>
                <w:sz w:val="20"/>
                <w:lang w:val="fr-CA"/>
              </w:rPr>
              <w:t xml:space="preserve">Rejet de l’appel de la demanderesse </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rPr>
            </w:pPr>
            <w:r w:rsidRPr="00364819">
              <w:rPr>
                <w:sz w:val="20"/>
              </w:rPr>
              <w:t>7 avril 2020</w:t>
            </w:r>
          </w:p>
          <w:p w:rsidR="008615DC" w:rsidRPr="00364819" w:rsidRDefault="008615DC" w:rsidP="008615DC">
            <w:pPr>
              <w:jc w:val="both"/>
              <w:rPr>
                <w:sz w:val="20"/>
              </w:rPr>
            </w:pPr>
            <w:r w:rsidRPr="00364819">
              <w:rPr>
                <w:sz w:val="20"/>
              </w:rPr>
              <w:t>Cour suprême du Canada</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lang w:val="fr-CA"/>
              </w:rPr>
            </w:pPr>
            <w:r w:rsidRPr="00364819">
              <w:rPr>
                <w:sz w:val="20"/>
                <w:lang w:val="fr-CA"/>
              </w:rPr>
              <w:t xml:space="preserve">Dépôt d’une requête en prorogation de délai pour signifier et déposer la demande d’autorisation d’appel ainsi que de la demande d’autorisation d’appel </w:t>
            </w:r>
          </w:p>
        </w:tc>
      </w:tr>
    </w:tbl>
    <w:p w:rsidR="008615DC" w:rsidRPr="00364819" w:rsidRDefault="008615DC" w:rsidP="008615DC">
      <w:pPr>
        <w:jc w:val="both"/>
        <w:rPr>
          <w:sz w:val="20"/>
          <w:lang w:val="fr-CA"/>
        </w:rPr>
      </w:pPr>
    </w:p>
    <w:p w:rsidR="00136FEB" w:rsidRPr="00364819" w:rsidRDefault="005A78BC" w:rsidP="008615DC">
      <w:pPr>
        <w:jc w:val="both"/>
        <w:rPr>
          <w:sz w:val="20"/>
          <w:lang w:val="fr-CA"/>
        </w:rPr>
      </w:pPr>
      <w:r>
        <w:rPr>
          <w:sz w:val="20"/>
        </w:rPr>
        <w:pict>
          <v:rect id="_x0000_i1028" style="width:2in;height:1pt" o:hrpct="0" o:hralign="center" o:hrstd="t" o:hrnoshade="t" o:hr="t" fillcolor="black [3213]" stroked="f"/>
        </w:pict>
      </w:r>
    </w:p>
    <w:p w:rsidR="002C5E29" w:rsidRPr="00364819" w:rsidRDefault="002C5E29" w:rsidP="008615DC">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39317</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BC Government and Service Employees’ Union (BCGEU) v. Bryce J. Casavant</w:t>
            </w:r>
          </w:p>
          <w:p w:rsidR="008615DC" w:rsidRPr="00364819" w:rsidRDefault="008615DC" w:rsidP="008615DC">
            <w:pPr>
              <w:pStyle w:val="SCCLsocParty"/>
              <w:jc w:val="both"/>
              <w:rPr>
                <w:b/>
                <w:sz w:val="20"/>
                <w:szCs w:val="20"/>
                <w:lang w:val="en-US"/>
              </w:rPr>
            </w:pPr>
            <w:r w:rsidRPr="00364819">
              <w:rPr>
                <w:b/>
                <w:sz w:val="20"/>
                <w:szCs w:val="20"/>
                <w:lang w:val="en-US"/>
              </w:rPr>
              <w:t>- and –</w:t>
            </w:r>
          </w:p>
          <w:p w:rsidR="008615DC" w:rsidRPr="00364819" w:rsidRDefault="008615DC" w:rsidP="008615DC">
            <w:pPr>
              <w:pStyle w:val="SCCLsocParty"/>
              <w:jc w:val="both"/>
              <w:rPr>
                <w:b/>
                <w:sz w:val="20"/>
                <w:szCs w:val="20"/>
                <w:lang w:val="en-US"/>
              </w:rPr>
            </w:pPr>
            <w:r w:rsidRPr="00364819">
              <w:rPr>
                <w:b/>
                <w:sz w:val="20"/>
                <w:szCs w:val="20"/>
                <w:lang w:val="en-US"/>
              </w:rPr>
              <w:t>British Columbia Labour Relations Board</w:t>
            </w:r>
          </w:p>
          <w:p w:rsidR="008615DC" w:rsidRPr="00364819" w:rsidRDefault="008615DC" w:rsidP="008615DC">
            <w:pPr>
              <w:jc w:val="both"/>
              <w:rPr>
                <w:sz w:val="20"/>
              </w:rPr>
            </w:pPr>
            <w:r w:rsidRPr="00364819">
              <w:rPr>
                <w:sz w:val="20"/>
              </w:rPr>
              <w:t>(B.C.) (Civil) (By Leave)</w:t>
            </w:r>
          </w:p>
        </w:tc>
      </w:tr>
      <w:tr w:rsidR="008615DC" w:rsidRPr="00364819" w:rsidTr="00136FEB">
        <w:tc>
          <w:tcPr>
            <w:tcW w:w="5000" w:type="pct"/>
            <w:gridSpan w:val="4"/>
          </w:tcPr>
          <w:p w:rsidR="008615DC" w:rsidRPr="00364819" w:rsidRDefault="008615DC" w:rsidP="008615DC">
            <w:pPr>
              <w:jc w:val="both"/>
              <w:rPr>
                <w:sz w:val="20"/>
              </w:rPr>
            </w:pPr>
            <w:r w:rsidRPr="00364819">
              <w:rPr>
                <w:sz w:val="20"/>
              </w:rPr>
              <w:t>Administrative law — Boards and tribunals — Jurisdiction — Appeal of judicial review — Remedial discretion — Dismissed employee raising issue of labour relations board’s jurisdiction directly for the first time on judicial review — Reviewing court refusing to exercise discretion to review question of jurisdiction — Court of Appeal holding that answer to question of jurisdiction inevitable and declaring that labour arbitrator and labour relations board had no jurisdiction to address dismissal — What is the proper role of administrative decision makers and reviewing courts when addressing jurisdictional issues that were not squarely raised before the administrative tribunal? — To what extent are administrative tribunals and the parties before them required to anticipate and explore potential arguments?</w:t>
            </w:r>
          </w:p>
        </w:tc>
      </w:tr>
      <w:tr w:rsidR="008615DC" w:rsidRPr="00364819" w:rsidTr="00136FEB">
        <w:tc>
          <w:tcPr>
            <w:tcW w:w="5000" w:type="pct"/>
            <w:gridSpan w:val="4"/>
          </w:tcPr>
          <w:p w:rsidR="008615DC" w:rsidRPr="00364819" w:rsidRDefault="008615DC" w:rsidP="008615DC">
            <w:pPr>
              <w:jc w:val="both"/>
              <w:rPr>
                <w:sz w:val="20"/>
              </w:rPr>
            </w:pPr>
          </w:p>
        </w:tc>
      </w:tr>
      <w:tr w:rsidR="008615DC" w:rsidRPr="00364819" w:rsidTr="00136FEB">
        <w:tc>
          <w:tcPr>
            <w:tcW w:w="5000" w:type="pct"/>
            <w:gridSpan w:val="4"/>
          </w:tcPr>
          <w:p w:rsidR="008615DC" w:rsidRPr="00364819" w:rsidRDefault="008615DC" w:rsidP="008615DC">
            <w:pPr>
              <w:jc w:val="both"/>
              <w:rPr>
                <w:sz w:val="20"/>
              </w:rPr>
            </w:pPr>
            <w:r w:rsidRPr="00364819">
              <w:rPr>
                <w:sz w:val="20"/>
              </w:rPr>
              <w:t xml:space="preserve">The respondent, Mr. Casavant, was dismissed from his position as a conservation officer after refusing to follow an order from his supervisor. His challenge to that dismissal set in motion a series of proceedings under the </w:t>
            </w:r>
            <w:r w:rsidRPr="00364819">
              <w:rPr>
                <w:i/>
                <w:sz w:val="20"/>
              </w:rPr>
              <w:t>Labour Relations Code</w:t>
            </w:r>
            <w:r w:rsidRPr="00364819">
              <w:rPr>
                <w:sz w:val="20"/>
              </w:rPr>
              <w:t xml:space="preserve">, R.S.B.C. 1996, </w:t>
            </w:r>
            <w:proofErr w:type="gramStart"/>
            <w:r w:rsidRPr="00364819">
              <w:rPr>
                <w:sz w:val="20"/>
              </w:rPr>
              <w:t>c</w:t>
            </w:r>
            <w:proofErr w:type="gramEnd"/>
            <w:r w:rsidRPr="00364819">
              <w:rPr>
                <w:sz w:val="20"/>
              </w:rPr>
              <w:t xml:space="preserve">. 244. Ultimately, the Labour Relations Board (the “Board”) dismissed his application for reconsideration. On judicial review of that decision, Mr. Casavant clearly raised a jurisdictional challenge to the Board for the first time. He argued that, based on the nature of his employment as a Special Provincial Constable, all disciplinary proceedings should have proceeded in accordance with the </w:t>
            </w:r>
            <w:r w:rsidRPr="00364819">
              <w:rPr>
                <w:i/>
                <w:sz w:val="20"/>
              </w:rPr>
              <w:t>Police Act</w:t>
            </w:r>
            <w:r w:rsidRPr="00364819">
              <w:rPr>
                <w:sz w:val="20"/>
              </w:rPr>
              <w:t xml:space="preserve">, R.S.B.C. 1996, c. 367, and the </w:t>
            </w:r>
            <w:r w:rsidRPr="00364819">
              <w:rPr>
                <w:i/>
                <w:sz w:val="20"/>
              </w:rPr>
              <w:t>Special Provincial Constable Complaint Procedure Regulation</w:t>
            </w:r>
            <w:r w:rsidRPr="00364819">
              <w:rPr>
                <w:sz w:val="20"/>
              </w:rPr>
              <w:t>, BC Reg. 206/98. The reviewing judge declined to address the question and dismissed the application. The Court of Appeal allowed Mr. </w:t>
            </w:r>
            <w:proofErr w:type="spellStart"/>
            <w:r w:rsidRPr="00364819">
              <w:rPr>
                <w:sz w:val="20"/>
              </w:rPr>
              <w:t>Casavant’s</w:t>
            </w:r>
            <w:proofErr w:type="spellEnd"/>
            <w:r w:rsidRPr="00364819">
              <w:rPr>
                <w:sz w:val="20"/>
              </w:rPr>
              <w:t xml:space="preserve"> appeal. It concluded that the reviewing judge erred in the exercise of her discretion not to address the jurisdictional question. It held that the inevitable answer to the question of the Board’s jurisdiction was that it had no jurisdiction to address Mr. </w:t>
            </w:r>
            <w:proofErr w:type="spellStart"/>
            <w:r w:rsidRPr="00364819">
              <w:rPr>
                <w:sz w:val="20"/>
              </w:rPr>
              <w:t>Casavant’s</w:t>
            </w:r>
            <w:proofErr w:type="spellEnd"/>
            <w:r w:rsidRPr="00364819">
              <w:rPr>
                <w:sz w:val="20"/>
              </w:rPr>
              <w:t xml:space="preserve"> dismissal; it was settled law that a labour board does not have jurisdiction to deal with a police disciplinary matter governed by a distinct process. It declared the proceedings before the Board and the arbitrator a nullity.</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lastRenderedPageBreak/>
              <w:t>February 7, 2018</w:t>
            </w:r>
          </w:p>
          <w:p w:rsidR="008615DC" w:rsidRPr="00364819" w:rsidRDefault="008615DC" w:rsidP="008615DC">
            <w:pPr>
              <w:jc w:val="both"/>
              <w:rPr>
                <w:sz w:val="20"/>
              </w:rPr>
            </w:pPr>
            <w:r w:rsidRPr="00364819">
              <w:rPr>
                <w:sz w:val="20"/>
              </w:rPr>
              <w:t>British Columbia Labour Relations Board</w:t>
            </w:r>
          </w:p>
          <w:p w:rsidR="008615DC" w:rsidRPr="00364819" w:rsidRDefault="008615DC" w:rsidP="008615DC">
            <w:pPr>
              <w:jc w:val="both"/>
              <w:rPr>
                <w:sz w:val="20"/>
              </w:rPr>
            </w:pPr>
            <w:r w:rsidRPr="00364819">
              <w:rPr>
                <w:sz w:val="20"/>
              </w:rPr>
              <w:t>(Associate Chair Wilkins, Vice</w:t>
            </w:r>
            <w:r w:rsidRPr="00364819">
              <w:rPr>
                <w:sz w:val="20"/>
              </w:rPr>
              <w:noBreakHyphen/>
              <w:t xml:space="preserve">Chair </w:t>
            </w:r>
            <w:proofErr w:type="spellStart"/>
            <w:r w:rsidRPr="00364819">
              <w:rPr>
                <w:sz w:val="20"/>
              </w:rPr>
              <w:t>Kandola</w:t>
            </w:r>
            <w:proofErr w:type="spellEnd"/>
            <w:r w:rsidRPr="00364819">
              <w:rPr>
                <w:sz w:val="20"/>
              </w:rPr>
              <w:t xml:space="preserve"> and Vice</w:t>
            </w:r>
            <w:r w:rsidRPr="00364819">
              <w:rPr>
                <w:sz w:val="20"/>
              </w:rPr>
              <w:noBreakHyphen/>
              <w:t>Chair Miller)</w:t>
            </w:r>
          </w:p>
          <w:p w:rsidR="008615DC" w:rsidRPr="00364819" w:rsidRDefault="008615DC" w:rsidP="008615DC">
            <w:pPr>
              <w:jc w:val="both"/>
              <w:rPr>
                <w:sz w:val="20"/>
              </w:rPr>
            </w:pPr>
            <w:r w:rsidRPr="00364819">
              <w:rPr>
                <w:sz w:val="20"/>
              </w:rPr>
              <w:t xml:space="preserve">BCLRB No. B21/2018, </w:t>
            </w:r>
            <w:hyperlink r:id="rId22" w:history="1">
              <w:r w:rsidRPr="00364819">
                <w:rPr>
                  <w:rStyle w:val="Hyperlink"/>
                  <w:sz w:val="20"/>
                </w:rPr>
                <w:t>2018 CanLII 5111</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Respondent’s application for reconsideration dismissed.</w:t>
            </w:r>
          </w:p>
        </w:tc>
      </w:tr>
      <w:tr w:rsidR="008615DC" w:rsidRPr="00364819" w:rsidTr="00136FEB">
        <w:tc>
          <w:tcPr>
            <w:tcW w:w="2427" w:type="pct"/>
            <w:gridSpan w:val="2"/>
          </w:tcPr>
          <w:p w:rsidR="008615DC" w:rsidRPr="00364819" w:rsidRDefault="008615DC" w:rsidP="008615DC">
            <w:pPr>
              <w:jc w:val="both"/>
              <w:rPr>
                <w:sz w:val="20"/>
              </w:rPr>
            </w:pPr>
            <w:r w:rsidRPr="00364819">
              <w:rPr>
                <w:sz w:val="20"/>
              </w:rPr>
              <w:t>August 23, 2019</w:t>
            </w:r>
          </w:p>
          <w:p w:rsidR="008615DC" w:rsidRPr="00364819" w:rsidRDefault="008615DC" w:rsidP="008615DC">
            <w:pPr>
              <w:jc w:val="both"/>
              <w:rPr>
                <w:sz w:val="20"/>
              </w:rPr>
            </w:pPr>
            <w:r w:rsidRPr="00364819">
              <w:rPr>
                <w:sz w:val="20"/>
              </w:rPr>
              <w:t>Supreme Court of British Columbia</w:t>
            </w:r>
          </w:p>
          <w:p w:rsidR="008615DC" w:rsidRPr="00364819" w:rsidRDefault="008615DC" w:rsidP="008615DC">
            <w:pPr>
              <w:jc w:val="both"/>
              <w:rPr>
                <w:sz w:val="20"/>
              </w:rPr>
            </w:pPr>
            <w:r w:rsidRPr="00364819">
              <w:rPr>
                <w:sz w:val="20"/>
              </w:rPr>
              <w:t>(</w:t>
            </w:r>
            <w:proofErr w:type="spellStart"/>
            <w:r w:rsidRPr="00364819">
              <w:rPr>
                <w:sz w:val="20"/>
              </w:rPr>
              <w:t>MacNaughton</w:t>
            </w:r>
            <w:proofErr w:type="spellEnd"/>
            <w:r w:rsidRPr="00364819">
              <w:rPr>
                <w:sz w:val="20"/>
              </w:rPr>
              <w:t xml:space="preserve"> J.)</w:t>
            </w:r>
          </w:p>
          <w:p w:rsidR="008615DC" w:rsidRPr="00364819" w:rsidRDefault="005A78BC" w:rsidP="008615DC">
            <w:pPr>
              <w:jc w:val="both"/>
              <w:rPr>
                <w:sz w:val="20"/>
              </w:rPr>
            </w:pPr>
            <w:hyperlink r:id="rId23" w:history="1">
              <w:r w:rsidR="008615DC" w:rsidRPr="00364819">
                <w:rPr>
                  <w:rStyle w:val="Hyperlink"/>
                  <w:sz w:val="20"/>
                </w:rPr>
                <w:t>2019 BCSC 1422</w:t>
              </w:r>
            </w:hyperlink>
            <w:r w:rsidR="008615DC" w:rsidRPr="00364819">
              <w:rPr>
                <w:sz w:val="20"/>
              </w:rPr>
              <w:t xml:space="preserve"> </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Respondent’s application for judicial review dismissed.</w:t>
            </w:r>
          </w:p>
        </w:tc>
      </w:tr>
      <w:tr w:rsidR="008615DC" w:rsidRPr="00364819" w:rsidTr="00136FEB">
        <w:tc>
          <w:tcPr>
            <w:tcW w:w="2427" w:type="pct"/>
            <w:gridSpan w:val="2"/>
          </w:tcPr>
          <w:p w:rsidR="008615DC" w:rsidRPr="00364819" w:rsidRDefault="008615DC" w:rsidP="008615DC">
            <w:pPr>
              <w:jc w:val="both"/>
              <w:rPr>
                <w:sz w:val="20"/>
              </w:rPr>
            </w:pPr>
            <w:r w:rsidRPr="00364819">
              <w:rPr>
                <w:sz w:val="20"/>
              </w:rPr>
              <w:t>June 4, 2020</w:t>
            </w:r>
          </w:p>
          <w:p w:rsidR="008615DC" w:rsidRPr="00364819" w:rsidRDefault="008615DC" w:rsidP="008615DC">
            <w:pPr>
              <w:jc w:val="both"/>
              <w:rPr>
                <w:sz w:val="20"/>
              </w:rPr>
            </w:pPr>
            <w:r w:rsidRPr="00364819">
              <w:rPr>
                <w:sz w:val="20"/>
              </w:rPr>
              <w:t xml:space="preserve">Court of Appeal for British Columbia </w:t>
            </w:r>
          </w:p>
          <w:p w:rsidR="008615DC" w:rsidRPr="00364819" w:rsidRDefault="008615DC" w:rsidP="008615DC">
            <w:pPr>
              <w:jc w:val="both"/>
              <w:rPr>
                <w:sz w:val="20"/>
              </w:rPr>
            </w:pPr>
            <w:r w:rsidRPr="00364819">
              <w:rPr>
                <w:sz w:val="20"/>
              </w:rPr>
              <w:t>(Vancouver)</w:t>
            </w:r>
          </w:p>
          <w:p w:rsidR="008615DC" w:rsidRPr="00364819" w:rsidRDefault="008615DC" w:rsidP="008615DC">
            <w:pPr>
              <w:jc w:val="both"/>
              <w:rPr>
                <w:sz w:val="20"/>
              </w:rPr>
            </w:pPr>
            <w:r w:rsidRPr="00364819">
              <w:rPr>
                <w:sz w:val="20"/>
              </w:rPr>
              <w:t>(Willcock, Fenlon and Hunter JJ.A.)</w:t>
            </w:r>
          </w:p>
          <w:p w:rsidR="008615DC" w:rsidRPr="00364819" w:rsidRDefault="005A78BC" w:rsidP="008615DC">
            <w:pPr>
              <w:jc w:val="both"/>
              <w:rPr>
                <w:sz w:val="20"/>
              </w:rPr>
            </w:pPr>
            <w:hyperlink r:id="rId24" w:history="1">
              <w:r w:rsidR="008615DC" w:rsidRPr="00364819">
                <w:rPr>
                  <w:rStyle w:val="Hyperlink"/>
                  <w:sz w:val="20"/>
                </w:rPr>
                <w:t>2020 BCCA 159</w:t>
              </w:r>
            </w:hyperlink>
            <w:r w:rsidR="008615DC" w:rsidRPr="00364819">
              <w:rPr>
                <w:sz w:val="20"/>
              </w:rPr>
              <w:t xml:space="preserve"> (Docket: CA46376)</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Respondent’s appeal allowed; proceedings before arbitrator and Labour Relations Board declared a nullity for lack of jurisdiction.</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September 3, 2020</w:t>
            </w:r>
          </w:p>
          <w:p w:rsidR="008615DC" w:rsidRPr="00364819" w:rsidRDefault="008615DC" w:rsidP="008615DC">
            <w:pPr>
              <w:jc w:val="both"/>
              <w:rPr>
                <w:sz w:val="20"/>
              </w:rPr>
            </w:pPr>
            <w:r w:rsidRPr="00364819">
              <w:rPr>
                <w:sz w:val="20"/>
              </w:rPr>
              <w:t>Supreme Court of Canada</w:t>
            </w: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Application for leave to appeal filed.</w:t>
            </w:r>
          </w:p>
        </w:tc>
      </w:tr>
    </w:tbl>
    <w:p w:rsidR="008615DC" w:rsidRPr="00364819" w:rsidRDefault="008615DC" w:rsidP="008615DC">
      <w:pPr>
        <w:jc w:val="both"/>
        <w:rPr>
          <w:sz w:val="20"/>
        </w:rPr>
      </w:pPr>
    </w:p>
    <w:p w:rsidR="00136FEB" w:rsidRPr="00364819" w:rsidRDefault="005A78BC" w:rsidP="008615DC">
      <w:pPr>
        <w:jc w:val="both"/>
        <w:rPr>
          <w:sz w:val="20"/>
        </w:rPr>
      </w:pPr>
      <w:r>
        <w:rPr>
          <w:sz w:val="20"/>
        </w:rPr>
        <w:pict>
          <v:rect id="_x0000_i1029" style="width:2in;height:1pt" o:hrpct="0" o:hralign="center" o:hrstd="t" o:hrnoshade="t" o:hr="t" fillcolor="black [3213]" stroked="f"/>
        </w:pict>
      </w:r>
    </w:p>
    <w:p w:rsidR="00136FEB" w:rsidRPr="00364819" w:rsidRDefault="00136FEB" w:rsidP="008615DC">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lang w:val="fr-CA"/>
              </w:rPr>
            </w:pPr>
            <w:r w:rsidRPr="00364819">
              <w:rPr>
                <w:rStyle w:val="SCCFileNumberChar"/>
                <w:sz w:val="20"/>
                <w:szCs w:val="20"/>
                <w:lang w:val="fr-CA"/>
              </w:rPr>
              <w:t>39317</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BC Government and Service Employees’ Union (BCGEU) c. Bryce J. Casavant</w:t>
            </w:r>
          </w:p>
          <w:p w:rsidR="008615DC" w:rsidRPr="00364819" w:rsidRDefault="008615DC" w:rsidP="008615DC">
            <w:pPr>
              <w:pStyle w:val="SCCLsocParty"/>
              <w:jc w:val="both"/>
              <w:rPr>
                <w:b/>
                <w:sz w:val="20"/>
                <w:szCs w:val="20"/>
                <w:lang w:val="en-US"/>
              </w:rPr>
            </w:pPr>
            <w:r w:rsidRPr="00364819">
              <w:rPr>
                <w:b/>
                <w:sz w:val="20"/>
                <w:szCs w:val="20"/>
                <w:lang w:val="en-US"/>
              </w:rPr>
              <w:t>- et –</w:t>
            </w:r>
          </w:p>
          <w:p w:rsidR="008615DC" w:rsidRPr="00364819" w:rsidRDefault="008615DC" w:rsidP="008615DC">
            <w:pPr>
              <w:pStyle w:val="SCCLsocParty"/>
              <w:jc w:val="both"/>
              <w:rPr>
                <w:b/>
                <w:sz w:val="20"/>
                <w:szCs w:val="20"/>
                <w:lang w:val="en-US"/>
              </w:rPr>
            </w:pPr>
            <w:r w:rsidRPr="00364819">
              <w:rPr>
                <w:b/>
                <w:sz w:val="20"/>
                <w:szCs w:val="20"/>
                <w:lang w:val="en-US"/>
              </w:rPr>
              <w:t>British Columbia Labour Relations Board</w:t>
            </w:r>
          </w:p>
          <w:p w:rsidR="008615DC" w:rsidRPr="00364819" w:rsidRDefault="008615DC" w:rsidP="008615DC">
            <w:pPr>
              <w:jc w:val="both"/>
              <w:rPr>
                <w:sz w:val="20"/>
                <w:lang w:val="fr-CA"/>
              </w:rPr>
            </w:pPr>
            <w:r w:rsidRPr="00364819">
              <w:rPr>
                <w:sz w:val="20"/>
                <w:lang w:val="fr-CA"/>
              </w:rPr>
              <w:t>(C.</w:t>
            </w:r>
            <w:r w:rsidRPr="00364819">
              <w:rPr>
                <w:sz w:val="20"/>
                <w:lang w:val="fr-CA"/>
              </w:rPr>
              <w:noBreakHyphen/>
              <w:t>B.) (Civile) (Autorisation)</w:t>
            </w: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Droit administratif — Organismes et tribunaux administratifs — Compétence — Appel d’un contrôle judiciaire — Pouvoir discrétionnaire de réparation — Un employé congédié soulève directement et pour la première fois la question de la compétence de la commission des relations de travail lors du contrôle judiciaire — Le tribunal saisi du contrôle judiciaire refuse d’exercer son pouvoir discrétionnaire pour examiner la question de la compétence — La Cour d’appel a statué que la réponse à la question de compétence était inéluctable et a déclaré que l’arbitre du travail et la commission des relations de travail n’avaient pas compétence pour se pencher sur le congédiement — Quel rôle est dévolu aux décideurs administratifs et aux tribunaux saisis du contrôle judiciaire lorsqu’ils se penchent sur des questions de compétence qui n’ont pas été soulevées explicitement devant le tribunal administratif? — Dans quelle mesure les tribunaux administratifs et les parties devant eux sont-ils tenus de prévoir et d’analyser des arguments éventuels?</w:t>
            </w:r>
          </w:p>
        </w:tc>
      </w:tr>
      <w:tr w:rsidR="008615DC" w:rsidRPr="005A78BC" w:rsidTr="00136FEB">
        <w:tc>
          <w:tcPr>
            <w:tcW w:w="5000" w:type="pct"/>
            <w:gridSpan w:val="4"/>
          </w:tcPr>
          <w:p w:rsidR="008615DC" w:rsidRPr="00364819" w:rsidRDefault="008615DC" w:rsidP="008615DC">
            <w:pPr>
              <w:jc w:val="both"/>
              <w:rPr>
                <w:sz w:val="20"/>
                <w:lang w:val="fr-CA"/>
              </w:rPr>
            </w:pP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 xml:space="preserve">L’intimé, M. Casavant, a été congédié de son poste d’agent de conservation après qu’il eut refusé d’obéir à un ordre de son superviseur. Sa contestation de ce congédiement a mis en branle une série d’instances sous le régime du </w:t>
            </w:r>
            <w:r w:rsidRPr="00364819">
              <w:rPr>
                <w:i/>
                <w:sz w:val="20"/>
                <w:lang w:val="fr-CA"/>
              </w:rPr>
              <w:t>Labour Relations Code</w:t>
            </w:r>
            <w:r w:rsidRPr="00364819">
              <w:rPr>
                <w:sz w:val="20"/>
                <w:lang w:val="fr-CA"/>
              </w:rPr>
              <w:t xml:space="preserve">, R.S.B.C. 1996, ch. 244. À la fin, la </w:t>
            </w:r>
            <w:r w:rsidRPr="00364819">
              <w:rPr>
                <w:i/>
                <w:sz w:val="20"/>
                <w:lang w:val="fr-CA"/>
              </w:rPr>
              <w:t>Labour Relations Board</w:t>
            </w:r>
            <w:r w:rsidRPr="00364819">
              <w:rPr>
                <w:sz w:val="20"/>
                <w:lang w:val="fr-CA"/>
              </w:rPr>
              <w:t xml:space="preserve"> (la « Commission ») a rejeté sa demande de réexamen. Lors du contrôle judiciaire de cette décision, M. Casavant a clairement soulevé la question de la compétence de la Commission pour la première fois. Il a plaidé qu’en raison de la nature de son emploi comme constable spécial provincial, toutes les procédures disciplinaires auraient dû se faire en application de la </w:t>
            </w:r>
            <w:r w:rsidRPr="00364819">
              <w:rPr>
                <w:i/>
                <w:sz w:val="20"/>
                <w:lang w:val="fr-CA"/>
              </w:rPr>
              <w:t>Police Act</w:t>
            </w:r>
            <w:r w:rsidRPr="00364819">
              <w:rPr>
                <w:sz w:val="20"/>
                <w:lang w:val="fr-CA"/>
              </w:rPr>
              <w:t xml:space="preserve">, R.S.B.C. 1996, ch. 367, et du </w:t>
            </w:r>
            <w:r w:rsidRPr="00364819">
              <w:rPr>
                <w:i/>
                <w:sz w:val="20"/>
                <w:lang w:val="fr-CA"/>
              </w:rPr>
              <w:t xml:space="preserve">Special Provincial Constable Complaint </w:t>
            </w:r>
            <w:proofErr w:type="spellStart"/>
            <w:r w:rsidRPr="00364819">
              <w:rPr>
                <w:i/>
                <w:sz w:val="20"/>
                <w:lang w:val="fr-CA"/>
              </w:rPr>
              <w:t>Procedure</w:t>
            </w:r>
            <w:proofErr w:type="spellEnd"/>
            <w:r w:rsidRPr="00364819">
              <w:rPr>
                <w:i/>
                <w:sz w:val="20"/>
                <w:lang w:val="fr-CA"/>
              </w:rPr>
              <w:t xml:space="preserve"> Regulation</w:t>
            </w:r>
            <w:r w:rsidRPr="00364819">
              <w:rPr>
                <w:sz w:val="20"/>
                <w:lang w:val="fr-CA"/>
              </w:rPr>
              <w:t>, BC Reg. 206/98. La juge saisie du contrôle judiciaire a refusé de se pencher sur la question et a rejeté la demande. La Cour d’appel a accueilli l’appel de M. Casavant. Elle a conclu que la juge saisie du contrôle judiciaire avait commis une erreur dans l’exercice de son pouvoir discrétionnaire en ne se penchant pas sur la question de la compétence. Elle a conclu que la réponse inéluctable à la question de la compétence de la Commission était que celle</w:t>
            </w:r>
            <w:r w:rsidRPr="00364819">
              <w:rPr>
                <w:sz w:val="20"/>
                <w:lang w:val="fr-CA"/>
              </w:rPr>
              <w:noBreakHyphen/>
              <w:t>ci n’avait pas compétence pour se pencher sur le congédiement de M. Casavant; il était acquis qu’une commission de travail n’a pas compétence pour traiter un dossier disciplinaire de la police régi par un processus distinct. Elle a prononcé la nullité des procédures devant la Commission et l’arbitre.</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rPr>
            </w:pPr>
            <w:r w:rsidRPr="00364819">
              <w:rPr>
                <w:sz w:val="20"/>
              </w:rPr>
              <w:t>7 février 2018</w:t>
            </w:r>
          </w:p>
          <w:p w:rsidR="008615DC" w:rsidRPr="00364819" w:rsidRDefault="008615DC" w:rsidP="008615DC">
            <w:pPr>
              <w:jc w:val="both"/>
              <w:rPr>
                <w:sz w:val="20"/>
              </w:rPr>
            </w:pPr>
            <w:r w:rsidRPr="00364819">
              <w:rPr>
                <w:sz w:val="20"/>
              </w:rPr>
              <w:t>British Columbia Labour Relations Board</w:t>
            </w:r>
          </w:p>
          <w:p w:rsidR="008615DC" w:rsidRPr="00364819" w:rsidRDefault="008615DC" w:rsidP="008615DC">
            <w:pPr>
              <w:jc w:val="both"/>
              <w:rPr>
                <w:sz w:val="20"/>
                <w:lang w:val="fr-CA"/>
              </w:rPr>
            </w:pPr>
            <w:r w:rsidRPr="00364819">
              <w:rPr>
                <w:sz w:val="20"/>
                <w:lang w:val="fr-CA"/>
              </w:rPr>
              <w:t>(Président adjoint Wilkins, vice</w:t>
            </w:r>
            <w:r w:rsidRPr="00364819">
              <w:rPr>
                <w:sz w:val="20"/>
                <w:lang w:val="fr-CA"/>
              </w:rPr>
              <w:noBreakHyphen/>
              <w:t xml:space="preserve">présidente </w:t>
            </w:r>
            <w:proofErr w:type="spellStart"/>
            <w:r w:rsidRPr="00364819">
              <w:rPr>
                <w:sz w:val="20"/>
                <w:lang w:val="fr-CA"/>
              </w:rPr>
              <w:t>Kandola</w:t>
            </w:r>
            <w:proofErr w:type="spellEnd"/>
            <w:r w:rsidRPr="00364819">
              <w:rPr>
                <w:sz w:val="20"/>
                <w:lang w:val="fr-CA"/>
              </w:rPr>
              <w:t xml:space="preserve"> et vice</w:t>
            </w:r>
            <w:r w:rsidRPr="00364819">
              <w:rPr>
                <w:sz w:val="20"/>
                <w:lang w:val="fr-CA"/>
              </w:rPr>
              <w:noBreakHyphen/>
              <w:t>présidente Miller)</w:t>
            </w:r>
          </w:p>
          <w:p w:rsidR="008615DC" w:rsidRPr="00364819" w:rsidRDefault="008615DC" w:rsidP="008615DC">
            <w:pPr>
              <w:jc w:val="both"/>
              <w:rPr>
                <w:sz w:val="20"/>
                <w:lang w:val="fr-CA"/>
              </w:rPr>
            </w:pPr>
            <w:r w:rsidRPr="00364819">
              <w:rPr>
                <w:sz w:val="20"/>
                <w:lang w:val="fr-CA"/>
              </w:rPr>
              <w:lastRenderedPageBreak/>
              <w:t xml:space="preserve">BCLRB No. B21/2018, </w:t>
            </w:r>
            <w:hyperlink r:id="rId25" w:history="1">
              <w:r w:rsidRPr="00364819">
                <w:rPr>
                  <w:rStyle w:val="Hyperlink"/>
                  <w:sz w:val="20"/>
                  <w:lang w:val="fr-CA"/>
                </w:rPr>
                <w:t>2018 CanLII 5111</w:t>
              </w:r>
            </w:hyperlink>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Rejet de la demande de l’intimé en réexamen.</w:t>
            </w: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23 août 2019</w:t>
            </w:r>
          </w:p>
          <w:p w:rsidR="008615DC" w:rsidRPr="00364819" w:rsidRDefault="008615DC" w:rsidP="008615DC">
            <w:pPr>
              <w:jc w:val="both"/>
              <w:rPr>
                <w:sz w:val="20"/>
                <w:lang w:val="fr-CA"/>
              </w:rPr>
            </w:pPr>
            <w:r w:rsidRPr="00364819">
              <w:rPr>
                <w:sz w:val="20"/>
                <w:lang w:val="fr-CA"/>
              </w:rPr>
              <w:t>Cour suprême de la Colombie</w:t>
            </w:r>
            <w:r w:rsidRPr="00364819">
              <w:rPr>
                <w:sz w:val="20"/>
                <w:lang w:val="fr-CA"/>
              </w:rPr>
              <w:noBreakHyphen/>
              <w:t>Britannique</w:t>
            </w:r>
          </w:p>
          <w:p w:rsidR="008615DC" w:rsidRPr="00364819" w:rsidRDefault="008615DC" w:rsidP="008615DC">
            <w:pPr>
              <w:jc w:val="both"/>
              <w:rPr>
                <w:sz w:val="20"/>
                <w:lang w:val="fr-CA"/>
              </w:rPr>
            </w:pPr>
            <w:r w:rsidRPr="00364819">
              <w:rPr>
                <w:sz w:val="20"/>
                <w:lang w:val="fr-CA"/>
              </w:rPr>
              <w:t xml:space="preserve">(Juge </w:t>
            </w:r>
            <w:proofErr w:type="spellStart"/>
            <w:r w:rsidRPr="00364819">
              <w:rPr>
                <w:sz w:val="20"/>
                <w:lang w:val="fr-CA"/>
              </w:rPr>
              <w:t>MacNaughton</w:t>
            </w:r>
            <w:proofErr w:type="spellEnd"/>
            <w:r w:rsidRPr="00364819">
              <w:rPr>
                <w:sz w:val="20"/>
                <w:lang w:val="fr-CA"/>
              </w:rPr>
              <w:t>)</w:t>
            </w:r>
          </w:p>
          <w:p w:rsidR="008615DC" w:rsidRPr="00364819" w:rsidRDefault="005A78BC" w:rsidP="008615DC">
            <w:pPr>
              <w:jc w:val="both"/>
              <w:rPr>
                <w:sz w:val="20"/>
                <w:lang w:val="fr-CA"/>
              </w:rPr>
            </w:pPr>
            <w:hyperlink r:id="rId26" w:history="1">
              <w:r w:rsidR="008615DC" w:rsidRPr="00364819">
                <w:rPr>
                  <w:rStyle w:val="Hyperlink"/>
                  <w:sz w:val="20"/>
                  <w:lang w:val="fr-CA"/>
                </w:rPr>
                <w:t>2019 BCSC 1422</w:t>
              </w:r>
            </w:hyperlink>
            <w:r w:rsidR="008615DC" w:rsidRPr="00364819">
              <w:rPr>
                <w:sz w:val="20"/>
                <w:lang w:val="fr-CA"/>
              </w:rPr>
              <w:t xml:space="preserve"> </w:t>
            </w:r>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Rejet de la demande de l’intimé en contrôle judiciaire.</w:t>
            </w: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4 juin 2020</w:t>
            </w:r>
          </w:p>
          <w:p w:rsidR="008615DC" w:rsidRPr="00364819" w:rsidRDefault="008615DC" w:rsidP="008615DC">
            <w:pPr>
              <w:jc w:val="both"/>
              <w:rPr>
                <w:sz w:val="20"/>
                <w:lang w:val="fr-CA"/>
              </w:rPr>
            </w:pPr>
            <w:r w:rsidRPr="00364819">
              <w:rPr>
                <w:sz w:val="20"/>
                <w:lang w:val="fr-CA"/>
              </w:rPr>
              <w:t>Cour d’appel de la Colombie</w:t>
            </w:r>
            <w:r w:rsidRPr="00364819">
              <w:rPr>
                <w:sz w:val="20"/>
                <w:lang w:val="fr-CA"/>
              </w:rPr>
              <w:noBreakHyphen/>
              <w:t>Britannique</w:t>
            </w:r>
          </w:p>
          <w:p w:rsidR="008615DC" w:rsidRPr="00364819" w:rsidRDefault="008615DC" w:rsidP="008615DC">
            <w:pPr>
              <w:jc w:val="both"/>
              <w:rPr>
                <w:sz w:val="20"/>
                <w:lang w:val="fr-CA"/>
              </w:rPr>
            </w:pPr>
            <w:r w:rsidRPr="00364819">
              <w:rPr>
                <w:sz w:val="20"/>
                <w:lang w:val="fr-CA"/>
              </w:rPr>
              <w:t>(Vancouver)</w:t>
            </w:r>
          </w:p>
          <w:p w:rsidR="008615DC" w:rsidRPr="00364819" w:rsidRDefault="008615DC" w:rsidP="008615DC">
            <w:pPr>
              <w:jc w:val="both"/>
              <w:rPr>
                <w:sz w:val="20"/>
                <w:lang w:val="fr-CA"/>
              </w:rPr>
            </w:pPr>
            <w:r w:rsidRPr="00364819">
              <w:rPr>
                <w:sz w:val="20"/>
                <w:lang w:val="fr-CA"/>
              </w:rPr>
              <w:t>(Juges Willcock, Fenlon et Hunter)</w:t>
            </w:r>
          </w:p>
          <w:p w:rsidR="008615DC" w:rsidRPr="00364819" w:rsidRDefault="005A78BC" w:rsidP="008615DC">
            <w:pPr>
              <w:jc w:val="both"/>
              <w:rPr>
                <w:sz w:val="20"/>
                <w:lang w:val="fr-CA"/>
              </w:rPr>
            </w:pPr>
            <w:hyperlink r:id="rId27" w:history="1">
              <w:r w:rsidR="008615DC" w:rsidRPr="00364819">
                <w:rPr>
                  <w:rStyle w:val="Hyperlink"/>
                  <w:sz w:val="20"/>
                  <w:lang w:val="fr-CA"/>
                </w:rPr>
                <w:t>2020 BCCA 159</w:t>
              </w:r>
            </w:hyperlink>
            <w:r w:rsidR="008615DC" w:rsidRPr="00364819">
              <w:rPr>
                <w:sz w:val="20"/>
                <w:lang w:val="fr-CA"/>
              </w:rPr>
              <w:t xml:space="preserve"> (Dossier CA46376)</w:t>
            </w:r>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 xml:space="preserve">Arrêt accueillant l’appel de l’intimé et prononçant la nullité des procédures devant l’arbitre et la </w:t>
            </w:r>
            <w:r w:rsidRPr="00364819">
              <w:rPr>
                <w:i/>
                <w:sz w:val="20"/>
                <w:lang w:val="fr-CA"/>
              </w:rPr>
              <w:t>Labour Relations Board</w:t>
            </w:r>
            <w:r w:rsidRPr="00364819">
              <w:rPr>
                <w:sz w:val="20"/>
                <w:lang w:val="fr-CA"/>
              </w:rPr>
              <w:t xml:space="preserve"> pour défaut de compétence.</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3 septembre 2020</w:t>
            </w:r>
          </w:p>
          <w:p w:rsidR="008615DC" w:rsidRPr="00364819" w:rsidRDefault="008615DC" w:rsidP="008615DC">
            <w:pPr>
              <w:jc w:val="both"/>
              <w:rPr>
                <w:sz w:val="20"/>
                <w:lang w:val="fr-CA"/>
              </w:rPr>
            </w:pPr>
            <w:r w:rsidRPr="00364819">
              <w:rPr>
                <w:sz w:val="20"/>
                <w:lang w:val="fr-CA"/>
              </w:rPr>
              <w:t>Cour suprême du Canada</w:t>
            </w: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Dépôt de la demande d’autorisation d’appel.</w:t>
            </w:r>
          </w:p>
        </w:tc>
      </w:tr>
    </w:tbl>
    <w:p w:rsidR="008615DC" w:rsidRPr="00364819" w:rsidRDefault="008615DC" w:rsidP="008615DC">
      <w:pPr>
        <w:jc w:val="both"/>
        <w:rPr>
          <w:sz w:val="20"/>
          <w:lang w:val="fr-CA"/>
        </w:rPr>
      </w:pPr>
    </w:p>
    <w:p w:rsidR="00136FEB" w:rsidRPr="00364819" w:rsidRDefault="005A78BC" w:rsidP="008615DC">
      <w:pPr>
        <w:jc w:val="both"/>
        <w:rPr>
          <w:sz w:val="20"/>
          <w:lang w:val="fr-CA"/>
        </w:rPr>
      </w:pPr>
      <w:r>
        <w:rPr>
          <w:sz w:val="20"/>
        </w:rPr>
        <w:pict>
          <v:rect id="_x0000_i1030" style="width:2in;height:1pt" o:hrpct="0" o:hralign="center" o:hrstd="t" o:hrnoshade="t" o:hr="t" fillcolor="black [3213]" stroked="f"/>
        </w:pict>
      </w:r>
    </w:p>
    <w:p w:rsidR="002C5E29" w:rsidRPr="00364819" w:rsidRDefault="002C5E29" w:rsidP="008615DC">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364819" w:rsidRPr="00364819" w:rsidTr="00311701">
        <w:tc>
          <w:tcPr>
            <w:tcW w:w="543" w:type="pct"/>
          </w:tcPr>
          <w:p w:rsidR="00364819" w:rsidRPr="00364819" w:rsidRDefault="00364819" w:rsidP="00311701">
            <w:pPr>
              <w:jc w:val="both"/>
              <w:rPr>
                <w:sz w:val="20"/>
                <w:lang w:val="en-CA"/>
              </w:rPr>
            </w:pPr>
            <w:r w:rsidRPr="00364819">
              <w:rPr>
                <w:rStyle w:val="SCCFileNumberChar"/>
                <w:sz w:val="20"/>
                <w:szCs w:val="20"/>
              </w:rPr>
              <w:t>39196</w:t>
            </w:r>
          </w:p>
        </w:tc>
        <w:tc>
          <w:tcPr>
            <w:tcW w:w="4457" w:type="pct"/>
            <w:gridSpan w:val="3"/>
          </w:tcPr>
          <w:p w:rsidR="00364819" w:rsidRPr="00364819" w:rsidRDefault="00364819" w:rsidP="00311701">
            <w:pPr>
              <w:pStyle w:val="SCCLsocParty"/>
              <w:jc w:val="both"/>
              <w:rPr>
                <w:b/>
                <w:sz w:val="20"/>
                <w:szCs w:val="20"/>
              </w:rPr>
            </w:pPr>
            <w:r w:rsidRPr="00364819">
              <w:rPr>
                <w:b/>
                <w:sz w:val="20"/>
                <w:szCs w:val="20"/>
              </w:rPr>
              <w:t>Brian Cadieux v. Greyhound Canada Transportation ULC and Syndicat uni du transport, section locale 1415</w:t>
            </w:r>
          </w:p>
          <w:p w:rsidR="00364819" w:rsidRPr="00364819" w:rsidRDefault="00364819" w:rsidP="00311701">
            <w:pPr>
              <w:jc w:val="both"/>
              <w:rPr>
                <w:sz w:val="20"/>
                <w:lang w:val="en-CA"/>
              </w:rPr>
            </w:pPr>
            <w:r w:rsidRPr="00364819">
              <w:rPr>
                <w:sz w:val="20"/>
                <w:lang w:val="en-CA"/>
              </w:rPr>
              <w:t>(Que.) (Civil) (By Leave)</w:t>
            </w:r>
          </w:p>
        </w:tc>
      </w:tr>
      <w:tr w:rsidR="00364819" w:rsidRPr="00364819" w:rsidTr="00311701">
        <w:tc>
          <w:tcPr>
            <w:tcW w:w="5000" w:type="pct"/>
            <w:gridSpan w:val="4"/>
          </w:tcPr>
          <w:p w:rsidR="00364819" w:rsidRPr="00364819" w:rsidRDefault="00364819" w:rsidP="00311701">
            <w:pPr>
              <w:jc w:val="both"/>
              <w:rPr>
                <w:sz w:val="20"/>
                <w:lang w:val="en-CA"/>
              </w:rPr>
            </w:pPr>
            <w:r w:rsidRPr="00364819">
              <w:rPr>
                <w:sz w:val="20"/>
                <w:lang w:val="en-CA"/>
              </w:rPr>
              <w:t xml:space="preserve">Labour relations — Union’s duty of fair representation — Grievance — Arbitral award contested by employee — Conflict of interest — Interest — Whether courts below erred in holding that union retains its monopoly on representation even where it is in real, personal and substantial conflict of interest with member — </w:t>
            </w:r>
            <w:r w:rsidRPr="00364819">
              <w:rPr>
                <w:i/>
                <w:sz w:val="20"/>
                <w:lang w:val="en-CA"/>
              </w:rPr>
              <w:t>Canada Labour Code</w:t>
            </w:r>
            <w:r w:rsidRPr="00364819">
              <w:rPr>
                <w:sz w:val="20"/>
                <w:lang w:val="en-CA"/>
              </w:rPr>
              <w:t>, R.S.C. 1985, c. L</w:t>
            </w:r>
            <w:r w:rsidRPr="00364819">
              <w:rPr>
                <w:sz w:val="20"/>
                <w:lang w:val="en-CA"/>
              </w:rPr>
              <w:noBreakHyphen/>
              <w:t>2, ss. 37 and 99.</w:t>
            </w:r>
          </w:p>
        </w:tc>
      </w:tr>
      <w:tr w:rsidR="00364819" w:rsidRPr="00364819" w:rsidTr="00311701">
        <w:tc>
          <w:tcPr>
            <w:tcW w:w="5000" w:type="pct"/>
            <w:gridSpan w:val="4"/>
          </w:tcPr>
          <w:p w:rsidR="00364819" w:rsidRPr="00364819" w:rsidRDefault="00364819" w:rsidP="00311701">
            <w:pPr>
              <w:jc w:val="both"/>
              <w:rPr>
                <w:sz w:val="20"/>
                <w:lang w:val="en-CA"/>
              </w:rPr>
            </w:pPr>
          </w:p>
          <w:p w:rsidR="00364819" w:rsidRPr="00364819" w:rsidRDefault="00364819" w:rsidP="00311701">
            <w:pPr>
              <w:jc w:val="both"/>
              <w:rPr>
                <w:sz w:val="20"/>
                <w:lang w:val="en-CA"/>
              </w:rPr>
            </w:pPr>
            <w:r w:rsidRPr="00364819">
              <w:rPr>
                <w:sz w:val="20"/>
                <w:lang w:val="en-CA"/>
              </w:rPr>
              <w:t xml:space="preserve">After being </w:t>
            </w:r>
            <w:proofErr w:type="gramStart"/>
            <w:r w:rsidRPr="00364819">
              <w:rPr>
                <w:sz w:val="20"/>
                <w:lang w:val="en-CA"/>
              </w:rPr>
              <w:t>suspended</w:t>
            </w:r>
            <w:proofErr w:type="gramEnd"/>
            <w:r w:rsidRPr="00364819">
              <w:rPr>
                <w:sz w:val="20"/>
                <w:lang w:val="en-CA"/>
              </w:rPr>
              <w:t xml:space="preserve"> and then terminated by his employer, the applicant, represented by his union, filed two grievances with the Canada Industrial Relations Board (“CIRB”) to contest those penalties. The union then reached a settlement with the employer for the suspension and withdrew the grievance against the termination. The CIRB allowed the applicant’s complaint on the basis that his union had breached its duty of fair representation in respect of both grievances, and referred both grievances to arbitration, authorizing the applicant to retain counsel of his choice at the union’s expense. An arbitrator ultimately dismissed those grievances. The applicant, unhappy with this result, sought leave from the CIRB to apply for judicial review in his own name, which the CIRB denied on the ground that it did not have jurisdiction to consider this request and because the applicant had not first asked the union to present the application for judicial review. In the meantime, the applicant had personally filed his application for judicial review of the arbitral award. The Superior Court granted the union’s motion to dismiss and dismissed the applicant’s application for judicial review, finding that he lacked a sufficient interest to bring the proceeding. A majority of the Court of Appeal dismissed the appeal. </w:t>
            </w:r>
          </w:p>
        </w:tc>
      </w:tr>
      <w:tr w:rsidR="00364819" w:rsidRPr="00364819" w:rsidTr="00311701">
        <w:tc>
          <w:tcPr>
            <w:tcW w:w="5000" w:type="pct"/>
            <w:gridSpan w:val="4"/>
          </w:tcPr>
          <w:p w:rsidR="00364819" w:rsidRPr="00364819" w:rsidRDefault="00364819" w:rsidP="00311701">
            <w:pPr>
              <w:jc w:val="both"/>
              <w:rPr>
                <w:sz w:val="20"/>
                <w:lang w:val="en-CA"/>
              </w:rPr>
            </w:pPr>
          </w:p>
        </w:tc>
      </w:tr>
      <w:tr w:rsidR="00364819" w:rsidRPr="00364819" w:rsidTr="00311701">
        <w:tc>
          <w:tcPr>
            <w:tcW w:w="2427" w:type="pct"/>
            <w:gridSpan w:val="2"/>
          </w:tcPr>
          <w:p w:rsidR="00364819" w:rsidRPr="00364819" w:rsidRDefault="00364819" w:rsidP="00311701">
            <w:pPr>
              <w:jc w:val="both"/>
              <w:rPr>
                <w:sz w:val="20"/>
                <w:lang w:val="en-CA"/>
              </w:rPr>
            </w:pPr>
            <w:r w:rsidRPr="00364819">
              <w:rPr>
                <w:sz w:val="20"/>
                <w:lang w:val="en-CA"/>
              </w:rPr>
              <w:t>July 20, 2018</w:t>
            </w:r>
          </w:p>
          <w:p w:rsidR="00364819" w:rsidRPr="00364819" w:rsidRDefault="00364819" w:rsidP="00311701">
            <w:pPr>
              <w:jc w:val="both"/>
              <w:rPr>
                <w:sz w:val="20"/>
                <w:lang w:val="en-CA"/>
              </w:rPr>
            </w:pPr>
            <w:r w:rsidRPr="00364819">
              <w:rPr>
                <w:sz w:val="20"/>
                <w:lang w:val="en-CA"/>
              </w:rPr>
              <w:t>Quebec Superior Court</w:t>
            </w:r>
          </w:p>
          <w:p w:rsidR="00364819" w:rsidRPr="00364819" w:rsidRDefault="00364819" w:rsidP="00311701">
            <w:pPr>
              <w:jc w:val="both"/>
              <w:rPr>
                <w:sz w:val="20"/>
                <w:lang w:val="en-CA"/>
              </w:rPr>
            </w:pPr>
            <w:r w:rsidRPr="00364819">
              <w:rPr>
                <w:sz w:val="20"/>
                <w:lang w:val="en-CA"/>
              </w:rPr>
              <w:t>(Brossard J.)</w:t>
            </w:r>
          </w:p>
          <w:p w:rsidR="00364819" w:rsidRPr="00364819" w:rsidRDefault="00364819" w:rsidP="00311701">
            <w:pPr>
              <w:jc w:val="both"/>
              <w:rPr>
                <w:sz w:val="20"/>
                <w:lang w:val="en-CA"/>
              </w:rPr>
            </w:pPr>
            <w:r w:rsidRPr="00364819">
              <w:rPr>
                <w:sz w:val="20"/>
                <w:lang w:val="en-CA"/>
              </w:rPr>
              <w:t>500</w:t>
            </w:r>
            <w:r w:rsidRPr="00364819">
              <w:rPr>
                <w:sz w:val="20"/>
                <w:lang w:val="en-CA"/>
              </w:rPr>
              <w:noBreakHyphen/>
              <w:t>17</w:t>
            </w:r>
            <w:r w:rsidRPr="00364819">
              <w:rPr>
                <w:sz w:val="20"/>
                <w:lang w:val="en-CA"/>
              </w:rPr>
              <w:noBreakHyphen/>
              <w:t>099920</w:t>
            </w:r>
            <w:r w:rsidRPr="00364819">
              <w:rPr>
                <w:sz w:val="20"/>
                <w:lang w:val="en-CA"/>
              </w:rPr>
              <w:noBreakHyphen/>
              <w:t xml:space="preserve">178 </w:t>
            </w:r>
          </w:p>
          <w:p w:rsidR="00364819" w:rsidRPr="00364819" w:rsidRDefault="005A78BC" w:rsidP="00311701">
            <w:pPr>
              <w:jc w:val="both"/>
              <w:rPr>
                <w:sz w:val="20"/>
                <w:lang w:val="en-CA"/>
              </w:rPr>
            </w:pPr>
            <w:hyperlink r:id="rId28" w:history="1">
              <w:r w:rsidR="00364819" w:rsidRPr="00364819">
                <w:rPr>
                  <w:rStyle w:val="Hyperlink"/>
                  <w:sz w:val="20"/>
                  <w:lang w:val="en-CA"/>
                </w:rPr>
                <w:t>2018 QCCS 3611</w:t>
              </w:r>
            </w:hyperlink>
          </w:p>
          <w:p w:rsidR="00364819" w:rsidRPr="00364819" w:rsidRDefault="00364819" w:rsidP="00311701">
            <w:pPr>
              <w:jc w:val="both"/>
              <w:rPr>
                <w:sz w:val="20"/>
                <w:lang w:val="en-CA"/>
              </w:rPr>
            </w:pPr>
          </w:p>
        </w:tc>
        <w:tc>
          <w:tcPr>
            <w:tcW w:w="243" w:type="pct"/>
          </w:tcPr>
          <w:p w:rsidR="00364819" w:rsidRPr="00364819" w:rsidRDefault="00364819" w:rsidP="00311701">
            <w:pPr>
              <w:jc w:val="both"/>
              <w:rPr>
                <w:sz w:val="20"/>
                <w:lang w:val="en-CA"/>
              </w:rPr>
            </w:pPr>
          </w:p>
        </w:tc>
        <w:tc>
          <w:tcPr>
            <w:tcW w:w="2330" w:type="pct"/>
          </w:tcPr>
          <w:p w:rsidR="00364819" w:rsidRPr="00364819" w:rsidRDefault="00364819" w:rsidP="00311701">
            <w:pPr>
              <w:jc w:val="both"/>
              <w:rPr>
                <w:sz w:val="20"/>
                <w:lang w:val="en-CA"/>
              </w:rPr>
            </w:pPr>
            <w:r w:rsidRPr="00364819">
              <w:rPr>
                <w:sz w:val="20"/>
                <w:lang w:val="en-CA"/>
              </w:rPr>
              <w:t xml:space="preserve">Motion to dismiss granted, application for judicial review dismissed, with costs </w:t>
            </w:r>
          </w:p>
        </w:tc>
      </w:tr>
      <w:tr w:rsidR="00364819" w:rsidRPr="00364819" w:rsidTr="00311701">
        <w:tc>
          <w:tcPr>
            <w:tcW w:w="2427" w:type="pct"/>
            <w:gridSpan w:val="2"/>
          </w:tcPr>
          <w:p w:rsidR="00364819" w:rsidRPr="00364819" w:rsidRDefault="00364819" w:rsidP="00311701">
            <w:pPr>
              <w:jc w:val="both"/>
              <w:rPr>
                <w:sz w:val="20"/>
                <w:lang w:val="en-CA"/>
              </w:rPr>
            </w:pPr>
            <w:r w:rsidRPr="00364819">
              <w:rPr>
                <w:sz w:val="20"/>
                <w:lang w:val="en-CA"/>
              </w:rPr>
              <w:t>April 6, 2020</w:t>
            </w:r>
          </w:p>
          <w:p w:rsidR="00364819" w:rsidRPr="00364819" w:rsidRDefault="00364819" w:rsidP="00311701">
            <w:pPr>
              <w:jc w:val="both"/>
              <w:rPr>
                <w:sz w:val="20"/>
                <w:lang w:val="en-CA"/>
              </w:rPr>
            </w:pPr>
            <w:r w:rsidRPr="00364819">
              <w:rPr>
                <w:sz w:val="20"/>
                <w:lang w:val="en-CA"/>
              </w:rPr>
              <w:t>Quebec Court of Appeal (Montréal)</w:t>
            </w:r>
          </w:p>
          <w:p w:rsidR="00364819" w:rsidRPr="00364819" w:rsidRDefault="00364819" w:rsidP="00311701">
            <w:pPr>
              <w:jc w:val="both"/>
              <w:rPr>
                <w:sz w:val="20"/>
                <w:lang w:val="en-CA"/>
              </w:rPr>
            </w:pPr>
            <w:r w:rsidRPr="00364819">
              <w:rPr>
                <w:sz w:val="20"/>
                <w:lang w:val="en-CA"/>
              </w:rPr>
              <w:t>(</w:t>
            </w:r>
            <w:proofErr w:type="spellStart"/>
            <w:r w:rsidRPr="00364819">
              <w:rPr>
                <w:sz w:val="20"/>
                <w:lang w:val="en-CA"/>
              </w:rPr>
              <w:t>Chamberland</w:t>
            </w:r>
            <w:proofErr w:type="spellEnd"/>
            <w:r w:rsidRPr="00364819">
              <w:rPr>
                <w:sz w:val="20"/>
                <w:lang w:val="en-CA"/>
              </w:rPr>
              <w:t>, Thibault and Hogue [dissenting] JJ.A.)</w:t>
            </w:r>
          </w:p>
          <w:p w:rsidR="00364819" w:rsidRPr="00364819" w:rsidRDefault="00364819" w:rsidP="00311701">
            <w:pPr>
              <w:jc w:val="both"/>
              <w:rPr>
                <w:sz w:val="20"/>
                <w:lang w:val="en-CA"/>
              </w:rPr>
            </w:pPr>
            <w:r w:rsidRPr="00364819">
              <w:rPr>
                <w:sz w:val="20"/>
                <w:lang w:val="en-CA"/>
              </w:rPr>
              <w:t>500</w:t>
            </w:r>
            <w:r w:rsidRPr="00364819">
              <w:rPr>
                <w:sz w:val="20"/>
                <w:lang w:val="en-CA"/>
              </w:rPr>
              <w:noBreakHyphen/>
              <w:t>09</w:t>
            </w:r>
            <w:r w:rsidRPr="00364819">
              <w:rPr>
                <w:sz w:val="20"/>
                <w:lang w:val="en-CA"/>
              </w:rPr>
              <w:noBreakHyphen/>
              <w:t>027764</w:t>
            </w:r>
            <w:r w:rsidRPr="00364819">
              <w:rPr>
                <w:sz w:val="20"/>
                <w:lang w:val="en-CA"/>
              </w:rPr>
              <w:noBreakHyphen/>
              <w:t>182</w:t>
            </w:r>
          </w:p>
          <w:p w:rsidR="00364819" w:rsidRPr="00364819" w:rsidRDefault="005A78BC" w:rsidP="00311701">
            <w:pPr>
              <w:jc w:val="both"/>
              <w:rPr>
                <w:sz w:val="20"/>
                <w:lang w:val="en-CA"/>
              </w:rPr>
            </w:pPr>
            <w:hyperlink r:id="rId29" w:history="1">
              <w:r w:rsidR="00364819" w:rsidRPr="00364819">
                <w:rPr>
                  <w:rStyle w:val="Hyperlink"/>
                  <w:sz w:val="20"/>
                  <w:lang w:val="en-CA"/>
                </w:rPr>
                <w:t>2020 QCCA 498</w:t>
              </w:r>
            </w:hyperlink>
          </w:p>
          <w:p w:rsidR="00364819" w:rsidRPr="00364819" w:rsidRDefault="00364819" w:rsidP="00311701">
            <w:pPr>
              <w:jc w:val="both"/>
              <w:rPr>
                <w:sz w:val="20"/>
                <w:lang w:val="en-CA"/>
              </w:rPr>
            </w:pPr>
          </w:p>
        </w:tc>
        <w:tc>
          <w:tcPr>
            <w:tcW w:w="243" w:type="pct"/>
          </w:tcPr>
          <w:p w:rsidR="00364819" w:rsidRPr="00364819" w:rsidRDefault="00364819" w:rsidP="00311701">
            <w:pPr>
              <w:jc w:val="both"/>
              <w:rPr>
                <w:sz w:val="20"/>
                <w:lang w:val="en-CA"/>
              </w:rPr>
            </w:pPr>
          </w:p>
        </w:tc>
        <w:tc>
          <w:tcPr>
            <w:tcW w:w="2330" w:type="pct"/>
          </w:tcPr>
          <w:p w:rsidR="00364819" w:rsidRPr="00364819" w:rsidRDefault="00364819" w:rsidP="00311701">
            <w:pPr>
              <w:jc w:val="both"/>
              <w:rPr>
                <w:sz w:val="20"/>
                <w:lang w:val="en-CA"/>
              </w:rPr>
            </w:pPr>
            <w:r w:rsidRPr="00364819">
              <w:rPr>
                <w:sz w:val="20"/>
                <w:lang w:val="en-CA"/>
              </w:rPr>
              <w:t>Appeal dismissed with costs</w:t>
            </w:r>
          </w:p>
        </w:tc>
      </w:tr>
      <w:tr w:rsidR="00364819" w:rsidRPr="00364819" w:rsidTr="00311701">
        <w:tc>
          <w:tcPr>
            <w:tcW w:w="2427" w:type="pct"/>
            <w:gridSpan w:val="2"/>
          </w:tcPr>
          <w:p w:rsidR="00364819" w:rsidRPr="00364819" w:rsidRDefault="00364819" w:rsidP="00311701">
            <w:pPr>
              <w:jc w:val="both"/>
              <w:rPr>
                <w:sz w:val="20"/>
                <w:lang w:val="en-CA"/>
              </w:rPr>
            </w:pPr>
            <w:r w:rsidRPr="00364819">
              <w:rPr>
                <w:sz w:val="20"/>
                <w:lang w:val="en-CA"/>
              </w:rPr>
              <w:t>June 4, 2020</w:t>
            </w:r>
          </w:p>
          <w:p w:rsidR="00364819" w:rsidRPr="00364819" w:rsidRDefault="00364819" w:rsidP="00311701">
            <w:pPr>
              <w:jc w:val="both"/>
              <w:rPr>
                <w:sz w:val="20"/>
                <w:lang w:val="en-CA"/>
              </w:rPr>
            </w:pPr>
            <w:r w:rsidRPr="00364819">
              <w:rPr>
                <w:sz w:val="20"/>
                <w:lang w:val="en-CA"/>
              </w:rPr>
              <w:t>Supreme Court of Canada</w:t>
            </w:r>
          </w:p>
        </w:tc>
        <w:tc>
          <w:tcPr>
            <w:tcW w:w="243" w:type="pct"/>
          </w:tcPr>
          <w:p w:rsidR="00364819" w:rsidRPr="00364819" w:rsidRDefault="00364819" w:rsidP="00311701">
            <w:pPr>
              <w:jc w:val="both"/>
              <w:rPr>
                <w:sz w:val="20"/>
                <w:lang w:val="en-CA"/>
              </w:rPr>
            </w:pPr>
          </w:p>
        </w:tc>
        <w:tc>
          <w:tcPr>
            <w:tcW w:w="2330" w:type="pct"/>
          </w:tcPr>
          <w:p w:rsidR="00364819" w:rsidRPr="00364819" w:rsidRDefault="00364819" w:rsidP="00311701">
            <w:pPr>
              <w:jc w:val="both"/>
              <w:rPr>
                <w:sz w:val="20"/>
                <w:lang w:val="en-CA"/>
              </w:rPr>
            </w:pPr>
            <w:r w:rsidRPr="00364819">
              <w:rPr>
                <w:sz w:val="20"/>
                <w:lang w:val="en-CA"/>
              </w:rPr>
              <w:t>Application for leave to appeal filed</w:t>
            </w:r>
          </w:p>
          <w:p w:rsidR="00364819" w:rsidRPr="00364819" w:rsidRDefault="00364819" w:rsidP="00311701">
            <w:pPr>
              <w:jc w:val="both"/>
              <w:rPr>
                <w:sz w:val="20"/>
                <w:lang w:val="en-CA"/>
              </w:rPr>
            </w:pPr>
          </w:p>
        </w:tc>
      </w:tr>
    </w:tbl>
    <w:p w:rsidR="00364819" w:rsidRPr="00364819" w:rsidRDefault="00364819" w:rsidP="008615DC">
      <w:pPr>
        <w:widowControl w:val="0"/>
        <w:jc w:val="both"/>
        <w:rPr>
          <w:sz w:val="20"/>
        </w:rPr>
      </w:pPr>
    </w:p>
    <w:p w:rsidR="00364819" w:rsidRPr="00364819" w:rsidRDefault="005A78BC" w:rsidP="008615DC">
      <w:pPr>
        <w:widowControl w:val="0"/>
        <w:jc w:val="both"/>
        <w:rPr>
          <w:sz w:val="20"/>
        </w:rPr>
      </w:pPr>
      <w:r>
        <w:rPr>
          <w:sz w:val="20"/>
        </w:rPr>
        <w:pict>
          <v:rect id="_x0000_i1031" style="width:2in;height:1pt" o:hrpct="0" o:hralign="center" o:hrstd="t" o:hrnoshade="t" o:hr="t" fillcolor="black [3213]" stroked="f"/>
        </w:pict>
      </w:r>
    </w:p>
    <w:p w:rsidR="00364819" w:rsidRPr="00364819" w:rsidRDefault="00364819" w:rsidP="008615DC">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39196</w:t>
            </w:r>
          </w:p>
        </w:tc>
        <w:tc>
          <w:tcPr>
            <w:tcW w:w="4457" w:type="pct"/>
            <w:gridSpan w:val="3"/>
          </w:tcPr>
          <w:p w:rsidR="008615DC" w:rsidRPr="00364819" w:rsidRDefault="008615DC" w:rsidP="008615DC">
            <w:pPr>
              <w:pStyle w:val="SCCLsocParty"/>
              <w:jc w:val="both"/>
              <w:rPr>
                <w:b/>
                <w:sz w:val="20"/>
                <w:szCs w:val="20"/>
              </w:rPr>
            </w:pPr>
            <w:r w:rsidRPr="00364819">
              <w:rPr>
                <w:b/>
                <w:sz w:val="20"/>
                <w:szCs w:val="20"/>
              </w:rPr>
              <w:t>Brian Cadieux c. Greyhound Canada Transportation ULC et Syndicat uni du transport, section locale 1415</w:t>
            </w:r>
          </w:p>
          <w:p w:rsidR="008615DC" w:rsidRPr="00364819" w:rsidRDefault="008615DC" w:rsidP="008615DC">
            <w:pPr>
              <w:jc w:val="both"/>
              <w:rPr>
                <w:sz w:val="20"/>
              </w:rPr>
            </w:pPr>
            <w:r w:rsidRPr="00364819">
              <w:rPr>
                <w:sz w:val="20"/>
              </w:rPr>
              <w:t>(Qc) (Civile) (Autorisation)</w:t>
            </w: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Relations du travail — Obligation de représentation syndicale — Grief — Sentence arbitrale contestée par un salarié — Conflit d’intérêts — Intérêt pour agir — Les instances inférieures ont</w:t>
            </w:r>
            <w:r w:rsidRPr="00364819">
              <w:rPr>
                <w:sz w:val="20"/>
                <w:lang w:val="fr-CA"/>
              </w:rPr>
              <w:noBreakHyphen/>
              <w:t xml:space="preserve">elles erré en concluant que le syndicat conserve son monopole de représentation même lorsqu’il est en situation de conflit d’intérêts réel, personnel et significatif avec son membre? — </w:t>
            </w:r>
            <w:r w:rsidRPr="00364819">
              <w:rPr>
                <w:i/>
                <w:sz w:val="20"/>
                <w:lang w:val="fr-CA"/>
              </w:rPr>
              <w:t>Code canadien du travail</w:t>
            </w:r>
            <w:r w:rsidRPr="00364819">
              <w:rPr>
                <w:sz w:val="20"/>
                <w:lang w:val="fr-CA"/>
              </w:rPr>
              <w:t>, LRC 1985, c L</w:t>
            </w:r>
            <w:r w:rsidRPr="00364819">
              <w:rPr>
                <w:sz w:val="20"/>
                <w:lang w:val="fr-CA"/>
              </w:rPr>
              <w:noBreakHyphen/>
              <w:t>2, art. 37 et 99.</w:t>
            </w:r>
          </w:p>
        </w:tc>
      </w:tr>
      <w:tr w:rsidR="008615DC" w:rsidRPr="00364819" w:rsidTr="00136FEB">
        <w:tc>
          <w:tcPr>
            <w:tcW w:w="5000" w:type="pct"/>
            <w:gridSpan w:val="4"/>
          </w:tcPr>
          <w:p w:rsidR="008615DC" w:rsidRPr="00364819" w:rsidRDefault="008615DC" w:rsidP="008615DC">
            <w:pPr>
              <w:jc w:val="both"/>
              <w:rPr>
                <w:sz w:val="20"/>
                <w:lang w:val="fr-CA"/>
              </w:rPr>
            </w:pPr>
          </w:p>
          <w:p w:rsidR="008615DC" w:rsidRPr="00364819" w:rsidRDefault="008615DC" w:rsidP="008615DC">
            <w:pPr>
              <w:jc w:val="both"/>
              <w:rPr>
                <w:sz w:val="20"/>
              </w:rPr>
            </w:pPr>
            <w:r w:rsidRPr="00364819">
              <w:rPr>
                <w:sz w:val="20"/>
                <w:lang w:val="fr-CA"/>
              </w:rPr>
              <w:t xml:space="preserve">Suspendu puis congédié par son employeur, le demandeur représenté par son syndicat dépose deux griefs auprès du Conseil canadien des relations industrielles (« CCRI ») pour contester ces sanctions. Le syndicat convient ensuite avec l’employeur d’un règlement concernant la suspension et se désiste du grief relié au congédiement. Le CCRI accueille la plainte du demandeur reprochant à son syndicat d’avoir manqué à son obligation de représentation pour les deux griefs et renvoie les deux griefs à l’arbitrage en autorisant le demandeur à retenir les services de l’avocat de son choix aux frais du syndicat. Un arbitre rejette ultimement ces griefs. Insatisfait, le demandeur sollicite l’autorisation du CCRI de se pourvoir en contrôle judiciaire en son propre nom, ce que le CCRI refuse au motif que cette demande dépasse son rôle et parce que le demandeur n’a pas préalablement demandé au syndicat de présenter ce pourvoi. Entre temps, le demandeur dépose personnellement son pourvoi en contrôle judiciaire de la sentence arbitrale. La Cour supérieure accueille le moyen d’irrecevabilité du syndicat et rejette le pourvoi en contrôle judiciaire du demandeur, concluant qu’il ne possède pas l’intérêt suffisant pour agir. </w:t>
            </w:r>
            <w:r w:rsidRPr="00364819">
              <w:rPr>
                <w:sz w:val="20"/>
              </w:rPr>
              <w:t xml:space="preserve">La Cour d’appel, à la majorité, rejette l’appel. </w:t>
            </w:r>
          </w:p>
        </w:tc>
      </w:tr>
      <w:tr w:rsidR="008615DC" w:rsidRPr="00364819" w:rsidTr="00136FEB">
        <w:tc>
          <w:tcPr>
            <w:tcW w:w="5000" w:type="pct"/>
            <w:gridSpan w:val="4"/>
          </w:tcPr>
          <w:p w:rsidR="008615DC" w:rsidRPr="00364819" w:rsidRDefault="008615DC" w:rsidP="008615DC">
            <w:pPr>
              <w:jc w:val="both"/>
              <w:rPr>
                <w:sz w:val="20"/>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Le 20 juillet 2018</w:t>
            </w:r>
          </w:p>
          <w:p w:rsidR="008615DC" w:rsidRPr="00364819" w:rsidRDefault="008615DC" w:rsidP="008615DC">
            <w:pPr>
              <w:jc w:val="both"/>
              <w:rPr>
                <w:sz w:val="20"/>
                <w:lang w:val="fr-CA"/>
              </w:rPr>
            </w:pPr>
            <w:r w:rsidRPr="00364819">
              <w:rPr>
                <w:sz w:val="20"/>
                <w:lang w:val="fr-CA"/>
              </w:rPr>
              <w:t>Cour supérieure du Québec</w:t>
            </w:r>
          </w:p>
          <w:p w:rsidR="008615DC" w:rsidRPr="00364819" w:rsidRDefault="008615DC" w:rsidP="008615DC">
            <w:pPr>
              <w:jc w:val="both"/>
              <w:rPr>
                <w:sz w:val="20"/>
              </w:rPr>
            </w:pPr>
            <w:r w:rsidRPr="00364819">
              <w:rPr>
                <w:sz w:val="20"/>
              </w:rPr>
              <w:t>(Le juge Brossard)</w:t>
            </w:r>
          </w:p>
          <w:p w:rsidR="008615DC" w:rsidRPr="00364819" w:rsidRDefault="008615DC" w:rsidP="008615DC">
            <w:pPr>
              <w:jc w:val="both"/>
              <w:rPr>
                <w:sz w:val="20"/>
              </w:rPr>
            </w:pPr>
            <w:r w:rsidRPr="00364819">
              <w:rPr>
                <w:sz w:val="20"/>
              </w:rPr>
              <w:t>500</w:t>
            </w:r>
            <w:r w:rsidRPr="00364819">
              <w:rPr>
                <w:sz w:val="20"/>
              </w:rPr>
              <w:noBreakHyphen/>
              <w:t>17</w:t>
            </w:r>
            <w:r w:rsidRPr="00364819">
              <w:rPr>
                <w:sz w:val="20"/>
              </w:rPr>
              <w:noBreakHyphen/>
              <w:t>099920</w:t>
            </w:r>
            <w:r w:rsidRPr="00364819">
              <w:rPr>
                <w:sz w:val="20"/>
              </w:rPr>
              <w:noBreakHyphen/>
              <w:t xml:space="preserve">178 </w:t>
            </w:r>
          </w:p>
          <w:p w:rsidR="008615DC" w:rsidRPr="00364819" w:rsidRDefault="005A78BC" w:rsidP="008615DC">
            <w:pPr>
              <w:jc w:val="both"/>
              <w:rPr>
                <w:sz w:val="20"/>
              </w:rPr>
            </w:pPr>
            <w:hyperlink r:id="rId30" w:history="1">
              <w:r w:rsidR="008615DC" w:rsidRPr="00364819">
                <w:rPr>
                  <w:rStyle w:val="Hyperlink"/>
                  <w:sz w:val="20"/>
                </w:rPr>
                <w:t>2018 QCCS 3611</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lang w:val="fr-CA"/>
              </w:rPr>
            </w:pPr>
            <w:r w:rsidRPr="00364819">
              <w:rPr>
                <w:sz w:val="20"/>
                <w:lang w:val="fr-CA"/>
              </w:rPr>
              <w:t>Requête en irrecevabilité accueillie, pourvoi en contrôle judiciaire rejeté, avec frais de justice.</w:t>
            </w: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Le 6 avril 2020</w:t>
            </w:r>
          </w:p>
          <w:p w:rsidR="008615DC" w:rsidRPr="00364819" w:rsidRDefault="008615DC" w:rsidP="008615DC">
            <w:pPr>
              <w:jc w:val="both"/>
              <w:rPr>
                <w:sz w:val="20"/>
                <w:lang w:val="fr-CA"/>
              </w:rPr>
            </w:pPr>
            <w:r w:rsidRPr="00364819">
              <w:rPr>
                <w:sz w:val="20"/>
                <w:lang w:val="fr-CA"/>
              </w:rPr>
              <w:t>Cour d’appel du Québec (Montréal)</w:t>
            </w:r>
          </w:p>
          <w:p w:rsidR="008615DC" w:rsidRPr="00364819" w:rsidRDefault="008615DC" w:rsidP="008615DC">
            <w:pPr>
              <w:jc w:val="both"/>
              <w:rPr>
                <w:sz w:val="20"/>
                <w:lang w:val="fr-CA"/>
              </w:rPr>
            </w:pPr>
            <w:r w:rsidRPr="00364819">
              <w:rPr>
                <w:sz w:val="20"/>
                <w:lang w:val="fr-CA"/>
              </w:rPr>
              <w:t>(Les juges Chamberland, Thibault et Hogue [dissidente])</w:t>
            </w:r>
          </w:p>
          <w:p w:rsidR="008615DC" w:rsidRPr="00364819" w:rsidRDefault="008615DC" w:rsidP="008615DC">
            <w:pPr>
              <w:jc w:val="both"/>
              <w:rPr>
                <w:sz w:val="20"/>
              </w:rPr>
            </w:pPr>
            <w:r w:rsidRPr="00364819">
              <w:rPr>
                <w:sz w:val="20"/>
              </w:rPr>
              <w:t>500</w:t>
            </w:r>
            <w:r w:rsidRPr="00364819">
              <w:rPr>
                <w:sz w:val="20"/>
              </w:rPr>
              <w:noBreakHyphen/>
              <w:t>09</w:t>
            </w:r>
            <w:r w:rsidRPr="00364819">
              <w:rPr>
                <w:sz w:val="20"/>
              </w:rPr>
              <w:noBreakHyphen/>
              <w:t>027764</w:t>
            </w:r>
            <w:r w:rsidRPr="00364819">
              <w:rPr>
                <w:sz w:val="20"/>
              </w:rPr>
              <w:noBreakHyphen/>
              <w:t>182</w:t>
            </w:r>
          </w:p>
          <w:p w:rsidR="008615DC" w:rsidRPr="00364819" w:rsidRDefault="005A78BC" w:rsidP="008615DC">
            <w:pPr>
              <w:jc w:val="both"/>
              <w:rPr>
                <w:sz w:val="20"/>
              </w:rPr>
            </w:pPr>
            <w:hyperlink r:id="rId31" w:history="1">
              <w:r w:rsidR="008615DC" w:rsidRPr="00364819">
                <w:rPr>
                  <w:rStyle w:val="Hyperlink"/>
                  <w:sz w:val="20"/>
                </w:rPr>
                <w:t>2020 QCCA 498</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lang w:val="fr-CA"/>
              </w:rPr>
            </w:pPr>
            <w:r w:rsidRPr="00364819">
              <w:rPr>
                <w:sz w:val="20"/>
                <w:lang w:val="fr-CA"/>
              </w:rPr>
              <w:t>Appel rejeté, avec frais de justice.</w:t>
            </w:r>
          </w:p>
        </w:tc>
      </w:tr>
      <w:tr w:rsidR="008615DC" w:rsidRPr="00364819" w:rsidTr="00136FEB">
        <w:tc>
          <w:tcPr>
            <w:tcW w:w="2427" w:type="pct"/>
            <w:gridSpan w:val="2"/>
          </w:tcPr>
          <w:p w:rsidR="008615DC" w:rsidRPr="00364819" w:rsidRDefault="008615DC" w:rsidP="008615DC">
            <w:pPr>
              <w:jc w:val="both"/>
              <w:rPr>
                <w:sz w:val="20"/>
                <w:lang w:val="fr-CA"/>
              </w:rPr>
            </w:pPr>
            <w:r w:rsidRPr="00364819">
              <w:rPr>
                <w:sz w:val="20"/>
                <w:lang w:val="fr-CA"/>
              </w:rPr>
              <w:t>Le 4 juin 2020</w:t>
            </w:r>
          </w:p>
          <w:p w:rsidR="008615DC" w:rsidRPr="00364819" w:rsidRDefault="008615DC" w:rsidP="008615DC">
            <w:pPr>
              <w:jc w:val="both"/>
              <w:rPr>
                <w:sz w:val="20"/>
                <w:lang w:val="fr-CA"/>
              </w:rPr>
            </w:pPr>
            <w:r w:rsidRPr="00364819">
              <w:rPr>
                <w:sz w:val="20"/>
                <w:lang w:val="fr-CA"/>
              </w:rPr>
              <w:t>Cour suprême du Canada</w:t>
            </w: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rPr>
            </w:pPr>
            <w:r w:rsidRPr="00364819">
              <w:rPr>
                <w:sz w:val="20"/>
              </w:rPr>
              <w:t>Demande d’autorisation d’appel déposée.</w:t>
            </w:r>
          </w:p>
          <w:p w:rsidR="008615DC" w:rsidRPr="00364819" w:rsidRDefault="008615DC" w:rsidP="008615DC">
            <w:pPr>
              <w:jc w:val="both"/>
              <w:rPr>
                <w:sz w:val="20"/>
              </w:rPr>
            </w:pPr>
          </w:p>
        </w:tc>
      </w:tr>
    </w:tbl>
    <w:p w:rsidR="008615DC" w:rsidRPr="00364819" w:rsidRDefault="008615DC" w:rsidP="008615DC">
      <w:pPr>
        <w:jc w:val="both"/>
        <w:rPr>
          <w:sz w:val="20"/>
        </w:rPr>
      </w:pPr>
    </w:p>
    <w:p w:rsidR="008615DC" w:rsidRPr="00364819" w:rsidRDefault="005A78BC" w:rsidP="008615DC">
      <w:pPr>
        <w:jc w:val="both"/>
        <w:rPr>
          <w:sz w:val="20"/>
          <w:lang w:val="en-CA"/>
        </w:rPr>
      </w:pPr>
      <w:r>
        <w:rPr>
          <w:sz w:val="20"/>
        </w:rPr>
        <w:pict>
          <v:rect id="_x0000_i1032" style="width:2in;height:1pt" o:hrpct="0" o:hralign="center" o:hrstd="t" o:hrnoshade="t" o:hr="t" fillcolor="black [3213]" stroked="f"/>
        </w:pict>
      </w:r>
    </w:p>
    <w:p w:rsidR="002C5E29" w:rsidRPr="00364819" w:rsidRDefault="002C5E29" w:rsidP="008615DC">
      <w:pPr>
        <w:widowControl w:val="0"/>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39246</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Youyi Group Holdings (Canada) Ltd., DHI Holdings Inc. v. Brentwood Lanes Canada Ltd., Maple Ridge Lanes (1981) Ltd.</w:t>
            </w:r>
          </w:p>
          <w:p w:rsidR="008615DC" w:rsidRPr="00364819" w:rsidRDefault="008615DC" w:rsidP="008615DC">
            <w:pPr>
              <w:jc w:val="both"/>
              <w:rPr>
                <w:sz w:val="20"/>
              </w:rPr>
            </w:pPr>
            <w:r w:rsidRPr="00364819">
              <w:rPr>
                <w:sz w:val="20"/>
              </w:rPr>
              <w:t>(B.C.) (Civil) (By Leave)</w:t>
            </w:r>
          </w:p>
        </w:tc>
      </w:tr>
      <w:tr w:rsidR="008615DC" w:rsidRPr="00364819" w:rsidTr="00136FEB">
        <w:tc>
          <w:tcPr>
            <w:tcW w:w="5000" w:type="pct"/>
            <w:gridSpan w:val="4"/>
          </w:tcPr>
          <w:p w:rsidR="008615DC" w:rsidRPr="00364819" w:rsidRDefault="008615DC" w:rsidP="008615DC">
            <w:pPr>
              <w:jc w:val="both"/>
              <w:rPr>
                <w:sz w:val="20"/>
              </w:rPr>
            </w:pPr>
            <w:r w:rsidRPr="00364819">
              <w:rPr>
                <w:sz w:val="20"/>
              </w:rPr>
              <w:t>Contracts — Lawful excuse for non</w:t>
            </w:r>
            <w:r w:rsidRPr="00364819">
              <w:rPr>
                <w:sz w:val="20"/>
              </w:rPr>
              <w:noBreakHyphen/>
              <w:t xml:space="preserve">performance — Illegal contracts — Does establishing an “unlawful intention” remain a ground sufficient to invalidate an otherwise lawful contract, in light of the modern approach to </w:t>
            </w:r>
            <w:r w:rsidRPr="00364819">
              <w:rPr>
                <w:i/>
                <w:sz w:val="20"/>
              </w:rPr>
              <w:t>ex turpi causa</w:t>
            </w:r>
            <w:r w:rsidRPr="00364819">
              <w:rPr>
                <w:sz w:val="20"/>
              </w:rPr>
              <w:t xml:space="preserve"> established by this Court in </w:t>
            </w:r>
            <w:r w:rsidRPr="00364819">
              <w:rPr>
                <w:i/>
                <w:sz w:val="20"/>
              </w:rPr>
              <w:t>Hall v. Hebert</w:t>
            </w:r>
            <w:r w:rsidRPr="00364819">
              <w:rPr>
                <w:sz w:val="20"/>
              </w:rPr>
              <w:t>, [1993] 2 S.C.R. 159 — If so, what is the scope of the unlawful intentions branch of the doctrine as a basis to refuse performance of an otherwise lawful contract.</w:t>
            </w:r>
          </w:p>
          <w:p w:rsidR="00364819" w:rsidRPr="00364819" w:rsidRDefault="00364819" w:rsidP="008615DC">
            <w:pPr>
              <w:jc w:val="both"/>
              <w:rPr>
                <w:sz w:val="20"/>
              </w:rPr>
            </w:pPr>
          </w:p>
        </w:tc>
      </w:tr>
      <w:tr w:rsidR="008615DC" w:rsidRPr="00364819" w:rsidTr="00136FEB">
        <w:tc>
          <w:tcPr>
            <w:tcW w:w="5000" w:type="pct"/>
            <w:gridSpan w:val="4"/>
          </w:tcPr>
          <w:p w:rsidR="008615DC" w:rsidRPr="00364819" w:rsidRDefault="008615DC" w:rsidP="008615DC">
            <w:pPr>
              <w:jc w:val="both"/>
              <w:rPr>
                <w:sz w:val="20"/>
              </w:rPr>
            </w:pPr>
            <w:r w:rsidRPr="00364819">
              <w:rPr>
                <w:sz w:val="20"/>
              </w:rPr>
              <w:t xml:space="preserve">The applicant purchasers entered into two linked purchase and sale agreements with the respondent vendors for the purchase and sale of two commercial properties. Two weeks before the completion date the respondents gave notice to the applicants that they would not be proceeding with the sale on the ground that the agreements had been repudiated or were unenforceable due to alleged wrongdoings by the applicants and the parties’ common real estate agent.  The applicants rejected what they claimed was a wrongful repudiation and commenced an action for specific performance or, alternatively, damages. </w:t>
            </w:r>
          </w:p>
          <w:p w:rsidR="008615DC" w:rsidRPr="00364819" w:rsidRDefault="008615DC" w:rsidP="008615DC">
            <w:pPr>
              <w:jc w:val="both"/>
              <w:rPr>
                <w:sz w:val="20"/>
              </w:rPr>
            </w:pPr>
          </w:p>
          <w:p w:rsidR="008615DC" w:rsidRPr="00364819" w:rsidRDefault="008615DC" w:rsidP="00364819">
            <w:pPr>
              <w:jc w:val="both"/>
              <w:rPr>
                <w:sz w:val="20"/>
              </w:rPr>
            </w:pPr>
            <w:r w:rsidRPr="00364819">
              <w:rPr>
                <w:sz w:val="20"/>
              </w:rPr>
              <w:lastRenderedPageBreak/>
              <w:t>The Supreme Court of British Columbia dismissed the applicants’ action, accepting the respondents’ defence that the purchase agreements “were part of a transaction intended to be used for unlawful purposes or otherwise tainted by illegality”. For reasons of public policy, the Court declined to enforce them against the respondents as to do so “would be harmful to the integrity of the legal system”. The Court dismissed the respondents’ counterclaims except a claim for breach of contract and fiduciary duty against their real estate agents. The Court of Appeal for British Columbia dismissed the applicants’ appeal and the respondents’ cross</w:t>
            </w:r>
            <w:r w:rsidRPr="00364819">
              <w:rPr>
                <w:sz w:val="20"/>
              </w:rPr>
              <w:noBreakHyphen/>
              <w:t>appeal.</w:t>
            </w:r>
          </w:p>
        </w:tc>
      </w:tr>
      <w:tr w:rsidR="008615DC" w:rsidRPr="00364819" w:rsidTr="00136FEB">
        <w:tc>
          <w:tcPr>
            <w:tcW w:w="5000" w:type="pct"/>
            <w:gridSpan w:val="4"/>
          </w:tcPr>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May 10, 2019</w:t>
            </w:r>
          </w:p>
          <w:p w:rsidR="008615DC" w:rsidRPr="00364819" w:rsidRDefault="008615DC" w:rsidP="008615DC">
            <w:pPr>
              <w:jc w:val="both"/>
              <w:rPr>
                <w:sz w:val="20"/>
              </w:rPr>
            </w:pPr>
            <w:r w:rsidRPr="00364819">
              <w:rPr>
                <w:sz w:val="20"/>
              </w:rPr>
              <w:t>Supreme Court of British Columbia</w:t>
            </w:r>
          </w:p>
          <w:p w:rsidR="008615DC" w:rsidRPr="00364819" w:rsidRDefault="008615DC" w:rsidP="008615DC">
            <w:pPr>
              <w:jc w:val="both"/>
              <w:rPr>
                <w:sz w:val="20"/>
              </w:rPr>
            </w:pPr>
            <w:r w:rsidRPr="00364819">
              <w:rPr>
                <w:sz w:val="20"/>
              </w:rPr>
              <w:t>(Mayer J.)</w:t>
            </w:r>
          </w:p>
          <w:p w:rsidR="008615DC" w:rsidRPr="00364819" w:rsidRDefault="005A78BC" w:rsidP="008615DC">
            <w:pPr>
              <w:jc w:val="both"/>
              <w:rPr>
                <w:sz w:val="20"/>
              </w:rPr>
            </w:pPr>
            <w:hyperlink r:id="rId32" w:history="1">
              <w:r w:rsidR="008615DC" w:rsidRPr="00364819">
                <w:rPr>
                  <w:rStyle w:val="Hyperlink"/>
                  <w:sz w:val="20"/>
                </w:rPr>
                <w:t>2019 BCSC 739</w:t>
              </w:r>
            </w:hyperlink>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Applicants’ claim for specific performance or damages is dismissed. Respondents’ claim for breach of contract and fiduciary duty against some defendants by counterclaim allowed, other counterclaims dismissed</w:t>
            </w:r>
          </w:p>
        </w:tc>
      </w:tr>
      <w:tr w:rsidR="008615DC" w:rsidRPr="00364819" w:rsidTr="00136FEB">
        <w:tc>
          <w:tcPr>
            <w:tcW w:w="2427" w:type="pct"/>
            <w:gridSpan w:val="2"/>
          </w:tcPr>
          <w:p w:rsidR="008615DC" w:rsidRPr="00364819" w:rsidRDefault="008615DC" w:rsidP="008615DC">
            <w:pPr>
              <w:jc w:val="both"/>
              <w:rPr>
                <w:sz w:val="20"/>
              </w:rPr>
            </w:pPr>
            <w:r w:rsidRPr="00364819">
              <w:rPr>
                <w:sz w:val="20"/>
              </w:rPr>
              <w:t>May 8, 2020</w:t>
            </w:r>
          </w:p>
          <w:p w:rsidR="008615DC" w:rsidRPr="00364819" w:rsidRDefault="008615DC" w:rsidP="008615DC">
            <w:pPr>
              <w:jc w:val="both"/>
              <w:rPr>
                <w:sz w:val="20"/>
              </w:rPr>
            </w:pPr>
            <w:r w:rsidRPr="00364819">
              <w:rPr>
                <w:sz w:val="20"/>
              </w:rPr>
              <w:t xml:space="preserve">Court of Appeal for British Columbia </w:t>
            </w:r>
          </w:p>
          <w:p w:rsidR="008615DC" w:rsidRPr="00364819" w:rsidRDefault="008615DC" w:rsidP="008615DC">
            <w:pPr>
              <w:jc w:val="both"/>
              <w:rPr>
                <w:sz w:val="20"/>
              </w:rPr>
            </w:pPr>
            <w:r w:rsidRPr="00364819">
              <w:rPr>
                <w:sz w:val="20"/>
              </w:rPr>
              <w:t>(Vancouver)</w:t>
            </w:r>
          </w:p>
          <w:p w:rsidR="008615DC" w:rsidRPr="00364819" w:rsidRDefault="008615DC" w:rsidP="008615DC">
            <w:pPr>
              <w:jc w:val="both"/>
              <w:rPr>
                <w:sz w:val="20"/>
              </w:rPr>
            </w:pPr>
            <w:r w:rsidRPr="00364819">
              <w:rPr>
                <w:sz w:val="20"/>
              </w:rPr>
              <w:t>(</w:t>
            </w:r>
            <w:proofErr w:type="spellStart"/>
            <w:r w:rsidRPr="00364819">
              <w:rPr>
                <w:sz w:val="20"/>
              </w:rPr>
              <w:t>Groberman</w:t>
            </w:r>
            <w:proofErr w:type="spellEnd"/>
            <w:r w:rsidRPr="00364819">
              <w:rPr>
                <w:sz w:val="20"/>
              </w:rPr>
              <w:t>, Dickson and Hunter JJ.A.)</w:t>
            </w:r>
          </w:p>
          <w:p w:rsidR="008615DC" w:rsidRPr="00364819" w:rsidRDefault="005A78BC" w:rsidP="008615DC">
            <w:pPr>
              <w:jc w:val="both"/>
              <w:rPr>
                <w:sz w:val="20"/>
              </w:rPr>
            </w:pPr>
            <w:hyperlink r:id="rId33" w:history="1">
              <w:r w:rsidR="008615DC" w:rsidRPr="00364819">
                <w:rPr>
                  <w:rStyle w:val="Hyperlink"/>
                  <w:sz w:val="20"/>
                </w:rPr>
                <w:t>2020 BCCA 130</w:t>
              </w:r>
            </w:hyperlink>
            <w:r w:rsidR="008615DC" w:rsidRPr="00364819">
              <w:rPr>
                <w:sz w:val="20"/>
              </w:rPr>
              <w:t>; CA46116 and CA46140</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Appeal and cross</w:t>
            </w:r>
            <w:r w:rsidRPr="00364819">
              <w:rPr>
                <w:sz w:val="20"/>
              </w:rPr>
              <w:noBreakHyphen/>
              <w:t>appeal dismissed.</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July 7, 2020</w:t>
            </w:r>
          </w:p>
          <w:p w:rsidR="008615DC" w:rsidRPr="00364819" w:rsidRDefault="008615DC" w:rsidP="008615DC">
            <w:pPr>
              <w:jc w:val="both"/>
              <w:rPr>
                <w:sz w:val="20"/>
              </w:rPr>
            </w:pPr>
            <w:r w:rsidRPr="00364819">
              <w:rPr>
                <w:sz w:val="20"/>
              </w:rPr>
              <w:t>Supreme Court of Canada</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Application for leave to appeal filed.</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September 18, 2020</w:t>
            </w:r>
          </w:p>
          <w:p w:rsidR="008615DC" w:rsidRPr="00364819" w:rsidRDefault="008615DC" w:rsidP="008615DC">
            <w:pPr>
              <w:jc w:val="both"/>
              <w:rPr>
                <w:sz w:val="20"/>
              </w:rPr>
            </w:pPr>
            <w:r w:rsidRPr="00364819">
              <w:rPr>
                <w:sz w:val="20"/>
              </w:rPr>
              <w:t>Supreme Court of Canada</w:t>
            </w: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Conditional application for leave to cross</w:t>
            </w:r>
            <w:r w:rsidRPr="00364819">
              <w:rPr>
                <w:sz w:val="20"/>
              </w:rPr>
              <w:noBreakHyphen/>
              <w:t>appeal filed.</w:t>
            </w:r>
          </w:p>
        </w:tc>
      </w:tr>
    </w:tbl>
    <w:p w:rsidR="008615DC" w:rsidRPr="00364819" w:rsidRDefault="008615DC" w:rsidP="008615DC">
      <w:pPr>
        <w:jc w:val="both"/>
        <w:rPr>
          <w:sz w:val="20"/>
        </w:rPr>
      </w:pPr>
    </w:p>
    <w:p w:rsidR="00364819" w:rsidRPr="00364819" w:rsidRDefault="005A78BC" w:rsidP="008615DC">
      <w:pPr>
        <w:jc w:val="both"/>
        <w:rPr>
          <w:sz w:val="20"/>
        </w:rPr>
      </w:pPr>
      <w:r>
        <w:rPr>
          <w:sz w:val="20"/>
        </w:rPr>
        <w:pict>
          <v:rect id="_x0000_i1033" style="width:2in;height:1pt" o:hrpct="0" o:hralign="center" o:hrstd="t" o:hrnoshade="t" o:hr="t" fillcolor="black [3213]" stroked="f"/>
        </w:pict>
      </w:r>
    </w:p>
    <w:p w:rsidR="00364819" w:rsidRPr="00364819" w:rsidRDefault="00364819" w:rsidP="008615DC">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39246</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Youyi Group Holdings (Canada) Ltd., DHI Holdings Inc. c. Brentwood Lanes Canada Ltd., Maple Ridge Lanes (1981) Ltd.</w:t>
            </w:r>
          </w:p>
          <w:p w:rsidR="008615DC" w:rsidRPr="00364819" w:rsidRDefault="008615DC" w:rsidP="008615DC">
            <w:pPr>
              <w:jc w:val="both"/>
              <w:rPr>
                <w:sz w:val="20"/>
              </w:rPr>
            </w:pPr>
            <w:r w:rsidRPr="00364819">
              <w:rPr>
                <w:sz w:val="20"/>
              </w:rPr>
              <w:t>(C.</w:t>
            </w:r>
            <w:r w:rsidRPr="00364819">
              <w:rPr>
                <w:sz w:val="20"/>
              </w:rPr>
              <w:noBreakHyphen/>
              <w:t>B.) (Civile) (Autorisation)</w:t>
            </w: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Contrats — Excuses légitimes pour la non</w:t>
            </w:r>
            <w:r w:rsidRPr="00364819">
              <w:rPr>
                <w:sz w:val="20"/>
                <w:lang w:val="fr-CA"/>
              </w:rPr>
              <w:noBreakHyphen/>
              <w:t>exécution — Contrats illicites — La preuve de l’existence d’une « intention illégale » demeure</w:t>
            </w:r>
            <w:r w:rsidRPr="00364819">
              <w:rPr>
                <w:sz w:val="20"/>
                <w:lang w:val="fr-CA"/>
              </w:rPr>
              <w:noBreakHyphen/>
              <w:t>t</w:t>
            </w:r>
            <w:r w:rsidRPr="00364819">
              <w:rPr>
                <w:sz w:val="20"/>
                <w:lang w:val="fr-CA"/>
              </w:rPr>
              <w:noBreakHyphen/>
              <w:t xml:space="preserve">elle un motif suffisant permettant d’invalider un contrat qui autrement serait licite, compte tenu de l’approche actuelle de la doctrine </w:t>
            </w:r>
            <w:r w:rsidRPr="00364819">
              <w:rPr>
                <w:i/>
                <w:sz w:val="20"/>
                <w:lang w:val="fr-CA"/>
              </w:rPr>
              <w:t>ex turpi causa</w:t>
            </w:r>
            <w:r w:rsidRPr="00364819">
              <w:rPr>
                <w:sz w:val="20"/>
                <w:lang w:val="fr-CA"/>
              </w:rPr>
              <w:t xml:space="preserve"> établie par la Cour dans </w:t>
            </w:r>
            <w:r w:rsidRPr="00364819">
              <w:rPr>
                <w:i/>
                <w:sz w:val="20"/>
                <w:lang w:val="fr-CA"/>
              </w:rPr>
              <w:t>Hall c. Hebert</w:t>
            </w:r>
            <w:r w:rsidRPr="00364819">
              <w:rPr>
                <w:sz w:val="20"/>
                <w:lang w:val="fr-CA"/>
              </w:rPr>
              <w:t>, [1993] 2 R.C.S. 159? — Si tel est le cas, quelle est la portée des volets relatifs à l’intention illégale de la doctrine qui fonde le refus d’exécuter un contrat autrement licite?</w:t>
            </w:r>
          </w:p>
          <w:p w:rsidR="00364819" w:rsidRPr="00364819" w:rsidRDefault="00364819" w:rsidP="008615DC">
            <w:pPr>
              <w:jc w:val="both"/>
              <w:rPr>
                <w:sz w:val="20"/>
                <w:lang w:val="fr-CA"/>
              </w:rPr>
            </w:pP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Les demandeurs, les acheteurs, ont conclu deux accords de vente et achat interreliés avec les défendeurs, les vendeurs, pour l’achat et la vente de deux immeubles commerciaux. Deux semaines avant la date d’occupation, les défendeurs ont donné un préavis aux demandeurs les informant qu’ils ne donneraient pas suite à la vente, au motif que les accords avaient été répudiés ou ne pouvaient pas être exécutés en raison de prétendus actes fautifs commis par les demandeurs et l’agent immobilier commun des parties. Les demandeurs ont rejeté ce qu’ils ont dit être une répudiation illicite et ont intenté une action en exécution intégrale ou, de manière subsidiaire, une action en dommages</w:t>
            </w:r>
            <w:r w:rsidRPr="00364819">
              <w:rPr>
                <w:sz w:val="20"/>
                <w:lang w:val="fr-CA"/>
              </w:rPr>
              <w:noBreakHyphen/>
              <w:t>intérêts.</w:t>
            </w:r>
          </w:p>
          <w:p w:rsidR="008615DC" w:rsidRPr="00364819" w:rsidRDefault="008615DC" w:rsidP="008615DC">
            <w:pPr>
              <w:jc w:val="both"/>
              <w:rPr>
                <w:sz w:val="20"/>
                <w:lang w:val="fr-CA"/>
              </w:rPr>
            </w:pPr>
          </w:p>
          <w:p w:rsidR="008615DC" w:rsidRPr="00364819" w:rsidRDefault="008615DC" w:rsidP="008615DC">
            <w:pPr>
              <w:jc w:val="both"/>
              <w:rPr>
                <w:sz w:val="20"/>
                <w:lang w:val="fr-CA"/>
              </w:rPr>
            </w:pPr>
            <w:r w:rsidRPr="00364819">
              <w:rPr>
                <w:sz w:val="20"/>
                <w:lang w:val="fr-CA"/>
              </w:rPr>
              <w:t>La Cour suprême de la Colombie</w:t>
            </w:r>
            <w:r w:rsidRPr="00364819">
              <w:rPr>
                <w:sz w:val="20"/>
                <w:lang w:val="fr-CA"/>
              </w:rPr>
              <w:noBreakHyphen/>
              <w:t>Britannique a rejeté l’action des demandeurs, faisant droit au moyen de défense des défendeurs selon lequel les accords d’achat [</w:t>
            </w:r>
            <w:r w:rsidRPr="00364819">
              <w:rPr>
                <w:smallCaps/>
                <w:sz w:val="20"/>
                <w:lang w:val="fr-CA"/>
              </w:rPr>
              <w:t>traduction</w:t>
            </w:r>
            <w:r w:rsidRPr="00364819">
              <w:rPr>
                <w:sz w:val="20"/>
                <w:lang w:val="fr-CA"/>
              </w:rPr>
              <w:t>] « faisaient partie d’une transaction censée être utilisée à des fins illicites ou autrement entachées d’illégalité ». Pour des raisons de politique publique, la Cour a refusé d’ordonner leur exécution contre les défendeurs, car le faire serait [</w:t>
            </w:r>
            <w:r w:rsidRPr="00364819">
              <w:rPr>
                <w:smallCaps/>
                <w:sz w:val="20"/>
                <w:lang w:val="fr-CA"/>
              </w:rPr>
              <w:t>traduction</w:t>
            </w:r>
            <w:r w:rsidRPr="00364819">
              <w:rPr>
                <w:sz w:val="20"/>
                <w:lang w:val="fr-CA"/>
              </w:rPr>
              <w:t>] « préjudiciable à l’intégrité du système judiciaire ». La Cour a rejeté les demandes reconventionnelles des défendeurs, à l’exception d’une demande relative à la violation du contrat et d’une obligation fiduciaire à l’encontre de leurs agents immobiliers. La Cour d’appel de la Colombie</w:t>
            </w:r>
            <w:r w:rsidRPr="00364819">
              <w:rPr>
                <w:sz w:val="20"/>
                <w:lang w:val="fr-CA"/>
              </w:rPr>
              <w:noBreakHyphen/>
              <w:t xml:space="preserve">Britannique a rejeté l’appel interjeté par les demandeurs et l’appel incident des défendeurs. </w:t>
            </w:r>
          </w:p>
        </w:tc>
      </w:tr>
      <w:tr w:rsidR="008615DC" w:rsidRPr="005A78BC" w:rsidTr="00136FEB">
        <w:tc>
          <w:tcPr>
            <w:tcW w:w="5000" w:type="pct"/>
            <w:gridSpan w:val="4"/>
          </w:tcPr>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10 mai 2019</w:t>
            </w:r>
          </w:p>
          <w:p w:rsidR="008615DC" w:rsidRPr="00364819" w:rsidRDefault="008615DC" w:rsidP="008615DC">
            <w:pPr>
              <w:jc w:val="both"/>
              <w:rPr>
                <w:sz w:val="20"/>
                <w:lang w:val="fr-CA"/>
              </w:rPr>
            </w:pPr>
            <w:r w:rsidRPr="00364819">
              <w:rPr>
                <w:sz w:val="20"/>
                <w:lang w:val="fr-CA"/>
              </w:rPr>
              <w:t>Cour suprême de la Colombie</w:t>
            </w:r>
            <w:r w:rsidRPr="00364819">
              <w:rPr>
                <w:sz w:val="20"/>
                <w:lang w:val="fr-CA"/>
              </w:rPr>
              <w:noBreakHyphen/>
              <w:t xml:space="preserve">Britannique </w:t>
            </w:r>
          </w:p>
          <w:p w:rsidR="008615DC" w:rsidRPr="00364819" w:rsidRDefault="008615DC" w:rsidP="008615DC">
            <w:pPr>
              <w:jc w:val="both"/>
              <w:rPr>
                <w:sz w:val="20"/>
              </w:rPr>
            </w:pPr>
            <w:r w:rsidRPr="00364819">
              <w:rPr>
                <w:sz w:val="20"/>
              </w:rPr>
              <w:t>(juge Mayer)</w:t>
            </w:r>
          </w:p>
          <w:p w:rsidR="008615DC" w:rsidRPr="00364819" w:rsidRDefault="005A78BC" w:rsidP="008615DC">
            <w:pPr>
              <w:jc w:val="both"/>
              <w:rPr>
                <w:sz w:val="20"/>
              </w:rPr>
            </w:pPr>
            <w:hyperlink r:id="rId34" w:history="1">
              <w:r w:rsidR="008615DC" w:rsidRPr="00364819">
                <w:rPr>
                  <w:rStyle w:val="Hyperlink"/>
                  <w:sz w:val="20"/>
                </w:rPr>
                <w:t>2019 BCSC 739</w:t>
              </w:r>
            </w:hyperlink>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lang w:val="fr-CA"/>
              </w:rPr>
            </w:pPr>
            <w:r w:rsidRPr="00364819">
              <w:rPr>
                <w:sz w:val="20"/>
                <w:lang w:val="fr-CA"/>
              </w:rPr>
              <w:t>Rejet de la demande des demandeurs visant l’exécution intégrale ou l’octroi de dommages</w:t>
            </w:r>
            <w:r w:rsidRPr="00364819">
              <w:rPr>
                <w:sz w:val="20"/>
                <w:lang w:val="fr-CA"/>
              </w:rPr>
              <w:noBreakHyphen/>
              <w:t xml:space="preserve">intérêts. Accueil de la demande des défendeurs en violation du contrat et de l’obligation fiduciaire contre certains défendeurs au moyen d’une </w:t>
            </w:r>
            <w:r w:rsidRPr="00364819">
              <w:rPr>
                <w:sz w:val="20"/>
                <w:lang w:val="fr-CA"/>
              </w:rPr>
              <w:lastRenderedPageBreak/>
              <w:t xml:space="preserve">demande reconventionnelle, rejet des autres demandes reconventionnelles. </w:t>
            </w: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lastRenderedPageBreak/>
              <w:t>8 mai 2020</w:t>
            </w:r>
          </w:p>
          <w:p w:rsidR="008615DC" w:rsidRPr="00364819" w:rsidRDefault="008615DC" w:rsidP="008615DC">
            <w:pPr>
              <w:jc w:val="both"/>
              <w:rPr>
                <w:sz w:val="20"/>
                <w:lang w:val="fr-CA"/>
              </w:rPr>
            </w:pPr>
            <w:r w:rsidRPr="00364819">
              <w:rPr>
                <w:sz w:val="20"/>
                <w:lang w:val="fr-CA"/>
              </w:rPr>
              <w:t>Cour suprême de la Colombie</w:t>
            </w:r>
            <w:r w:rsidRPr="00364819">
              <w:rPr>
                <w:sz w:val="20"/>
                <w:lang w:val="fr-CA"/>
              </w:rPr>
              <w:noBreakHyphen/>
              <w:t>Britannique</w:t>
            </w:r>
          </w:p>
          <w:p w:rsidR="008615DC" w:rsidRPr="00364819" w:rsidRDefault="008615DC" w:rsidP="008615DC">
            <w:pPr>
              <w:jc w:val="both"/>
              <w:rPr>
                <w:sz w:val="20"/>
                <w:lang w:val="fr-CA"/>
              </w:rPr>
            </w:pPr>
            <w:r w:rsidRPr="00364819">
              <w:rPr>
                <w:sz w:val="20"/>
                <w:lang w:val="fr-CA"/>
              </w:rPr>
              <w:t>(Vancouver)</w:t>
            </w:r>
          </w:p>
          <w:p w:rsidR="008615DC" w:rsidRPr="00364819" w:rsidRDefault="008615DC" w:rsidP="008615DC">
            <w:pPr>
              <w:jc w:val="both"/>
              <w:rPr>
                <w:sz w:val="20"/>
                <w:lang w:val="fr-CA"/>
              </w:rPr>
            </w:pPr>
            <w:r w:rsidRPr="00364819">
              <w:rPr>
                <w:sz w:val="20"/>
                <w:lang w:val="fr-CA"/>
              </w:rPr>
              <w:t xml:space="preserve">(juge </w:t>
            </w:r>
            <w:proofErr w:type="spellStart"/>
            <w:r w:rsidRPr="00364819">
              <w:rPr>
                <w:sz w:val="20"/>
                <w:lang w:val="fr-CA"/>
              </w:rPr>
              <w:t>Groberman</w:t>
            </w:r>
            <w:proofErr w:type="spellEnd"/>
            <w:r w:rsidRPr="00364819">
              <w:rPr>
                <w:sz w:val="20"/>
                <w:lang w:val="fr-CA"/>
              </w:rPr>
              <w:t>, Dickson et Hunter)</w:t>
            </w:r>
          </w:p>
          <w:p w:rsidR="008615DC" w:rsidRPr="00364819" w:rsidRDefault="005A78BC" w:rsidP="008615DC">
            <w:pPr>
              <w:jc w:val="both"/>
              <w:rPr>
                <w:sz w:val="20"/>
              </w:rPr>
            </w:pPr>
            <w:hyperlink r:id="rId35" w:history="1">
              <w:r w:rsidR="008615DC" w:rsidRPr="00364819">
                <w:rPr>
                  <w:rStyle w:val="Hyperlink"/>
                  <w:sz w:val="20"/>
                </w:rPr>
                <w:t>2020 BCCA 130</w:t>
              </w:r>
            </w:hyperlink>
            <w:r w:rsidR="008615DC" w:rsidRPr="00364819">
              <w:rPr>
                <w:sz w:val="20"/>
              </w:rPr>
              <w:t>; CA46116 et CA46140</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lang w:val="fr-CA"/>
              </w:rPr>
            </w:pPr>
            <w:r w:rsidRPr="00364819">
              <w:rPr>
                <w:sz w:val="20"/>
                <w:lang w:val="fr-CA"/>
              </w:rPr>
              <w:t>Rejet de l’appel et de l’appel incident.</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7 juillet 2020</w:t>
            </w:r>
          </w:p>
          <w:p w:rsidR="008615DC" w:rsidRPr="00364819" w:rsidRDefault="008615DC" w:rsidP="008615DC">
            <w:pPr>
              <w:jc w:val="both"/>
              <w:rPr>
                <w:sz w:val="20"/>
                <w:lang w:val="fr-CA"/>
              </w:rPr>
            </w:pPr>
            <w:r w:rsidRPr="00364819">
              <w:rPr>
                <w:sz w:val="20"/>
                <w:lang w:val="fr-CA"/>
              </w:rPr>
              <w:t>Cour suprême du Canada</w:t>
            </w:r>
          </w:p>
          <w:p w:rsidR="008615DC" w:rsidRPr="00364819" w:rsidRDefault="008615DC" w:rsidP="008615DC">
            <w:pPr>
              <w:jc w:val="both"/>
              <w:rPr>
                <w:sz w:val="20"/>
                <w:lang w:val="fr-CA"/>
              </w:rPr>
            </w:pPr>
          </w:p>
        </w:tc>
        <w:tc>
          <w:tcPr>
            <w:tcW w:w="243" w:type="pct"/>
          </w:tcPr>
          <w:p w:rsidR="008615DC" w:rsidRPr="00364819" w:rsidRDefault="008615DC" w:rsidP="008615DC">
            <w:pPr>
              <w:tabs>
                <w:tab w:val="left" w:pos="428"/>
              </w:tabs>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Dépôt de la demande d’autorisation d’appel.</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18 septembre 2020</w:t>
            </w:r>
          </w:p>
          <w:p w:rsidR="008615DC" w:rsidRPr="00364819" w:rsidRDefault="008615DC" w:rsidP="008615DC">
            <w:pPr>
              <w:jc w:val="both"/>
              <w:rPr>
                <w:sz w:val="20"/>
                <w:lang w:val="fr-CA"/>
              </w:rPr>
            </w:pPr>
            <w:r w:rsidRPr="00364819">
              <w:rPr>
                <w:sz w:val="20"/>
                <w:lang w:val="fr-CA"/>
              </w:rPr>
              <w:t>Cour suprême du Canada</w:t>
            </w: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Dépôt de la demande conditionnelle d’autorisation d’appel incident.</w:t>
            </w:r>
          </w:p>
        </w:tc>
      </w:tr>
    </w:tbl>
    <w:p w:rsidR="008615DC" w:rsidRPr="00364819" w:rsidRDefault="008615DC" w:rsidP="008615DC">
      <w:pPr>
        <w:jc w:val="both"/>
        <w:rPr>
          <w:sz w:val="20"/>
          <w:lang w:val="fr-CA"/>
        </w:rPr>
      </w:pPr>
    </w:p>
    <w:p w:rsidR="009011A5" w:rsidRPr="00364819" w:rsidRDefault="005A78BC" w:rsidP="008615DC">
      <w:pPr>
        <w:widowControl w:val="0"/>
        <w:jc w:val="both"/>
        <w:rPr>
          <w:sz w:val="20"/>
          <w:lang w:val="fr-CA"/>
        </w:rPr>
      </w:pPr>
      <w:r>
        <w:rPr>
          <w:sz w:val="20"/>
        </w:rPr>
        <w:pict>
          <v:rect id="_x0000_i1034" style="width:2in;height:1pt" o:hrpct="0" o:hralign="center" o:hrstd="t" o:hrnoshade="t" o:hr="t" fillcolor="black [3213]" stroked="f"/>
        </w:pict>
      </w:r>
    </w:p>
    <w:p w:rsidR="00364819" w:rsidRPr="00364819" w:rsidRDefault="00364819" w:rsidP="008615DC">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7"/>
        <w:gridCol w:w="8263"/>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39319</w:t>
            </w:r>
          </w:p>
        </w:tc>
        <w:tc>
          <w:tcPr>
            <w:tcW w:w="4457" w:type="pct"/>
          </w:tcPr>
          <w:p w:rsidR="008615DC" w:rsidRPr="00364819" w:rsidRDefault="008615DC" w:rsidP="008615DC">
            <w:pPr>
              <w:pStyle w:val="SCCLsocParty"/>
              <w:jc w:val="both"/>
              <w:rPr>
                <w:b/>
                <w:sz w:val="20"/>
                <w:szCs w:val="20"/>
                <w:lang w:val="en-US"/>
              </w:rPr>
            </w:pPr>
            <w:r w:rsidRPr="00364819">
              <w:rPr>
                <w:b/>
                <w:sz w:val="20"/>
                <w:szCs w:val="20"/>
                <w:lang w:val="en-US"/>
              </w:rPr>
              <w:t>Jeremy Newborn v. Her Majesty the Queen</w:t>
            </w:r>
          </w:p>
          <w:p w:rsidR="008615DC" w:rsidRPr="00364819" w:rsidRDefault="008615DC" w:rsidP="008615DC">
            <w:pPr>
              <w:jc w:val="both"/>
              <w:rPr>
                <w:sz w:val="20"/>
              </w:rPr>
            </w:pPr>
            <w:r w:rsidRPr="00364819">
              <w:rPr>
                <w:sz w:val="20"/>
              </w:rPr>
              <w:t>(Alta.) (Criminal) (By Leave)</w:t>
            </w:r>
          </w:p>
        </w:tc>
      </w:tr>
      <w:tr w:rsidR="008615DC" w:rsidRPr="00364819" w:rsidTr="00136FEB">
        <w:tc>
          <w:tcPr>
            <w:tcW w:w="5000" w:type="pct"/>
            <w:gridSpan w:val="2"/>
          </w:tcPr>
          <w:p w:rsidR="008615DC" w:rsidRPr="00364819" w:rsidRDefault="008615DC" w:rsidP="008615DC">
            <w:pPr>
              <w:jc w:val="both"/>
              <w:rPr>
                <w:sz w:val="20"/>
              </w:rPr>
            </w:pPr>
            <w:r w:rsidRPr="00364819">
              <w:rPr>
                <w:i/>
                <w:sz w:val="20"/>
              </w:rPr>
              <w:t>Charter of Rights</w:t>
            </w:r>
            <w:r w:rsidRPr="00364819">
              <w:rPr>
                <w:sz w:val="20"/>
              </w:rPr>
              <w:t xml:space="preserve"> — Criminal law — Cruel and unusual treatment or punishment — Right to fair hearing — Right to trial by jury — Whether the mandatory minimum life sentence for second degree murder establishes a punishment that is grossly disproportionate when considered in the context of the individual circumstances of the applicant and therefore infringes s. 12 of the </w:t>
            </w:r>
            <w:r w:rsidRPr="00364819">
              <w:rPr>
                <w:i/>
                <w:sz w:val="20"/>
              </w:rPr>
              <w:t>Charter</w:t>
            </w:r>
            <w:r w:rsidRPr="00364819">
              <w:rPr>
                <w:sz w:val="20"/>
              </w:rPr>
              <w:t xml:space="preserve"> — Whether s. 4(h) of the </w:t>
            </w:r>
            <w:r w:rsidRPr="00364819">
              <w:rPr>
                <w:i/>
                <w:sz w:val="20"/>
              </w:rPr>
              <w:t>Alberta Jury Act</w:t>
            </w:r>
            <w:r w:rsidRPr="00364819">
              <w:rPr>
                <w:sz w:val="20"/>
              </w:rPr>
              <w:t xml:space="preserve"> is unconstitutional as it systemically excludes indigenous people from juries — ss. 11(d), 11(f), 12 of the </w:t>
            </w:r>
            <w:r w:rsidRPr="00364819">
              <w:rPr>
                <w:i/>
                <w:sz w:val="20"/>
              </w:rPr>
              <w:t>Charter of Rights and Freedoms</w:t>
            </w:r>
            <w:r w:rsidRPr="00364819">
              <w:rPr>
                <w:sz w:val="20"/>
              </w:rPr>
              <w:t>.</w:t>
            </w:r>
          </w:p>
          <w:p w:rsidR="008615DC" w:rsidRPr="00364819" w:rsidRDefault="008615DC" w:rsidP="008615DC">
            <w:pPr>
              <w:jc w:val="both"/>
              <w:rPr>
                <w:sz w:val="20"/>
              </w:rPr>
            </w:pPr>
          </w:p>
        </w:tc>
      </w:tr>
      <w:tr w:rsidR="008615DC" w:rsidRPr="00364819" w:rsidTr="00136FEB">
        <w:tc>
          <w:tcPr>
            <w:tcW w:w="5000" w:type="pct"/>
            <w:gridSpan w:val="2"/>
          </w:tcPr>
          <w:p w:rsidR="008615DC" w:rsidRPr="00364819" w:rsidRDefault="008615DC" w:rsidP="00364819">
            <w:pPr>
              <w:jc w:val="both"/>
              <w:rPr>
                <w:sz w:val="20"/>
              </w:rPr>
            </w:pPr>
            <w:r w:rsidRPr="00364819">
              <w:rPr>
                <w:sz w:val="20"/>
                <w:lang w:val="en"/>
              </w:rPr>
              <w:t xml:space="preserve">Mr. Newborn attacked Mr. Hollar on a Light Rail Transit train. Mr. Hollar was placed on life support, and died two days later. The attack appeared to be unprovoked. </w:t>
            </w:r>
            <w:r w:rsidRPr="00364819">
              <w:rPr>
                <w:sz w:val="20"/>
              </w:rPr>
              <w:t xml:space="preserve">Mr. Newborn, an Indigenous person, </w:t>
            </w:r>
            <w:r w:rsidRPr="00364819">
              <w:rPr>
                <w:sz w:val="20"/>
                <w:lang w:val="en"/>
              </w:rPr>
              <w:t xml:space="preserve">challenged the jury selection process, arguing that his rights under s. 11 (d) and (f) of the </w:t>
            </w:r>
            <w:r w:rsidRPr="00364819">
              <w:rPr>
                <w:i/>
                <w:sz w:val="20"/>
                <w:lang w:val="en"/>
              </w:rPr>
              <w:t>Charter</w:t>
            </w:r>
            <w:r w:rsidRPr="00364819">
              <w:rPr>
                <w:sz w:val="20"/>
                <w:lang w:val="en"/>
              </w:rPr>
              <w:t xml:space="preserve"> had been violated. Mr. Newborn also argued that the exclusion from jury eligibility (under s. 4 of the </w:t>
            </w:r>
            <w:r w:rsidRPr="00364819">
              <w:rPr>
                <w:i/>
                <w:sz w:val="20"/>
                <w:lang w:val="en"/>
              </w:rPr>
              <w:t>Jury Act</w:t>
            </w:r>
            <w:r w:rsidRPr="00364819">
              <w:rPr>
                <w:sz w:val="20"/>
                <w:lang w:val="en"/>
              </w:rPr>
              <w:t>, RSA, 2000, c.J</w:t>
            </w:r>
            <w:r w:rsidRPr="00364819">
              <w:rPr>
                <w:sz w:val="20"/>
                <w:lang w:val="en"/>
              </w:rPr>
              <w:noBreakHyphen/>
              <w:t xml:space="preserve">3) of persons who have been convicted of a criminal offence was unconstitutional, because it disproportionately excluded aboriginal persons. The trial judge </w:t>
            </w:r>
            <w:r w:rsidRPr="00364819">
              <w:rPr>
                <w:color w:val="000000"/>
                <w:sz w:val="20"/>
              </w:rPr>
              <w:t>upheld the constitutionality of s. 4(h</w:t>
            </w:r>
            <w:proofErr w:type="gramStart"/>
            <w:r w:rsidRPr="00364819">
              <w:rPr>
                <w:color w:val="000000"/>
                <w:sz w:val="20"/>
              </w:rPr>
              <w:t>)(</w:t>
            </w:r>
            <w:proofErr w:type="spellStart"/>
            <w:proofErr w:type="gramEnd"/>
            <w:r w:rsidRPr="00364819">
              <w:rPr>
                <w:color w:val="000000"/>
                <w:sz w:val="20"/>
              </w:rPr>
              <w:t>i</w:t>
            </w:r>
            <w:proofErr w:type="spellEnd"/>
            <w:r w:rsidRPr="00364819">
              <w:rPr>
                <w:color w:val="000000"/>
                <w:sz w:val="20"/>
              </w:rPr>
              <w:t xml:space="preserve">) of the </w:t>
            </w:r>
            <w:r w:rsidRPr="00364819">
              <w:rPr>
                <w:i/>
                <w:color w:val="000000"/>
                <w:sz w:val="20"/>
              </w:rPr>
              <w:t>Jury Act</w:t>
            </w:r>
            <w:r w:rsidRPr="00364819">
              <w:rPr>
                <w:color w:val="000000"/>
                <w:sz w:val="20"/>
              </w:rPr>
              <w:t xml:space="preserve">. </w:t>
            </w:r>
            <w:r w:rsidRPr="00364819">
              <w:rPr>
                <w:sz w:val="20"/>
                <w:lang w:val="en"/>
              </w:rPr>
              <w:t xml:space="preserve">Mr. Newborn was convicted of second degree murder. The sentencing judge held that the mandatory minimum sentence for second degree murder did not violate Mr. Newborn’s s. 12 </w:t>
            </w:r>
            <w:r w:rsidRPr="00364819">
              <w:rPr>
                <w:i/>
                <w:iCs/>
                <w:sz w:val="20"/>
                <w:lang w:val="en"/>
              </w:rPr>
              <w:t xml:space="preserve">Charter </w:t>
            </w:r>
            <w:r w:rsidRPr="00364819">
              <w:rPr>
                <w:sz w:val="20"/>
                <w:lang w:val="en"/>
              </w:rPr>
              <w:t xml:space="preserve">rights. Mr. Newborn was sentenced to life imprisonment, setting parole ineligibility at 15 years. Mr. Newborn’s appeal regarding the constitutionality of the </w:t>
            </w:r>
            <w:r w:rsidRPr="00364819">
              <w:rPr>
                <w:i/>
                <w:sz w:val="20"/>
                <w:lang w:val="en"/>
              </w:rPr>
              <w:t>Jury Act</w:t>
            </w:r>
            <w:r w:rsidRPr="00364819">
              <w:rPr>
                <w:sz w:val="20"/>
                <w:lang w:val="en"/>
              </w:rPr>
              <w:t xml:space="preserve"> was dismissed. The constitutional challenge to the provisions of the </w:t>
            </w:r>
            <w:r w:rsidRPr="00364819">
              <w:rPr>
                <w:i/>
                <w:sz w:val="20"/>
                <w:lang w:val="en"/>
              </w:rPr>
              <w:t>Criminal Code</w:t>
            </w:r>
            <w:r w:rsidRPr="00364819">
              <w:rPr>
                <w:sz w:val="20"/>
                <w:lang w:val="en"/>
              </w:rPr>
              <w:t xml:space="preserve"> regarding the mandatory minimum sentence for second degree murder was denied. The mandatory minimum sentence for second degree murder did not violate Mr. Newborn’s s. 12 </w:t>
            </w:r>
            <w:r w:rsidRPr="00364819">
              <w:rPr>
                <w:i/>
                <w:iCs/>
                <w:sz w:val="20"/>
                <w:lang w:val="en"/>
              </w:rPr>
              <w:t xml:space="preserve">Charter </w:t>
            </w:r>
            <w:r w:rsidRPr="00364819">
              <w:rPr>
                <w:sz w:val="20"/>
                <w:lang w:val="en"/>
              </w:rPr>
              <w:t>rights. Mr. Newborn’s appeal of his period of parole ineligibility was also dismissed. The Court of Appeal dismissed the conviction, and sentence appeals.</w:t>
            </w:r>
          </w:p>
        </w:tc>
      </w:tr>
      <w:tr w:rsidR="008615DC" w:rsidRPr="00364819" w:rsidTr="00136FEB">
        <w:tc>
          <w:tcPr>
            <w:tcW w:w="5000" w:type="pct"/>
            <w:gridSpan w:val="2"/>
          </w:tcPr>
          <w:p w:rsidR="008615DC" w:rsidRPr="00364819" w:rsidRDefault="008615DC" w:rsidP="008615DC">
            <w:pPr>
              <w:jc w:val="both"/>
              <w:rPr>
                <w:sz w:val="20"/>
              </w:rPr>
            </w:pPr>
          </w:p>
        </w:tc>
      </w:tr>
      <w:tr w:rsidR="008615DC" w:rsidRPr="00364819" w:rsidTr="00136FEB">
        <w:tc>
          <w:tcPr>
            <w:tcW w:w="5000" w:type="pct"/>
            <w:gridSpan w:val="2"/>
          </w:tcPr>
          <w:tbl>
            <w:tblPr>
              <w:tblW w:w="5000" w:type="pct"/>
              <w:tblLayout w:type="fixed"/>
              <w:tblCellMar>
                <w:left w:w="0" w:type="dxa"/>
                <w:right w:w="0" w:type="dxa"/>
              </w:tblCellMar>
              <w:tblLook w:val="04A0" w:firstRow="1" w:lastRow="0" w:firstColumn="1" w:lastColumn="0" w:noHBand="0" w:noVBand="1"/>
            </w:tblPr>
            <w:tblGrid>
              <w:gridCol w:w="4388"/>
              <w:gridCol w:w="495"/>
              <w:gridCol w:w="4387"/>
            </w:tblGrid>
            <w:tr w:rsidR="008615DC" w:rsidRPr="00364819" w:rsidTr="00136FEB">
              <w:tc>
                <w:tcPr>
                  <w:tcW w:w="2367" w:type="pct"/>
                </w:tcPr>
                <w:p w:rsidR="008615DC" w:rsidRPr="00364819" w:rsidRDefault="008615DC" w:rsidP="008615DC">
                  <w:pPr>
                    <w:jc w:val="both"/>
                    <w:rPr>
                      <w:sz w:val="20"/>
                    </w:rPr>
                  </w:pPr>
                  <w:r w:rsidRPr="00364819">
                    <w:rPr>
                      <w:sz w:val="20"/>
                    </w:rPr>
                    <w:t>May 6, 2016</w:t>
                  </w:r>
                </w:p>
                <w:p w:rsidR="008615DC" w:rsidRPr="00364819" w:rsidRDefault="008615DC" w:rsidP="008615DC">
                  <w:pPr>
                    <w:jc w:val="both"/>
                    <w:rPr>
                      <w:sz w:val="20"/>
                    </w:rPr>
                  </w:pPr>
                  <w:r w:rsidRPr="00364819">
                    <w:rPr>
                      <w:sz w:val="20"/>
                    </w:rPr>
                    <w:t>Court of Queen’s Bench of Alberta</w:t>
                  </w:r>
                </w:p>
                <w:p w:rsidR="008615DC" w:rsidRPr="00364819" w:rsidRDefault="008615DC" w:rsidP="008615DC">
                  <w:pPr>
                    <w:jc w:val="both"/>
                    <w:rPr>
                      <w:sz w:val="20"/>
                    </w:rPr>
                  </w:pPr>
                  <w:r w:rsidRPr="00364819">
                    <w:rPr>
                      <w:sz w:val="20"/>
                    </w:rPr>
                    <w:t>(Burrows J.)</w:t>
                  </w:r>
                </w:p>
                <w:p w:rsidR="008615DC" w:rsidRPr="00364819" w:rsidRDefault="005A78BC" w:rsidP="008615DC">
                  <w:pPr>
                    <w:jc w:val="both"/>
                    <w:rPr>
                      <w:sz w:val="20"/>
                    </w:rPr>
                  </w:pPr>
                  <w:hyperlink r:id="rId36" w:history="1">
                    <w:r w:rsidR="008615DC" w:rsidRPr="00364819">
                      <w:rPr>
                        <w:rStyle w:val="Hyperlink"/>
                        <w:sz w:val="20"/>
                      </w:rPr>
                      <w:t>2016 ABQB 13</w:t>
                    </w:r>
                  </w:hyperlink>
                </w:p>
                <w:p w:rsidR="008615DC" w:rsidRPr="00364819" w:rsidRDefault="008615DC" w:rsidP="008615DC">
                  <w:pPr>
                    <w:jc w:val="both"/>
                    <w:rPr>
                      <w:sz w:val="20"/>
                    </w:rPr>
                  </w:pPr>
                </w:p>
              </w:tc>
              <w:tc>
                <w:tcPr>
                  <w:tcW w:w="267" w:type="pct"/>
                </w:tcPr>
                <w:p w:rsidR="008615DC" w:rsidRPr="00364819" w:rsidRDefault="008615DC" w:rsidP="008615DC">
                  <w:pPr>
                    <w:jc w:val="both"/>
                    <w:rPr>
                      <w:sz w:val="20"/>
                    </w:rPr>
                  </w:pPr>
                </w:p>
              </w:tc>
              <w:tc>
                <w:tcPr>
                  <w:tcW w:w="2366" w:type="pct"/>
                </w:tcPr>
                <w:p w:rsidR="008615DC" w:rsidRPr="00364819" w:rsidRDefault="008615DC" w:rsidP="008615DC">
                  <w:pPr>
                    <w:jc w:val="both"/>
                    <w:rPr>
                      <w:sz w:val="20"/>
                    </w:rPr>
                  </w:pPr>
                  <w:r w:rsidRPr="00364819">
                    <w:rPr>
                      <w:sz w:val="20"/>
                    </w:rPr>
                    <w:t>Conviction entered: second degree murder</w:t>
                  </w:r>
                </w:p>
                <w:p w:rsidR="008615DC" w:rsidRPr="00364819" w:rsidRDefault="008615DC" w:rsidP="008615DC">
                  <w:pPr>
                    <w:jc w:val="both"/>
                    <w:rPr>
                      <w:sz w:val="20"/>
                    </w:rPr>
                  </w:pPr>
                </w:p>
              </w:tc>
            </w:tr>
            <w:tr w:rsidR="008615DC" w:rsidRPr="00364819" w:rsidTr="00136FEB">
              <w:tc>
                <w:tcPr>
                  <w:tcW w:w="2367" w:type="pct"/>
                </w:tcPr>
                <w:p w:rsidR="008615DC" w:rsidRPr="00364819" w:rsidRDefault="008615DC" w:rsidP="008615DC">
                  <w:pPr>
                    <w:jc w:val="both"/>
                    <w:rPr>
                      <w:sz w:val="20"/>
                    </w:rPr>
                  </w:pPr>
                  <w:r w:rsidRPr="00364819">
                    <w:rPr>
                      <w:sz w:val="20"/>
                    </w:rPr>
                    <w:t>January 19, 2018</w:t>
                  </w:r>
                </w:p>
                <w:p w:rsidR="008615DC" w:rsidRPr="00364819" w:rsidRDefault="008615DC" w:rsidP="008615DC">
                  <w:pPr>
                    <w:jc w:val="both"/>
                    <w:rPr>
                      <w:sz w:val="20"/>
                    </w:rPr>
                  </w:pPr>
                  <w:r w:rsidRPr="00364819">
                    <w:rPr>
                      <w:sz w:val="20"/>
                    </w:rPr>
                    <w:t>Court of Queen’s Bench of Alberta</w:t>
                  </w:r>
                </w:p>
                <w:p w:rsidR="008615DC" w:rsidRPr="00364819" w:rsidRDefault="008615DC" w:rsidP="008615DC">
                  <w:pPr>
                    <w:jc w:val="both"/>
                    <w:rPr>
                      <w:sz w:val="20"/>
                    </w:rPr>
                  </w:pPr>
                  <w:r w:rsidRPr="00364819">
                    <w:rPr>
                      <w:sz w:val="20"/>
                    </w:rPr>
                    <w:t>(Burrows J.)</w:t>
                  </w:r>
                </w:p>
                <w:p w:rsidR="008615DC" w:rsidRPr="00364819" w:rsidRDefault="005A78BC" w:rsidP="008615DC">
                  <w:pPr>
                    <w:jc w:val="both"/>
                    <w:rPr>
                      <w:sz w:val="20"/>
                    </w:rPr>
                  </w:pPr>
                  <w:hyperlink r:id="rId37" w:history="1">
                    <w:r w:rsidR="008615DC" w:rsidRPr="00364819">
                      <w:rPr>
                        <w:rStyle w:val="Hyperlink"/>
                        <w:sz w:val="20"/>
                      </w:rPr>
                      <w:t>2018 ABQB 47</w:t>
                    </w:r>
                  </w:hyperlink>
                </w:p>
                <w:p w:rsidR="008615DC" w:rsidRPr="00364819" w:rsidRDefault="008615DC" w:rsidP="008615DC">
                  <w:pPr>
                    <w:jc w:val="both"/>
                    <w:rPr>
                      <w:sz w:val="20"/>
                    </w:rPr>
                  </w:pPr>
                </w:p>
              </w:tc>
              <w:tc>
                <w:tcPr>
                  <w:tcW w:w="267" w:type="pct"/>
                </w:tcPr>
                <w:p w:rsidR="008615DC" w:rsidRPr="00364819" w:rsidRDefault="008615DC" w:rsidP="008615DC">
                  <w:pPr>
                    <w:jc w:val="both"/>
                    <w:rPr>
                      <w:sz w:val="20"/>
                    </w:rPr>
                  </w:pPr>
                </w:p>
              </w:tc>
              <w:tc>
                <w:tcPr>
                  <w:tcW w:w="2366" w:type="pct"/>
                </w:tcPr>
                <w:p w:rsidR="008615DC" w:rsidRPr="00364819" w:rsidRDefault="008615DC" w:rsidP="008615DC">
                  <w:pPr>
                    <w:jc w:val="both"/>
                    <w:rPr>
                      <w:sz w:val="20"/>
                    </w:rPr>
                  </w:pPr>
                  <w:r w:rsidRPr="00364819">
                    <w:rPr>
                      <w:sz w:val="20"/>
                    </w:rPr>
                    <w:t>Sentence imposed: life imprisonment</w:t>
                  </w:r>
                </w:p>
                <w:p w:rsidR="008615DC" w:rsidRPr="00364819" w:rsidRDefault="008615DC" w:rsidP="008615DC">
                  <w:pPr>
                    <w:jc w:val="both"/>
                    <w:rPr>
                      <w:sz w:val="20"/>
                    </w:rPr>
                  </w:pPr>
                </w:p>
              </w:tc>
            </w:tr>
            <w:tr w:rsidR="008615DC" w:rsidRPr="00364819" w:rsidTr="00136FEB">
              <w:tc>
                <w:tcPr>
                  <w:tcW w:w="2367" w:type="pct"/>
                </w:tcPr>
                <w:p w:rsidR="008615DC" w:rsidRPr="00364819" w:rsidRDefault="008615DC" w:rsidP="008615DC">
                  <w:pPr>
                    <w:jc w:val="both"/>
                    <w:rPr>
                      <w:sz w:val="20"/>
                    </w:rPr>
                  </w:pPr>
                  <w:r w:rsidRPr="00364819">
                    <w:rPr>
                      <w:sz w:val="20"/>
                    </w:rPr>
                    <w:t>April 5, 2019</w:t>
                  </w:r>
                </w:p>
                <w:p w:rsidR="008615DC" w:rsidRPr="00364819" w:rsidRDefault="008615DC" w:rsidP="008615DC">
                  <w:pPr>
                    <w:jc w:val="both"/>
                    <w:rPr>
                      <w:sz w:val="20"/>
                    </w:rPr>
                  </w:pPr>
                  <w:r w:rsidRPr="00364819">
                    <w:rPr>
                      <w:sz w:val="20"/>
                    </w:rPr>
                    <w:t>Court of Appeal of Alberta (Edmonton)</w:t>
                  </w:r>
                </w:p>
                <w:p w:rsidR="008615DC" w:rsidRPr="00364819" w:rsidRDefault="008615DC" w:rsidP="008615DC">
                  <w:pPr>
                    <w:jc w:val="both"/>
                    <w:rPr>
                      <w:sz w:val="20"/>
                    </w:rPr>
                  </w:pPr>
                  <w:r w:rsidRPr="00364819">
                    <w:rPr>
                      <w:sz w:val="20"/>
                    </w:rPr>
                    <w:t>(Slatter, Veldhuis, Khullar JJ.A.)</w:t>
                  </w:r>
                </w:p>
                <w:p w:rsidR="008615DC" w:rsidRPr="00364819" w:rsidRDefault="005A78BC" w:rsidP="008615DC">
                  <w:pPr>
                    <w:jc w:val="both"/>
                    <w:rPr>
                      <w:sz w:val="20"/>
                    </w:rPr>
                  </w:pPr>
                  <w:hyperlink r:id="rId38" w:history="1">
                    <w:r w:rsidR="008615DC" w:rsidRPr="00364819">
                      <w:rPr>
                        <w:rStyle w:val="Hyperlink"/>
                        <w:sz w:val="20"/>
                      </w:rPr>
                      <w:t>2019 ABCA 123</w:t>
                    </w:r>
                  </w:hyperlink>
                  <w:r w:rsidR="008615DC" w:rsidRPr="00364819">
                    <w:rPr>
                      <w:sz w:val="20"/>
                    </w:rPr>
                    <w:t>; 1603</w:t>
                  </w:r>
                  <w:r w:rsidR="008615DC" w:rsidRPr="00364819">
                    <w:rPr>
                      <w:sz w:val="20"/>
                    </w:rPr>
                    <w:noBreakHyphen/>
                    <w:t>0145</w:t>
                  </w:r>
                  <w:r w:rsidR="008615DC" w:rsidRPr="00364819">
                    <w:rPr>
                      <w:sz w:val="20"/>
                    </w:rPr>
                    <w:noBreakHyphen/>
                    <w:t xml:space="preserve">A </w:t>
                  </w:r>
                </w:p>
                <w:p w:rsidR="008615DC" w:rsidRPr="00364819" w:rsidRDefault="008615DC" w:rsidP="008615DC">
                  <w:pPr>
                    <w:jc w:val="both"/>
                    <w:rPr>
                      <w:sz w:val="20"/>
                    </w:rPr>
                  </w:pPr>
                </w:p>
                <w:p w:rsidR="008615DC" w:rsidRPr="00364819" w:rsidRDefault="008615DC" w:rsidP="008615DC">
                  <w:pPr>
                    <w:jc w:val="both"/>
                    <w:rPr>
                      <w:sz w:val="20"/>
                    </w:rPr>
                  </w:pPr>
                </w:p>
              </w:tc>
              <w:tc>
                <w:tcPr>
                  <w:tcW w:w="267" w:type="pct"/>
                </w:tcPr>
                <w:p w:rsidR="008615DC" w:rsidRPr="00364819" w:rsidRDefault="008615DC" w:rsidP="008615DC">
                  <w:pPr>
                    <w:jc w:val="both"/>
                    <w:rPr>
                      <w:sz w:val="20"/>
                    </w:rPr>
                  </w:pPr>
                </w:p>
              </w:tc>
              <w:tc>
                <w:tcPr>
                  <w:tcW w:w="2366" w:type="pct"/>
                </w:tcPr>
                <w:p w:rsidR="008615DC" w:rsidRPr="00364819" w:rsidRDefault="008615DC" w:rsidP="008615DC">
                  <w:pPr>
                    <w:jc w:val="both"/>
                    <w:rPr>
                      <w:sz w:val="20"/>
                    </w:rPr>
                  </w:pPr>
                  <w:r w:rsidRPr="00364819">
                    <w:rPr>
                      <w:sz w:val="20"/>
                    </w:rPr>
                    <w:t>Conviction appeal dismissed</w:t>
                  </w:r>
                </w:p>
                <w:p w:rsidR="008615DC" w:rsidRPr="00364819" w:rsidRDefault="008615DC" w:rsidP="008615DC">
                  <w:pPr>
                    <w:jc w:val="both"/>
                    <w:rPr>
                      <w:sz w:val="20"/>
                    </w:rPr>
                  </w:pPr>
                </w:p>
              </w:tc>
            </w:tr>
            <w:tr w:rsidR="008615DC" w:rsidRPr="00364819" w:rsidTr="00136FEB">
              <w:tc>
                <w:tcPr>
                  <w:tcW w:w="2367" w:type="pct"/>
                </w:tcPr>
                <w:p w:rsidR="008615DC" w:rsidRPr="00364819" w:rsidRDefault="008615DC" w:rsidP="008615DC">
                  <w:pPr>
                    <w:jc w:val="both"/>
                    <w:rPr>
                      <w:sz w:val="20"/>
                    </w:rPr>
                  </w:pPr>
                  <w:r w:rsidRPr="00364819">
                    <w:rPr>
                      <w:sz w:val="20"/>
                    </w:rPr>
                    <w:t>March 26, 2020</w:t>
                  </w:r>
                </w:p>
                <w:p w:rsidR="008615DC" w:rsidRPr="00364819" w:rsidRDefault="008615DC" w:rsidP="008615DC">
                  <w:pPr>
                    <w:jc w:val="both"/>
                    <w:rPr>
                      <w:sz w:val="20"/>
                    </w:rPr>
                  </w:pPr>
                  <w:r w:rsidRPr="00364819">
                    <w:rPr>
                      <w:sz w:val="20"/>
                    </w:rPr>
                    <w:t>Court of Appeal of Alberta (Edmonton)</w:t>
                  </w:r>
                </w:p>
                <w:p w:rsidR="008615DC" w:rsidRPr="00364819" w:rsidRDefault="008615DC" w:rsidP="008615DC">
                  <w:pPr>
                    <w:jc w:val="both"/>
                    <w:rPr>
                      <w:sz w:val="20"/>
                    </w:rPr>
                  </w:pPr>
                  <w:r w:rsidRPr="00364819">
                    <w:rPr>
                      <w:sz w:val="20"/>
                    </w:rPr>
                    <w:lastRenderedPageBreak/>
                    <w:t>(Martin, Watson, Hughes, Pentelechuck, Feehan JJ.A.)</w:t>
                  </w:r>
                </w:p>
                <w:p w:rsidR="008615DC" w:rsidRPr="00364819" w:rsidRDefault="005A78BC" w:rsidP="008615DC">
                  <w:pPr>
                    <w:jc w:val="both"/>
                    <w:rPr>
                      <w:sz w:val="20"/>
                    </w:rPr>
                  </w:pPr>
                  <w:hyperlink r:id="rId39" w:history="1">
                    <w:r w:rsidR="008615DC" w:rsidRPr="00364819">
                      <w:rPr>
                        <w:rStyle w:val="Hyperlink"/>
                        <w:sz w:val="20"/>
                      </w:rPr>
                      <w:t>2020 ABCA 120</w:t>
                    </w:r>
                  </w:hyperlink>
                  <w:r w:rsidR="008615DC" w:rsidRPr="00364819">
                    <w:rPr>
                      <w:sz w:val="20"/>
                    </w:rPr>
                    <w:t>; 1603</w:t>
                  </w:r>
                  <w:r w:rsidR="008615DC" w:rsidRPr="00364819">
                    <w:rPr>
                      <w:sz w:val="20"/>
                    </w:rPr>
                    <w:noBreakHyphen/>
                    <w:t>0145</w:t>
                  </w:r>
                  <w:r w:rsidR="008615DC" w:rsidRPr="00364819">
                    <w:rPr>
                      <w:sz w:val="20"/>
                    </w:rPr>
                    <w:noBreakHyphen/>
                    <w:t xml:space="preserve">A </w:t>
                  </w:r>
                </w:p>
                <w:p w:rsidR="008615DC" w:rsidRPr="00364819" w:rsidRDefault="008615DC" w:rsidP="008615DC">
                  <w:pPr>
                    <w:jc w:val="both"/>
                    <w:rPr>
                      <w:sz w:val="20"/>
                    </w:rPr>
                  </w:pPr>
                </w:p>
              </w:tc>
              <w:tc>
                <w:tcPr>
                  <w:tcW w:w="267" w:type="pct"/>
                </w:tcPr>
                <w:p w:rsidR="008615DC" w:rsidRPr="00364819" w:rsidRDefault="008615DC" w:rsidP="008615DC">
                  <w:pPr>
                    <w:jc w:val="both"/>
                    <w:rPr>
                      <w:sz w:val="20"/>
                    </w:rPr>
                  </w:pPr>
                </w:p>
              </w:tc>
              <w:tc>
                <w:tcPr>
                  <w:tcW w:w="2366" w:type="pct"/>
                </w:tcPr>
                <w:p w:rsidR="008615DC" w:rsidRPr="00364819" w:rsidRDefault="008615DC" w:rsidP="008615DC">
                  <w:pPr>
                    <w:jc w:val="both"/>
                    <w:rPr>
                      <w:sz w:val="20"/>
                    </w:rPr>
                  </w:pPr>
                  <w:r w:rsidRPr="00364819">
                    <w:rPr>
                      <w:sz w:val="20"/>
                    </w:rPr>
                    <w:t>Sentence appeal dismissed</w:t>
                  </w:r>
                </w:p>
                <w:p w:rsidR="008615DC" w:rsidRPr="00364819" w:rsidRDefault="008615DC" w:rsidP="008615DC">
                  <w:pPr>
                    <w:jc w:val="both"/>
                    <w:rPr>
                      <w:sz w:val="20"/>
                    </w:rPr>
                  </w:pPr>
                </w:p>
              </w:tc>
            </w:tr>
            <w:tr w:rsidR="008615DC" w:rsidRPr="00364819" w:rsidTr="00136FEB">
              <w:tc>
                <w:tcPr>
                  <w:tcW w:w="2367" w:type="pct"/>
                </w:tcPr>
                <w:p w:rsidR="008615DC" w:rsidRPr="00364819" w:rsidRDefault="008615DC" w:rsidP="008615DC">
                  <w:pPr>
                    <w:jc w:val="both"/>
                    <w:rPr>
                      <w:sz w:val="20"/>
                    </w:rPr>
                  </w:pPr>
                  <w:r w:rsidRPr="00364819">
                    <w:rPr>
                      <w:sz w:val="20"/>
                    </w:rPr>
                    <w:t>September 9, 2020</w:t>
                  </w:r>
                </w:p>
                <w:p w:rsidR="008615DC" w:rsidRPr="00364819" w:rsidRDefault="008615DC" w:rsidP="008615DC">
                  <w:pPr>
                    <w:jc w:val="both"/>
                    <w:rPr>
                      <w:sz w:val="20"/>
                    </w:rPr>
                  </w:pPr>
                  <w:r w:rsidRPr="00364819">
                    <w:rPr>
                      <w:sz w:val="20"/>
                    </w:rPr>
                    <w:t>Supreme Court of Canada</w:t>
                  </w:r>
                </w:p>
                <w:p w:rsidR="008615DC" w:rsidRPr="00364819" w:rsidRDefault="008615DC" w:rsidP="008615DC">
                  <w:pPr>
                    <w:jc w:val="both"/>
                    <w:rPr>
                      <w:sz w:val="20"/>
                    </w:rPr>
                  </w:pPr>
                </w:p>
              </w:tc>
              <w:tc>
                <w:tcPr>
                  <w:tcW w:w="267" w:type="pct"/>
                </w:tcPr>
                <w:p w:rsidR="008615DC" w:rsidRPr="00364819" w:rsidRDefault="008615DC" w:rsidP="008615DC">
                  <w:pPr>
                    <w:jc w:val="both"/>
                    <w:rPr>
                      <w:sz w:val="20"/>
                    </w:rPr>
                  </w:pPr>
                </w:p>
              </w:tc>
              <w:tc>
                <w:tcPr>
                  <w:tcW w:w="2366" w:type="pct"/>
                </w:tcPr>
                <w:p w:rsidR="008615DC" w:rsidRPr="00364819" w:rsidRDefault="008615DC" w:rsidP="008615DC">
                  <w:pPr>
                    <w:jc w:val="both"/>
                    <w:rPr>
                      <w:sz w:val="20"/>
                    </w:rPr>
                  </w:pPr>
                  <w:r w:rsidRPr="00364819">
                    <w:rPr>
                      <w:sz w:val="20"/>
                    </w:rPr>
                    <w:t>Motion for an extension of time to serve and file the application for leave to appeal, motion to join, and application for leave to appeal filed</w:t>
                  </w:r>
                </w:p>
              </w:tc>
            </w:tr>
          </w:tbl>
          <w:p w:rsidR="008615DC" w:rsidRPr="00364819" w:rsidRDefault="008615DC" w:rsidP="008615DC">
            <w:pPr>
              <w:jc w:val="both"/>
              <w:rPr>
                <w:sz w:val="20"/>
              </w:rPr>
            </w:pPr>
          </w:p>
        </w:tc>
      </w:tr>
    </w:tbl>
    <w:p w:rsidR="008615DC" w:rsidRPr="00364819" w:rsidRDefault="008615DC" w:rsidP="008615DC">
      <w:pPr>
        <w:jc w:val="both"/>
        <w:rPr>
          <w:sz w:val="20"/>
        </w:rPr>
      </w:pPr>
    </w:p>
    <w:p w:rsidR="00364819" w:rsidRPr="00364819" w:rsidRDefault="005A78BC" w:rsidP="008615DC">
      <w:pPr>
        <w:jc w:val="both"/>
        <w:rPr>
          <w:sz w:val="20"/>
        </w:rPr>
      </w:pPr>
      <w:r>
        <w:rPr>
          <w:sz w:val="20"/>
        </w:rPr>
        <w:pict>
          <v:rect id="_x0000_i1035" style="width:2in;height:1pt" o:hrpct="0" o:hralign="center" o:hrstd="t" o:hrnoshade="t" o:hr="t" fillcolor="black [3213]" stroked="f"/>
        </w:pict>
      </w:r>
    </w:p>
    <w:p w:rsidR="00364819" w:rsidRPr="00364819" w:rsidRDefault="00364819" w:rsidP="008615DC">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7"/>
        <w:gridCol w:w="8263"/>
      </w:tblGrid>
      <w:tr w:rsidR="008615DC" w:rsidRPr="00364819" w:rsidTr="00136FEB">
        <w:tc>
          <w:tcPr>
            <w:tcW w:w="543" w:type="pct"/>
          </w:tcPr>
          <w:p w:rsidR="008615DC" w:rsidRPr="00364819" w:rsidRDefault="008615DC" w:rsidP="008615DC">
            <w:pPr>
              <w:jc w:val="both"/>
              <w:rPr>
                <w:sz w:val="20"/>
                <w:lang w:val="fr-CA"/>
              </w:rPr>
            </w:pPr>
            <w:r w:rsidRPr="00364819">
              <w:rPr>
                <w:rStyle w:val="SCCFileNumberChar"/>
                <w:sz w:val="20"/>
                <w:szCs w:val="20"/>
                <w:lang w:val="fr-CA"/>
              </w:rPr>
              <w:t>39319</w:t>
            </w:r>
          </w:p>
        </w:tc>
        <w:tc>
          <w:tcPr>
            <w:tcW w:w="4457" w:type="pct"/>
          </w:tcPr>
          <w:p w:rsidR="008615DC" w:rsidRPr="00364819" w:rsidRDefault="008615DC" w:rsidP="008615DC">
            <w:pPr>
              <w:pStyle w:val="SCCLsocParty"/>
              <w:jc w:val="both"/>
              <w:rPr>
                <w:b/>
                <w:sz w:val="20"/>
                <w:szCs w:val="20"/>
              </w:rPr>
            </w:pPr>
            <w:r w:rsidRPr="00364819">
              <w:rPr>
                <w:b/>
                <w:sz w:val="20"/>
                <w:szCs w:val="20"/>
              </w:rPr>
              <w:t>Jeremy Newborn c. Sa Majesté la Reine</w:t>
            </w:r>
          </w:p>
          <w:p w:rsidR="008615DC" w:rsidRPr="00364819" w:rsidRDefault="008615DC" w:rsidP="008615DC">
            <w:pPr>
              <w:jc w:val="both"/>
              <w:rPr>
                <w:sz w:val="20"/>
                <w:lang w:val="fr-CA"/>
              </w:rPr>
            </w:pPr>
            <w:r w:rsidRPr="00364819">
              <w:rPr>
                <w:sz w:val="20"/>
                <w:lang w:val="fr-CA"/>
              </w:rPr>
              <w:t>(Alb.) (Criminelle) (Sur autorisation)</w:t>
            </w:r>
          </w:p>
        </w:tc>
      </w:tr>
      <w:tr w:rsidR="008615DC" w:rsidRPr="005A78BC" w:rsidTr="00136FEB">
        <w:tc>
          <w:tcPr>
            <w:tcW w:w="5000" w:type="pct"/>
            <w:gridSpan w:val="2"/>
          </w:tcPr>
          <w:p w:rsidR="008615DC" w:rsidRPr="00364819" w:rsidRDefault="008615DC" w:rsidP="008615DC">
            <w:pPr>
              <w:jc w:val="both"/>
              <w:rPr>
                <w:sz w:val="20"/>
                <w:lang w:val="fr-CA"/>
              </w:rPr>
            </w:pPr>
            <w:r w:rsidRPr="00364819">
              <w:rPr>
                <w:i/>
                <w:sz w:val="20"/>
                <w:lang w:val="fr-CA"/>
              </w:rPr>
              <w:t>Charte des droits</w:t>
            </w:r>
            <w:r w:rsidRPr="00364819">
              <w:rPr>
                <w:sz w:val="20"/>
                <w:lang w:val="fr-CA"/>
              </w:rPr>
              <w:t xml:space="preserve"> — Droit criminel — </w:t>
            </w:r>
            <w:r w:rsidRPr="00364819">
              <w:rPr>
                <w:iCs/>
                <w:sz w:val="20"/>
                <w:lang w:val="fr-CA"/>
              </w:rPr>
              <w:t>Traitements ou peines cruels et inusités</w:t>
            </w:r>
            <w:r w:rsidRPr="00364819">
              <w:rPr>
                <w:sz w:val="20"/>
                <w:lang w:val="fr-CA"/>
              </w:rPr>
              <w:t xml:space="preserve"> — Procès équitable — Droit à un procès avec jury — La peine minimale obligatoire d’emprisonnement à perpétuité prévue pour le meurtre au deuxième degré établit</w:t>
            </w:r>
            <w:r w:rsidRPr="00364819">
              <w:rPr>
                <w:sz w:val="20"/>
                <w:lang w:val="fr-CA"/>
              </w:rPr>
              <w:noBreakHyphen/>
              <w:t xml:space="preserve">elle une peine qui est exagérément disproportionnée lorsqu’elle est examinée dans le contexte de la situation particulière du demandeur, portant ainsi atteinte à l’art. 12 de la </w:t>
            </w:r>
            <w:r w:rsidRPr="00364819">
              <w:rPr>
                <w:i/>
                <w:sz w:val="20"/>
                <w:lang w:val="fr-CA"/>
              </w:rPr>
              <w:t>Charte </w:t>
            </w:r>
            <w:r w:rsidRPr="00364819">
              <w:rPr>
                <w:sz w:val="20"/>
                <w:lang w:val="fr-CA"/>
              </w:rPr>
              <w:t xml:space="preserve">? — L’al. 4(h) de la </w:t>
            </w:r>
            <w:r w:rsidRPr="00364819">
              <w:rPr>
                <w:i/>
                <w:sz w:val="20"/>
                <w:lang w:val="fr-CA"/>
              </w:rPr>
              <w:t>Alberta Jury Act</w:t>
            </w:r>
            <w:r w:rsidRPr="00364819">
              <w:rPr>
                <w:sz w:val="20"/>
                <w:lang w:val="fr-CA"/>
              </w:rPr>
              <w:t xml:space="preserve"> est</w:t>
            </w:r>
            <w:r w:rsidRPr="00364819">
              <w:rPr>
                <w:sz w:val="20"/>
                <w:lang w:val="fr-CA"/>
              </w:rPr>
              <w:noBreakHyphen/>
              <w:t xml:space="preserve">il inconstitutionnel puisqu’il a pour effet de systématiquement exclure les personnes autochtones des jurys ? — art. 11(d), 11(f), 12 de la </w:t>
            </w:r>
            <w:r w:rsidRPr="00364819">
              <w:rPr>
                <w:i/>
                <w:sz w:val="20"/>
                <w:lang w:val="fr-CA"/>
              </w:rPr>
              <w:t>Charte des droits et libertés</w:t>
            </w:r>
            <w:r w:rsidRPr="00364819">
              <w:rPr>
                <w:sz w:val="20"/>
                <w:lang w:val="fr-CA"/>
              </w:rPr>
              <w:t>.</w:t>
            </w:r>
          </w:p>
          <w:p w:rsidR="008615DC" w:rsidRPr="00364819" w:rsidRDefault="008615DC" w:rsidP="008615DC">
            <w:pPr>
              <w:jc w:val="both"/>
              <w:rPr>
                <w:sz w:val="20"/>
                <w:lang w:val="fr-CA"/>
              </w:rPr>
            </w:pPr>
          </w:p>
        </w:tc>
      </w:tr>
      <w:tr w:rsidR="008615DC" w:rsidRPr="005A78BC" w:rsidTr="00136FEB">
        <w:tc>
          <w:tcPr>
            <w:tcW w:w="5000" w:type="pct"/>
            <w:gridSpan w:val="2"/>
          </w:tcPr>
          <w:p w:rsidR="008615DC" w:rsidRPr="00364819" w:rsidRDefault="008615DC" w:rsidP="00364819">
            <w:pPr>
              <w:jc w:val="both"/>
              <w:rPr>
                <w:sz w:val="20"/>
                <w:lang w:val="fr-CA"/>
              </w:rPr>
            </w:pPr>
            <w:r w:rsidRPr="00364819">
              <w:rPr>
                <w:sz w:val="20"/>
                <w:lang w:val="fr-CA"/>
              </w:rPr>
              <w:t>M. Newborn a attaqué M. Hollar à bord un train léger sur rail. M. Hollar a reçu des soins de maintien des fonctions vitales, et est décédé deux jours plus tard. L’attaque semblait ne pas avoir été provoquée. M. Newborn, un Autochtone, a contesté le processus de sélection des membres du jury, soutenant qu’il y avait eu violation de ses droits prévus aux al. 11</w:t>
            </w:r>
            <w:r w:rsidRPr="00364819">
              <w:rPr>
                <w:i/>
                <w:sz w:val="20"/>
                <w:lang w:val="fr-CA"/>
              </w:rPr>
              <w:t>d</w:t>
            </w:r>
            <w:r w:rsidRPr="00364819">
              <w:rPr>
                <w:sz w:val="20"/>
                <w:lang w:val="fr-CA"/>
              </w:rPr>
              <w:t>) et 11</w:t>
            </w:r>
            <w:r w:rsidRPr="00364819">
              <w:rPr>
                <w:i/>
                <w:sz w:val="20"/>
                <w:lang w:val="fr-CA"/>
              </w:rPr>
              <w:t>f</w:t>
            </w:r>
            <w:r w:rsidRPr="00364819">
              <w:rPr>
                <w:sz w:val="20"/>
                <w:lang w:val="fr-CA"/>
              </w:rPr>
              <w:t xml:space="preserve">) de la </w:t>
            </w:r>
            <w:r w:rsidRPr="00364819">
              <w:rPr>
                <w:i/>
                <w:sz w:val="20"/>
                <w:lang w:val="fr-CA"/>
              </w:rPr>
              <w:t>Charte</w:t>
            </w:r>
            <w:r w:rsidRPr="00364819">
              <w:rPr>
                <w:sz w:val="20"/>
                <w:lang w:val="fr-CA"/>
              </w:rPr>
              <w:t xml:space="preserve">. M. Newborn a également soutenu que le fait d’exclure des personnes déclarées coupables d’une infraction criminelle à l’admissibilité en tant que membre d’un jury (en vertu de l’art. 4 de la </w:t>
            </w:r>
            <w:r w:rsidRPr="00364819">
              <w:rPr>
                <w:i/>
                <w:sz w:val="20"/>
                <w:lang w:val="fr-CA"/>
              </w:rPr>
              <w:t>Jury Act</w:t>
            </w:r>
            <w:r w:rsidRPr="00364819">
              <w:rPr>
                <w:sz w:val="20"/>
                <w:lang w:val="fr-CA"/>
              </w:rPr>
              <w:t>, RSA, 2000, c.J</w:t>
            </w:r>
            <w:r w:rsidRPr="00364819">
              <w:rPr>
                <w:sz w:val="20"/>
                <w:lang w:val="fr-CA"/>
              </w:rPr>
              <w:noBreakHyphen/>
              <w:t xml:space="preserve">3) était inconstitutionnel, au motif que les personnes autochtones y sont exclues de façon disproportionnée. Le juge de première instance a confirmé la </w:t>
            </w:r>
            <w:r w:rsidRPr="00364819">
              <w:rPr>
                <w:color w:val="000000"/>
                <w:sz w:val="20"/>
                <w:lang w:val="fr-CA"/>
              </w:rPr>
              <w:t>constitutionnalité du sous</w:t>
            </w:r>
            <w:r w:rsidRPr="00364819">
              <w:rPr>
                <w:color w:val="000000"/>
                <w:sz w:val="20"/>
                <w:lang w:val="fr-CA"/>
              </w:rPr>
              <w:noBreakHyphen/>
              <w:t>al. 4(h</w:t>
            </w:r>
            <w:proofErr w:type="gramStart"/>
            <w:r w:rsidRPr="00364819">
              <w:rPr>
                <w:color w:val="000000"/>
                <w:sz w:val="20"/>
                <w:lang w:val="fr-CA"/>
              </w:rPr>
              <w:t>)(</w:t>
            </w:r>
            <w:proofErr w:type="gramEnd"/>
            <w:r w:rsidRPr="00364819">
              <w:rPr>
                <w:color w:val="000000"/>
                <w:sz w:val="20"/>
                <w:lang w:val="fr-CA"/>
              </w:rPr>
              <w:t xml:space="preserve">i) de la </w:t>
            </w:r>
            <w:r w:rsidRPr="00364819">
              <w:rPr>
                <w:i/>
                <w:color w:val="000000"/>
                <w:sz w:val="20"/>
                <w:lang w:val="fr-CA"/>
              </w:rPr>
              <w:t>Jury Act</w:t>
            </w:r>
            <w:r w:rsidRPr="00364819">
              <w:rPr>
                <w:color w:val="000000"/>
                <w:sz w:val="20"/>
                <w:lang w:val="fr-CA"/>
              </w:rPr>
              <w:t xml:space="preserve">. </w:t>
            </w:r>
            <w:r w:rsidRPr="00364819">
              <w:rPr>
                <w:sz w:val="20"/>
                <w:lang w:val="fr-CA"/>
              </w:rPr>
              <w:t xml:space="preserve">M. Newborn a été déclaré coupable de meurtre au deuxième degré. Le juge chargé de la détermination de la peine a statué que la peine minimale obligatoire prévue pour le meurtre au deuxième degré ne portait pas atteinte aux droits de M. Newborn prévus par l’art. 12 de la </w:t>
            </w:r>
            <w:r w:rsidRPr="00364819">
              <w:rPr>
                <w:i/>
                <w:iCs/>
                <w:sz w:val="20"/>
                <w:lang w:val="fr-CA"/>
              </w:rPr>
              <w:t>Charte</w:t>
            </w:r>
            <w:r w:rsidRPr="00364819">
              <w:rPr>
                <w:sz w:val="20"/>
                <w:lang w:val="fr-CA"/>
              </w:rPr>
              <w:t xml:space="preserve">. M. Newborn a été condamné à une peine d’emprisonnement à perpétuité, fixant le délai préalable à l’admissibilité à la libération conditionnelle à 15 ans. L’appel de M. Newborn visant la constitutionnalité de la </w:t>
            </w:r>
            <w:r w:rsidRPr="00364819">
              <w:rPr>
                <w:i/>
                <w:sz w:val="20"/>
                <w:lang w:val="fr-CA"/>
              </w:rPr>
              <w:t>Jury Act</w:t>
            </w:r>
            <w:r w:rsidRPr="00364819">
              <w:rPr>
                <w:sz w:val="20"/>
                <w:lang w:val="fr-CA"/>
              </w:rPr>
              <w:t xml:space="preserve"> a été rejeté. La contestation constitutionnelle des dispositions du </w:t>
            </w:r>
            <w:r w:rsidRPr="00364819">
              <w:rPr>
                <w:i/>
                <w:sz w:val="20"/>
                <w:lang w:val="fr-CA"/>
              </w:rPr>
              <w:t>Code criminel</w:t>
            </w:r>
            <w:r w:rsidRPr="00364819">
              <w:rPr>
                <w:sz w:val="20"/>
                <w:lang w:val="fr-CA"/>
              </w:rPr>
              <w:t xml:space="preserve"> relative à la peine minimale obligatoire prévue pour meurtre au deuxième degré a été rejetée. La peine minimale obligatoire prévue pour meurtre au deuxième degré ne portait pas atteinte aux droits de M. Newborn prévus à l’art. 12 de la </w:t>
            </w:r>
            <w:r w:rsidRPr="00364819">
              <w:rPr>
                <w:i/>
                <w:iCs/>
                <w:sz w:val="20"/>
                <w:lang w:val="fr-CA"/>
              </w:rPr>
              <w:t>Charte</w:t>
            </w:r>
            <w:r w:rsidRPr="00364819">
              <w:rPr>
                <w:sz w:val="20"/>
                <w:lang w:val="fr-CA"/>
              </w:rPr>
              <w:t>. L’appel de M. Newborn à l’encontre de la période du délai préalable à son admissibilité à la libération conditionnelle a également été rejeté. La Cour d’appel a rejeté l’appel visant la déclaration de culpabilité et l’appel visant la peine imposée.</w:t>
            </w:r>
          </w:p>
        </w:tc>
      </w:tr>
      <w:tr w:rsidR="008615DC" w:rsidRPr="005A78BC" w:rsidTr="00136FEB">
        <w:tc>
          <w:tcPr>
            <w:tcW w:w="5000" w:type="pct"/>
            <w:gridSpan w:val="2"/>
          </w:tcPr>
          <w:p w:rsidR="008615DC" w:rsidRPr="00364819" w:rsidRDefault="008615DC" w:rsidP="008615DC">
            <w:pPr>
              <w:jc w:val="both"/>
              <w:rPr>
                <w:sz w:val="20"/>
                <w:lang w:val="fr-CA"/>
              </w:rPr>
            </w:pPr>
          </w:p>
        </w:tc>
      </w:tr>
      <w:tr w:rsidR="008615DC" w:rsidRPr="005A78BC" w:rsidTr="00136FEB">
        <w:tc>
          <w:tcPr>
            <w:tcW w:w="5000" w:type="pct"/>
            <w:gridSpan w:val="2"/>
          </w:tcPr>
          <w:tbl>
            <w:tblPr>
              <w:tblW w:w="5000" w:type="pct"/>
              <w:tblLayout w:type="fixed"/>
              <w:tblCellMar>
                <w:left w:w="0" w:type="dxa"/>
                <w:right w:w="0" w:type="dxa"/>
              </w:tblCellMar>
              <w:tblLook w:val="04A0" w:firstRow="1" w:lastRow="0" w:firstColumn="1" w:lastColumn="0" w:noHBand="0" w:noVBand="1"/>
            </w:tblPr>
            <w:tblGrid>
              <w:gridCol w:w="4388"/>
              <w:gridCol w:w="495"/>
              <w:gridCol w:w="4387"/>
            </w:tblGrid>
            <w:tr w:rsidR="008615DC" w:rsidRPr="005A78BC" w:rsidTr="00136FEB">
              <w:tc>
                <w:tcPr>
                  <w:tcW w:w="2367" w:type="pct"/>
                </w:tcPr>
                <w:p w:rsidR="008615DC" w:rsidRPr="00364819" w:rsidRDefault="008615DC" w:rsidP="008615DC">
                  <w:pPr>
                    <w:jc w:val="both"/>
                    <w:rPr>
                      <w:sz w:val="20"/>
                      <w:lang w:val="fr-CA"/>
                    </w:rPr>
                  </w:pPr>
                  <w:r w:rsidRPr="00364819">
                    <w:rPr>
                      <w:sz w:val="20"/>
                      <w:lang w:val="fr-CA"/>
                    </w:rPr>
                    <w:t>6 mai 2016</w:t>
                  </w:r>
                </w:p>
                <w:p w:rsidR="008615DC" w:rsidRPr="00364819" w:rsidRDefault="008615DC" w:rsidP="008615DC">
                  <w:pPr>
                    <w:jc w:val="both"/>
                    <w:rPr>
                      <w:sz w:val="20"/>
                      <w:lang w:val="fr-CA"/>
                    </w:rPr>
                  </w:pPr>
                  <w:r w:rsidRPr="00364819">
                    <w:rPr>
                      <w:sz w:val="20"/>
                      <w:lang w:val="fr-CA"/>
                    </w:rPr>
                    <w:t>Cour du Banc de la Reine de l’Alberta</w:t>
                  </w:r>
                </w:p>
                <w:p w:rsidR="008615DC" w:rsidRPr="00364819" w:rsidRDefault="008615DC" w:rsidP="008615DC">
                  <w:pPr>
                    <w:jc w:val="both"/>
                    <w:rPr>
                      <w:sz w:val="20"/>
                      <w:lang w:val="fr-CA"/>
                    </w:rPr>
                  </w:pPr>
                  <w:r w:rsidRPr="00364819">
                    <w:rPr>
                      <w:sz w:val="20"/>
                      <w:lang w:val="fr-CA"/>
                    </w:rPr>
                    <w:t>(Juge Burrows)</w:t>
                  </w:r>
                </w:p>
                <w:p w:rsidR="008615DC" w:rsidRPr="00364819" w:rsidRDefault="005A78BC" w:rsidP="008615DC">
                  <w:pPr>
                    <w:jc w:val="both"/>
                    <w:rPr>
                      <w:sz w:val="20"/>
                      <w:lang w:val="fr-CA"/>
                    </w:rPr>
                  </w:pPr>
                  <w:hyperlink r:id="rId40" w:history="1">
                    <w:r w:rsidR="008615DC" w:rsidRPr="00364819">
                      <w:rPr>
                        <w:rStyle w:val="Hyperlink"/>
                        <w:sz w:val="20"/>
                        <w:lang w:val="fr-CA"/>
                      </w:rPr>
                      <w:t>2016 ABQB 13</w:t>
                    </w:r>
                  </w:hyperlink>
                </w:p>
                <w:p w:rsidR="008615DC" w:rsidRPr="00364819" w:rsidRDefault="008615DC" w:rsidP="008615DC">
                  <w:pPr>
                    <w:jc w:val="both"/>
                    <w:rPr>
                      <w:sz w:val="20"/>
                      <w:lang w:val="fr-CA"/>
                    </w:rPr>
                  </w:pPr>
                </w:p>
              </w:tc>
              <w:tc>
                <w:tcPr>
                  <w:tcW w:w="267" w:type="pct"/>
                </w:tcPr>
                <w:p w:rsidR="008615DC" w:rsidRPr="00364819" w:rsidRDefault="008615DC" w:rsidP="008615DC">
                  <w:pPr>
                    <w:jc w:val="both"/>
                    <w:rPr>
                      <w:sz w:val="20"/>
                      <w:lang w:val="fr-CA"/>
                    </w:rPr>
                  </w:pPr>
                </w:p>
              </w:tc>
              <w:tc>
                <w:tcPr>
                  <w:tcW w:w="2366" w:type="pct"/>
                </w:tcPr>
                <w:p w:rsidR="008615DC" w:rsidRPr="00364819" w:rsidRDefault="008615DC" w:rsidP="008615DC">
                  <w:pPr>
                    <w:jc w:val="both"/>
                    <w:rPr>
                      <w:sz w:val="20"/>
                      <w:lang w:val="fr-CA"/>
                    </w:rPr>
                  </w:pPr>
                  <w:r w:rsidRPr="00364819">
                    <w:rPr>
                      <w:sz w:val="20"/>
                      <w:lang w:val="fr-CA"/>
                    </w:rPr>
                    <w:t>Déclaration de culpabilité prononcée : meurtre au deuxième degré.</w:t>
                  </w:r>
                </w:p>
                <w:p w:rsidR="008615DC" w:rsidRPr="00364819" w:rsidRDefault="008615DC" w:rsidP="008615DC">
                  <w:pPr>
                    <w:jc w:val="both"/>
                    <w:rPr>
                      <w:sz w:val="20"/>
                      <w:lang w:val="fr-CA"/>
                    </w:rPr>
                  </w:pPr>
                </w:p>
              </w:tc>
            </w:tr>
            <w:tr w:rsidR="008615DC" w:rsidRPr="005A78BC" w:rsidTr="00136FEB">
              <w:tc>
                <w:tcPr>
                  <w:tcW w:w="2367" w:type="pct"/>
                </w:tcPr>
                <w:p w:rsidR="008615DC" w:rsidRPr="00364819" w:rsidRDefault="008615DC" w:rsidP="008615DC">
                  <w:pPr>
                    <w:jc w:val="both"/>
                    <w:rPr>
                      <w:sz w:val="20"/>
                      <w:lang w:val="fr-CA"/>
                    </w:rPr>
                  </w:pPr>
                  <w:r w:rsidRPr="00364819">
                    <w:rPr>
                      <w:sz w:val="20"/>
                      <w:lang w:val="fr-CA"/>
                    </w:rPr>
                    <w:t>19 janvier 2018</w:t>
                  </w:r>
                </w:p>
                <w:p w:rsidR="008615DC" w:rsidRPr="00364819" w:rsidRDefault="008615DC" w:rsidP="008615DC">
                  <w:pPr>
                    <w:jc w:val="both"/>
                    <w:rPr>
                      <w:sz w:val="20"/>
                      <w:lang w:val="fr-CA"/>
                    </w:rPr>
                  </w:pPr>
                  <w:r w:rsidRPr="00364819">
                    <w:rPr>
                      <w:sz w:val="20"/>
                      <w:lang w:val="fr-CA"/>
                    </w:rPr>
                    <w:t>Cour du Banc de la Reine de l’Alberta</w:t>
                  </w:r>
                </w:p>
                <w:p w:rsidR="008615DC" w:rsidRPr="00364819" w:rsidRDefault="008615DC" w:rsidP="008615DC">
                  <w:pPr>
                    <w:jc w:val="both"/>
                    <w:rPr>
                      <w:sz w:val="20"/>
                      <w:lang w:val="fr-CA"/>
                    </w:rPr>
                  </w:pPr>
                  <w:r w:rsidRPr="00364819">
                    <w:rPr>
                      <w:sz w:val="20"/>
                      <w:lang w:val="fr-CA"/>
                    </w:rPr>
                    <w:t>(Juge Burrows)</w:t>
                  </w:r>
                </w:p>
                <w:p w:rsidR="008615DC" w:rsidRPr="00364819" w:rsidRDefault="005A78BC" w:rsidP="008615DC">
                  <w:pPr>
                    <w:jc w:val="both"/>
                    <w:rPr>
                      <w:sz w:val="20"/>
                      <w:lang w:val="fr-CA"/>
                    </w:rPr>
                  </w:pPr>
                  <w:hyperlink r:id="rId41" w:history="1">
                    <w:r w:rsidR="008615DC" w:rsidRPr="00364819">
                      <w:rPr>
                        <w:rStyle w:val="Hyperlink"/>
                        <w:sz w:val="20"/>
                        <w:lang w:val="fr-CA"/>
                      </w:rPr>
                      <w:t>2018 ABQB 47</w:t>
                    </w:r>
                  </w:hyperlink>
                </w:p>
                <w:p w:rsidR="008615DC" w:rsidRPr="00364819" w:rsidRDefault="008615DC" w:rsidP="008615DC">
                  <w:pPr>
                    <w:jc w:val="both"/>
                    <w:rPr>
                      <w:sz w:val="20"/>
                      <w:lang w:val="fr-CA"/>
                    </w:rPr>
                  </w:pPr>
                </w:p>
              </w:tc>
              <w:tc>
                <w:tcPr>
                  <w:tcW w:w="267" w:type="pct"/>
                </w:tcPr>
                <w:p w:rsidR="008615DC" w:rsidRPr="00364819" w:rsidRDefault="008615DC" w:rsidP="008615DC">
                  <w:pPr>
                    <w:jc w:val="both"/>
                    <w:rPr>
                      <w:sz w:val="20"/>
                      <w:lang w:val="fr-CA"/>
                    </w:rPr>
                  </w:pPr>
                </w:p>
              </w:tc>
              <w:tc>
                <w:tcPr>
                  <w:tcW w:w="2366" w:type="pct"/>
                </w:tcPr>
                <w:p w:rsidR="008615DC" w:rsidRPr="00364819" w:rsidRDefault="008615DC" w:rsidP="008615DC">
                  <w:pPr>
                    <w:jc w:val="both"/>
                    <w:rPr>
                      <w:sz w:val="20"/>
                      <w:lang w:val="fr-CA"/>
                    </w:rPr>
                  </w:pPr>
                  <w:r w:rsidRPr="00364819">
                    <w:rPr>
                      <w:sz w:val="20"/>
                      <w:lang w:val="fr-CA"/>
                    </w:rPr>
                    <w:t>Peine imposée : emprisonnement à perpétuité.</w:t>
                  </w:r>
                </w:p>
                <w:p w:rsidR="008615DC" w:rsidRPr="00364819" w:rsidRDefault="008615DC" w:rsidP="008615DC">
                  <w:pPr>
                    <w:jc w:val="both"/>
                    <w:rPr>
                      <w:sz w:val="20"/>
                      <w:lang w:val="fr-CA"/>
                    </w:rPr>
                  </w:pPr>
                </w:p>
              </w:tc>
            </w:tr>
            <w:tr w:rsidR="008615DC" w:rsidRPr="005A78BC" w:rsidTr="00136FEB">
              <w:tc>
                <w:tcPr>
                  <w:tcW w:w="2367" w:type="pct"/>
                </w:tcPr>
                <w:p w:rsidR="008615DC" w:rsidRPr="00364819" w:rsidRDefault="008615DC" w:rsidP="008615DC">
                  <w:pPr>
                    <w:jc w:val="both"/>
                    <w:rPr>
                      <w:sz w:val="20"/>
                      <w:lang w:val="fr-CA"/>
                    </w:rPr>
                  </w:pPr>
                  <w:r w:rsidRPr="00364819">
                    <w:rPr>
                      <w:sz w:val="20"/>
                      <w:lang w:val="fr-CA"/>
                    </w:rPr>
                    <w:t>5 avril 2019</w:t>
                  </w:r>
                </w:p>
                <w:p w:rsidR="008615DC" w:rsidRPr="00364819" w:rsidRDefault="008615DC" w:rsidP="008615DC">
                  <w:pPr>
                    <w:jc w:val="both"/>
                    <w:rPr>
                      <w:sz w:val="20"/>
                      <w:lang w:val="fr-CA"/>
                    </w:rPr>
                  </w:pPr>
                  <w:r w:rsidRPr="00364819">
                    <w:rPr>
                      <w:sz w:val="20"/>
                      <w:lang w:val="fr-CA"/>
                    </w:rPr>
                    <w:t>Cour d’appel de l’Alberta (Edmonton)</w:t>
                  </w:r>
                </w:p>
                <w:p w:rsidR="008615DC" w:rsidRPr="00364819" w:rsidRDefault="008615DC" w:rsidP="008615DC">
                  <w:pPr>
                    <w:jc w:val="both"/>
                    <w:rPr>
                      <w:sz w:val="20"/>
                    </w:rPr>
                  </w:pPr>
                  <w:r w:rsidRPr="00364819">
                    <w:rPr>
                      <w:sz w:val="20"/>
                    </w:rPr>
                    <w:t>(Juges Slatter, Veldhuis, Khullar)</w:t>
                  </w:r>
                </w:p>
                <w:p w:rsidR="008615DC" w:rsidRPr="00364819" w:rsidRDefault="005A78BC" w:rsidP="008615DC">
                  <w:pPr>
                    <w:jc w:val="both"/>
                    <w:rPr>
                      <w:sz w:val="20"/>
                    </w:rPr>
                  </w:pPr>
                  <w:hyperlink r:id="rId42" w:history="1">
                    <w:r w:rsidR="008615DC" w:rsidRPr="00364819">
                      <w:rPr>
                        <w:rStyle w:val="Hyperlink"/>
                        <w:sz w:val="20"/>
                      </w:rPr>
                      <w:t>2019 ABCA 123</w:t>
                    </w:r>
                  </w:hyperlink>
                  <w:r w:rsidR="008615DC" w:rsidRPr="00364819">
                    <w:rPr>
                      <w:sz w:val="20"/>
                    </w:rPr>
                    <w:t>; 1603</w:t>
                  </w:r>
                  <w:r w:rsidR="008615DC" w:rsidRPr="00364819">
                    <w:rPr>
                      <w:sz w:val="20"/>
                    </w:rPr>
                    <w:noBreakHyphen/>
                    <w:t>0145</w:t>
                  </w:r>
                  <w:r w:rsidR="008615DC" w:rsidRPr="00364819">
                    <w:rPr>
                      <w:sz w:val="20"/>
                    </w:rPr>
                    <w:noBreakHyphen/>
                    <w:t xml:space="preserve">A </w:t>
                  </w:r>
                </w:p>
                <w:p w:rsidR="008615DC" w:rsidRPr="00364819" w:rsidRDefault="008615DC" w:rsidP="008615DC">
                  <w:pPr>
                    <w:jc w:val="both"/>
                    <w:rPr>
                      <w:sz w:val="20"/>
                    </w:rPr>
                  </w:pPr>
                </w:p>
              </w:tc>
              <w:tc>
                <w:tcPr>
                  <w:tcW w:w="267" w:type="pct"/>
                </w:tcPr>
                <w:p w:rsidR="008615DC" w:rsidRPr="00364819" w:rsidRDefault="008615DC" w:rsidP="008615DC">
                  <w:pPr>
                    <w:jc w:val="both"/>
                    <w:rPr>
                      <w:sz w:val="20"/>
                    </w:rPr>
                  </w:pPr>
                </w:p>
              </w:tc>
              <w:tc>
                <w:tcPr>
                  <w:tcW w:w="2366" w:type="pct"/>
                </w:tcPr>
                <w:p w:rsidR="008615DC" w:rsidRPr="00364819" w:rsidRDefault="008615DC" w:rsidP="008615DC">
                  <w:pPr>
                    <w:jc w:val="both"/>
                    <w:rPr>
                      <w:sz w:val="20"/>
                      <w:lang w:val="fr-CA"/>
                    </w:rPr>
                  </w:pPr>
                  <w:r w:rsidRPr="00364819">
                    <w:rPr>
                      <w:sz w:val="20"/>
                      <w:lang w:val="fr-CA"/>
                    </w:rPr>
                    <w:t>L’appel visant la déclaration de culpabilité est rejeté.</w:t>
                  </w:r>
                </w:p>
                <w:p w:rsidR="008615DC" w:rsidRPr="00364819" w:rsidRDefault="008615DC" w:rsidP="008615DC">
                  <w:pPr>
                    <w:jc w:val="both"/>
                    <w:rPr>
                      <w:sz w:val="20"/>
                      <w:lang w:val="fr-CA"/>
                    </w:rPr>
                  </w:pPr>
                </w:p>
              </w:tc>
            </w:tr>
            <w:tr w:rsidR="008615DC" w:rsidRPr="005A78BC" w:rsidTr="00136FEB">
              <w:tc>
                <w:tcPr>
                  <w:tcW w:w="2367" w:type="pct"/>
                </w:tcPr>
                <w:p w:rsidR="008615DC" w:rsidRPr="00364819" w:rsidRDefault="008615DC" w:rsidP="008615DC">
                  <w:pPr>
                    <w:jc w:val="both"/>
                    <w:rPr>
                      <w:sz w:val="20"/>
                      <w:lang w:val="fr-CA"/>
                    </w:rPr>
                  </w:pPr>
                  <w:r w:rsidRPr="00364819">
                    <w:rPr>
                      <w:sz w:val="20"/>
                      <w:lang w:val="fr-CA"/>
                    </w:rPr>
                    <w:t>26 mars 2020</w:t>
                  </w:r>
                </w:p>
                <w:p w:rsidR="008615DC" w:rsidRPr="00364819" w:rsidRDefault="008615DC" w:rsidP="008615DC">
                  <w:pPr>
                    <w:jc w:val="both"/>
                    <w:rPr>
                      <w:sz w:val="20"/>
                      <w:lang w:val="fr-CA"/>
                    </w:rPr>
                  </w:pPr>
                  <w:r w:rsidRPr="00364819">
                    <w:rPr>
                      <w:sz w:val="20"/>
                      <w:lang w:val="fr-CA"/>
                    </w:rPr>
                    <w:t>Cour d’appel de l’Alberta (Edmonton)</w:t>
                  </w:r>
                </w:p>
                <w:p w:rsidR="008615DC" w:rsidRPr="00364819" w:rsidRDefault="008615DC" w:rsidP="008615DC">
                  <w:pPr>
                    <w:jc w:val="both"/>
                    <w:rPr>
                      <w:sz w:val="20"/>
                    </w:rPr>
                  </w:pPr>
                  <w:r w:rsidRPr="00364819">
                    <w:rPr>
                      <w:sz w:val="20"/>
                    </w:rPr>
                    <w:t>(Juges Martin, Watson, Hughes, Pentelechuck, Feehan)</w:t>
                  </w:r>
                </w:p>
                <w:p w:rsidR="008615DC" w:rsidRPr="00364819" w:rsidRDefault="005A78BC" w:rsidP="008615DC">
                  <w:pPr>
                    <w:jc w:val="both"/>
                    <w:rPr>
                      <w:sz w:val="20"/>
                      <w:lang w:val="fr-CA"/>
                    </w:rPr>
                  </w:pPr>
                  <w:hyperlink r:id="rId43" w:history="1">
                    <w:r w:rsidR="008615DC" w:rsidRPr="00364819">
                      <w:rPr>
                        <w:rStyle w:val="Hyperlink"/>
                        <w:sz w:val="20"/>
                        <w:lang w:val="fr-CA"/>
                      </w:rPr>
                      <w:t>2020 ABCA 120</w:t>
                    </w:r>
                  </w:hyperlink>
                  <w:r w:rsidR="008615DC" w:rsidRPr="00364819">
                    <w:rPr>
                      <w:sz w:val="20"/>
                      <w:lang w:val="fr-CA"/>
                    </w:rPr>
                    <w:t>; 1603</w:t>
                  </w:r>
                  <w:r w:rsidR="008615DC" w:rsidRPr="00364819">
                    <w:rPr>
                      <w:sz w:val="20"/>
                      <w:lang w:val="fr-CA"/>
                    </w:rPr>
                    <w:noBreakHyphen/>
                    <w:t>0145</w:t>
                  </w:r>
                  <w:r w:rsidR="008615DC" w:rsidRPr="00364819">
                    <w:rPr>
                      <w:sz w:val="20"/>
                      <w:lang w:val="fr-CA"/>
                    </w:rPr>
                    <w:noBreakHyphen/>
                    <w:t xml:space="preserve">A </w:t>
                  </w:r>
                </w:p>
                <w:p w:rsidR="008615DC" w:rsidRPr="00364819" w:rsidRDefault="008615DC" w:rsidP="008615DC">
                  <w:pPr>
                    <w:jc w:val="both"/>
                    <w:rPr>
                      <w:sz w:val="20"/>
                      <w:lang w:val="fr-CA"/>
                    </w:rPr>
                  </w:pPr>
                </w:p>
              </w:tc>
              <w:tc>
                <w:tcPr>
                  <w:tcW w:w="267" w:type="pct"/>
                </w:tcPr>
                <w:p w:rsidR="008615DC" w:rsidRPr="00364819" w:rsidRDefault="008615DC" w:rsidP="008615DC">
                  <w:pPr>
                    <w:jc w:val="both"/>
                    <w:rPr>
                      <w:sz w:val="20"/>
                      <w:lang w:val="fr-CA"/>
                    </w:rPr>
                  </w:pPr>
                </w:p>
              </w:tc>
              <w:tc>
                <w:tcPr>
                  <w:tcW w:w="2366" w:type="pct"/>
                </w:tcPr>
                <w:p w:rsidR="008615DC" w:rsidRPr="00364819" w:rsidRDefault="008615DC" w:rsidP="008615DC">
                  <w:pPr>
                    <w:jc w:val="both"/>
                    <w:rPr>
                      <w:sz w:val="20"/>
                      <w:lang w:val="fr-CA"/>
                    </w:rPr>
                  </w:pPr>
                  <w:r w:rsidRPr="00364819">
                    <w:rPr>
                      <w:sz w:val="20"/>
                      <w:lang w:val="fr-CA"/>
                    </w:rPr>
                    <w:t>L’appel visant la peine est rejeté.</w:t>
                  </w:r>
                </w:p>
                <w:p w:rsidR="008615DC" w:rsidRPr="00364819" w:rsidRDefault="008615DC" w:rsidP="008615DC">
                  <w:pPr>
                    <w:jc w:val="both"/>
                    <w:rPr>
                      <w:sz w:val="20"/>
                      <w:lang w:val="fr-CA"/>
                    </w:rPr>
                  </w:pPr>
                </w:p>
              </w:tc>
            </w:tr>
            <w:tr w:rsidR="008615DC" w:rsidRPr="005A78BC" w:rsidTr="00136FEB">
              <w:tc>
                <w:tcPr>
                  <w:tcW w:w="2367" w:type="pct"/>
                </w:tcPr>
                <w:p w:rsidR="008615DC" w:rsidRPr="00364819" w:rsidRDefault="008615DC" w:rsidP="008615DC">
                  <w:pPr>
                    <w:jc w:val="both"/>
                    <w:rPr>
                      <w:sz w:val="20"/>
                      <w:lang w:val="fr-CA"/>
                    </w:rPr>
                  </w:pPr>
                  <w:r w:rsidRPr="00364819">
                    <w:rPr>
                      <w:sz w:val="20"/>
                      <w:lang w:val="fr-CA"/>
                    </w:rPr>
                    <w:lastRenderedPageBreak/>
                    <w:t>9 septembre 2020</w:t>
                  </w:r>
                </w:p>
                <w:p w:rsidR="008615DC" w:rsidRPr="00364819" w:rsidRDefault="008615DC" w:rsidP="008615DC">
                  <w:pPr>
                    <w:jc w:val="both"/>
                    <w:rPr>
                      <w:sz w:val="20"/>
                      <w:lang w:val="fr-CA"/>
                    </w:rPr>
                  </w:pPr>
                  <w:r w:rsidRPr="00364819">
                    <w:rPr>
                      <w:sz w:val="20"/>
                      <w:lang w:val="fr-CA"/>
                    </w:rPr>
                    <w:t>Cour suprême du Canada</w:t>
                  </w:r>
                </w:p>
                <w:p w:rsidR="008615DC" w:rsidRPr="00364819" w:rsidRDefault="008615DC" w:rsidP="008615DC">
                  <w:pPr>
                    <w:jc w:val="both"/>
                    <w:rPr>
                      <w:sz w:val="20"/>
                      <w:lang w:val="fr-CA"/>
                    </w:rPr>
                  </w:pPr>
                </w:p>
              </w:tc>
              <w:tc>
                <w:tcPr>
                  <w:tcW w:w="267" w:type="pct"/>
                </w:tcPr>
                <w:p w:rsidR="008615DC" w:rsidRPr="00364819" w:rsidRDefault="008615DC" w:rsidP="008615DC">
                  <w:pPr>
                    <w:jc w:val="both"/>
                    <w:rPr>
                      <w:sz w:val="20"/>
                      <w:lang w:val="fr-CA"/>
                    </w:rPr>
                  </w:pPr>
                </w:p>
              </w:tc>
              <w:tc>
                <w:tcPr>
                  <w:tcW w:w="2366" w:type="pct"/>
                </w:tcPr>
                <w:p w:rsidR="008615DC" w:rsidRPr="00364819" w:rsidRDefault="008615DC" w:rsidP="00364819">
                  <w:pPr>
                    <w:jc w:val="both"/>
                    <w:rPr>
                      <w:sz w:val="20"/>
                      <w:lang w:val="fr-CA"/>
                    </w:rPr>
                  </w:pPr>
                  <w:r w:rsidRPr="00364819">
                    <w:rPr>
                      <w:sz w:val="20"/>
                      <w:lang w:val="fr-CA"/>
                    </w:rPr>
                    <w:t>La requête en prorogation du délai de signification et de dépôt de la demande d’autorisation d’appel, la requête en réunion des demandes et la demande d’autori</w:t>
                  </w:r>
                  <w:r w:rsidR="00364819" w:rsidRPr="00364819">
                    <w:rPr>
                      <w:sz w:val="20"/>
                      <w:lang w:val="fr-CA"/>
                    </w:rPr>
                    <w:t>sation d’appel sont présentées.</w:t>
                  </w:r>
                </w:p>
              </w:tc>
            </w:tr>
          </w:tbl>
          <w:p w:rsidR="008615DC" w:rsidRPr="00364819" w:rsidRDefault="008615DC" w:rsidP="008615DC">
            <w:pPr>
              <w:jc w:val="both"/>
              <w:rPr>
                <w:sz w:val="20"/>
                <w:lang w:val="fr-CA"/>
              </w:rPr>
            </w:pPr>
          </w:p>
        </w:tc>
      </w:tr>
    </w:tbl>
    <w:p w:rsidR="008615DC" w:rsidRPr="00364819" w:rsidRDefault="008615DC" w:rsidP="008615DC">
      <w:pPr>
        <w:jc w:val="both"/>
        <w:rPr>
          <w:sz w:val="20"/>
          <w:lang w:val="fr-CA"/>
        </w:rPr>
      </w:pPr>
    </w:p>
    <w:p w:rsidR="00364819" w:rsidRPr="00364819" w:rsidRDefault="005A78BC" w:rsidP="008615DC">
      <w:pPr>
        <w:jc w:val="both"/>
        <w:rPr>
          <w:sz w:val="20"/>
          <w:lang w:val="fr-CA"/>
        </w:rPr>
      </w:pPr>
      <w:r>
        <w:rPr>
          <w:sz w:val="20"/>
        </w:rPr>
        <w:pict>
          <v:rect id="_x0000_i1036" style="width:2in;height:1pt" o:hrpct="0" o:hralign="center" o:hrstd="t" o:hrnoshade="t" o:hr="t" fillcolor="black [3213]" stroked="f"/>
        </w:pict>
      </w:r>
    </w:p>
    <w:p w:rsidR="00E70259" w:rsidRPr="00364819" w:rsidRDefault="00E70259" w:rsidP="008615DC">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39292</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McLeod Lake Indian Band v. West Moberly First Nations, Halfway River First Nation, Saulteau First Nations, Prophet River First Nation, Doig River First Nation, Attorney General of Canada</w:t>
            </w:r>
          </w:p>
          <w:p w:rsidR="008615DC" w:rsidRPr="00364819" w:rsidRDefault="008615DC" w:rsidP="008615DC">
            <w:pPr>
              <w:pStyle w:val="SCCLsocSubfileSeparator"/>
              <w:rPr>
                <w:sz w:val="20"/>
                <w:szCs w:val="20"/>
              </w:rPr>
            </w:pPr>
            <w:r w:rsidRPr="00364819">
              <w:rPr>
                <w:sz w:val="20"/>
                <w:szCs w:val="20"/>
              </w:rPr>
              <w:t>- and between -</w:t>
            </w:r>
          </w:p>
          <w:p w:rsidR="008615DC" w:rsidRPr="00364819" w:rsidRDefault="008615DC" w:rsidP="008615DC">
            <w:pPr>
              <w:pStyle w:val="SCCLsocParty"/>
              <w:jc w:val="both"/>
              <w:rPr>
                <w:b/>
                <w:sz w:val="20"/>
                <w:szCs w:val="20"/>
                <w:lang w:val="en-US"/>
              </w:rPr>
            </w:pPr>
            <w:r w:rsidRPr="00364819">
              <w:rPr>
                <w:b/>
                <w:sz w:val="20"/>
                <w:szCs w:val="20"/>
                <w:lang w:val="en-US"/>
              </w:rPr>
              <w:t>Her Majesty the Queen In Right of British Columbia v. West Moberly First Nations, Halfway River First Nation, Saulteau First Nations, Prophet River First Nation, Doig River First Nation, Attorney General of Canada</w:t>
            </w:r>
          </w:p>
          <w:p w:rsidR="008615DC" w:rsidRPr="00364819" w:rsidRDefault="008615DC" w:rsidP="008615DC">
            <w:pPr>
              <w:jc w:val="both"/>
              <w:rPr>
                <w:sz w:val="20"/>
              </w:rPr>
            </w:pPr>
            <w:r w:rsidRPr="00364819">
              <w:rPr>
                <w:sz w:val="20"/>
              </w:rPr>
              <w:t>(B.C.) (Civil) (By Leave)</w:t>
            </w:r>
          </w:p>
        </w:tc>
      </w:tr>
      <w:tr w:rsidR="008615DC" w:rsidRPr="00364819" w:rsidTr="00136FEB">
        <w:tc>
          <w:tcPr>
            <w:tcW w:w="5000" w:type="pct"/>
            <w:gridSpan w:val="4"/>
          </w:tcPr>
          <w:p w:rsidR="008615DC" w:rsidRPr="00364819" w:rsidRDefault="008615DC" w:rsidP="008615DC">
            <w:pPr>
              <w:jc w:val="both"/>
              <w:rPr>
                <w:sz w:val="20"/>
              </w:rPr>
            </w:pPr>
            <w:r w:rsidRPr="00364819">
              <w:rPr>
                <w:sz w:val="20"/>
              </w:rPr>
              <w:t xml:space="preserve">First application: Aboriginal law — Treaty rights — Treaty interpretation — Indigenous understanding of treaty — Honour of the Crown — Judgments and orders — Declaratory judgments — Real dispute — Western boundary of Treaty 8 uncertain — </w:t>
            </w:r>
            <w:r w:rsidRPr="00364819">
              <w:rPr>
                <w:i/>
                <w:sz w:val="20"/>
              </w:rPr>
              <w:t>In rem</w:t>
            </w:r>
            <w:r w:rsidRPr="00364819">
              <w:rPr>
                <w:sz w:val="20"/>
              </w:rPr>
              <w:t xml:space="preserve"> declaration of western boundary of Treaty 8 — Content of test to determine whether a dispute is “real” or “hypothetical” for the purposes of declaratory relief — When consideration of Indigenous intention and understanding of a treaty is irrelevant to interpretation of treaty — Whether impact of a treaty with Indigenous people upon Indigenous non</w:t>
            </w:r>
            <w:r w:rsidRPr="00364819">
              <w:rPr>
                <w:sz w:val="20"/>
              </w:rPr>
              <w:noBreakHyphen/>
              <w:t>signatories to the treaty engages the honour of the Crown — Whether honour of Crown always relevant and timely in treaty interpretation — Whether impact on treaty and non-treaty holders of s. 35 rights should be considered as part of honour of Crown — Whether it is appropriate for court to consider treaty provisions in isolation — Whether other provisions and impact of interpretation on the honour of the Crown are relevant to interpretation.</w:t>
            </w:r>
          </w:p>
        </w:tc>
      </w:tr>
      <w:tr w:rsidR="008615DC" w:rsidRPr="00364819" w:rsidTr="00136FEB">
        <w:tc>
          <w:tcPr>
            <w:tcW w:w="5000" w:type="pct"/>
            <w:gridSpan w:val="4"/>
          </w:tcPr>
          <w:p w:rsidR="008615DC" w:rsidRPr="00364819" w:rsidRDefault="008615DC" w:rsidP="008615DC">
            <w:pPr>
              <w:jc w:val="both"/>
              <w:rPr>
                <w:sz w:val="20"/>
              </w:rPr>
            </w:pPr>
          </w:p>
        </w:tc>
      </w:tr>
      <w:tr w:rsidR="008615DC" w:rsidRPr="00364819" w:rsidTr="00136FEB">
        <w:tc>
          <w:tcPr>
            <w:tcW w:w="5000" w:type="pct"/>
            <w:gridSpan w:val="4"/>
          </w:tcPr>
          <w:p w:rsidR="008615DC" w:rsidRPr="00364819" w:rsidRDefault="008615DC" w:rsidP="008615DC">
            <w:pPr>
              <w:jc w:val="both"/>
              <w:rPr>
                <w:sz w:val="20"/>
              </w:rPr>
            </w:pPr>
            <w:r w:rsidRPr="00364819">
              <w:rPr>
                <w:sz w:val="20"/>
              </w:rPr>
              <w:t xml:space="preserve">Treaty 8, signed on June 21, 1899, described its boundaries. The Treaty Commissioners prepared a map to accompany Treaty 8, but it has been lost, and the location of the western boundary of the tract is, as a result, uncertain. The respondent First Nations applied for a declaration that the western boundary was the height of land along the continental divide between the Arctic and Pacific watersheds (the “wider boundary”). They named Canada and British Columbia as defendants. Canada assented to the First Nations’ position, as did the McLeod Lake Indian Band when it was added as a third defendant. British Columbia objected and applied for a declaration that the phrase referred to “the line of watershed within the Rocky Mountains as those mountains were understood to be situated in 1899”, referred to as the “narrow boundary”. The narrow boundary creates a tract approximately 48,000 square miles smaller than the wider boundary. </w:t>
            </w:r>
          </w:p>
          <w:p w:rsidR="008615DC" w:rsidRPr="00364819" w:rsidRDefault="008615DC" w:rsidP="008615DC">
            <w:pPr>
              <w:jc w:val="both"/>
              <w:rPr>
                <w:sz w:val="20"/>
              </w:rPr>
            </w:pPr>
          </w:p>
          <w:p w:rsidR="008615DC" w:rsidRPr="00364819" w:rsidRDefault="008615DC" w:rsidP="008615DC">
            <w:pPr>
              <w:jc w:val="both"/>
              <w:rPr>
                <w:sz w:val="20"/>
              </w:rPr>
            </w:pPr>
            <w:r w:rsidRPr="00364819">
              <w:rPr>
                <w:sz w:val="20"/>
              </w:rPr>
              <w:t>Of the many pre</w:t>
            </w:r>
            <w:r w:rsidRPr="00364819">
              <w:rPr>
                <w:sz w:val="20"/>
              </w:rPr>
              <w:noBreakHyphen/>
              <w:t xml:space="preserve">trial rulings made by the trial judge, two remain relevant. First, it was determined that, if a declaration was granted, it would be both in fact and </w:t>
            </w:r>
            <w:r w:rsidRPr="00364819">
              <w:rPr>
                <w:i/>
                <w:sz w:val="20"/>
              </w:rPr>
              <w:t>in rem</w:t>
            </w:r>
            <w:r w:rsidRPr="00364819">
              <w:rPr>
                <w:sz w:val="20"/>
              </w:rPr>
              <w:t>, such that it would bind parties and non</w:t>
            </w:r>
            <w:r w:rsidRPr="00364819">
              <w:rPr>
                <w:sz w:val="20"/>
              </w:rPr>
              <w:noBreakHyphen/>
              <w:t xml:space="preserve">parties alike: </w:t>
            </w:r>
            <w:r w:rsidRPr="00364819">
              <w:rPr>
                <w:i/>
                <w:sz w:val="20"/>
              </w:rPr>
              <w:t>Willson v. British Columbia (Attorney General)</w:t>
            </w:r>
            <w:r w:rsidRPr="00364819">
              <w:rPr>
                <w:sz w:val="20"/>
              </w:rPr>
              <w:t xml:space="preserve">, 2007 BCSC 1324. The First Nations were, therefore, ordered to give notice to all of the signatories and adherents to Treaty 8 that a declaration, if granted, would be binding </w:t>
            </w:r>
            <w:r w:rsidRPr="00364819">
              <w:rPr>
                <w:i/>
                <w:sz w:val="20"/>
              </w:rPr>
              <w:t>in rem</w:t>
            </w:r>
            <w:r w:rsidRPr="00364819">
              <w:rPr>
                <w:sz w:val="20"/>
              </w:rPr>
              <w:t xml:space="preserve"> and binding on them. Second, in the face of two motions to strike the Notice of Claim on the grounds that it related to a hypothetical dispute and to strike the claim for declaratory relief were dismissed: </w:t>
            </w:r>
            <w:r w:rsidRPr="00364819">
              <w:rPr>
                <w:i/>
                <w:sz w:val="20"/>
              </w:rPr>
              <w:t>Willson v. British Columbia</w:t>
            </w:r>
            <w:r w:rsidRPr="00364819">
              <w:rPr>
                <w:sz w:val="20"/>
              </w:rPr>
              <w:t>, 2012 BCSC 1256.</w:t>
            </w:r>
          </w:p>
          <w:p w:rsidR="008615DC" w:rsidRPr="00364819" w:rsidRDefault="008615DC" w:rsidP="008615DC">
            <w:pPr>
              <w:jc w:val="both"/>
              <w:rPr>
                <w:sz w:val="20"/>
              </w:rPr>
            </w:pPr>
          </w:p>
          <w:p w:rsidR="008615DC" w:rsidRPr="00364819" w:rsidRDefault="008615DC" w:rsidP="008615DC">
            <w:pPr>
              <w:jc w:val="both"/>
              <w:rPr>
                <w:sz w:val="20"/>
              </w:rPr>
            </w:pPr>
            <w:r w:rsidRPr="00364819">
              <w:rPr>
                <w:sz w:val="20"/>
              </w:rPr>
              <w:t xml:space="preserve">In his final decision on the matter, the trial judge declared </w:t>
            </w:r>
            <w:r w:rsidRPr="00364819">
              <w:rPr>
                <w:i/>
                <w:sz w:val="20"/>
              </w:rPr>
              <w:t>in rem</w:t>
            </w:r>
            <w:r w:rsidRPr="00364819">
              <w:rPr>
                <w:sz w:val="20"/>
              </w:rPr>
              <w:t xml:space="preserve"> that the western boundary of Treaty 8 is the height of the land along the continental divide between the Arctic and Pacific watersheds (the Arctic</w:t>
            </w:r>
            <w:r w:rsidRPr="00364819">
              <w:rPr>
                <w:sz w:val="20"/>
              </w:rPr>
              <w:noBreakHyphen/>
              <w:t>Pacific divide). The Court of Appeal dismissed the appeal.</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September 25, 2017</w:t>
            </w:r>
          </w:p>
          <w:p w:rsidR="008615DC" w:rsidRPr="00364819" w:rsidRDefault="008615DC" w:rsidP="008615DC">
            <w:pPr>
              <w:jc w:val="both"/>
              <w:rPr>
                <w:sz w:val="20"/>
              </w:rPr>
            </w:pPr>
            <w:r w:rsidRPr="00364819">
              <w:rPr>
                <w:sz w:val="20"/>
              </w:rPr>
              <w:t>Supreme Court of British Columbia</w:t>
            </w:r>
          </w:p>
          <w:p w:rsidR="008615DC" w:rsidRPr="00364819" w:rsidRDefault="008615DC" w:rsidP="008615DC">
            <w:pPr>
              <w:jc w:val="both"/>
              <w:rPr>
                <w:sz w:val="20"/>
              </w:rPr>
            </w:pPr>
            <w:r w:rsidRPr="00364819">
              <w:rPr>
                <w:sz w:val="20"/>
              </w:rPr>
              <w:t>(Johnston J.)</w:t>
            </w:r>
          </w:p>
          <w:p w:rsidR="008615DC" w:rsidRPr="00364819" w:rsidRDefault="005A78BC" w:rsidP="008615DC">
            <w:pPr>
              <w:jc w:val="both"/>
              <w:rPr>
                <w:sz w:val="20"/>
              </w:rPr>
            </w:pPr>
            <w:hyperlink r:id="rId44" w:history="1">
              <w:r w:rsidR="008615DC" w:rsidRPr="00364819">
                <w:rPr>
                  <w:rStyle w:val="Hyperlink"/>
                  <w:sz w:val="20"/>
                </w:rPr>
                <w:t>2017 BCSC 1700</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 xml:space="preserve">Declaration </w:t>
            </w:r>
            <w:r w:rsidRPr="00364819">
              <w:rPr>
                <w:i/>
                <w:sz w:val="20"/>
              </w:rPr>
              <w:t>in rem</w:t>
            </w:r>
            <w:r w:rsidRPr="00364819">
              <w:rPr>
                <w:sz w:val="20"/>
              </w:rPr>
              <w:t xml:space="preserve"> that the western boundary of Treaty No. 8 is the height of land along the continental divide between the Arctic and Pacific watersheds</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May 19, 2020</w:t>
            </w:r>
          </w:p>
          <w:p w:rsidR="008615DC" w:rsidRPr="00364819" w:rsidRDefault="008615DC" w:rsidP="008615DC">
            <w:pPr>
              <w:jc w:val="both"/>
              <w:rPr>
                <w:sz w:val="20"/>
              </w:rPr>
            </w:pPr>
            <w:r w:rsidRPr="00364819">
              <w:rPr>
                <w:sz w:val="20"/>
              </w:rPr>
              <w:t xml:space="preserve">Court of Appeal for British Columbia </w:t>
            </w:r>
          </w:p>
          <w:p w:rsidR="008615DC" w:rsidRPr="00364819" w:rsidRDefault="008615DC" w:rsidP="008615DC">
            <w:pPr>
              <w:jc w:val="both"/>
              <w:rPr>
                <w:sz w:val="20"/>
              </w:rPr>
            </w:pPr>
            <w:r w:rsidRPr="00364819">
              <w:rPr>
                <w:sz w:val="20"/>
              </w:rPr>
              <w:t>(Vancouver)</w:t>
            </w:r>
          </w:p>
          <w:p w:rsidR="008615DC" w:rsidRPr="00364819" w:rsidRDefault="008615DC" w:rsidP="008615DC">
            <w:pPr>
              <w:jc w:val="both"/>
              <w:rPr>
                <w:sz w:val="20"/>
              </w:rPr>
            </w:pPr>
            <w:r w:rsidRPr="00364819">
              <w:rPr>
                <w:sz w:val="20"/>
              </w:rPr>
              <w:t>(Bauman C.J.B.C., Smith, Goepel JJ.A.)</w:t>
            </w:r>
          </w:p>
          <w:p w:rsidR="008615DC" w:rsidRPr="00364819" w:rsidRDefault="005A78BC" w:rsidP="008615DC">
            <w:pPr>
              <w:jc w:val="both"/>
              <w:rPr>
                <w:sz w:val="20"/>
              </w:rPr>
            </w:pPr>
            <w:hyperlink r:id="rId45" w:history="1">
              <w:r w:rsidR="008615DC" w:rsidRPr="00364819">
                <w:rPr>
                  <w:rStyle w:val="Hyperlink"/>
                  <w:sz w:val="20"/>
                </w:rPr>
                <w:t>2020 BCCA 138</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Appeal dismissed</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August 18, 2020</w:t>
            </w:r>
          </w:p>
          <w:p w:rsidR="008615DC" w:rsidRPr="00364819" w:rsidRDefault="008615DC" w:rsidP="008615DC">
            <w:pPr>
              <w:jc w:val="both"/>
              <w:rPr>
                <w:sz w:val="20"/>
              </w:rPr>
            </w:pPr>
            <w:r w:rsidRPr="00364819">
              <w:rPr>
                <w:sz w:val="20"/>
              </w:rPr>
              <w:t>Supreme Court of Canada</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First application for leave to appeal filed by McLeod Lake Indian Band</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August 18, 2020</w:t>
            </w:r>
          </w:p>
          <w:p w:rsidR="008615DC" w:rsidRPr="00364819" w:rsidRDefault="008615DC" w:rsidP="00364819">
            <w:pPr>
              <w:jc w:val="both"/>
              <w:rPr>
                <w:sz w:val="20"/>
              </w:rPr>
            </w:pPr>
            <w:r w:rsidRPr="00364819">
              <w:rPr>
                <w:sz w:val="20"/>
              </w:rPr>
              <w:t>Supreme Court of Canada</w:t>
            </w: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Second application for leave to appeal filed by Her Majesty the Queen in Right of British Columbia</w:t>
            </w:r>
          </w:p>
        </w:tc>
      </w:tr>
    </w:tbl>
    <w:p w:rsidR="008615DC" w:rsidRPr="00364819" w:rsidRDefault="008615DC" w:rsidP="008615DC">
      <w:pPr>
        <w:jc w:val="both"/>
        <w:rPr>
          <w:sz w:val="20"/>
        </w:rPr>
      </w:pPr>
    </w:p>
    <w:p w:rsidR="00364819" w:rsidRPr="00364819" w:rsidRDefault="005A78BC" w:rsidP="008615DC">
      <w:pPr>
        <w:jc w:val="both"/>
        <w:rPr>
          <w:sz w:val="20"/>
        </w:rPr>
      </w:pPr>
      <w:r>
        <w:rPr>
          <w:sz w:val="20"/>
        </w:rPr>
        <w:pict>
          <v:rect id="_x0000_i1037" style="width:2in;height:1pt" o:hrpct="0" o:hralign="center" o:hrstd="t" o:hrnoshade="t" o:hr="t" fillcolor="black [3213]" stroked="f"/>
        </w:pict>
      </w:r>
    </w:p>
    <w:p w:rsidR="00364819" w:rsidRPr="00364819" w:rsidRDefault="00364819" w:rsidP="008615DC">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5A78BC" w:rsidTr="00136FEB">
        <w:tc>
          <w:tcPr>
            <w:tcW w:w="543" w:type="pct"/>
          </w:tcPr>
          <w:p w:rsidR="008615DC" w:rsidRPr="00364819" w:rsidRDefault="008615DC" w:rsidP="008615DC">
            <w:pPr>
              <w:jc w:val="both"/>
              <w:rPr>
                <w:sz w:val="20"/>
                <w:lang w:val="fr-CA"/>
              </w:rPr>
            </w:pPr>
            <w:r w:rsidRPr="00364819">
              <w:rPr>
                <w:rStyle w:val="SCCFileNumberChar"/>
                <w:sz w:val="20"/>
                <w:szCs w:val="20"/>
                <w:lang w:val="fr-CA"/>
              </w:rPr>
              <w:t>39292</w:t>
            </w:r>
          </w:p>
        </w:tc>
        <w:tc>
          <w:tcPr>
            <w:tcW w:w="4457" w:type="pct"/>
            <w:gridSpan w:val="3"/>
          </w:tcPr>
          <w:p w:rsidR="008615DC" w:rsidRPr="00364819" w:rsidRDefault="008615DC" w:rsidP="008615DC">
            <w:pPr>
              <w:pStyle w:val="SCCLsocParty"/>
              <w:jc w:val="both"/>
              <w:rPr>
                <w:b/>
                <w:sz w:val="20"/>
                <w:szCs w:val="20"/>
              </w:rPr>
            </w:pPr>
            <w:r w:rsidRPr="00364819">
              <w:rPr>
                <w:b/>
                <w:sz w:val="20"/>
                <w:szCs w:val="20"/>
              </w:rPr>
              <w:t>Bande indienne de McLeod Lake c. Premières nations de West Moberly, Première nation de Halfway River, Premières nations de Saulteau, Première nation de Prophet River, Première nation de Doig River, Procureur général du Canada</w:t>
            </w:r>
          </w:p>
          <w:p w:rsidR="008615DC" w:rsidRPr="00364819" w:rsidRDefault="008615DC" w:rsidP="008615DC">
            <w:pPr>
              <w:pStyle w:val="SCCLsocSubfileSeparator"/>
              <w:rPr>
                <w:sz w:val="20"/>
                <w:szCs w:val="20"/>
                <w:lang w:val="fr-CA"/>
              </w:rPr>
            </w:pPr>
            <w:r w:rsidRPr="00364819">
              <w:rPr>
                <w:sz w:val="20"/>
                <w:szCs w:val="20"/>
                <w:lang w:val="fr-CA"/>
              </w:rPr>
              <w:t>- et entre -</w:t>
            </w:r>
          </w:p>
          <w:p w:rsidR="008615DC" w:rsidRPr="00364819" w:rsidRDefault="008615DC" w:rsidP="008615DC">
            <w:pPr>
              <w:pStyle w:val="SCCLsocParty"/>
              <w:jc w:val="both"/>
              <w:rPr>
                <w:b/>
                <w:sz w:val="20"/>
                <w:szCs w:val="20"/>
              </w:rPr>
            </w:pPr>
            <w:r w:rsidRPr="00364819">
              <w:rPr>
                <w:b/>
                <w:sz w:val="20"/>
                <w:szCs w:val="20"/>
              </w:rPr>
              <w:t>Sa Majesté la Reine du chef de la Colombie-Britannique c. Premières nations de West Moberly, Première nation de Halfway River, Premières nations de Saulteau, Première nation de Prophet River, Première nation de Doig River, Procureur général du Canada</w:t>
            </w:r>
          </w:p>
          <w:p w:rsidR="008615DC" w:rsidRPr="00364819" w:rsidRDefault="008615DC" w:rsidP="008615DC">
            <w:pPr>
              <w:jc w:val="both"/>
              <w:rPr>
                <w:sz w:val="20"/>
                <w:lang w:val="fr-CA"/>
              </w:rPr>
            </w:pPr>
            <w:r w:rsidRPr="00364819">
              <w:rPr>
                <w:sz w:val="20"/>
                <w:lang w:val="fr-CA"/>
              </w:rPr>
              <w:t>(C.-B.) (Civile) (Sur autorisation)</w:t>
            </w: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Première demande : Droit des Autochtones — Droits issus de traités — Interprétation des traités — Compréhension du traité par les Autochtones — Honneur de la Couronne — Jugements et ordonnances — Jugements déclaratoires — Véritable litige — Frontière ouest du Traité n</w:t>
            </w:r>
            <w:r w:rsidRPr="00364819">
              <w:rPr>
                <w:sz w:val="20"/>
                <w:vertAlign w:val="superscript"/>
                <w:lang w:val="fr-CA"/>
              </w:rPr>
              <w:t>o</w:t>
            </w:r>
            <w:r w:rsidRPr="00364819">
              <w:rPr>
                <w:sz w:val="20"/>
                <w:lang w:val="fr-CA"/>
              </w:rPr>
              <w:t xml:space="preserve"> 8 incertaine — Jugement déclaratoire </w:t>
            </w:r>
            <w:r w:rsidRPr="00364819">
              <w:rPr>
                <w:i/>
                <w:sz w:val="20"/>
                <w:lang w:val="fr-CA"/>
              </w:rPr>
              <w:t>in rem</w:t>
            </w:r>
            <w:r w:rsidRPr="00364819">
              <w:rPr>
                <w:sz w:val="20"/>
                <w:lang w:val="fr-CA"/>
              </w:rPr>
              <w:t xml:space="preserve"> relatif à la frontière ouest du Traité n</w:t>
            </w:r>
            <w:r w:rsidRPr="00364819">
              <w:rPr>
                <w:sz w:val="20"/>
                <w:vertAlign w:val="superscript"/>
                <w:lang w:val="fr-CA"/>
              </w:rPr>
              <w:t>o</w:t>
            </w:r>
            <w:r w:rsidRPr="00364819">
              <w:rPr>
                <w:sz w:val="20"/>
                <w:lang w:val="fr-CA"/>
              </w:rPr>
              <w:t> 8 — Contenu du critère visant à déterminer si un litige est « véritable » ou « hypothétique » aux fins d’un jugement déclaratoire — Circonstances dans lesquelles l’examen de l’intention des Autochtones relativement au traité et leur compréhension de celui</w:t>
            </w:r>
            <w:r w:rsidRPr="00364819">
              <w:rPr>
                <w:sz w:val="20"/>
                <w:lang w:val="fr-CA"/>
              </w:rPr>
              <w:noBreakHyphen/>
              <w:t>ci ne sont pas pertinentes dans l’interprétation du traité — L’impact d’un traité conclu avec des peuples autochtones sur les non</w:t>
            </w:r>
            <w:r w:rsidRPr="00364819">
              <w:rPr>
                <w:sz w:val="20"/>
                <w:lang w:val="fr-CA"/>
              </w:rPr>
              <w:noBreakHyphen/>
              <w:t>signataires autochtones du traité engage</w:t>
            </w:r>
            <w:r w:rsidRPr="00364819">
              <w:rPr>
                <w:sz w:val="20"/>
                <w:lang w:val="fr-CA"/>
              </w:rPr>
              <w:noBreakHyphen/>
              <w:t>t</w:t>
            </w:r>
            <w:r w:rsidRPr="00364819">
              <w:rPr>
                <w:sz w:val="20"/>
                <w:lang w:val="fr-CA"/>
              </w:rPr>
              <w:noBreakHyphen/>
              <w:t>il l’honneur de la Couronne ? — L’honneur de la Couronne est</w:t>
            </w:r>
            <w:r w:rsidRPr="00364819">
              <w:rPr>
                <w:sz w:val="20"/>
                <w:lang w:val="fr-CA"/>
              </w:rPr>
              <w:noBreakHyphen/>
              <w:t>il toujours pertinent et opportun dans le cadre de l’interprétation des traités ? — L’impact sur les signataires et les non</w:t>
            </w:r>
            <w:r w:rsidRPr="00364819">
              <w:rPr>
                <w:sz w:val="20"/>
                <w:lang w:val="fr-CA"/>
              </w:rPr>
              <w:noBreakHyphen/>
              <w:t>signataires titulaires de droits protégés par l’art. 35 devrait</w:t>
            </w:r>
            <w:r w:rsidRPr="00364819">
              <w:rPr>
                <w:sz w:val="20"/>
                <w:lang w:val="fr-CA"/>
              </w:rPr>
              <w:noBreakHyphen/>
              <w:t>il être considéré comme faisant partie intégrante de l’honneur de la Couronne ? — Convient</w:t>
            </w:r>
            <w:r w:rsidRPr="00364819">
              <w:rPr>
                <w:sz w:val="20"/>
                <w:lang w:val="fr-CA"/>
              </w:rPr>
              <w:noBreakHyphen/>
              <w:t>il pour les tribunaux d’examiner les dispositions d’un traité isolément ? — Les autres dispositions et l’impact de l’interprétation sur l’honneur de la Couronne sont</w:t>
            </w:r>
            <w:r w:rsidRPr="00364819">
              <w:rPr>
                <w:sz w:val="20"/>
                <w:lang w:val="fr-CA"/>
              </w:rPr>
              <w:noBreakHyphen/>
              <w:t>ils pertinents en ce qui concerne l’interprétation ?</w:t>
            </w:r>
          </w:p>
        </w:tc>
      </w:tr>
      <w:tr w:rsidR="008615DC" w:rsidRPr="005A78BC" w:rsidTr="00136FEB">
        <w:tc>
          <w:tcPr>
            <w:tcW w:w="5000" w:type="pct"/>
            <w:gridSpan w:val="4"/>
          </w:tcPr>
          <w:p w:rsidR="008615DC" w:rsidRPr="00364819" w:rsidRDefault="008615DC" w:rsidP="008615DC">
            <w:pPr>
              <w:jc w:val="both"/>
              <w:rPr>
                <w:sz w:val="20"/>
                <w:lang w:val="fr-CA"/>
              </w:rPr>
            </w:pPr>
          </w:p>
        </w:tc>
      </w:tr>
      <w:tr w:rsidR="008615DC" w:rsidRPr="00364819" w:rsidTr="00136FEB">
        <w:tc>
          <w:tcPr>
            <w:tcW w:w="5000" w:type="pct"/>
            <w:gridSpan w:val="4"/>
          </w:tcPr>
          <w:p w:rsidR="008615DC" w:rsidRPr="00364819" w:rsidRDefault="008615DC" w:rsidP="008615DC">
            <w:pPr>
              <w:jc w:val="both"/>
              <w:rPr>
                <w:sz w:val="20"/>
                <w:lang w:val="fr-CA"/>
              </w:rPr>
            </w:pPr>
            <w:r w:rsidRPr="00364819">
              <w:rPr>
                <w:sz w:val="20"/>
                <w:lang w:val="fr-CA"/>
              </w:rPr>
              <w:t>Le Traité n</w:t>
            </w:r>
            <w:r w:rsidRPr="00364819">
              <w:rPr>
                <w:sz w:val="20"/>
                <w:vertAlign w:val="superscript"/>
                <w:lang w:val="fr-CA"/>
              </w:rPr>
              <w:t>o</w:t>
            </w:r>
            <w:r w:rsidRPr="00364819">
              <w:rPr>
                <w:sz w:val="20"/>
                <w:lang w:val="fr-CA"/>
              </w:rPr>
              <w:t> 8, conclu le 21 juin 1899, décrivait les frontières y afférentes. Les commissaires au traité ont préparé une carte pour accompagner le Traité n</w:t>
            </w:r>
            <w:r w:rsidRPr="00364819">
              <w:rPr>
                <w:sz w:val="20"/>
                <w:vertAlign w:val="superscript"/>
                <w:lang w:val="fr-CA"/>
              </w:rPr>
              <w:t>o</w:t>
            </w:r>
            <w:r w:rsidRPr="00364819">
              <w:rPr>
                <w:sz w:val="20"/>
                <w:lang w:val="fr-CA"/>
              </w:rPr>
              <w:t> 8, mais cette dernière a été perdue, et l’emplacement de la frontière ouest de l’étendue de terre est, en conséquence, incertain. Les Premières nations intimées ont sollicité un jugement déclaratoire indiquant que la frontière ouest est située à l’endroit où se trouve la ligne de crête le long de la ligne de partage des eaux entre les bassins hydrographiques des océans Arctique et Pacifique (la « frontière plus large »). Elles ont désigné le Canada et la Colombie</w:t>
            </w:r>
            <w:r w:rsidRPr="00364819">
              <w:rPr>
                <w:sz w:val="20"/>
                <w:lang w:val="fr-CA"/>
              </w:rPr>
              <w:noBreakHyphen/>
              <w:t>Britannique à titre de défendeurs. Le Canada a adhéré à la position des Premières nations, aussi bien que la Bande indienne de McLeod Lake lorsqu’elle a été ajoutée comme troisième partie défenderesse. La Colombie</w:t>
            </w:r>
            <w:r w:rsidRPr="00364819">
              <w:rPr>
                <w:sz w:val="20"/>
                <w:lang w:val="fr-CA"/>
              </w:rPr>
              <w:noBreakHyphen/>
              <w:t>Britannique s’est opposée et a demandé un jugement déclaratoire portant que la phrase désigne la [</w:t>
            </w:r>
            <w:r w:rsidRPr="00364819">
              <w:rPr>
                <w:smallCaps/>
                <w:sz w:val="20"/>
                <w:lang w:val="fr-CA"/>
              </w:rPr>
              <w:t>traduction</w:t>
            </w:r>
            <w:r w:rsidRPr="00364819">
              <w:rPr>
                <w:rFonts w:asciiTheme="minorBidi" w:hAnsiTheme="minorBidi"/>
                <w:sz w:val="20"/>
                <w:lang w:val="fr-CA"/>
              </w:rPr>
              <w:t xml:space="preserve">] </w:t>
            </w:r>
            <w:r w:rsidRPr="00364819">
              <w:rPr>
                <w:sz w:val="20"/>
                <w:lang w:val="fr-CA"/>
              </w:rPr>
              <w:t xml:space="preserve">« ligne de partage des eaux au sein des montagnes Rocheuses à l’endroit où ces montagnes étaient considérées comme étant situées en 1899 », qualifiée de « frontière étroite ». La frontière étroite crée une étendue de terre d’environ 48 000 miles carrés moins grande que la frontière plus large. </w:t>
            </w:r>
          </w:p>
          <w:p w:rsidR="008615DC" w:rsidRPr="00364819" w:rsidRDefault="008615DC" w:rsidP="008615DC">
            <w:pPr>
              <w:jc w:val="both"/>
              <w:rPr>
                <w:sz w:val="20"/>
                <w:lang w:val="fr-CA"/>
              </w:rPr>
            </w:pPr>
          </w:p>
          <w:p w:rsidR="008615DC" w:rsidRPr="00364819" w:rsidRDefault="008615DC" w:rsidP="008615DC">
            <w:pPr>
              <w:jc w:val="both"/>
              <w:rPr>
                <w:sz w:val="20"/>
                <w:lang w:val="fr-CA"/>
              </w:rPr>
            </w:pPr>
            <w:r w:rsidRPr="00364819">
              <w:rPr>
                <w:sz w:val="20"/>
                <w:lang w:val="fr-CA"/>
              </w:rPr>
              <w:t xml:space="preserve">Parmi les nombreuses décisions préalables au procès rendues par le juge de première instance, deux d’entre elles demeurent pertinentes. Premièrement, il a été conclu que, si un jugement déclaratoire était accordé, il le serait de fait et </w:t>
            </w:r>
            <w:r w:rsidRPr="00364819">
              <w:rPr>
                <w:i/>
                <w:sz w:val="20"/>
                <w:lang w:val="fr-CA"/>
              </w:rPr>
              <w:t>in rem</w:t>
            </w:r>
            <w:r w:rsidRPr="00364819">
              <w:rPr>
                <w:sz w:val="20"/>
                <w:lang w:val="fr-CA"/>
              </w:rPr>
              <w:t xml:space="preserve">, liant ainsi les parties aussi bien que les tiers : </w:t>
            </w:r>
            <w:r w:rsidRPr="00364819">
              <w:rPr>
                <w:i/>
                <w:sz w:val="20"/>
                <w:lang w:val="fr-CA"/>
              </w:rPr>
              <w:t>Willson v. British Columbia (Attorney General)</w:t>
            </w:r>
            <w:r w:rsidRPr="00364819">
              <w:rPr>
                <w:sz w:val="20"/>
                <w:lang w:val="fr-CA"/>
              </w:rPr>
              <w:t>, 2007 BCSC 1324. Les Premières nations ont donc été ordonnées de donner avis à tous les signataires du Traité n</w:t>
            </w:r>
            <w:r w:rsidRPr="00364819">
              <w:rPr>
                <w:sz w:val="20"/>
                <w:vertAlign w:val="superscript"/>
                <w:lang w:val="fr-CA"/>
              </w:rPr>
              <w:t>o</w:t>
            </w:r>
            <w:r w:rsidRPr="00364819">
              <w:rPr>
                <w:sz w:val="20"/>
                <w:lang w:val="fr-CA"/>
              </w:rPr>
              <w:t xml:space="preserve"> 8 et ceux y ayant adhéré qu’un jugement déclaratoire, s’il était accordé, serait exécutoire </w:t>
            </w:r>
            <w:r w:rsidRPr="00364819">
              <w:rPr>
                <w:i/>
                <w:sz w:val="20"/>
                <w:lang w:val="fr-CA"/>
              </w:rPr>
              <w:t>in rem</w:t>
            </w:r>
            <w:r w:rsidRPr="00364819">
              <w:rPr>
                <w:sz w:val="20"/>
                <w:lang w:val="fr-CA"/>
              </w:rPr>
              <w:t xml:space="preserve"> et ils seraient ainsi tous liés par celui</w:t>
            </w:r>
            <w:r w:rsidRPr="00364819">
              <w:rPr>
                <w:sz w:val="20"/>
                <w:lang w:val="fr-CA"/>
              </w:rPr>
              <w:noBreakHyphen/>
              <w:t xml:space="preserve">ci. Deuxièmement, deux requêtes en radiation de l’avis de réclamation au motif qu’il se rapportait à un litige hypothétique et en radiation de la demande de jugement déclaratoire ont été rejetées : </w:t>
            </w:r>
            <w:r w:rsidRPr="00364819">
              <w:rPr>
                <w:i/>
                <w:sz w:val="20"/>
                <w:lang w:val="fr-CA"/>
              </w:rPr>
              <w:t>Willson v. British Columbia</w:t>
            </w:r>
            <w:r w:rsidRPr="00364819">
              <w:rPr>
                <w:sz w:val="20"/>
                <w:lang w:val="fr-CA"/>
              </w:rPr>
              <w:t>, 2012 BCSC 1256.</w:t>
            </w:r>
          </w:p>
          <w:p w:rsidR="008615DC" w:rsidRPr="00364819" w:rsidRDefault="008615DC" w:rsidP="008615DC">
            <w:pPr>
              <w:jc w:val="both"/>
              <w:rPr>
                <w:sz w:val="20"/>
                <w:lang w:val="fr-CA"/>
              </w:rPr>
            </w:pPr>
          </w:p>
          <w:p w:rsidR="008615DC" w:rsidRPr="00364819" w:rsidRDefault="008615DC" w:rsidP="008615DC">
            <w:pPr>
              <w:jc w:val="both"/>
              <w:rPr>
                <w:sz w:val="20"/>
                <w:lang w:val="fr-CA"/>
              </w:rPr>
            </w:pPr>
            <w:r w:rsidRPr="00364819">
              <w:rPr>
                <w:sz w:val="20"/>
                <w:lang w:val="fr-CA"/>
              </w:rPr>
              <w:t xml:space="preserve">Dans sa dernière décision dans cette affaire, le juge de première instance a rendu un jugement déclaratoire </w:t>
            </w:r>
            <w:r w:rsidRPr="00364819">
              <w:rPr>
                <w:i/>
                <w:sz w:val="20"/>
                <w:lang w:val="fr-CA"/>
              </w:rPr>
              <w:t>in rem</w:t>
            </w:r>
            <w:r w:rsidRPr="00364819">
              <w:rPr>
                <w:sz w:val="20"/>
                <w:lang w:val="fr-CA"/>
              </w:rPr>
              <w:t xml:space="preserve"> portant que la frontière ouest du Traité n</w:t>
            </w:r>
            <w:r w:rsidRPr="00364819">
              <w:rPr>
                <w:sz w:val="20"/>
                <w:vertAlign w:val="superscript"/>
                <w:lang w:val="fr-CA"/>
              </w:rPr>
              <w:t>o</w:t>
            </w:r>
            <w:r w:rsidRPr="00364819">
              <w:rPr>
                <w:sz w:val="20"/>
                <w:lang w:val="fr-CA"/>
              </w:rPr>
              <w:t> 8 est la ligne de crête le long de la ligne de partage des eaux entre les bassins hydrographiques des océans Arctique et Pacifique (la côte arctique</w:t>
            </w:r>
            <w:r w:rsidRPr="00364819">
              <w:rPr>
                <w:sz w:val="20"/>
                <w:lang w:val="fr-CA"/>
              </w:rPr>
              <w:noBreakHyphen/>
              <w:t>pacifique). La Cour d’appel a rejeté l’appel.</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lastRenderedPageBreak/>
              <w:t>25 septembre 2017</w:t>
            </w:r>
          </w:p>
          <w:p w:rsidR="008615DC" w:rsidRPr="00364819" w:rsidRDefault="008615DC" w:rsidP="008615DC">
            <w:pPr>
              <w:jc w:val="both"/>
              <w:rPr>
                <w:sz w:val="20"/>
                <w:lang w:val="fr-CA"/>
              </w:rPr>
            </w:pPr>
            <w:r w:rsidRPr="00364819">
              <w:rPr>
                <w:sz w:val="20"/>
                <w:lang w:val="fr-CA"/>
              </w:rPr>
              <w:t>Cour suprême de la Colombie-Britannique</w:t>
            </w:r>
          </w:p>
          <w:p w:rsidR="008615DC" w:rsidRPr="00364819" w:rsidRDefault="008615DC" w:rsidP="008615DC">
            <w:pPr>
              <w:jc w:val="both"/>
              <w:rPr>
                <w:sz w:val="20"/>
                <w:lang w:val="fr-CA"/>
              </w:rPr>
            </w:pPr>
            <w:r w:rsidRPr="00364819">
              <w:rPr>
                <w:sz w:val="20"/>
                <w:lang w:val="fr-CA"/>
              </w:rPr>
              <w:t>(Juge Johnston)</w:t>
            </w:r>
          </w:p>
          <w:p w:rsidR="008615DC" w:rsidRPr="00364819" w:rsidRDefault="005A78BC" w:rsidP="008615DC">
            <w:pPr>
              <w:jc w:val="both"/>
              <w:rPr>
                <w:sz w:val="20"/>
                <w:lang w:val="fr-CA"/>
              </w:rPr>
            </w:pPr>
            <w:hyperlink r:id="rId46" w:history="1">
              <w:r w:rsidR="008615DC" w:rsidRPr="00364819">
                <w:rPr>
                  <w:rStyle w:val="Hyperlink"/>
                  <w:sz w:val="20"/>
                  <w:lang w:val="fr-CA"/>
                </w:rPr>
                <w:t>2017 BCSC 1700</w:t>
              </w:r>
            </w:hyperlink>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 xml:space="preserve">Jugement déclaratoire </w:t>
            </w:r>
            <w:r w:rsidRPr="00364819">
              <w:rPr>
                <w:i/>
                <w:sz w:val="20"/>
                <w:lang w:val="fr-CA"/>
              </w:rPr>
              <w:t>in rem</w:t>
            </w:r>
            <w:r w:rsidRPr="00364819">
              <w:rPr>
                <w:sz w:val="20"/>
                <w:lang w:val="fr-CA"/>
              </w:rPr>
              <w:t xml:space="preserve"> portant que la frontière ouest du Traité n</w:t>
            </w:r>
            <w:r w:rsidRPr="00364819">
              <w:rPr>
                <w:sz w:val="20"/>
                <w:vertAlign w:val="superscript"/>
                <w:lang w:val="fr-CA"/>
              </w:rPr>
              <w:t>o</w:t>
            </w:r>
            <w:r w:rsidRPr="00364819">
              <w:rPr>
                <w:sz w:val="20"/>
                <w:lang w:val="fr-CA"/>
              </w:rPr>
              <w:t> 8 se situe à la ligne de crête le long de la ligne de partage des eaux entre les bassins hydrographiques des océans Arctique et Pacifique.</w:t>
            </w:r>
          </w:p>
          <w:p w:rsidR="008615DC" w:rsidRPr="00364819" w:rsidRDefault="008615DC" w:rsidP="008615DC">
            <w:pPr>
              <w:jc w:val="both"/>
              <w:rPr>
                <w:sz w:val="20"/>
                <w:lang w:val="fr-CA"/>
              </w:rPr>
            </w:pPr>
          </w:p>
        </w:tc>
      </w:tr>
      <w:tr w:rsidR="008615DC" w:rsidRPr="00364819" w:rsidTr="00136FEB">
        <w:tc>
          <w:tcPr>
            <w:tcW w:w="2427" w:type="pct"/>
            <w:gridSpan w:val="2"/>
          </w:tcPr>
          <w:p w:rsidR="008615DC" w:rsidRPr="00364819" w:rsidRDefault="008615DC" w:rsidP="008615DC">
            <w:pPr>
              <w:jc w:val="both"/>
              <w:rPr>
                <w:sz w:val="20"/>
                <w:lang w:val="fr-CA"/>
              </w:rPr>
            </w:pPr>
            <w:r w:rsidRPr="00364819">
              <w:rPr>
                <w:sz w:val="20"/>
                <w:lang w:val="fr-CA"/>
              </w:rPr>
              <w:t>19 mai 2020</w:t>
            </w:r>
          </w:p>
          <w:p w:rsidR="008615DC" w:rsidRPr="00364819" w:rsidRDefault="008615DC" w:rsidP="008615DC">
            <w:pPr>
              <w:jc w:val="both"/>
              <w:rPr>
                <w:sz w:val="20"/>
                <w:lang w:val="fr-CA"/>
              </w:rPr>
            </w:pPr>
            <w:r w:rsidRPr="00364819">
              <w:rPr>
                <w:sz w:val="20"/>
                <w:lang w:val="fr-CA"/>
              </w:rPr>
              <w:t>Cour d’appel de la Colombie-Britannique</w:t>
            </w:r>
          </w:p>
          <w:p w:rsidR="008615DC" w:rsidRPr="00364819" w:rsidRDefault="008615DC" w:rsidP="008615DC">
            <w:pPr>
              <w:jc w:val="both"/>
              <w:rPr>
                <w:sz w:val="20"/>
                <w:lang w:val="fr-CA"/>
              </w:rPr>
            </w:pPr>
            <w:r w:rsidRPr="00364819">
              <w:rPr>
                <w:sz w:val="20"/>
                <w:lang w:val="fr-CA"/>
              </w:rPr>
              <w:t>(Vancouver)</w:t>
            </w:r>
          </w:p>
          <w:p w:rsidR="008615DC" w:rsidRPr="00364819" w:rsidRDefault="008615DC" w:rsidP="008615DC">
            <w:pPr>
              <w:jc w:val="both"/>
              <w:rPr>
                <w:sz w:val="20"/>
                <w:lang w:val="fr-CA"/>
              </w:rPr>
            </w:pPr>
            <w:r w:rsidRPr="00364819">
              <w:rPr>
                <w:sz w:val="20"/>
                <w:lang w:val="fr-CA"/>
              </w:rPr>
              <w:t xml:space="preserve">(Juge en chef Bauman, juges Smith, </w:t>
            </w:r>
            <w:proofErr w:type="spellStart"/>
            <w:r w:rsidRPr="00364819">
              <w:rPr>
                <w:sz w:val="20"/>
                <w:lang w:val="fr-CA"/>
              </w:rPr>
              <w:t>Goepel</w:t>
            </w:r>
            <w:proofErr w:type="spellEnd"/>
            <w:r w:rsidRPr="00364819">
              <w:rPr>
                <w:sz w:val="20"/>
                <w:lang w:val="fr-CA"/>
              </w:rPr>
              <w:t>)</w:t>
            </w:r>
          </w:p>
          <w:p w:rsidR="008615DC" w:rsidRPr="00364819" w:rsidRDefault="005A78BC" w:rsidP="008615DC">
            <w:pPr>
              <w:jc w:val="both"/>
              <w:rPr>
                <w:sz w:val="20"/>
                <w:lang w:val="fr-CA"/>
              </w:rPr>
            </w:pPr>
            <w:hyperlink r:id="rId47" w:history="1">
              <w:r w:rsidR="008615DC" w:rsidRPr="00364819">
                <w:rPr>
                  <w:rStyle w:val="Hyperlink"/>
                  <w:sz w:val="20"/>
                  <w:lang w:val="fr-CA"/>
                </w:rPr>
                <w:t>2020 BCCA 138</w:t>
              </w:r>
            </w:hyperlink>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L’appel est rejeté.</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18 août 2020</w:t>
            </w:r>
          </w:p>
          <w:p w:rsidR="008615DC" w:rsidRPr="00364819" w:rsidRDefault="008615DC" w:rsidP="008615DC">
            <w:pPr>
              <w:jc w:val="both"/>
              <w:rPr>
                <w:sz w:val="20"/>
                <w:lang w:val="fr-CA"/>
              </w:rPr>
            </w:pPr>
            <w:r w:rsidRPr="00364819">
              <w:rPr>
                <w:sz w:val="20"/>
                <w:lang w:val="fr-CA"/>
              </w:rPr>
              <w:t>Cour suprême du Canada</w:t>
            </w:r>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La première demande d’autorisation d’appel est présentée par la Bande indienne de McLeod Lake.</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18 août 2020</w:t>
            </w:r>
          </w:p>
          <w:p w:rsidR="008615DC" w:rsidRPr="00364819" w:rsidRDefault="008615DC" w:rsidP="008615DC">
            <w:pPr>
              <w:jc w:val="both"/>
              <w:rPr>
                <w:sz w:val="20"/>
                <w:lang w:val="fr-CA"/>
              </w:rPr>
            </w:pPr>
            <w:r w:rsidRPr="00364819">
              <w:rPr>
                <w:sz w:val="20"/>
                <w:lang w:val="fr-CA"/>
              </w:rPr>
              <w:t>Cour suprême du Canada</w:t>
            </w:r>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364819">
            <w:pPr>
              <w:jc w:val="both"/>
              <w:rPr>
                <w:sz w:val="20"/>
                <w:lang w:val="fr-CA"/>
              </w:rPr>
            </w:pPr>
            <w:r w:rsidRPr="00364819">
              <w:rPr>
                <w:sz w:val="20"/>
                <w:lang w:val="fr-CA"/>
              </w:rPr>
              <w:t>La deuxième demande d’autorisation d’appel est présentée par Sa Majesté la Reine du chef de la Colombie-Britannique.</w:t>
            </w:r>
          </w:p>
        </w:tc>
      </w:tr>
    </w:tbl>
    <w:p w:rsidR="008615DC" w:rsidRPr="00364819" w:rsidRDefault="008615DC" w:rsidP="008615DC">
      <w:pPr>
        <w:jc w:val="both"/>
        <w:rPr>
          <w:sz w:val="20"/>
          <w:lang w:val="fr-CA"/>
        </w:rPr>
      </w:pPr>
    </w:p>
    <w:p w:rsidR="00364819" w:rsidRPr="00364819" w:rsidRDefault="005A78BC" w:rsidP="008615DC">
      <w:pPr>
        <w:jc w:val="both"/>
        <w:rPr>
          <w:sz w:val="20"/>
          <w:lang w:val="fr-CA"/>
        </w:rPr>
      </w:pPr>
      <w:r>
        <w:rPr>
          <w:sz w:val="20"/>
        </w:rPr>
        <w:pict>
          <v:rect id="_x0000_i1038" style="width:2in;height:1pt" o:hrpct="0" o:hralign="center" o:hrstd="t" o:hrnoshade="t" o:hr="t" fillcolor="black [3213]" stroked="f"/>
        </w:pict>
      </w:r>
    </w:p>
    <w:p w:rsidR="00E70259" w:rsidRPr="00364819" w:rsidRDefault="00E70259" w:rsidP="008615DC">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39323</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Germaine Anderson on her own behalf and on behalf of all other Beaver Lake Cree Nation beneficiaries of Treaty No. 6 and Beaver Lake Cree Nation v. Her Majesty the Queen in Right of the Province of Alberta, Attorney General of Canada</w:t>
            </w:r>
          </w:p>
          <w:p w:rsidR="008615DC" w:rsidRPr="00364819" w:rsidRDefault="008615DC" w:rsidP="008615DC">
            <w:pPr>
              <w:jc w:val="both"/>
              <w:rPr>
                <w:sz w:val="20"/>
              </w:rPr>
            </w:pPr>
            <w:r w:rsidRPr="00364819">
              <w:rPr>
                <w:sz w:val="20"/>
              </w:rPr>
              <w:t>(Alta.) (Civil) (By Leave)</w:t>
            </w:r>
          </w:p>
        </w:tc>
      </w:tr>
      <w:tr w:rsidR="008615DC" w:rsidRPr="00364819" w:rsidTr="00136FEB">
        <w:tc>
          <w:tcPr>
            <w:tcW w:w="5000" w:type="pct"/>
            <w:gridSpan w:val="4"/>
          </w:tcPr>
          <w:p w:rsidR="008615DC" w:rsidRPr="00364819" w:rsidRDefault="008615DC" w:rsidP="008615DC">
            <w:pPr>
              <w:jc w:val="both"/>
              <w:rPr>
                <w:sz w:val="20"/>
              </w:rPr>
            </w:pPr>
            <w:r w:rsidRPr="00364819">
              <w:rPr>
                <w:sz w:val="20"/>
              </w:rPr>
              <w:t>Civil procedure — Costs — Advance costs — First Nation pursuing claim against provincial and federal Crown for infringement of treaty rights — First Nation seeking advance costs to fund litigation — Case management judge finding criteria for partial advance costs order satisfied — Court of Appeal overturning order as unreasonable, and finding impecuniosity branch of test not met — Whether and how should unique context of First Nation governments and s. 35 claims be considered in financial means test — What is relationship between financial means test and requirements for exceptionality? — Whether litigant can be partially impecunious, resulting in a partial costs order — Whether and how should principle of honour of the Crown inform financial means test.</w:t>
            </w:r>
          </w:p>
        </w:tc>
      </w:tr>
      <w:tr w:rsidR="008615DC" w:rsidRPr="00364819" w:rsidTr="00136FEB">
        <w:tc>
          <w:tcPr>
            <w:tcW w:w="5000" w:type="pct"/>
            <w:gridSpan w:val="4"/>
          </w:tcPr>
          <w:p w:rsidR="008615DC" w:rsidRPr="00364819" w:rsidRDefault="008615DC" w:rsidP="008615DC">
            <w:pPr>
              <w:jc w:val="both"/>
              <w:rPr>
                <w:sz w:val="20"/>
              </w:rPr>
            </w:pPr>
          </w:p>
        </w:tc>
      </w:tr>
      <w:tr w:rsidR="008615DC" w:rsidRPr="00364819" w:rsidTr="00136FEB">
        <w:tc>
          <w:tcPr>
            <w:tcW w:w="5000" w:type="pct"/>
            <w:gridSpan w:val="4"/>
          </w:tcPr>
          <w:p w:rsidR="008615DC" w:rsidRPr="00364819" w:rsidRDefault="008615DC" w:rsidP="008615DC">
            <w:pPr>
              <w:jc w:val="both"/>
              <w:rPr>
                <w:sz w:val="20"/>
              </w:rPr>
            </w:pPr>
            <w:r w:rsidRPr="00364819">
              <w:rPr>
                <w:sz w:val="20"/>
              </w:rPr>
              <w:t>The applicant Beaver Lake Cree Nation filed a claim against Alberta and Canada in 2008, seeking various declarations of rights, injunctions, and damages for the cumulative effects of resource developments allowed on their traditional lands protected by Treaty 6. The trial is currently scheduled for 2024. Thus far, Beaver Lake has spent approximately $3 million in legal fees, of which approximately one half has been paid from its own funds; it presently pays $300,000 in legal fees per year. Beaver Lake filed an application for advance costs in the amount of $5 million to allow them to proceed with their claim.</w:t>
            </w:r>
          </w:p>
          <w:p w:rsidR="008615DC" w:rsidRPr="00364819" w:rsidRDefault="008615DC" w:rsidP="008615DC">
            <w:pPr>
              <w:jc w:val="both"/>
              <w:rPr>
                <w:sz w:val="20"/>
              </w:rPr>
            </w:pPr>
          </w:p>
          <w:p w:rsidR="008615DC" w:rsidRPr="00364819" w:rsidRDefault="008615DC" w:rsidP="008615DC">
            <w:pPr>
              <w:jc w:val="both"/>
              <w:rPr>
                <w:sz w:val="20"/>
              </w:rPr>
            </w:pPr>
            <w:r w:rsidRPr="00364819">
              <w:rPr>
                <w:sz w:val="20"/>
              </w:rPr>
              <w:t>The case management judge at the Alberta Court of Queen’s Bench awarded partial advance costs to Beaver Lake, ordering Alberta and Canada to each pay $300,000 per year towards Beaver Lake’s legal fees, until such time as the trial is concluded or the litigation is resolved. The Court of Appeal reversed this decision and set aside the case management judge’s order of partial advance costs as being unreasonable, finding that Beaver Lake had failed to satisfy the “impecuniosity” branch of the test for advance costs, and that Beaver Lake in fact had access or potential access to several million dollars in order to continue funding the litigation.</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September 30, 2019</w:t>
            </w:r>
          </w:p>
          <w:p w:rsidR="008615DC" w:rsidRPr="00364819" w:rsidRDefault="008615DC" w:rsidP="008615DC">
            <w:pPr>
              <w:jc w:val="both"/>
              <w:rPr>
                <w:sz w:val="20"/>
              </w:rPr>
            </w:pPr>
            <w:r w:rsidRPr="00364819">
              <w:rPr>
                <w:sz w:val="20"/>
              </w:rPr>
              <w:t>Court of Queen’s Bench of Alberta</w:t>
            </w:r>
          </w:p>
          <w:p w:rsidR="008615DC" w:rsidRPr="00364819" w:rsidRDefault="008615DC" w:rsidP="008615DC">
            <w:pPr>
              <w:jc w:val="both"/>
              <w:rPr>
                <w:sz w:val="20"/>
              </w:rPr>
            </w:pPr>
            <w:r w:rsidRPr="00364819">
              <w:rPr>
                <w:sz w:val="20"/>
              </w:rPr>
              <w:t>(Browne J.)</w:t>
            </w:r>
          </w:p>
          <w:p w:rsidR="008615DC" w:rsidRPr="00364819" w:rsidRDefault="005A78BC" w:rsidP="008615DC">
            <w:pPr>
              <w:jc w:val="both"/>
              <w:rPr>
                <w:sz w:val="20"/>
              </w:rPr>
            </w:pPr>
            <w:hyperlink r:id="rId48" w:history="1">
              <w:r w:rsidR="008615DC" w:rsidRPr="00364819">
                <w:rPr>
                  <w:rStyle w:val="Hyperlink"/>
                  <w:sz w:val="20"/>
                </w:rPr>
                <w:t>2019 ABQB 746</w:t>
              </w:r>
            </w:hyperlink>
            <w:r w:rsidR="008615DC" w:rsidRPr="00364819">
              <w:rPr>
                <w:sz w:val="20"/>
              </w:rPr>
              <w:t xml:space="preserve">  </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Application for advance costs order granted in part: Beaver Lake Cree Nation, Alberta and Canada each ordered to provide $300,000 per year for Beaver Lake’s legal fees until trial concluded or litigation resolved.</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June 15, 2020</w:t>
            </w:r>
          </w:p>
          <w:p w:rsidR="008615DC" w:rsidRPr="00364819" w:rsidRDefault="008615DC" w:rsidP="008615DC">
            <w:pPr>
              <w:jc w:val="both"/>
              <w:rPr>
                <w:sz w:val="20"/>
              </w:rPr>
            </w:pPr>
            <w:r w:rsidRPr="00364819">
              <w:rPr>
                <w:sz w:val="20"/>
              </w:rPr>
              <w:t>Court of Appeal of Alberta (Edmonton)</w:t>
            </w:r>
          </w:p>
          <w:p w:rsidR="008615DC" w:rsidRPr="00364819" w:rsidRDefault="008615DC" w:rsidP="008615DC">
            <w:pPr>
              <w:jc w:val="both"/>
              <w:rPr>
                <w:sz w:val="20"/>
              </w:rPr>
            </w:pPr>
            <w:r w:rsidRPr="00364819">
              <w:rPr>
                <w:sz w:val="20"/>
              </w:rPr>
              <w:t>(Slatter, Rowbotham and Pentelechuck JJ.A.)</w:t>
            </w:r>
          </w:p>
          <w:p w:rsidR="008615DC" w:rsidRPr="00364819" w:rsidRDefault="005A78BC" w:rsidP="008615DC">
            <w:pPr>
              <w:jc w:val="both"/>
              <w:rPr>
                <w:sz w:val="20"/>
              </w:rPr>
            </w:pPr>
            <w:hyperlink r:id="rId49" w:history="1">
              <w:r w:rsidR="008615DC" w:rsidRPr="00364819">
                <w:rPr>
                  <w:rStyle w:val="Hyperlink"/>
                  <w:sz w:val="20"/>
                </w:rPr>
                <w:t>2020 ABCA 238</w:t>
              </w:r>
            </w:hyperlink>
            <w:r w:rsidR="008615DC" w:rsidRPr="00364819">
              <w:rPr>
                <w:sz w:val="20"/>
              </w:rPr>
              <w:t xml:space="preserve">  </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Applications for fresh evidence — allowed.</w:t>
            </w:r>
          </w:p>
          <w:p w:rsidR="008615DC" w:rsidRPr="00364819" w:rsidRDefault="008615DC" w:rsidP="008615DC">
            <w:pPr>
              <w:jc w:val="both"/>
              <w:rPr>
                <w:sz w:val="20"/>
              </w:rPr>
            </w:pPr>
            <w:r w:rsidRPr="00364819">
              <w:rPr>
                <w:sz w:val="20"/>
              </w:rPr>
              <w:t>Appeals by Alberta and Canada — allowed.</w:t>
            </w:r>
          </w:p>
          <w:p w:rsidR="008615DC" w:rsidRPr="00364819" w:rsidRDefault="008615DC" w:rsidP="008615DC">
            <w:pPr>
              <w:jc w:val="both"/>
              <w:rPr>
                <w:sz w:val="20"/>
              </w:rPr>
            </w:pPr>
            <w:r w:rsidRPr="00364819">
              <w:rPr>
                <w:sz w:val="20"/>
              </w:rPr>
              <w:t>Advance costs order set aside.</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lastRenderedPageBreak/>
              <w:t>September 14, 2020</w:t>
            </w:r>
          </w:p>
          <w:p w:rsidR="008615DC" w:rsidRPr="00364819" w:rsidRDefault="008615DC" w:rsidP="008615DC">
            <w:pPr>
              <w:jc w:val="both"/>
              <w:rPr>
                <w:sz w:val="20"/>
              </w:rPr>
            </w:pPr>
            <w:r w:rsidRPr="00364819">
              <w:rPr>
                <w:sz w:val="20"/>
              </w:rPr>
              <w:t>Supreme Court of Canada</w:t>
            </w:r>
          </w:p>
        </w:tc>
        <w:tc>
          <w:tcPr>
            <w:tcW w:w="243" w:type="pct"/>
          </w:tcPr>
          <w:p w:rsidR="008615DC" w:rsidRPr="00364819" w:rsidRDefault="008615DC" w:rsidP="008615DC">
            <w:pPr>
              <w:jc w:val="both"/>
              <w:rPr>
                <w:sz w:val="20"/>
              </w:rPr>
            </w:pPr>
          </w:p>
        </w:tc>
        <w:tc>
          <w:tcPr>
            <w:tcW w:w="2330" w:type="pct"/>
          </w:tcPr>
          <w:p w:rsidR="008615DC" w:rsidRPr="00364819" w:rsidRDefault="008615DC" w:rsidP="00364819">
            <w:pPr>
              <w:jc w:val="both"/>
              <w:rPr>
                <w:sz w:val="20"/>
              </w:rPr>
            </w:pPr>
            <w:r w:rsidRPr="00364819">
              <w:rPr>
                <w:sz w:val="20"/>
              </w:rPr>
              <w:t>Application for leave to appeal filed by Germaine Anderson and Beaver Lake.</w:t>
            </w:r>
          </w:p>
        </w:tc>
      </w:tr>
    </w:tbl>
    <w:p w:rsidR="008615DC" w:rsidRPr="00364819" w:rsidRDefault="008615DC" w:rsidP="008615DC">
      <w:pPr>
        <w:jc w:val="both"/>
        <w:rPr>
          <w:sz w:val="20"/>
        </w:rPr>
      </w:pPr>
    </w:p>
    <w:p w:rsidR="00364819" w:rsidRPr="00364819" w:rsidRDefault="005A78BC" w:rsidP="008615DC">
      <w:pPr>
        <w:jc w:val="both"/>
        <w:rPr>
          <w:sz w:val="20"/>
        </w:rPr>
      </w:pPr>
      <w:r>
        <w:rPr>
          <w:sz w:val="20"/>
        </w:rPr>
        <w:pict>
          <v:rect id="_x0000_i1039" style="width:2in;height:1pt" o:hrpct="0" o:hralign="center" o:hrstd="t" o:hrnoshade="t" o:hr="t" fillcolor="black [3213]" stroked="f"/>
        </w:pict>
      </w:r>
    </w:p>
    <w:p w:rsidR="00364819" w:rsidRPr="00364819" w:rsidRDefault="00364819" w:rsidP="008615DC">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lang w:val="fr-CA"/>
              </w:rPr>
            </w:pPr>
            <w:r w:rsidRPr="00364819">
              <w:rPr>
                <w:rStyle w:val="SCCFileNumberChar"/>
                <w:sz w:val="20"/>
                <w:szCs w:val="20"/>
                <w:lang w:val="fr-CA"/>
              </w:rPr>
              <w:t>39323</w:t>
            </w:r>
          </w:p>
        </w:tc>
        <w:tc>
          <w:tcPr>
            <w:tcW w:w="4457" w:type="pct"/>
            <w:gridSpan w:val="3"/>
          </w:tcPr>
          <w:p w:rsidR="008615DC" w:rsidRPr="00364819" w:rsidRDefault="008615DC" w:rsidP="008615DC">
            <w:pPr>
              <w:pStyle w:val="SCCLsocParty"/>
              <w:jc w:val="both"/>
              <w:rPr>
                <w:b/>
                <w:sz w:val="20"/>
                <w:szCs w:val="20"/>
              </w:rPr>
            </w:pPr>
            <w:r w:rsidRPr="00364819">
              <w:rPr>
                <w:b/>
                <w:sz w:val="20"/>
                <w:szCs w:val="20"/>
              </w:rPr>
              <w:t>Germaine Anderson en son propre nom et au nom de tous les autres membres de la Nation crie de Beaver Lake bénéficiaires du Traité n</w:t>
            </w:r>
            <w:r w:rsidRPr="00364819">
              <w:rPr>
                <w:b/>
                <w:sz w:val="20"/>
                <w:szCs w:val="20"/>
                <w:vertAlign w:val="superscript"/>
              </w:rPr>
              <w:t>o</w:t>
            </w:r>
            <w:r w:rsidRPr="00364819">
              <w:rPr>
                <w:b/>
                <w:sz w:val="20"/>
                <w:szCs w:val="20"/>
              </w:rPr>
              <w:t> 6 et la Nation crie de Beaver Lake c. Sa Majesté la Reine du chef de la province de l’Alberta, Procureur général du Canada</w:t>
            </w:r>
          </w:p>
          <w:p w:rsidR="008615DC" w:rsidRPr="00364819" w:rsidRDefault="008615DC" w:rsidP="008615DC">
            <w:pPr>
              <w:jc w:val="both"/>
              <w:rPr>
                <w:sz w:val="20"/>
                <w:lang w:val="fr-CA"/>
              </w:rPr>
            </w:pPr>
            <w:r w:rsidRPr="00364819">
              <w:rPr>
                <w:sz w:val="20"/>
                <w:lang w:val="fr-CA"/>
              </w:rPr>
              <w:t>(Alb.) (Civile) (Sur autorisation)</w:t>
            </w: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Procédure civile — Dépens — Provision pour frais — Première nation poursuivant une instance contre la Couronne provinciale et fédérale pour avoir porté atteinte à des droits issus de traités — La Première nation cherche à obtenir une provision pour frais afin de financer le litige — La juge chargée de la gestion de l’instance a conclu qu’il est satisfait au critère permettant d’accorder une provision pour frais partielle — La Cour d’appel infirme l’ordonnance la jugeant déraisonnable, et conclut qu'il n'est pas satisfait au volet du critère relatif à l’impécuniosité — Le contexte unique des gouvernements des Premières nations et des revendications fondées sur l’art. 35 devrait</w:t>
            </w:r>
            <w:r w:rsidRPr="00364819">
              <w:rPr>
                <w:sz w:val="20"/>
                <w:lang w:val="fr-CA"/>
              </w:rPr>
              <w:noBreakHyphen/>
              <w:t>il être examiné dans le cadre de l’analyse du critère relatif aux moyens financiers, et dans l’affirmative, comment devrait</w:t>
            </w:r>
            <w:r w:rsidRPr="00364819">
              <w:rPr>
                <w:sz w:val="20"/>
                <w:lang w:val="fr-CA"/>
              </w:rPr>
              <w:noBreakHyphen/>
              <w:t>on procéder à cet examen ? — Quel est le lien entre le critère relatif aux moyens financiers et les exigences par rapport au caractère exceptionnel ? — Une partie au litige peut</w:t>
            </w:r>
            <w:r w:rsidRPr="00364819">
              <w:rPr>
                <w:sz w:val="20"/>
                <w:lang w:val="fr-CA"/>
              </w:rPr>
              <w:noBreakHyphen/>
              <w:t>elle être partiellement impécunieuse, donnant ainsi lieu à l’octroi d’une provision pour frais partielle ? — Le principe de l’honneur de la Couronne devrait</w:t>
            </w:r>
            <w:r w:rsidRPr="00364819">
              <w:rPr>
                <w:sz w:val="20"/>
                <w:lang w:val="fr-CA"/>
              </w:rPr>
              <w:noBreakHyphen/>
              <w:t>il venir éclairer le critère relatif aux moyens financiers, et dans l’affirmative, comment devrait-il le faire ?</w:t>
            </w:r>
          </w:p>
        </w:tc>
      </w:tr>
      <w:tr w:rsidR="008615DC" w:rsidRPr="005A78BC" w:rsidTr="00136FEB">
        <w:tc>
          <w:tcPr>
            <w:tcW w:w="5000" w:type="pct"/>
            <w:gridSpan w:val="4"/>
          </w:tcPr>
          <w:p w:rsidR="008615DC" w:rsidRPr="00364819" w:rsidRDefault="008615DC" w:rsidP="008615DC">
            <w:pPr>
              <w:jc w:val="both"/>
              <w:rPr>
                <w:sz w:val="20"/>
                <w:lang w:val="fr-CA"/>
              </w:rPr>
            </w:pP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La demanderesse, la Nation crie de Beaver Lake, a présenté une demande contre l’Alberta et le Canada en 2008, cherchant à obtenir diverses déclarations de droit, des injonctions et des dommages</w:t>
            </w:r>
            <w:r w:rsidRPr="00364819">
              <w:rPr>
                <w:sz w:val="20"/>
                <w:lang w:val="fr-CA"/>
              </w:rPr>
              <w:noBreakHyphen/>
              <w:t>intérêts pour les effets cumulatifs de l’exploitation des ressources naturelles permise sur leurs terres ancestrales protégées par le Traité n</w:t>
            </w:r>
            <w:r w:rsidRPr="00364819">
              <w:rPr>
                <w:sz w:val="20"/>
                <w:vertAlign w:val="superscript"/>
                <w:lang w:val="fr-CA"/>
              </w:rPr>
              <w:t>o</w:t>
            </w:r>
            <w:r w:rsidRPr="00364819">
              <w:rPr>
                <w:sz w:val="20"/>
                <w:lang w:val="fr-CA"/>
              </w:rPr>
              <w:t> 6. Pour l’instant, le procès est prévu en 2024. Jusqu’à présent, Beaver Lake a dépensé environ 3 millions de dollars en fait d’honoraires d’avocat, dont approximativement la moitié a été puisée à même ses propres fonds; elle débourse actuellement 300 000 $ en fait d’honoraires d’avocat par année. Beaver Lake a présenté une demande de provision pour frais au montant de 5 millions de dollars pour lui permettre de continuer de faire avancer sa réclamation.</w:t>
            </w:r>
          </w:p>
          <w:p w:rsidR="008615DC" w:rsidRPr="00364819" w:rsidRDefault="008615DC" w:rsidP="008615DC">
            <w:pPr>
              <w:jc w:val="both"/>
              <w:rPr>
                <w:sz w:val="20"/>
                <w:lang w:val="fr-CA"/>
              </w:rPr>
            </w:pPr>
          </w:p>
          <w:p w:rsidR="008615DC" w:rsidRPr="00364819" w:rsidRDefault="008615DC" w:rsidP="008615DC">
            <w:pPr>
              <w:jc w:val="both"/>
              <w:rPr>
                <w:sz w:val="20"/>
                <w:lang w:val="fr-CA"/>
              </w:rPr>
            </w:pPr>
            <w:r w:rsidRPr="00364819">
              <w:rPr>
                <w:sz w:val="20"/>
                <w:lang w:val="fr-CA"/>
              </w:rPr>
              <w:t>La juge de gestion de l’instance de la Cour du Banc de la Reine de l’Alberta a accordé une provision pour frais partielle à Beaver Lake, ordonnant à l’Alberta et au Canada de payer la somme de 300 000 $ chacun par année aux fins des honoraires d’avocat de Beaver Lake, jusqu’à ce que le procès prenne fin ou que le litige soit réglé. La Cour d’appel a infirmé cette décision et annulé l’ordonnance de provision pour frais partielle rendue par la juge de gestion de l’instance, l’estimant déraisonnable après avoir conclu que Beaver Lake n’avait pas satisfait au volet de l’« impécuniosité » du critère applicable à l’octroi d’une provision pour frais, et que Beaver Lake avait en fait accès ou potentiellement accès à plusieurs millions de dollars afin de continuer à financer le litige.</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30 septembre 2019</w:t>
            </w:r>
          </w:p>
          <w:p w:rsidR="008615DC" w:rsidRPr="00364819" w:rsidRDefault="008615DC" w:rsidP="008615DC">
            <w:pPr>
              <w:jc w:val="both"/>
              <w:rPr>
                <w:sz w:val="20"/>
                <w:lang w:val="fr-CA"/>
              </w:rPr>
            </w:pPr>
            <w:r w:rsidRPr="00364819">
              <w:rPr>
                <w:sz w:val="20"/>
                <w:lang w:val="fr-CA"/>
              </w:rPr>
              <w:t>Cour du Banc de la Reine de l’Alberta</w:t>
            </w:r>
          </w:p>
          <w:p w:rsidR="008615DC" w:rsidRPr="00364819" w:rsidRDefault="008615DC" w:rsidP="008615DC">
            <w:pPr>
              <w:jc w:val="both"/>
              <w:rPr>
                <w:sz w:val="20"/>
                <w:lang w:val="fr-CA"/>
              </w:rPr>
            </w:pPr>
            <w:r w:rsidRPr="00364819">
              <w:rPr>
                <w:sz w:val="20"/>
                <w:lang w:val="fr-CA"/>
              </w:rPr>
              <w:t xml:space="preserve">(Juge </w:t>
            </w:r>
            <w:proofErr w:type="spellStart"/>
            <w:r w:rsidRPr="00364819">
              <w:rPr>
                <w:sz w:val="20"/>
                <w:lang w:val="fr-CA"/>
              </w:rPr>
              <w:t>Browne</w:t>
            </w:r>
            <w:proofErr w:type="spellEnd"/>
            <w:r w:rsidRPr="00364819">
              <w:rPr>
                <w:sz w:val="20"/>
                <w:lang w:val="fr-CA"/>
              </w:rPr>
              <w:t>)</w:t>
            </w:r>
          </w:p>
          <w:p w:rsidR="008615DC" w:rsidRPr="00364819" w:rsidRDefault="005A78BC" w:rsidP="008615DC">
            <w:pPr>
              <w:jc w:val="both"/>
              <w:rPr>
                <w:sz w:val="20"/>
                <w:lang w:val="fr-CA"/>
              </w:rPr>
            </w:pPr>
            <w:hyperlink r:id="rId50" w:history="1">
              <w:r w:rsidR="008615DC" w:rsidRPr="00364819">
                <w:rPr>
                  <w:rStyle w:val="Hyperlink"/>
                  <w:sz w:val="20"/>
                  <w:lang w:val="fr-CA"/>
                </w:rPr>
                <w:t>2019 ABQB 746</w:t>
              </w:r>
            </w:hyperlink>
            <w:r w:rsidR="008615DC" w:rsidRPr="00364819">
              <w:rPr>
                <w:sz w:val="20"/>
                <w:lang w:val="fr-CA"/>
              </w:rPr>
              <w:t xml:space="preserve">  </w:t>
            </w:r>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La demande d’une provision pour frais est accueillie en partie : il a été ordonné à la Nation crie de Beaver Lake, à l’Alberta et au Canada de fournir 300 000 $ par année chacun aux fins de paiement des honoraires d’avocat de Beaver Lake jusqu’à l’issue du procès ou au règlement du litige.</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15 juin 2020</w:t>
            </w:r>
          </w:p>
          <w:p w:rsidR="008615DC" w:rsidRPr="00364819" w:rsidRDefault="008615DC" w:rsidP="008615DC">
            <w:pPr>
              <w:jc w:val="both"/>
              <w:rPr>
                <w:sz w:val="20"/>
                <w:lang w:val="fr-CA"/>
              </w:rPr>
            </w:pPr>
            <w:r w:rsidRPr="00364819">
              <w:rPr>
                <w:sz w:val="20"/>
                <w:lang w:val="fr-CA"/>
              </w:rPr>
              <w:t>Cour d’appel de l’Alberta (Edmonton)</w:t>
            </w:r>
          </w:p>
          <w:p w:rsidR="008615DC" w:rsidRPr="00364819" w:rsidRDefault="008615DC" w:rsidP="008615DC">
            <w:pPr>
              <w:jc w:val="both"/>
              <w:rPr>
                <w:sz w:val="20"/>
                <w:lang w:val="fr-CA"/>
              </w:rPr>
            </w:pPr>
            <w:r w:rsidRPr="00364819">
              <w:rPr>
                <w:sz w:val="20"/>
                <w:lang w:val="fr-CA"/>
              </w:rPr>
              <w:t>(Juges Slatter, Rowbotham et Pentelechuck)</w:t>
            </w:r>
          </w:p>
          <w:p w:rsidR="008615DC" w:rsidRPr="00364819" w:rsidRDefault="005A78BC" w:rsidP="008615DC">
            <w:pPr>
              <w:jc w:val="both"/>
              <w:rPr>
                <w:sz w:val="20"/>
                <w:lang w:val="fr-CA"/>
              </w:rPr>
            </w:pPr>
            <w:hyperlink r:id="rId51" w:history="1">
              <w:r w:rsidR="008615DC" w:rsidRPr="00364819">
                <w:rPr>
                  <w:rStyle w:val="Hyperlink"/>
                  <w:sz w:val="20"/>
                  <w:lang w:val="fr-CA"/>
                </w:rPr>
                <w:t>2020 ABCA 238</w:t>
              </w:r>
            </w:hyperlink>
            <w:r w:rsidR="008615DC" w:rsidRPr="00364819">
              <w:rPr>
                <w:sz w:val="20"/>
                <w:lang w:val="fr-CA"/>
              </w:rPr>
              <w:t xml:space="preserve">  </w:t>
            </w:r>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Les demandes visant à présenter une nouvelle preuve sont accueillies.</w:t>
            </w:r>
          </w:p>
          <w:p w:rsidR="008615DC" w:rsidRPr="00364819" w:rsidRDefault="008615DC" w:rsidP="008615DC">
            <w:pPr>
              <w:jc w:val="both"/>
              <w:rPr>
                <w:sz w:val="20"/>
                <w:lang w:val="fr-CA"/>
              </w:rPr>
            </w:pPr>
            <w:r w:rsidRPr="00364819">
              <w:rPr>
                <w:sz w:val="20"/>
                <w:lang w:val="fr-CA"/>
              </w:rPr>
              <w:t>Les appels présentés par l’Alberta et le Canada sont accueillis.</w:t>
            </w:r>
          </w:p>
          <w:p w:rsidR="008615DC" w:rsidRPr="00364819" w:rsidRDefault="008615DC" w:rsidP="008615DC">
            <w:pPr>
              <w:jc w:val="both"/>
              <w:rPr>
                <w:sz w:val="20"/>
                <w:lang w:val="fr-CA"/>
              </w:rPr>
            </w:pPr>
            <w:r w:rsidRPr="00364819">
              <w:rPr>
                <w:sz w:val="20"/>
                <w:lang w:val="fr-CA"/>
              </w:rPr>
              <w:t>L’ordonnance visant la provision pour frais est annulée.</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14 septembre 2020</w:t>
            </w:r>
          </w:p>
          <w:p w:rsidR="008615DC" w:rsidRPr="00364819" w:rsidRDefault="008615DC" w:rsidP="008615DC">
            <w:pPr>
              <w:jc w:val="both"/>
              <w:rPr>
                <w:sz w:val="20"/>
                <w:lang w:val="fr-CA"/>
              </w:rPr>
            </w:pPr>
            <w:r w:rsidRPr="00364819">
              <w:rPr>
                <w:sz w:val="20"/>
                <w:lang w:val="fr-CA"/>
              </w:rPr>
              <w:t>Cour suprême du Canada</w:t>
            </w: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La demande d’autorisation d’appel est présentée par Germaine Anderson et Beaver Lake.</w:t>
            </w:r>
          </w:p>
          <w:p w:rsidR="008615DC" w:rsidRPr="00364819" w:rsidRDefault="008615DC" w:rsidP="008615DC">
            <w:pPr>
              <w:jc w:val="both"/>
              <w:rPr>
                <w:sz w:val="20"/>
                <w:lang w:val="fr-CA"/>
              </w:rPr>
            </w:pPr>
          </w:p>
        </w:tc>
      </w:tr>
    </w:tbl>
    <w:p w:rsidR="008615DC" w:rsidRPr="00364819" w:rsidRDefault="008615DC" w:rsidP="008615DC">
      <w:pPr>
        <w:jc w:val="both"/>
        <w:rPr>
          <w:sz w:val="20"/>
          <w:lang w:val="fr-CA"/>
        </w:rPr>
      </w:pPr>
    </w:p>
    <w:p w:rsidR="00E70259" w:rsidRPr="00364819" w:rsidRDefault="005A78BC" w:rsidP="008615DC">
      <w:pPr>
        <w:widowControl w:val="0"/>
        <w:jc w:val="both"/>
        <w:rPr>
          <w:sz w:val="20"/>
          <w:lang w:val="fr-CA"/>
        </w:rPr>
      </w:pPr>
      <w:r>
        <w:rPr>
          <w:sz w:val="20"/>
        </w:rPr>
        <w:pict>
          <v:rect id="_x0000_i1040" style="width:2in;height:1pt" o:hrpct="0" o:hralign="center" o:hrstd="t" o:hrnoshade="t" o:hr="t" fillcolor="black [3213]" stroked="f"/>
        </w:pict>
      </w:r>
    </w:p>
    <w:p w:rsidR="00364819" w:rsidRPr="00364819" w:rsidRDefault="00364819" w:rsidP="008615DC">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rPr>
            </w:pPr>
            <w:r w:rsidRPr="00364819">
              <w:rPr>
                <w:rStyle w:val="SCCFileNumberChar"/>
                <w:sz w:val="20"/>
                <w:szCs w:val="20"/>
              </w:rPr>
              <w:t>39347</w:t>
            </w:r>
          </w:p>
        </w:tc>
        <w:tc>
          <w:tcPr>
            <w:tcW w:w="4457" w:type="pct"/>
            <w:gridSpan w:val="3"/>
          </w:tcPr>
          <w:p w:rsidR="008615DC" w:rsidRPr="00364819" w:rsidRDefault="008615DC" w:rsidP="008615DC">
            <w:pPr>
              <w:pStyle w:val="SCCLsocParty"/>
              <w:jc w:val="both"/>
              <w:rPr>
                <w:b/>
                <w:sz w:val="20"/>
                <w:szCs w:val="20"/>
                <w:lang w:val="en-US"/>
              </w:rPr>
            </w:pPr>
            <w:r w:rsidRPr="00364819">
              <w:rPr>
                <w:b/>
                <w:sz w:val="20"/>
                <w:szCs w:val="20"/>
                <w:lang w:val="en-US"/>
              </w:rPr>
              <w:t>Hutchingame Growth Capital Corporation v. Independent Electricity System Operator</w:t>
            </w:r>
          </w:p>
          <w:p w:rsidR="008615DC" w:rsidRPr="00364819" w:rsidRDefault="008615DC" w:rsidP="008615DC">
            <w:pPr>
              <w:jc w:val="both"/>
              <w:rPr>
                <w:sz w:val="20"/>
              </w:rPr>
            </w:pPr>
            <w:r w:rsidRPr="00364819">
              <w:rPr>
                <w:sz w:val="20"/>
              </w:rPr>
              <w:t>(Ont.) (Civil) (By Leave)</w:t>
            </w:r>
          </w:p>
        </w:tc>
      </w:tr>
      <w:tr w:rsidR="008615DC" w:rsidRPr="00364819" w:rsidTr="00136FEB">
        <w:tc>
          <w:tcPr>
            <w:tcW w:w="5000" w:type="pct"/>
            <w:gridSpan w:val="4"/>
          </w:tcPr>
          <w:p w:rsidR="008615DC" w:rsidRPr="00364819" w:rsidRDefault="008615DC" w:rsidP="008615DC">
            <w:pPr>
              <w:jc w:val="both"/>
              <w:rPr>
                <w:sz w:val="20"/>
              </w:rPr>
            </w:pPr>
            <w:r w:rsidRPr="00364819">
              <w:rPr>
                <w:sz w:val="20"/>
              </w:rPr>
              <w:t>Contracts — Commercial contracts — Breach of contract — Automatic termination provisions — Bankruptcy and insolvency — C</w:t>
            </w:r>
            <w:r w:rsidRPr="00364819">
              <w:rPr>
                <w:sz w:val="20"/>
                <w:lang w:val="en"/>
              </w:rPr>
              <w:t xml:space="preserve">ontract dispute over a failed renewable energy project — </w:t>
            </w:r>
            <w:r w:rsidRPr="00364819">
              <w:rPr>
                <w:sz w:val="20"/>
              </w:rPr>
              <w:t>To what extent can contracting parties agree to non</w:t>
            </w:r>
            <w:r w:rsidRPr="00364819">
              <w:rPr>
                <w:sz w:val="20"/>
              </w:rPr>
              <w:noBreakHyphen/>
              <w:t xml:space="preserve">application of automatic termination provisions contained in contract — Whether the automatic termination provisions of the contract violate </w:t>
            </w:r>
            <w:r w:rsidRPr="00364819">
              <w:rPr>
                <w:i/>
                <w:sz w:val="20"/>
              </w:rPr>
              <w:t>Bankruptcy and Insolvency Act</w:t>
            </w:r>
            <w:r w:rsidRPr="00364819">
              <w:rPr>
                <w:sz w:val="20"/>
              </w:rPr>
              <w:t>, R.S.C. 1985, c. B</w:t>
            </w:r>
            <w:r w:rsidRPr="00364819">
              <w:rPr>
                <w:sz w:val="20"/>
              </w:rPr>
              <w:noBreakHyphen/>
              <w:t>3, ss. 69.3 and 84.1 and/or the “anti</w:t>
            </w:r>
            <w:r w:rsidRPr="00364819">
              <w:rPr>
                <w:sz w:val="20"/>
              </w:rPr>
              <w:noBreakHyphen/>
              <w:t>deprivation rule”.</w:t>
            </w:r>
          </w:p>
        </w:tc>
      </w:tr>
      <w:tr w:rsidR="008615DC" w:rsidRPr="00364819" w:rsidTr="00136FEB">
        <w:tc>
          <w:tcPr>
            <w:tcW w:w="5000" w:type="pct"/>
            <w:gridSpan w:val="4"/>
          </w:tcPr>
          <w:p w:rsidR="008615DC" w:rsidRPr="00364819" w:rsidRDefault="008615DC" w:rsidP="008615DC">
            <w:pPr>
              <w:jc w:val="both"/>
              <w:rPr>
                <w:sz w:val="20"/>
              </w:rPr>
            </w:pPr>
          </w:p>
        </w:tc>
      </w:tr>
      <w:tr w:rsidR="008615DC" w:rsidRPr="00364819" w:rsidTr="00136FEB">
        <w:tc>
          <w:tcPr>
            <w:tcW w:w="5000" w:type="pct"/>
            <w:gridSpan w:val="4"/>
          </w:tcPr>
          <w:p w:rsidR="008615DC" w:rsidRPr="00364819" w:rsidRDefault="008615DC" w:rsidP="008615DC">
            <w:pPr>
              <w:jc w:val="both"/>
              <w:rPr>
                <w:sz w:val="20"/>
                <w:lang w:val="en"/>
              </w:rPr>
            </w:pPr>
            <w:r w:rsidRPr="00364819">
              <w:rPr>
                <w:sz w:val="20"/>
                <w:lang w:val="en"/>
              </w:rPr>
              <w:t xml:space="preserve">The issues here arise from a contract dispute over a failed renewable energy project that was to be built and operated by Greenview Power. (The applicant, Hutchingame Growth Capital Corporation (“HGC”) later purchased some of Greenview Power’s secured debt and assumed its effective control.) The project was to generate and supply electricity to the Ontario Power Authority. The respondent, the Independent Electricity System Operator (“IESO”), is the Authority’s successor. IESO took the position that the Renewable Energy Standard Offer Program Contract (“RESOP Contract”) had terminated upon Greenview Power’s bankruptcy under the </w:t>
            </w:r>
            <w:r w:rsidRPr="00364819">
              <w:rPr>
                <w:i/>
                <w:sz w:val="20"/>
                <w:lang w:val="en"/>
              </w:rPr>
              <w:t>Bankruptcy and Insolvency Act</w:t>
            </w:r>
            <w:r w:rsidRPr="00364819">
              <w:rPr>
                <w:sz w:val="20"/>
                <w:lang w:val="en"/>
              </w:rPr>
              <w:t>, R.S.C. 1985, c. B</w:t>
            </w:r>
            <w:r w:rsidRPr="00364819">
              <w:rPr>
                <w:sz w:val="20"/>
                <w:lang w:val="en"/>
              </w:rPr>
              <w:noBreakHyphen/>
              <w:t>3. HGC brought this action seeking damages of $4,796,479.41 from IESO, claiming breach of contract, negligent misrepresentation, and breach of the duty of good faith. The trial judge dismissed the action. The Court o</w:t>
            </w:r>
            <w:r w:rsidR="00364819" w:rsidRPr="00364819">
              <w:rPr>
                <w:sz w:val="20"/>
                <w:lang w:val="en"/>
              </w:rPr>
              <w:t>f Appeal dismissed the appeal.</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January 10, 2019</w:t>
            </w:r>
          </w:p>
          <w:p w:rsidR="008615DC" w:rsidRPr="00364819" w:rsidRDefault="008615DC" w:rsidP="008615DC">
            <w:pPr>
              <w:jc w:val="both"/>
              <w:rPr>
                <w:sz w:val="20"/>
              </w:rPr>
            </w:pPr>
            <w:r w:rsidRPr="00364819">
              <w:rPr>
                <w:sz w:val="20"/>
              </w:rPr>
              <w:t>Ontario Superior Court of Justice</w:t>
            </w:r>
          </w:p>
          <w:p w:rsidR="008615DC" w:rsidRPr="00364819" w:rsidRDefault="008615DC" w:rsidP="008615DC">
            <w:pPr>
              <w:jc w:val="both"/>
              <w:rPr>
                <w:sz w:val="20"/>
              </w:rPr>
            </w:pPr>
            <w:r w:rsidRPr="00364819">
              <w:rPr>
                <w:sz w:val="20"/>
              </w:rPr>
              <w:t>(Roger J.)</w:t>
            </w:r>
          </w:p>
          <w:p w:rsidR="008615DC" w:rsidRPr="00364819" w:rsidRDefault="005A78BC" w:rsidP="008615DC">
            <w:pPr>
              <w:jc w:val="both"/>
              <w:rPr>
                <w:sz w:val="20"/>
              </w:rPr>
            </w:pPr>
            <w:hyperlink r:id="rId52" w:history="1">
              <w:r w:rsidR="008615DC" w:rsidRPr="00364819">
                <w:rPr>
                  <w:rStyle w:val="Hyperlink"/>
                  <w:sz w:val="20"/>
                </w:rPr>
                <w:t>2019 ONSC 259</w:t>
              </w:r>
            </w:hyperlink>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 xml:space="preserve">Action against Independent Electricity System Operator dismissed. </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July 2, 2020</w:t>
            </w:r>
          </w:p>
          <w:p w:rsidR="008615DC" w:rsidRPr="00364819" w:rsidRDefault="008615DC" w:rsidP="008615DC">
            <w:pPr>
              <w:jc w:val="both"/>
              <w:rPr>
                <w:sz w:val="20"/>
              </w:rPr>
            </w:pPr>
            <w:r w:rsidRPr="00364819">
              <w:rPr>
                <w:sz w:val="20"/>
              </w:rPr>
              <w:t>Court of Appeal for Ontario</w:t>
            </w:r>
          </w:p>
          <w:p w:rsidR="008615DC" w:rsidRPr="00364819" w:rsidRDefault="008615DC" w:rsidP="008615DC">
            <w:pPr>
              <w:jc w:val="both"/>
              <w:rPr>
                <w:sz w:val="20"/>
              </w:rPr>
            </w:pPr>
            <w:r w:rsidRPr="00364819">
              <w:rPr>
                <w:sz w:val="20"/>
              </w:rPr>
              <w:t>(Lauwers, Hourigan and Thorburn JJ.A.)</w:t>
            </w:r>
          </w:p>
          <w:p w:rsidR="008615DC" w:rsidRPr="00364819" w:rsidRDefault="005A78BC" w:rsidP="008615DC">
            <w:pPr>
              <w:jc w:val="both"/>
              <w:rPr>
                <w:sz w:val="20"/>
              </w:rPr>
            </w:pPr>
            <w:hyperlink r:id="rId53" w:history="1">
              <w:r w:rsidR="008615DC" w:rsidRPr="00364819">
                <w:rPr>
                  <w:rStyle w:val="Hyperlink"/>
                  <w:sz w:val="20"/>
                </w:rPr>
                <w:t>2020 ONCA 430</w:t>
              </w:r>
            </w:hyperlink>
          </w:p>
          <w:p w:rsidR="008615DC" w:rsidRPr="00364819" w:rsidRDefault="008615DC" w:rsidP="008615DC">
            <w:pPr>
              <w:jc w:val="both"/>
              <w:rPr>
                <w:sz w:val="20"/>
              </w:rPr>
            </w:pPr>
            <w:r w:rsidRPr="00364819">
              <w:rPr>
                <w:sz w:val="20"/>
              </w:rPr>
              <w:t>File No.: C66553</w:t>
            </w:r>
          </w:p>
          <w:p w:rsidR="008615DC" w:rsidRPr="00364819" w:rsidRDefault="008615DC" w:rsidP="008615DC">
            <w:pPr>
              <w:jc w:val="both"/>
              <w:rPr>
                <w:sz w:val="20"/>
              </w:rPr>
            </w:pP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 xml:space="preserve">Appeal dismissed.  </w:t>
            </w:r>
          </w:p>
          <w:p w:rsidR="008615DC" w:rsidRPr="00364819" w:rsidRDefault="008615DC" w:rsidP="008615DC">
            <w:pPr>
              <w:jc w:val="both"/>
              <w:rPr>
                <w:sz w:val="20"/>
              </w:rPr>
            </w:pPr>
          </w:p>
        </w:tc>
      </w:tr>
      <w:tr w:rsidR="008615DC" w:rsidRPr="00364819" w:rsidTr="00136FEB">
        <w:tc>
          <w:tcPr>
            <w:tcW w:w="2427" w:type="pct"/>
            <w:gridSpan w:val="2"/>
          </w:tcPr>
          <w:p w:rsidR="008615DC" w:rsidRPr="00364819" w:rsidRDefault="008615DC" w:rsidP="008615DC">
            <w:pPr>
              <w:jc w:val="both"/>
              <w:rPr>
                <w:sz w:val="20"/>
              </w:rPr>
            </w:pPr>
            <w:r w:rsidRPr="00364819">
              <w:rPr>
                <w:sz w:val="20"/>
              </w:rPr>
              <w:t>September 30, 2020</w:t>
            </w:r>
          </w:p>
          <w:p w:rsidR="008615DC" w:rsidRPr="00364819" w:rsidRDefault="00364819" w:rsidP="008615DC">
            <w:pPr>
              <w:jc w:val="both"/>
              <w:rPr>
                <w:sz w:val="20"/>
              </w:rPr>
            </w:pPr>
            <w:r w:rsidRPr="00364819">
              <w:rPr>
                <w:sz w:val="20"/>
              </w:rPr>
              <w:t>Supreme Court of Canada</w:t>
            </w:r>
          </w:p>
        </w:tc>
        <w:tc>
          <w:tcPr>
            <w:tcW w:w="243" w:type="pct"/>
          </w:tcPr>
          <w:p w:rsidR="008615DC" w:rsidRPr="00364819" w:rsidRDefault="008615DC" w:rsidP="008615DC">
            <w:pPr>
              <w:jc w:val="both"/>
              <w:rPr>
                <w:sz w:val="20"/>
              </w:rPr>
            </w:pPr>
          </w:p>
        </w:tc>
        <w:tc>
          <w:tcPr>
            <w:tcW w:w="2330" w:type="pct"/>
          </w:tcPr>
          <w:p w:rsidR="008615DC" w:rsidRPr="00364819" w:rsidRDefault="008615DC" w:rsidP="008615DC">
            <w:pPr>
              <w:jc w:val="both"/>
              <w:rPr>
                <w:sz w:val="20"/>
              </w:rPr>
            </w:pPr>
            <w:r w:rsidRPr="00364819">
              <w:rPr>
                <w:sz w:val="20"/>
              </w:rPr>
              <w:t>Application for leave to appeal filed.</w:t>
            </w:r>
          </w:p>
          <w:p w:rsidR="008615DC" w:rsidRPr="00364819" w:rsidRDefault="008615DC" w:rsidP="008615DC">
            <w:pPr>
              <w:jc w:val="both"/>
              <w:rPr>
                <w:sz w:val="20"/>
              </w:rPr>
            </w:pPr>
          </w:p>
        </w:tc>
      </w:tr>
    </w:tbl>
    <w:p w:rsidR="008615DC" w:rsidRPr="00364819" w:rsidRDefault="008615DC" w:rsidP="008615DC">
      <w:pPr>
        <w:jc w:val="both"/>
        <w:rPr>
          <w:sz w:val="20"/>
        </w:rPr>
      </w:pPr>
    </w:p>
    <w:p w:rsidR="00364819" w:rsidRPr="00364819" w:rsidRDefault="005A78BC" w:rsidP="008615DC">
      <w:pPr>
        <w:jc w:val="both"/>
        <w:rPr>
          <w:sz w:val="20"/>
        </w:rPr>
      </w:pPr>
      <w:r>
        <w:rPr>
          <w:sz w:val="20"/>
        </w:rPr>
        <w:pict>
          <v:rect id="_x0000_i1041" style="width:2in;height:1pt" o:hrpct="0" o:hralign="center" o:hrstd="t" o:hrnoshade="t" o:hr="t" fillcolor="black [3213]" stroked="f"/>
        </w:pict>
      </w:r>
    </w:p>
    <w:p w:rsidR="00364819" w:rsidRPr="00364819" w:rsidRDefault="00364819" w:rsidP="008615DC">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8615DC" w:rsidRPr="00364819" w:rsidTr="00136FEB">
        <w:tc>
          <w:tcPr>
            <w:tcW w:w="543" w:type="pct"/>
          </w:tcPr>
          <w:p w:rsidR="008615DC" w:rsidRPr="00364819" w:rsidRDefault="008615DC" w:rsidP="008615DC">
            <w:pPr>
              <w:jc w:val="both"/>
              <w:rPr>
                <w:sz w:val="20"/>
                <w:lang w:val="fr-CA"/>
              </w:rPr>
            </w:pPr>
            <w:r w:rsidRPr="00364819">
              <w:rPr>
                <w:rStyle w:val="SCCFileNumberChar"/>
                <w:sz w:val="20"/>
                <w:szCs w:val="20"/>
                <w:lang w:val="fr-CA"/>
              </w:rPr>
              <w:t>39347</w:t>
            </w:r>
          </w:p>
        </w:tc>
        <w:tc>
          <w:tcPr>
            <w:tcW w:w="4457" w:type="pct"/>
            <w:gridSpan w:val="3"/>
          </w:tcPr>
          <w:p w:rsidR="008615DC" w:rsidRPr="00364819" w:rsidRDefault="008615DC" w:rsidP="008615DC">
            <w:pPr>
              <w:pStyle w:val="SCCLsocParty"/>
              <w:jc w:val="both"/>
              <w:rPr>
                <w:b/>
                <w:sz w:val="20"/>
                <w:szCs w:val="20"/>
              </w:rPr>
            </w:pPr>
            <w:r w:rsidRPr="00364819">
              <w:rPr>
                <w:b/>
                <w:sz w:val="20"/>
                <w:szCs w:val="20"/>
              </w:rPr>
              <w:t xml:space="preserve">Hutchingame Growth Capital Corporation c. </w:t>
            </w:r>
            <w:r w:rsidRPr="00364819">
              <w:rPr>
                <w:b/>
                <w:bCs/>
                <w:sz w:val="20"/>
                <w:szCs w:val="20"/>
              </w:rPr>
              <w:t>Société indépendante d’exploitation du réseau d’électricité</w:t>
            </w:r>
          </w:p>
          <w:p w:rsidR="008615DC" w:rsidRPr="00364819" w:rsidRDefault="008615DC" w:rsidP="008615DC">
            <w:pPr>
              <w:jc w:val="both"/>
              <w:rPr>
                <w:sz w:val="20"/>
                <w:lang w:val="fr-CA"/>
              </w:rPr>
            </w:pPr>
            <w:r w:rsidRPr="00364819">
              <w:rPr>
                <w:sz w:val="20"/>
                <w:lang w:val="fr-CA"/>
              </w:rPr>
              <w:t>(Ont.) (Civile) (Sur autorisation)</w:t>
            </w: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Contrats — Contrats commerciaux — Rupture de contrat — Clauses prévoyant la cessation automatique — Faillite et insolvabilité — Litige contractuel relatif à un projet d’énergie renouvelable qui a échoué — Dans quelle mesure les cocontractants peuvent</w:t>
            </w:r>
            <w:r w:rsidRPr="00364819">
              <w:rPr>
                <w:sz w:val="20"/>
                <w:lang w:val="fr-CA"/>
              </w:rPr>
              <w:noBreakHyphen/>
              <w:t>ils s’entendre pour faire en sorte que les clauses du contrat prévoyant la cessation automatique ne s’appliquent pas ? — Les clauses du contrat prévoyant la cessation automatique portent</w:t>
            </w:r>
            <w:r w:rsidRPr="00364819">
              <w:rPr>
                <w:sz w:val="20"/>
                <w:lang w:val="fr-CA"/>
              </w:rPr>
              <w:noBreakHyphen/>
              <w:t xml:space="preserve">elles atteinte à la </w:t>
            </w:r>
            <w:r w:rsidRPr="00364819">
              <w:rPr>
                <w:i/>
                <w:sz w:val="20"/>
                <w:lang w:val="fr-CA"/>
              </w:rPr>
              <w:t>Loi sur la faillite et l’insolvabilité</w:t>
            </w:r>
            <w:r w:rsidRPr="00364819">
              <w:rPr>
                <w:sz w:val="20"/>
                <w:lang w:val="fr-CA"/>
              </w:rPr>
              <w:t>, L.R.C. 1985, ch. B</w:t>
            </w:r>
            <w:r w:rsidRPr="00364819">
              <w:rPr>
                <w:sz w:val="20"/>
                <w:lang w:val="fr-CA"/>
              </w:rPr>
              <w:noBreakHyphen/>
              <w:t>3, art. 69.3 et 84.1 ou à la règle « anti</w:t>
            </w:r>
            <w:r w:rsidRPr="00364819">
              <w:rPr>
                <w:sz w:val="20"/>
                <w:lang w:val="fr-CA"/>
              </w:rPr>
              <w:noBreakHyphen/>
              <w:t>privation » ou aux deux ?</w:t>
            </w:r>
          </w:p>
        </w:tc>
      </w:tr>
      <w:tr w:rsidR="008615DC" w:rsidRPr="005A78BC" w:rsidTr="00136FEB">
        <w:tc>
          <w:tcPr>
            <w:tcW w:w="5000" w:type="pct"/>
            <w:gridSpan w:val="4"/>
          </w:tcPr>
          <w:p w:rsidR="008615DC" w:rsidRPr="00364819" w:rsidRDefault="008615DC" w:rsidP="008615DC">
            <w:pPr>
              <w:jc w:val="both"/>
              <w:rPr>
                <w:sz w:val="20"/>
                <w:lang w:val="fr-CA"/>
              </w:rPr>
            </w:pPr>
          </w:p>
        </w:tc>
      </w:tr>
      <w:tr w:rsidR="008615DC" w:rsidRPr="005A78BC" w:rsidTr="00136FEB">
        <w:tc>
          <w:tcPr>
            <w:tcW w:w="5000" w:type="pct"/>
            <w:gridSpan w:val="4"/>
          </w:tcPr>
          <w:p w:rsidR="008615DC" w:rsidRPr="00364819" w:rsidRDefault="008615DC" w:rsidP="008615DC">
            <w:pPr>
              <w:jc w:val="both"/>
              <w:rPr>
                <w:sz w:val="20"/>
                <w:lang w:val="fr-CA"/>
              </w:rPr>
            </w:pPr>
            <w:r w:rsidRPr="00364819">
              <w:rPr>
                <w:sz w:val="20"/>
                <w:lang w:val="fr-CA"/>
              </w:rPr>
              <w:t>Les questions en l’espèce découlent d’un litige contractuel mettant en cause un projet d’énergie renouvelable qui a échoué dont Greenview Power allait s’occuper de la construction et de l’exploitation. (Le demandeur, Hutchingame Growth Capital Corporation (« HGC ») a plus tard acheter une partie de la créance garantie de Greenview Power et en a assumé le contrôle effectif.) Le projet visait la production et la distribution d’électricité à l’Office de l’électricité de l’Ontario. L’intimée, la</w:t>
            </w:r>
            <w:r w:rsidRPr="00364819">
              <w:rPr>
                <w:bCs/>
                <w:sz w:val="20"/>
                <w:lang w:val="fr-CA"/>
              </w:rPr>
              <w:t xml:space="preserve"> Société indépendante d’exploitation du réseau d’électricité</w:t>
            </w:r>
            <w:r w:rsidRPr="00364819">
              <w:rPr>
                <w:sz w:val="20"/>
                <w:lang w:val="fr-CA"/>
              </w:rPr>
              <w:t xml:space="preserve"> (« SIERE »), a succédé à l’Office de l’électricité de l’Ontario. La SIERE soutenait que le contrat relatif au programme d’offre normalisée d’énergie renouvelable (contrat « PONER ») avait pris fin au moment de la faillite de Greenview Power en vertu de la </w:t>
            </w:r>
            <w:r w:rsidRPr="00364819">
              <w:rPr>
                <w:i/>
                <w:sz w:val="20"/>
                <w:lang w:val="fr-CA"/>
              </w:rPr>
              <w:t>Loi sur la faillite et l’insolvabilité</w:t>
            </w:r>
            <w:r w:rsidRPr="00364819">
              <w:rPr>
                <w:sz w:val="20"/>
                <w:lang w:val="fr-CA"/>
              </w:rPr>
              <w:t>,</w:t>
            </w:r>
            <w:r w:rsidRPr="00364819">
              <w:rPr>
                <w:i/>
                <w:sz w:val="20"/>
                <w:lang w:val="fr-CA"/>
              </w:rPr>
              <w:t xml:space="preserve"> </w:t>
            </w:r>
            <w:r w:rsidRPr="00364819">
              <w:rPr>
                <w:sz w:val="20"/>
                <w:lang w:val="fr-CA"/>
              </w:rPr>
              <w:t>L.R.C. 1985, ch. B</w:t>
            </w:r>
            <w:r w:rsidRPr="00364819">
              <w:rPr>
                <w:sz w:val="20"/>
                <w:lang w:val="fr-CA"/>
              </w:rPr>
              <w:noBreakHyphen/>
              <w:t xml:space="preserve">3. HGC a intenté la présente action en dommages-intérêts </w:t>
            </w:r>
            <w:r w:rsidRPr="00364819">
              <w:rPr>
                <w:sz w:val="20"/>
                <w:lang w:val="fr-CA"/>
              </w:rPr>
              <w:lastRenderedPageBreak/>
              <w:t xml:space="preserve">à l’encontre de la SIERE pour la somme de 4 796 479,41 $, alléguant qu’il y avait eu rupture de contrat, déclaration inexacte faite par négligence et manquement à l’obligation d’agir de bonne foi. Le juge de première instance a rejeté l’action. La Cour d’appel a rejeté l’appel.  </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lastRenderedPageBreak/>
              <w:t>10 janvier 2019</w:t>
            </w:r>
          </w:p>
          <w:p w:rsidR="008615DC" w:rsidRPr="00364819" w:rsidRDefault="008615DC" w:rsidP="008615DC">
            <w:pPr>
              <w:jc w:val="both"/>
              <w:rPr>
                <w:sz w:val="20"/>
                <w:lang w:val="fr-CA"/>
              </w:rPr>
            </w:pPr>
            <w:r w:rsidRPr="00364819">
              <w:rPr>
                <w:sz w:val="20"/>
                <w:lang w:val="fr-CA"/>
              </w:rPr>
              <w:t xml:space="preserve">Cour supérieure de justice de l’Ontario </w:t>
            </w:r>
          </w:p>
          <w:p w:rsidR="008615DC" w:rsidRPr="00364819" w:rsidRDefault="008615DC" w:rsidP="008615DC">
            <w:pPr>
              <w:jc w:val="both"/>
              <w:rPr>
                <w:sz w:val="20"/>
                <w:lang w:val="fr-CA"/>
              </w:rPr>
            </w:pPr>
            <w:r w:rsidRPr="00364819">
              <w:rPr>
                <w:sz w:val="20"/>
                <w:lang w:val="fr-CA"/>
              </w:rPr>
              <w:t>(Juge Roger)</w:t>
            </w:r>
          </w:p>
          <w:p w:rsidR="008615DC" w:rsidRPr="00364819" w:rsidRDefault="005A78BC" w:rsidP="008615DC">
            <w:pPr>
              <w:jc w:val="both"/>
              <w:rPr>
                <w:sz w:val="20"/>
                <w:lang w:val="fr-CA"/>
              </w:rPr>
            </w:pPr>
            <w:hyperlink r:id="rId54" w:history="1">
              <w:r w:rsidR="008615DC" w:rsidRPr="00364819">
                <w:rPr>
                  <w:rStyle w:val="Hyperlink"/>
                  <w:sz w:val="20"/>
                  <w:lang w:val="fr-CA"/>
                </w:rPr>
                <w:t>2019 ONSC 259</w:t>
              </w:r>
            </w:hyperlink>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L’action intentée contre la</w:t>
            </w:r>
            <w:r w:rsidRPr="00364819">
              <w:rPr>
                <w:bCs/>
                <w:sz w:val="20"/>
                <w:lang w:val="fr-CA"/>
              </w:rPr>
              <w:t xml:space="preserve"> Société indépendante d’exploitation du réseau d’électricité est rejetée</w:t>
            </w:r>
            <w:r w:rsidRPr="00364819">
              <w:rPr>
                <w:sz w:val="20"/>
                <w:lang w:val="fr-CA"/>
              </w:rPr>
              <w:t xml:space="preserve">. </w:t>
            </w:r>
          </w:p>
          <w:p w:rsidR="008615DC" w:rsidRPr="00364819" w:rsidRDefault="008615DC" w:rsidP="008615DC">
            <w:pPr>
              <w:jc w:val="both"/>
              <w:rPr>
                <w:sz w:val="20"/>
                <w:lang w:val="fr-CA"/>
              </w:rPr>
            </w:pPr>
          </w:p>
        </w:tc>
      </w:tr>
      <w:tr w:rsidR="008615DC" w:rsidRPr="00364819" w:rsidTr="00136FEB">
        <w:tc>
          <w:tcPr>
            <w:tcW w:w="2427" w:type="pct"/>
            <w:gridSpan w:val="2"/>
          </w:tcPr>
          <w:p w:rsidR="008615DC" w:rsidRPr="00364819" w:rsidRDefault="008615DC" w:rsidP="008615DC">
            <w:pPr>
              <w:jc w:val="both"/>
              <w:rPr>
                <w:sz w:val="20"/>
                <w:lang w:val="fr-CA"/>
              </w:rPr>
            </w:pPr>
            <w:r w:rsidRPr="00364819">
              <w:rPr>
                <w:sz w:val="20"/>
                <w:lang w:val="fr-CA"/>
              </w:rPr>
              <w:t>2 juillet 2020</w:t>
            </w:r>
          </w:p>
          <w:p w:rsidR="008615DC" w:rsidRPr="00364819" w:rsidRDefault="008615DC" w:rsidP="008615DC">
            <w:pPr>
              <w:jc w:val="both"/>
              <w:rPr>
                <w:sz w:val="20"/>
                <w:lang w:val="fr-CA"/>
              </w:rPr>
            </w:pPr>
            <w:r w:rsidRPr="00364819">
              <w:rPr>
                <w:sz w:val="20"/>
                <w:lang w:val="fr-CA"/>
              </w:rPr>
              <w:t>Cour d’appel de l’Ontario</w:t>
            </w:r>
          </w:p>
          <w:p w:rsidR="008615DC" w:rsidRPr="00364819" w:rsidRDefault="008615DC" w:rsidP="008615DC">
            <w:pPr>
              <w:jc w:val="both"/>
              <w:rPr>
                <w:sz w:val="20"/>
                <w:lang w:val="fr-CA"/>
              </w:rPr>
            </w:pPr>
            <w:r w:rsidRPr="00364819">
              <w:rPr>
                <w:sz w:val="20"/>
                <w:lang w:val="fr-CA"/>
              </w:rPr>
              <w:t xml:space="preserve">(Juges Lauwers, </w:t>
            </w:r>
            <w:proofErr w:type="spellStart"/>
            <w:r w:rsidRPr="00364819">
              <w:rPr>
                <w:sz w:val="20"/>
                <w:lang w:val="fr-CA"/>
              </w:rPr>
              <w:t>Hourigan</w:t>
            </w:r>
            <w:proofErr w:type="spellEnd"/>
            <w:r w:rsidRPr="00364819">
              <w:rPr>
                <w:sz w:val="20"/>
                <w:lang w:val="fr-CA"/>
              </w:rPr>
              <w:t xml:space="preserve"> et </w:t>
            </w:r>
            <w:proofErr w:type="spellStart"/>
            <w:r w:rsidRPr="00364819">
              <w:rPr>
                <w:sz w:val="20"/>
                <w:lang w:val="fr-CA"/>
              </w:rPr>
              <w:t>Thorburn</w:t>
            </w:r>
            <w:proofErr w:type="spellEnd"/>
            <w:r w:rsidRPr="00364819">
              <w:rPr>
                <w:sz w:val="20"/>
                <w:lang w:val="fr-CA"/>
              </w:rPr>
              <w:t>)</w:t>
            </w:r>
          </w:p>
          <w:p w:rsidR="008615DC" w:rsidRPr="00364819" w:rsidRDefault="005A78BC" w:rsidP="008615DC">
            <w:pPr>
              <w:jc w:val="both"/>
              <w:rPr>
                <w:sz w:val="20"/>
                <w:lang w:val="fr-CA"/>
              </w:rPr>
            </w:pPr>
            <w:hyperlink r:id="rId55" w:history="1">
              <w:r w:rsidR="008615DC" w:rsidRPr="00364819">
                <w:rPr>
                  <w:rStyle w:val="Hyperlink"/>
                  <w:sz w:val="20"/>
                  <w:lang w:val="fr-CA"/>
                </w:rPr>
                <w:t>2020 ONCA 430</w:t>
              </w:r>
            </w:hyperlink>
          </w:p>
          <w:p w:rsidR="008615DC" w:rsidRPr="00364819" w:rsidRDefault="008615DC" w:rsidP="008615DC">
            <w:pPr>
              <w:jc w:val="both"/>
              <w:rPr>
                <w:sz w:val="20"/>
                <w:lang w:val="fr-CA"/>
              </w:rPr>
            </w:pPr>
            <w:r w:rsidRPr="00364819">
              <w:rPr>
                <w:sz w:val="20"/>
                <w:lang w:val="fr-CA"/>
              </w:rPr>
              <w:t>N</w:t>
            </w:r>
            <w:r w:rsidRPr="00364819">
              <w:rPr>
                <w:sz w:val="20"/>
                <w:vertAlign w:val="superscript"/>
                <w:lang w:val="fr-CA"/>
              </w:rPr>
              <w:t>o</w:t>
            </w:r>
            <w:r w:rsidRPr="00364819">
              <w:rPr>
                <w:sz w:val="20"/>
                <w:lang w:val="fr-CA"/>
              </w:rPr>
              <w:t xml:space="preserve"> de dossier : C66553</w:t>
            </w:r>
          </w:p>
          <w:p w:rsidR="008615DC" w:rsidRPr="00364819" w:rsidRDefault="008615DC" w:rsidP="008615DC">
            <w:pPr>
              <w:jc w:val="both"/>
              <w:rPr>
                <w:sz w:val="20"/>
                <w:lang w:val="fr-CA"/>
              </w:rPr>
            </w:pP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 xml:space="preserve">L’appel est rejeté.  </w:t>
            </w:r>
          </w:p>
          <w:p w:rsidR="008615DC" w:rsidRPr="00364819" w:rsidRDefault="008615DC" w:rsidP="008615DC">
            <w:pPr>
              <w:jc w:val="both"/>
              <w:rPr>
                <w:sz w:val="20"/>
                <w:lang w:val="fr-CA"/>
              </w:rPr>
            </w:pPr>
          </w:p>
        </w:tc>
      </w:tr>
      <w:tr w:rsidR="008615DC" w:rsidRPr="005A78BC" w:rsidTr="00136FEB">
        <w:tc>
          <w:tcPr>
            <w:tcW w:w="2427" w:type="pct"/>
            <w:gridSpan w:val="2"/>
          </w:tcPr>
          <w:p w:rsidR="008615DC" w:rsidRPr="00364819" w:rsidRDefault="008615DC" w:rsidP="008615DC">
            <w:pPr>
              <w:jc w:val="both"/>
              <w:rPr>
                <w:sz w:val="20"/>
                <w:lang w:val="fr-CA"/>
              </w:rPr>
            </w:pPr>
            <w:r w:rsidRPr="00364819">
              <w:rPr>
                <w:sz w:val="20"/>
                <w:lang w:val="fr-CA"/>
              </w:rPr>
              <w:t>30 septembre 2020</w:t>
            </w:r>
          </w:p>
          <w:p w:rsidR="008615DC" w:rsidRPr="00364819" w:rsidRDefault="008615DC" w:rsidP="00364819">
            <w:pPr>
              <w:jc w:val="both"/>
              <w:rPr>
                <w:sz w:val="20"/>
                <w:lang w:val="fr-CA"/>
              </w:rPr>
            </w:pPr>
            <w:r w:rsidRPr="00364819">
              <w:rPr>
                <w:sz w:val="20"/>
                <w:lang w:val="fr-CA"/>
              </w:rPr>
              <w:t>Cour suprême du Canada</w:t>
            </w:r>
          </w:p>
        </w:tc>
        <w:tc>
          <w:tcPr>
            <w:tcW w:w="243" w:type="pct"/>
          </w:tcPr>
          <w:p w:rsidR="008615DC" w:rsidRPr="00364819" w:rsidRDefault="008615DC" w:rsidP="008615DC">
            <w:pPr>
              <w:jc w:val="both"/>
              <w:rPr>
                <w:sz w:val="20"/>
                <w:lang w:val="fr-CA"/>
              </w:rPr>
            </w:pPr>
          </w:p>
        </w:tc>
        <w:tc>
          <w:tcPr>
            <w:tcW w:w="2330" w:type="pct"/>
          </w:tcPr>
          <w:p w:rsidR="008615DC" w:rsidRPr="00364819" w:rsidRDefault="008615DC" w:rsidP="008615DC">
            <w:pPr>
              <w:jc w:val="both"/>
              <w:rPr>
                <w:sz w:val="20"/>
                <w:lang w:val="fr-CA"/>
              </w:rPr>
            </w:pPr>
            <w:r w:rsidRPr="00364819">
              <w:rPr>
                <w:sz w:val="20"/>
                <w:lang w:val="fr-CA"/>
              </w:rPr>
              <w:t>La demande d’autorisation d’appel est présentée.</w:t>
            </w:r>
          </w:p>
          <w:p w:rsidR="008615DC" w:rsidRPr="00364819" w:rsidRDefault="008615DC" w:rsidP="008615DC">
            <w:pPr>
              <w:jc w:val="both"/>
              <w:rPr>
                <w:sz w:val="20"/>
                <w:lang w:val="fr-CA"/>
              </w:rPr>
            </w:pPr>
          </w:p>
        </w:tc>
      </w:tr>
    </w:tbl>
    <w:p w:rsidR="002C5E29" w:rsidRPr="00364819" w:rsidRDefault="002C5E29" w:rsidP="00870335">
      <w:pPr>
        <w:widowControl w:val="0"/>
        <w:jc w:val="both"/>
        <w:rPr>
          <w:sz w:val="20"/>
          <w:lang w:val="fr-CA"/>
        </w:rPr>
      </w:pPr>
    </w:p>
    <w:p w:rsidR="00E85588" w:rsidRPr="00364819" w:rsidRDefault="005A78BC" w:rsidP="00E85588">
      <w:pPr>
        <w:jc w:val="both"/>
        <w:rPr>
          <w:sz w:val="20"/>
        </w:rPr>
      </w:pPr>
      <w:r>
        <w:rPr>
          <w:sz w:val="20"/>
        </w:rPr>
        <w:pict>
          <v:rect id="_x0000_i1042" style="width:2in;height:1pt" o:hrpct="0" o:hralign="center" o:hrstd="t" o:hrnoshade="t" o:hr="t" fillcolor="black [3213]" stroked="f"/>
        </w:pict>
      </w:r>
    </w:p>
    <w:p w:rsidR="00E85588" w:rsidRPr="00364819" w:rsidRDefault="00E85588" w:rsidP="00E85588">
      <w:pPr>
        <w:jc w:val="both"/>
        <w:rPr>
          <w:sz w:val="20"/>
        </w:rPr>
      </w:pPr>
    </w:p>
    <w:p w:rsidR="005C7161" w:rsidRPr="00364819" w:rsidRDefault="005C7161" w:rsidP="006A22CA">
      <w:pPr>
        <w:ind w:left="142" w:hanging="142"/>
        <w:jc w:val="both"/>
        <w:rPr>
          <w:sz w:val="20"/>
        </w:rPr>
      </w:pPr>
    </w:p>
    <w:p w:rsidR="00FD3FA0" w:rsidRPr="00364819" w:rsidRDefault="00FD3FA0" w:rsidP="006A22CA">
      <w:pPr>
        <w:ind w:left="142" w:hanging="142"/>
        <w:jc w:val="both"/>
        <w:rPr>
          <w:sz w:val="20"/>
        </w:rPr>
      </w:pPr>
    </w:p>
    <w:p w:rsidR="00D3344A" w:rsidRPr="00364819" w:rsidRDefault="00D3344A" w:rsidP="00D3344A">
      <w:pPr>
        <w:widowControl w:val="0"/>
        <w:outlineLvl w:val="0"/>
      </w:pPr>
      <w:r w:rsidRPr="00364819">
        <w:t xml:space="preserve">Supreme Court of Canada / Cour suprême du </w:t>
      </w:r>
      <w:proofErr w:type="gramStart"/>
      <w:r w:rsidRPr="00364819">
        <w:t>Canad</w:t>
      </w:r>
      <w:r w:rsidR="00EE289F" w:rsidRPr="00364819">
        <w:t>a</w:t>
      </w:r>
      <w:r w:rsidRPr="00364819">
        <w:t xml:space="preserve"> :</w:t>
      </w:r>
      <w:proofErr w:type="gramEnd"/>
    </w:p>
    <w:p w:rsidR="00D3344A" w:rsidRPr="00364819" w:rsidRDefault="005A78BC" w:rsidP="00D3344A">
      <w:pPr>
        <w:widowControl w:val="0"/>
        <w:outlineLvl w:val="0"/>
        <w:rPr>
          <w:u w:val="single"/>
        </w:rPr>
      </w:pPr>
      <w:hyperlink r:id="rId56" w:history="1">
        <w:r w:rsidR="009B7391" w:rsidRPr="00364819">
          <w:rPr>
            <w:rStyle w:val="Hyperlink"/>
          </w:rPr>
          <w:t>comments-commentaires@scc-csc.ca</w:t>
        </w:r>
      </w:hyperlink>
    </w:p>
    <w:p w:rsidR="00D3344A" w:rsidRPr="00364819" w:rsidRDefault="0065588C" w:rsidP="00D3344A">
      <w:pPr>
        <w:widowControl w:val="0"/>
        <w:outlineLvl w:val="0"/>
      </w:pPr>
      <w:r w:rsidRPr="00364819">
        <w:t>613-</w:t>
      </w:r>
      <w:r w:rsidR="00D3344A" w:rsidRPr="00364819">
        <w:t>995-4330</w:t>
      </w:r>
    </w:p>
    <w:p w:rsidR="00497B5E" w:rsidRPr="00364819" w:rsidRDefault="00497B5E" w:rsidP="00497B5E">
      <w:pPr>
        <w:widowControl w:val="0"/>
        <w:rPr>
          <w:sz w:val="20"/>
        </w:rPr>
      </w:pPr>
    </w:p>
    <w:p w:rsidR="00F6251B" w:rsidRPr="006E558B" w:rsidRDefault="003F43E6" w:rsidP="00F6251B">
      <w:pPr>
        <w:pStyle w:val="Footer"/>
        <w:jc w:val="center"/>
      </w:pPr>
      <w:r w:rsidRPr="00364819">
        <w:t>- 30 -</w:t>
      </w:r>
    </w:p>
    <w:sectPr w:rsidR="00F6251B" w:rsidRPr="006E558B" w:rsidSect="00E62F93">
      <w:headerReference w:type="even" r:id="rId57"/>
      <w:headerReference w:type="default" r:id="rId58"/>
      <w:footerReference w:type="even" r:id="rId59"/>
      <w:footerReference w:type="default" r:id="rId60"/>
      <w:headerReference w:type="first" r:id="rId61"/>
      <w:footerReference w:type="first" r:id="rId62"/>
      <w:pgSz w:w="12240" w:h="15840"/>
      <w:pgMar w:top="851" w:right="1440" w:bottom="1134" w:left="1440" w:header="578" w:footer="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EB" w:rsidRDefault="00136FEB" w:rsidP="0034178A">
      <w:r>
        <w:separator/>
      </w:r>
    </w:p>
  </w:endnote>
  <w:endnote w:type="continuationSeparator" w:id="0">
    <w:p w:rsidR="00136FEB" w:rsidRDefault="00136FE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EB" w:rsidRDefault="00136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EB" w:rsidRPr="009F77F0" w:rsidRDefault="00136FEB"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EB" w:rsidRDefault="00136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EB" w:rsidRDefault="00136FEB" w:rsidP="0034178A">
      <w:r>
        <w:separator/>
      </w:r>
    </w:p>
  </w:footnote>
  <w:footnote w:type="continuationSeparator" w:id="0">
    <w:p w:rsidR="00136FEB" w:rsidRDefault="00136FE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EB" w:rsidRDefault="00136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EB" w:rsidRDefault="00136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EB" w:rsidRDefault="00136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2AA1"/>
    <w:multiLevelType w:val="hybridMultilevel"/>
    <w:tmpl w:val="5D40C488"/>
    <w:lvl w:ilvl="0" w:tplc="DD1C1D66">
      <w:start w:val="7"/>
      <w:numFmt w:val="decimal"/>
      <w:lvlText w:val="%1."/>
      <w:lvlJc w:val="left"/>
      <w:pPr>
        <w:ind w:left="810" w:hanging="360"/>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0168"/>
    <w:multiLevelType w:val="hybridMultilevel"/>
    <w:tmpl w:val="2B64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4CCB"/>
    <w:multiLevelType w:val="hybridMultilevel"/>
    <w:tmpl w:val="96BC1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305FB"/>
    <w:multiLevelType w:val="hybridMultilevel"/>
    <w:tmpl w:val="A6EAF2B0"/>
    <w:lvl w:ilvl="0" w:tplc="1324CB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617AE"/>
    <w:multiLevelType w:val="hybridMultilevel"/>
    <w:tmpl w:val="3350EE4C"/>
    <w:lvl w:ilvl="0" w:tplc="5D620E9E">
      <w:start w:val="7"/>
      <w:numFmt w:val="decimal"/>
      <w:lvlText w:val="%1."/>
      <w:lvlJc w:val="left"/>
      <w:pPr>
        <w:ind w:left="810" w:hanging="360"/>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90573"/>
    <w:multiLevelType w:val="hybridMultilevel"/>
    <w:tmpl w:val="6C3A54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780F59"/>
    <w:multiLevelType w:val="hybridMultilevel"/>
    <w:tmpl w:val="EF5A10DE"/>
    <w:lvl w:ilvl="0" w:tplc="716E2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3D65"/>
    <w:multiLevelType w:val="hybridMultilevel"/>
    <w:tmpl w:val="4294757C"/>
    <w:lvl w:ilvl="0" w:tplc="AC62D5D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A4EFA"/>
    <w:multiLevelType w:val="hybridMultilevel"/>
    <w:tmpl w:val="421209BC"/>
    <w:lvl w:ilvl="0" w:tplc="F5CC30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35C5F"/>
    <w:multiLevelType w:val="hybridMultilevel"/>
    <w:tmpl w:val="62F6FD16"/>
    <w:lvl w:ilvl="0" w:tplc="BCEE850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E47A7"/>
    <w:multiLevelType w:val="hybridMultilevel"/>
    <w:tmpl w:val="07EEB1CC"/>
    <w:lvl w:ilvl="0" w:tplc="68EA51F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5579B"/>
    <w:multiLevelType w:val="hybridMultilevel"/>
    <w:tmpl w:val="7804C5B6"/>
    <w:lvl w:ilvl="0" w:tplc="8D1CF112">
      <w:start w:val="9"/>
      <w:numFmt w:val="decimal"/>
      <w:lvlText w:val="%1."/>
      <w:lvlJc w:val="left"/>
      <w:pPr>
        <w:ind w:left="720" w:hanging="360"/>
      </w:pPr>
      <w:rPr>
        <w:rFonts w:hint="default"/>
        <w:b w:val="0"/>
        <w:lang w:val="en-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C6E766C"/>
    <w:multiLevelType w:val="hybridMultilevel"/>
    <w:tmpl w:val="F59294E0"/>
    <w:lvl w:ilvl="0" w:tplc="E21856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35751"/>
    <w:multiLevelType w:val="hybridMultilevel"/>
    <w:tmpl w:val="00840858"/>
    <w:lvl w:ilvl="0" w:tplc="99A6208A">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A3B2B"/>
    <w:multiLevelType w:val="hybridMultilevel"/>
    <w:tmpl w:val="238E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722FE"/>
    <w:multiLevelType w:val="hybridMultilevel"/>
    <w:tmpl w:val="8A767CF0"/>
    <w:lvl w:ilvl="0" w:tplc="8A0C68E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C168C"/>
    <w:multiLevelType w:val="hybridMultilevel"/>
    <w:tmpl w:val="E04667A2"/>
    <w:lvl w:ilvl="0" w:tplc="0CFA4778">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527BC"/>
    <w:multiLevelType w:val="hybridMultilevel"/>
    <w:tmpl w:val="BAC6E870"/>
    <w:lvl w:ilvl="0" w:tplc="9A38E5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7616A"/>
    <w:multiLevelType w:val="hybridMultilevel"/>
    <w:tmpl w:val="DDC68A92"/>
    <w:lvl w:ilvl="0" w:tplc="A98840A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7483B"/>
    <w:multiLevelType w:val="hybridMultilevel"/>
    <w:tmpl w:val="DDC68A92"/>
    <w:lvl w:ilvl="0" w:tplc="A98840A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355EE"/>
    <w:multiLevelType w:val="hybridMultilevel"/>
    <w:tmpl w:val="3FA4C54C"/>
    <w:lvl w:ilvl="0" w:tplc="78408C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14585"/>
    <w:multiLevelType w:val="hybridMultilevel"/>
    <w:tmpl w:val="02F49A9A"/>
    <w:lvl w:ilvl="0" w:tplc="0882DB7E">
      <w:start w:val="8"/>
      <w:numFmt w:val="decimal"/>
      <w:lvlText w:val="%1."/>
      <w:lvlJc w:val="left"/>
      <w:pPr>
        <w:ind w:left="810" w:hanging="360"/>
      </w:pPr>
      <w:rPr>
        <w:rFonts w:eastAsiaTheme="minorHAnsi" w:cstheme="minorBid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103EBE"/>
    <w:multiLevelType w:val="hybridMultilevel"/>
    <w:tmpl w:val="842AABD2"/>
    <w:lvl w:ilvl="0" w:tplc="15385E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A0413"/>
    <w:multiLevelType w:val="hybridMultilevel"/>
    <w:tmpl w:val="AB1CF54C"/>
    <w:lvl w:ilvl="0" w:tplc="E490F57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17199"/>
    <w:multiLevelType w:val="hybridMultilevel"/>
    <w:tmpl w:val="64C65B84"/>
    <w:lvl w:ilvl="0" w:tplc="6674EB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07717"/>
    <w:multiLevelType w:val="hybridMultilevel"/>
    <w:tmpl w:val="208ABB5C"/>
    <w:lvl w:ilvl="0" w:tplc="30EAF05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E2AB4"/>
    <w:multiLevelType w:val="hybridMultilevel"/>
    <w:tmpl w:val="163448CA"/>
    <w:lvl w:ilvl="0" w:tplc="00006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A563F"/>
    <w:multiLevelType w:val="hybridMultilevel"/>
    <w:tmpl w:val="02F49A9A"/>
    <w:lvl w:ilvl="0" w:tplc="0882DB7E">
      <w:start w:val="8"/>
      <w:numFmt w:val="decimal"/>
      <w:lvlText w:val="%1."/>
      <w:lvlJc w:val="left"/>
      <w:pPr>
        <w:ind w:left="810" w:hanging="360"/>
      </w:pPr>
      <w:rPr>
        <w:rFonts w:eastAsiaTheme="minorHAnsi" w:cstheme="minorBid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C305A6"/>
    <w:multiLevelType w:val="hybridMultilevel"/>
    <w:tmpl w:val="8A64C412"/>
    <w:lvl w:ilvl="0" w:tplc="8D22EFB8">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6"/>
  </w:num>
  <w:num w:numId="5">
    <w:abstractNumId w:val="28"/>
  </w:num>
  <w:num w:numId="6">
    <w:abstractNumId w:val="20"/>
  </w:num>
  <w:num w:numId="7">
    <w:abstractNumId w:val="10"/>
  </w:num>
  <w:num w:numId="8">
    <w:abstractNumId w:val="27"/>
  </w:num>
  <w:num w:numId="9">
    <w:abstractNumId w:val="4"/>
  </w:num>
  <w:num w:numId="10">
    <w:abstractNumId w:val="25"/>
  </w:num>
  <w:num w:numId="11">
    <w:abstractNumId w:val="13"/>
  </w:num>
  <w:num w:numId="12">
    <w:abstractNumId w:val="15"/>
  </w:num>
  <w:num w:numId="13">
    <w:abstractNumId w:val="19"/>
  </w:num>
  <w:num w:numId="14">
    <w:abstractNumId w:val="18"/>
  </w:num>
  <w:num w:numId="15">
    <w:abstractNumId w:val="22"/>
  </w:num>
  <w:num w:numId="16">
    <w:abstractNumId w:val="24"/>
  </w:num>
  <w:num w:numId="17">
    <w:abstractNumId w:val="5"/>
  </w:num>
  <w:num w:numId="18">
    <w:abstractNumId w:val="26"/>
  </w:num>
  <w:num w:numId="19">
    <w:abstractNumId w:val="17"/>
  </w:num>
  <w:num w:numId="20">
    <w:abstractNumId w:val="1"/>
  </w:num>
  <w:num w:numId="21">
    <w:abstractNumId w:val="0"/>
  </w:num>
  <w:num w:numId="22">
    <w:abstractNumId w:val="12"/>
  </w:num>
  <w:num w:numId="23">
    <w:abstractNumId w:val="23"/>
  </w:num>
  <w:num w:numId="24">
    <w:abstractNumId w:val="7"/>
  </w:num>
  <w:num w:numId="25">
    <w:abstractNumId w:val="21"/>
  </w:num>
  <w:num w:numId="26">
    <w:abstractNumId w:val="8"/>
  </w:num>
  <w:num w:numId="27">
    <w:abstractNumId w:val="11"/>
  </w:num>
  <w:num w:numId="28">
    <w:abstractNumId w:val="14"/>
  </w:num>
  <w:num w:numId="2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36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309"/>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2FFC"/>
    <w:rsid w:val="00013258"/>
    <w:rsid w:val="000136CC"/>
    <w:rsid w:val="0001374A"/>
    <w:rsid w:val="000147B1"/>
    <w:rsid w:val="00014C19"/>
    <w:rsid w:val="00014CA5"/>
    <w:rsid w:val="00014E32"/>
    <w:rsid w:val="00015958"/>
    <w:rsid w:val="000164DB"/>
    <w:rsid w:val="00016932"/>
    <w:rsid w:val="00016D65"/>
    <w:rsid w:val="00016D95"/>
    <w:rsid w:val="0001736B"/>
    <w:rsid w:val="000176FB"/>
    <w:rsid w:val="00017D08"/>
    <w:rsid w:val="00020797"/>
    <w:rsid w:val="00020816"/>
    <w:rsid w:val="00020A11"/>
    <w:rsid w:val="00020DAE"/>
    <w:rsid w:val="00021515"/>
    <w:rsid w:val="0002267C"/>
    <w:rsid w:val="00022EFE"/>
    <w:rsid w:val="000238E0"/>
    <w:rsid w:val="00024962"/>
    <w:rsid w:val="00024D1A"/>
    <w:rsid w:val="000250B7"/>
    <w:rsid w:val="00025F42"/>
    <w:rsid w:val="00026D5C"/>
    <w:rsid w:val="00027443"/>
    <w:rsid w:val="000276EE"/>
    <w:rsid w:val="00027781"/>
    <w:rsid w:val="000277E1"/>
    <w:rsid w:val="00030233"/>
    <w:rsid w:val="00030382"/>
    <w:rsid w:val="00030D15"/>
    <w:rsid w:val="00032189"/>
    <w:rsid w:val="00032732"/>
    <w:rsid w:val="00032BD3"/>
    <w:rsid w:val="00032CDB"/>
    <w:rsid w:val="00032E02"/>
    <w:rsid w:val="00033257"/>
    <w:rsid w:val="00033935"/>
    <w:rsid w:val="00033D1E"/>
    <w:rsid w:val="00033D28"/>
    <w:rsid w:val="00034387"/>
    <w:rsid w:val="000343B3"/>
    <w:rsid w:val="0003496D"/>
    <w:rsid w:val="00034A7F"/>
    <w:rsid w:val="000352F8"/>
    <w:rsid w:val="00035790"/>
    <w:rsid w:val="000368C3"/>
    <w:rsid w:val="00036DC6"/>
    <w:rsid w:val="0003725B"/>
    <w:rsid w:val="000374DA"/>
    <w:rsid w:val="00040247"/>
    <w:rsid w:val="00040C48"/>
    <w:rsid w:val="00040DBB"/>
    <w:rsid w:val="00040E91"/>
    <w:rsid w:val="00041302"/>
    <w:rsid w:val="000414EB"/>
    <w:rsid w:val="0004159F"/>
    <w:rsid w:val="00041650"/>
    <w:rsid w:val="00041B58"/>
    <w:rsid w:val="00042069"/>
    <w:rsid w:val="00042390"/>
    <w:rsid w:val="00042618"/>
    <w:rsid w:val="0004298B"/>
    <w:rsid w:val="00042E94"/>
    <w:rsid w:val="000437B4"/>
    <w:rsid w:val="00043D20"/>
    <w:rsid w:val="00043FDE"/>
    <w:rsid w:val="000464AC"/>
    <w:rsid w:val="000467DE"/>
    <w:rsid w:val="00046CB2"/>
    <w:rsid w:val="00046DF1"/>
    <w:rsid w:val="00047188"/>
    <w:rsid w:val="0004769C"/>
    <w:rsid w:val="00047941"/>
    <w:rsid w:val="00047CD6"/>
    <w:rsid w:val="00051DE6"/>
    <w:rsid w:val="00052C3A"/>
    <w:rsid w:val="00053B2B"/>
    <w:rsid w:val="00053BAF"/>
    <w:rsid w:val="00054353"/>
    <w:rsid w:val="0005486A"/>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516"/>
    <w:rsid w:val="00063A81"/>
    <w:rsid w:val="0006417A"/>
    <w:rsid w:val="000645F4"/>
    <w:rsid w:val="00064D3D"/>
    <w:rsid w:val="000657E8"/>
    <w:rsid w:val="00065F8F"/>
    <w:rsid w:val="00066404"/>
    <w:rsid w:val="0006649C"/>
    <w:rsid w:val="0006663B"/>
    <w:rsid w:val="00066B80"/>
    <w:rsid w:val="00067F50"/>
    <w:rsid w:val="00070830"/>
    <w:rsid w:val="00070B2E"/>
    <w:rsid w:val="00073B1F"/>
    <w:rsid w:val="0007424A"/>
    <w:rsid w:val="00074E6D"/>
    <w:rsid w:val="00074EB7"/>
    <w:rsid w:val="000757E6"/>
    <w:rsid w:val="000770D5"/>
    <w:rsid w:val="00077C71"/>
    <w:rsid w:val="00077CCC"/>
    <w:rsid w:val="00077CF7"/>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1D6"/>
    <w:rsid w:val="0008327A"/>
    <w:rsid w:val="00083C1B"/>
    <w:rsid w:val="000841F9"/>
    <w:rsid w:val="000843DB"/>
    <w:rsid w:val="000845AF"/>
    <w:rsid w:val="00084C8D"/>
    <w:rsid w:val="00085BE8"/>
    <w:rsid w:val="00085D13"/>
    <w:rsid w:val="00086629"/>
    <w:rsid w:val="00087808"/>
    <w:rsid w:val="000879BA"/>
    <w:rsid w:val="00087CEF"/>
    <w:rsid w:val="00090151"/>
    <w:rsid w:val="0009046F"/>
    <w:rsid w:val="00090A95"/>
    <w:rsid w:val="00090D30"/>
    <w:rsid w:val="00091FFC"/>
    <w:rsid w:val="00093575"/>
    <w:rsid w:val="00093693"/>
    <w:rsid w:val="00093B7C"/>
    <w:rsid w:val="00093DFA"/>
    <w:rsid w:val="00093FF5"/>
    <w:rsid w:val="00094C56"/>
    <w:rsid w:val="00095627"/>
    <w:rsid w:val="00095945"/>
    <w:rsid w:val="00095A2E"/>
    <w:rsid w:val="0009681E"/>
    <w:rsid w:val="00096BDC"/>
    <w:rsid w:val="00096F2F"/>
    <w:rsid w:val="000975EC"/>
    <w:rsid w:val="00097C55"/>
    <w:rsid w:val="000A0444"/>
    <w:rsid w:val="000A0472"/>
    <w:rsid w:val="000A0F64"/>
    <w:rsid w:val="000A152E"/>
    <w:rsid w:val="000A1691"/>
    <w:rsid w:val="000A1891"/>
    <w:rsid w:val="000A1E61"/>
    <w:rsid w:val="000A20B0"/>
    <w:rsid w:val="000A245A"/>
    <w:rsid w:val="000A2C8D"/>
    <w:rsid w:val="000A397A"/>
    <w:rsid w:val="000A4311"/>
    <w:rsid w:val="000A43F5"/>
    <w:rsid w:val="000A4D7E"/>
    <w:rsid w:val="000A50F9"/>
    <w:rsid w:val="000A53E5"/>
    <w:rsid w:val="000A6C60"/>
    <w:rsid w:val="000A6F64"/>
    <w:rsid w:val="000A76D7"/>
    <w:rsid w:val="000A7798"/>
    <w:rsid w:val="000A78FC"/>
    <w:rsid w:val="000A7978"/>
    <w:rsid w:val="000A7C00"/>
    <w:rsid w:val="000A7E1F"/>
    <w:rsid w:val="000B02A2"/>
    <w:rsid w:val="000B07FB"/>
    <w:rsid w:val="000B10DF"/>
    <w:rsid w:val="000B1297"/>
    <w:rsid w:val="000B163F"/>
    <w:rsid w:val="000B29B7"/>
    <w:rsid w:val="000B2CB2"/>
    <w:rsid w:val="000B38C9"/>
    <w:rsid w:val="000B46A2"/>
    <w:rsid w:val="000B47C0"/>
    <w:rsid w:val="000B503B"/>
    <w:rsid w:val="000B5E52"/>
    <w:rsid w:val="000B6193"/>
    <w:rsid w:val="000B6AB3"/>
    <w:rsid w:val="000B7258"/>
    <w:rsid w:val="000B754A"/>
    <w:rsid w:val="000B7552"/>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200"/>
    <w:rsid w:val="000D262B"/>
    <w:rsid w:val="000D2F5C"/>
    <w:rsid w:val="000D2F8A"/>
    <w:rsid w:val="000D3129"/>
    <w:rsid w:val="000D3C7E"/>
    <w:rsid w:val="000D4BBF"/>
    <w:rsid w:val="000D556A"/>
    <w:rsid w:val="000D6416"/>
    <w:rsid w:val="000D66BD"/>
    <w:rsid w:val="000D6FB8"/>
    <w:rsid w:val="000D793B"/>
    <w:rsid w:val="000E0D38"/>
    <w:rsid w:val="000E1AEC"/>
    <w:rsid w:val="000E1B37"/>
    <w:rsid w:val="000E1FB7"/>
    <w:rsid w:val="000E3195"/>
    <w:rsid w:val="000E35CD"/>
    <w:rsid w:val="000E391F"/>
    <w:rsid w:val="000E3CC1"/>
    <w:rsid w:val="000E4801"/>
    <w:rsid w:val="000E4F1E"/>
    <w:rsid w:val="000E50F2"/>
    <w:rsid w:val="000E514D"/>
    <w:rsid w:val="000E51E9"/>
    <w:rsid w:val="000E5407"/>
    <w:rsid w:val="000E5979"/>
    <w:rsid w:val="000E5CCD"/>
    <w:rsid w:val="000E6310"/>
    <w:rsid w:val="000E68D3"/>
    <w:rsid w:val="000E6E56"/>
    <w:rsid w:val="000F03FB"/>
    <w:rsid w:val="000F04BF"/>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6D48"/>
    <w:rsid w:val="00107219"/>
    <w:rsid w:val="00107693"/>
    <w:rsid w:val="00107A49"/>
    <w:rsid w:val="00107DAF"/>
    <w:rsid w:val="001101BB"/>
    <w:rsid w:val="00110FE1"/>
    <w:rsid w:val="001120A0"/>
    <w:rsid w:val="0011219D"/>
    <w:rsid w:val="00113F0C"/>
    <w:rsid w:val="0011442D"/>
    <w:rsid w:val="001147A4"/>
    <w:rsid w:val="00114929"/>
    <w:rsid w:val="00115653"/>
    <w:rsid w:val="00115CF1"/>
    <w:rsid w:val="001170C6"/>
    <w:rsid w:val="00117137"/>
    <w:rsid w:val="00117AF3"/>
    <w:rsid w:val="00117C0F"/>
    <w:rsid w:val="00117C68"/>
    <w:rsid w:val="0012000C"/>
    <w:rsid w:val="001200D6"/>
    <w:rsid w:val="00120360"/>
    <w:rsid w:val="0012068C"/>
    <w:rsid w:val="001207F9"/>
    <w:rsid w:val="00120BC7"/>
    <w:rsid w:val="00120C2F"/>
    <w:rsid w:val="00120CA0"/>
    <w:rsid w:val="00121008"/>
    <w:rsid w:val="0012101A"/>
    <w:rsid w:val="001215D6"/>
    <w:rsid w:val="0012202C"/>
    <w:rsid w:val="00122CE1"/>
    <w:rsid w:val="00122E2B"/>
    <w:rsid w:val="00123976"/>
    <w:rsid w:val="00124629"/>
    <w:rsid w:val="00124DEC"/>
    <w:rsid w:val="00124EFD"/>
    <w:rsid w:val="0012577E"/>
    <w:rsid w:val="0012596E"/>
    <w:rsid w:val="00125F7D"/>
    <w:rsid w:val="001260C8"/>
    <w:rsid w:val="001262EF"/>
    <w:rsid w:val="0012655D"/>
    <w:rsid w:val="00126583"/>
    <w:rsid w:val="00126B65"/>
    <w:rsid w:val="0012732F"/>
    <w:rsid w:val="00130339"/>
    <w:rsid w:val="001307C5"/>
    <w:rsid w:val="001311F8"/>
    <w:rsid w:val="00131433"/>
    <w:rsid w:val="0013159F"/>
    <w:rsid w:val="001319D2"/>
    <w:rsid w:val="00131EB1"/>
    <w:rsid w:val="00132635"/>
    <w:rsid w:val="0013283A"/>
    <w:rsid w:val="00134190"/>
    <w:rsid w:val="00134A11"/>
    <w:rsid w:val="00134F05"/>
    <w:rsid w:val="001354E7"/>
    <w:rsid w:val="00135A54"/>
    <w:rsid w:val="00136710"/>
    <w:rsid w:val="0013672B"/>
    <w:rsid w:val="00136FEB"/>
    <w:rsid w:val="00137CFA"/>
    <w:rsid w:val="00137F05"/>
    <w:rsid w:val="001400A0"/>
    <w:rsid w:val="00140982"/>
    <w:rsid w:val="00140CFB"/>
    <w:rsid w:val="00140F37"/>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3E7A"/>
    <w:rsid w:val="00144111"/>
    <w:rsid w:val="00144A29"/>
    <w:rsid w:val="00147BE4"/>
    <w:rsid w:val="00147CDB"/>
    <w:rsid w:val="00147DDC"/>
    <w:rsid w:val="00147DE3"/>
    <w:rsid w:val="00150453"/>
    <w:rsid w:val="00150A0F"/>
    <w:rsid w:val="00150C10"/>
    <w:rsid w:val="00150D1B"/>
    <w:rsid w:val="00151336"/>
    <w:rsid w:val="00152366"/>
    <w:rsid w:val="00152EC0"/>
    <w:rsid w:val="00153B2D"/>
    <w:rsid w:val="00153B85"/>
    <w:rsid w:val="001553A8"/>
    <w:rsid w:val="001554CE"/>
    <w:rsid w:val="00155FD8"/>
    <w:rsid w:val="0015605D"/>
    <w:rsid w:val="001560EC"/>
    <w:rsid w:val="001561DC"/>
    <w:rsid w:val="00156508"/>
    <w:rsid w:val="0015754D"/>
    <w:rsid w:val="00157B04"/>
    <w:rsid w:val="00157BD4"/>
    <w:rsid w:val="00160284"/>
    <w:rsid w:val="0016057A"/>
    <w:rsid w:val="00160866"/>
    <w:rsid w:val="0016091C"/>
    <w:rsid w:val="00160E97"/>
    <w:rsid w:val="00161774"/>
    <w:rsid w:val="00161E40"/>
    <w:rsid w:val="00161F83"/>
    <w:rsid w:val="0016346F"/>
    <w:rsid w:val="00163837"/>
    <w:rsid w:val="00163A54"/>
    <w:rsid w:val="00164559"/>
    <w:rsid w:val="00164791"/>
    <w:rsid w:val="00165EAA"/>
    <w:rsid w:val="001665EA"/>
    <w:rsid w:val="00166949"/>
    <w:rsid w:val="00167721"/>
    <w:rsid w:val="00170788"/>
    <w:rsid w:val="001708BE"/>
    <w:rsid w:val="0017098A"/>
    <w:rsid w:val="00170C21"/>
    <w:rsid w:val="001716F7"/>
    <w:rsid w:val="00171A6F"/>
    <w:rsid w:val="00172993"/>
    <w:rsid w:val="00173064"/>
    <w:rsid w:val="001732B2"/>
    <w:rsid w:val="00173621"/>
    <w:rsid w:val="001739C2"/>
    <w:rsid w:val="00173B3A"/>
    <w:rsid w:val="00173FCF"/>
    <w:rsid w:val="00174655"/>
    <w:rsid w:val="00174D90"/>
    <w:rsid w:val="00175977"/>
    <w:rsid w:val="0017605B"/>
    <w:rsid w:val="001761EF"/>
    <w:rsid w:val="0017656E"/>
    <w:rsid w:val="00176790"/>
    <w:rsid w:val="00176D8B"/>
    <w:rsid w:val="0017751F"/>
    <w:rsid w:val="00180435"/>
    <w:rsid w:val="001809E0"/>
    <w:rsid w:val="00181375"/>
    <w:rsid w:val="001813C3"/>
    <w:rsid w:val="00181855"/>
    <w:rsid w:val="001819DA"/>
    <w:rsid w:val="00181FCF"/>
    <w:rsid w:val="00182693"/>
    <w:rsid w:val="001826A0"/>
    <w:rsid w:val="00182705"/>
    <w:rsid w:val="00182DFB"/>
    <w:rsid w:val="00182E38"/>
    <w:rsid w:val="001838E0"/>
    <w:rsid w:val="00183A15"/>
    <w:rsid w:val="00183F61"/>
    <w:rsid w:val="001845F7"/>
    <w:rsid w:val="001852AE"/>
    <w:rsid w:val="00185355"/>
    <w:rsid w:val="00185483"/>
    <w:rsid w:val="00185D52"/>
    <w:rsid w:val="0018601D"/>
    <w:rsid w:val="0018628A"/>
    <w:rsid w:val="001866BF"/>
    <w:rsid w:val="00186884"/>
    <w:rsid w:val="00187102"/>
    <w:rsid w:val="00187119"/>
    <w:rsid w:val="001878EB"/>
    <w:rsid w:val="0019000C"/>
    <w:rsid w:val="0019030D"/>
    <w:rsid w:val="0019076F"/>
    <w:rsid w:val="0019092C"/>
    <w:rsid w:val="00190C7A"/>
    <w:rsid w:val="00190E9E"/>
    <w:rsid w:val="00190F7F"/>
    <w:rsid w:val="0019269B"/>
    <w:rsid w:val="001929EF"/>
    <w:rsid w:val="00192AB3"/>
    <w:rsid w:val="00192F7F"/>
    <w:rsid w:val="001939CB"/>
    <w:rsid w:val="00193F5B"/>
    <w:rsid w:val="00194559"/>
    <w:rsid w:val="001947C1"/>
    <w:rsid w:val="001948EC"/>
    <w:rsid w:val="00194F2A"/>
    <w:rsid w:val="0019508F"/>
    <w:rsid w:val="001953F2"/>
    <w:rsid w:val="0019547E"/>
    <w:rsid w:val="00195688"/>
    <w:rsid w:val="00196BE4"/>
    <w:rsid w:val="0019734C"/>
    <w:rsid w:val="0019776A"/>
    <w:rsid w:val="001A0137"/>
    <w:rsid w:val="001A06DE"/>
    <w:rsid w:val="001A08FF"/>
    <w:rsid w:val="001A17B1"/>
    <w:rsid w:val="001A1AE7"/>
    <w:rsid w:val="001A2314"/>
    <w:rsid w:val="001A3100"/>
    <w:rsid w:val="001A3A22"/>
    <w:rsid w:val="001A3AA1"/>
    <w:rsid w:val="001A3CBF"/>
    <w:rsid w:val="001A3F98"/>
    <w:rsid w:val="001A4109"/>
    <w:rsid w:val="001A4547"/>
    <w:rsid w:val="001A48FB"/>
    <w:rsid w:val="001A4C89"/>
    <w:rsid w:val="001A562F"/>
    <w:rsid w:val="001A646C"/>
    <w:rsid w:val="001A66AF"/>
    <w:rsid w:val="001B0800"/>
    <w:rsid w:val="001B09DF"/>
    <w:rsid w:val="001B100D"/>
    <w:rsid w:val="001B1019"/>
    <w:rsid w:val="001B1B0D"/>
    <w:rsid w:val="001B2704"/>
    <w:rsid w:val="001B2C82"/>
    <w:rsid w:val="001B2F6B"/>
    <w:rsid w:val="001B354E"/>
    <w:rsid w:val="001B3657"/>
    <w:rsid w:val="001B3EDD"/>
    <w:rsid w:val="001B3EE2"/>
    <w:rsid w:val="001B43FF"/>
    <w:rsid w:val="001B4478"/>
    <w:rsid w:val="001B4569"/>
    <w:rsid w:val="001B484F"/>
    <w:rsid w:val="001B4B99"/>
    <w:rsid w:val="001B5B2D"/>
    <w:rsid w:val="001B5EB4"/>
    <w:rsid w:val="001B6030"/>
    <w:rsid w:val="001B68D3"/>
    <w:rsid w:val="001B6F65"/>
    <w:rsid w:val="001B72AE"/>
    <w:rsid w:val="001B76EB"/>
    <w:rsid w:val="001B776A"/>
    <w:rsid w:val="001B7B29"/>
    <w:rsid w:val="001C0B1F"/>
    <w:rsid w:val="001C0C39"/>
    <w:rsid w:val="001C0E0C"/>
    <w:rsid w:val="001C1A1F"/>
    <w:rsid w:val="001C1B4B"/>
    <w:rsid w:val="001C2BA0"/>
    <w:rsid w:val="001C2F21"/>
    <w:rsid w:val="001C321B"/>
    <w:rsid w:val="001C3C19"/>
    <w:rsid w:val="001C3E96"/>
    <w:rsid w:val="001C3ED4"/>
    <w:rsid w:val="001C4E12"/>
    <w:rsid w:val="001C567B"/>
    <w:rsid w:val="001C5E6C"/>
    <w:rsid w:val="001C6066"/>
    <w:rsid w:val="001C6815"/>
    <w:rsid w:val="001C6B3A"/>
    <w:rsid w:val="001C7591"/>
    <w:rsid w:val="001D006E"/>
    <w:rsid w:val="001D0423"/>
    <w:rsid w:val="001D073F"/>
    <w:rsid w:val="001D0DE3"/>
    <w:rsid w:val="001D1020"/>
    <w:rsid w:val="001D15CF"/>
    <w:rsid w:val="001D1E16"/>
    <w:rsid w:val="001D235D"/>
    <w:rsid w:val="001D2555"/>
    <w:rsid w:val="001D337C"/>
    <w:rsid w:val="001D380D"/>
    <w:rsid w:val="001D41F0"/>
    <w:rsid w:val="001D65C6"/>
    <w:rsid w:val="001D6CED"/>
    <w:rsid w:val="001E04E8"/>
    <w:rsid w:val="001E184B"/>
    <w:rsid w:val="001E1EE3"/>
    <w:rsid w:val="001E1F20"/>
    <w:rsid w:val="001E26B5"/>
    <w:rsid w:val="001E2AA6"/>
    <w:rsid w:val="001E386F"/>
    <w:rsid w:val="001E394B"/>
    <w:rsid w:val="001E3BCD"/>
    <w:rsid w:val="001E4E84"/>
    <w:rsid w:val="001E4EBC"/>
    <w:rsid w:val="001E5107"/>
    <w:rsid w:val="001E55D4"/>
    <w:rsid w:val="001E6376"/>
    <w:rsid w:val="001E71B5"/>
    <w:rsid w:val="001E7B18"/>
    <w:rsid w:val="001F0D95"/>
    <w:rsid w:val="001F15CD"/>
    <w:rsid w:val="001F1A6D"/>
    <w:rsid w:val="001F1F3F"/>
    <w:rsid w:val="001F27B1"/>
    <w:rsid w:val="001F2F00"/>
    <w:rsid w:val="001F348D"/>
    <w:rsid w:val="001F3AE7"/>
    <w:rsid w:val="001F47D0"/>
    <w:rsid w:val="001F5B11"/>
    <w:rsid w:val="001F6550"/>
    <w:rsid w:val="001F69E8"/>
    <w:rsid w:val="001F7038"/>
    <w:rsid w:val="001F7320"/>
    <w:rsid w:val="001F77B6"/>
    <w:rsid w:val="00200F31"/>
    <w:rsid w:val="002012D7"/>
    <w:rsid w:val="00201B26"/>
    <w:rsid w:val="0020221F"/>
    <w:rsid w:val="00202E67"/>
    <w:rsid w:val="00203AEA"/>
    <w:rsid w:val="00203D33"/>
    <w:rsid w:val="00204D0F"/>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7D8"/>
    <w:rsid w:val="0022382C"/>
    <w:rsid w:val="00223B83"/>
    <w:rsid w:val="00223DAB"/>
    <w:rsid w:val="00224D56"/>
    <w:rsid w:val="0022536E"/>
    <w:rsid w:val="002258F4"/>
    <w:rsid w:val="00225A53"/>
    <w:rsid w:val="00225C88"/>
    <w:rsid w:val="002262C4"/>
    <w:rsid w:val="002264F4"/>
    <w:rsid w:val="002277F0"/>
    <w:rsid w:val="00227A81"/>
    <w:rsid w:val="00230A52"/>
    <w:rsid w:val="00230B9E"/>
    <w:rsid w:val="00231427"/>
    <w:rsid w:val="00231B27"/>
    <w:rsid w:val="00231FE3"/>
    <w:rsid w:val="002326CA"/>
    <w:rsid w:val="00232934"/>
    <w:rsid w:val="00232BAB"/>
    <w:rsid w:val="00233057"/>
    <w:rsid w:val="002331EC"/>
    <w:rsid w:val="00233ABC"/>
    <w:rsid w:val="00234906"/>
    <w:rsid w:val="00234A3D"/>
    <w:rsid w:val="00235ACB"/>
    <w:rsid w:val="00235DEC"/>
    <w:rsid w:val="00236B10"/>
    <w:rsid w:val="00236EEA"/>
    <w:rsid w:val="002372B2"/>
    <w:rsid w:val="0023785A"/>
    <w:rsid w:val="00237DD0"/>
    <w:rsid w:val="002401C8"/>
    <w:rsid w:val="002407C6"/>
    <w:rsid w:val="00240AF3"/>
    <w:rsid w:val="00240DEB"/>
    <w:rsid w:val="0024142D"/>
    <w:rsid w:val="00241714"/>
    <w:rsid w:val="00241F1E"/>
    <w:rsid w:val="0024354E"/>
    <w:rsid w:val="00243D06"/>
    <w:rsid w:val="002442D3"/>
    <w:rsid w:val="002449C0"/>
    <w:rsid w:val="00244CDD"/>
    <w:rsid w:val="00245302"/>
    <w:rsid w:val="0024568B"/>
    <w:rsid w:val="00245D73"/>
    <w:rsid w:val="002460F2"/>
    <w:rsid w:val="00246374"/>
    <w:rsid w:val="002472FE"/>
    <w:rsid w:val="002477B4"/>
    <w:rsid w:val="0025030E"/>
    <w:rsid w:val="002503B8"/>
    <w:rsid w:val="00250F72"/>
    <w:rsid w:val="002514CA"/>
    <w:rsid w:val="00252675"/>
    <w:rsid w:val="00252803"/>
    <w:rsid w:val="00252FDB"/>
    <w:rsid w:val="0025369C"/>
    <w:rsid w:val="00254AAA"/>
    <w:rsid w:val="0025559A"/>
    <w:rsid w:val="00255E07"/>
    <w:rsid w:val="002567CD"/>
    <w:rsid w:val="00257287"/>
    <w:rsid w:val="00257322"/>
    <w:rsid w:val="002574ED"/>
    <w:rsid w:val="002576B5"/>
    <w:rsid w:val="0025785E"/>
    <w:rsid w:val="00260B9A"/>
    <w:rsid w:val="002612BE"/>
    <w:rsid w:val="002613AC"/>
    <w:rsid w:val="0026148A"/>
    <w:rsid w:val="002614AF"/>
    <w:rsid w:val="00261D3C"/>
    <w:rsid w:val="00262C42"/>
    <w:rsid w:val="0026349D"/>
    <w:rsid w:val="00263AF2"/>
    <w:rsid w:val="00264405"/>
    <w:rsid w:val="00265174"/>
    <w:rsid w:val="00266503"/>
    <w:rsid w:val="00266E0E"/>
    <w:rsid w:val="00266FD4"/>
    <w:rsid w:val="002671CC"/>
    <w:rsid w:val="00267241"/>
    <w:rsid w:val="002676FA"/>
    <w:rsid w:val="002677C2"/>
    <w:rsid w:val="00267CA4"/>
    <w:rsid w:val="00267F57"/>
    <w:rsid w:val="00270135"/>
    <w:rsid w:val="0027099E"/>
    <w:rsid w:val="002709E7"/>
    <w:rsid w:val="00271222"/>
    <w:rsid w:val="00271B2A"/>
    <w:rsid w:val="00272101"/>
    <w:rsid w:val="002728FA"/>
    <w:rsid w:val="0027369C"/>
    <w:rsid w:val="00273706"/>
    <w:rsid w:val="00273FF3"/>
    <w:rsid w:val="00274A18"/>
    <w:rsid w:val="00274B8F"/>
    <w:rsid w:val="00274D9D"/>
    <w:rsid w:val="002769B7"/>
    <w:rsid w:val="00276C42"/>
    <w:rsid w:val="002775A0"/>
    <w:rsid w:val="0027764C"/>
    <w:rsid w:val="00280C4C"/>
    <w:rsid w:val="00280E55"/>
    <w:rsid w:val="0028141B"/>
    <w:rsid w:val="00281E59"/>
    <w:rsid w:val="00282FEC"/>
    <w:rsid w:val="00282FF3"/>
    <w:rsid w:val="0028364E"/>
    <w:rsid w:val="00284655"/>
    <w:rsid w:val="002848CB"/>
    <w:rsid w:val="00284D72"/>
    <w:rsid w:val="00285776"/>
    <w:rsid w:val="002858BA"/>
    <w:rsid w:val="0028661B"/>
    <w:rsid w:val="002866B6"/>
    <w:rsid w:val="002866D9"/>
    <w:rsid w:val="0028686B"/>
    <w:rsid w:val="002912A0"/>
    <w:rsid w:val="0029184C"/>
    <w:rsid w:val="0029235D"/>
    <w:rsid w:val="00292574"/>
    <w:rsid w:val="002926A4"/>
    <w:rsid w:val="0029283C"/>
    <w:rsid w:val="00292EA2"/>
    <w:rsid w:val="00292F35"/>
    <w:rsid w:val="00292F9A"/>
    <w:rsid w:val="0029396A"/>
    <w:rsid w:val="00293DE2"/>
    <w:rsid w:val="00294D80"/>
    <w:rsid w:val="00295E8C"/>
    <w:rsid w:val="00296148"/>
    <w:rsid w:val="0029649C"/>
    <w:rsid w:val="00296FB8"/>
    <w:rsid w:val="0029771E"/>
    <w:rsid w:val="002A01ED"/>
    <w:rsid w:val="002A04CF"/>
    <w:rsid w:val="002A0621"/>
    <w:rsid w:val="002A07B1"/>
    <w:rsid w:val="002A0B1A"/>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D7E"/>
    <w:rsid w:val="002B0E75"/>
    <w:rsid w:val="002B0F51"/>
    <w:rsid w:val="002B15AC"/>
    <w:rsid w:val="002B193B"/>
    <w:rsid w:val="002B19FB"/>
    <w:rsid w:val="002B36C3"/>
    <w:rsid w:val="002B3812"/>
    <w:rsid w:val="002B383A"/>
    <w:rsid w:val="002B532E"/>
    <w:rsid w:val="002B543A"/>
    <w:rsid w:val="002B5525"/>
    <w:rsid w:val="002B5A2E"/>
    <w:rsid w:val="002B5A4B"/>
    <w:rsid w:val="002B5AA3"/>
    <w:rsid w:val="002B61A8"/>
    <w:rsid w:val="002B678E"/>
    <w:rsid w:val="002B68FE"/>
    <w:rsid w:val="002B7AFC"/>
    <w:rsid w:val="002C0717"/>
    <w:rsid w:val="002C0BC3"/>
    <w:rsid w:val="002C0D00"/>
    <w:rsid w:val="002C10D1"/>
    <w:rsid w:val="002C1CFA"/>
    <w:rsid w:val="002C239C"/>
    <w:rsid w:val="002C2F4E"/>
    <w:rsid w:val="002C30B8"/>
    <w:rsid w:val="002C356F"/>
    <w:rsid w:val="002C3A5F"/>
    <w:rsid w:val="002C3CEB"/>
    <w:rsid w:val="002C433A"/>
    <w:rsid w:val="002C43CD"/>
    <w:rsid w:val="002C4406"/>
    <w:rsid w:val="002C4DD7"/>
    <w:rsid w:val="002C4E55"/>
    <w:rsid w:val="002C5754"/>
    <w:rsid w:val="002C5E29"/>
    <w:rsid w:val="002C6BF5"/>
    <w:rsid w:val="002C6D79"/>
    <w:rsid w:val="002C765A"/>
    <w:rsid w:val="002C7B4C"/>
    <w:rsid w:val="002D0C49"/>
    <w:rsid w:val="002D0F70"/>
    <w:rsid w:val="002D1469"/>
    <w:rsid w:val="002D2333"/>
    <w:rsid w:val="002D2553"/>
    <w:rsid w:val="002D43A1"/>
    <w:rsid w:val="002D48D1"/>
    <w:rsid w:val="002D54D8"/>
    <w:rsid w:val="002D6310"/>
    <w:rsid w:val="002D63D6"/>
    <w:rsid w:val="002D667F"/>
    <w:rsid w:val="002D6680"/>
    <w:rsid w:val="002D6EFA"/>
    <w:rsid w:val="002D79DB"/>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E6084"/>
    <w:rsid w:val="002E710B"/>
    <w:rsid w:val="002E7C69"/>
    <w:rsid w:val="002F06D0"/>
    <w:rsid w:val="002F15AD"/>
    <w:rsid w:val="002F2CF2"/>
    <w:rsid w:val="002F369F"/>
    <w:rsid w:val="002F3830"/>
    <w:rsid w:val="002F38D7"/>
    <w:rsid w:val="002F3EFA"/>
    <w:rsid w:val="002F40EA"/>
    <w:rsid w:val="002F42D9"/>
    <w:rsid w:val="002F4929"/>
    <w:rsid w:val="002F58A9"/>
    <w:rsid w:val="002F5989"/>
    <w:rsid w:val="002F694D"/>
    <w:rsid w:val="002F73F4"/>
    <w:rsid w:val="002F7DD0"/>
    <w:rsid w:val="002F7DDE"/>
    <w:rsid w:val="002F7E97"/>
    <w:rsid w:val="003000FF"/>
    <w:rsid w:val="003006A1"/>
    <w:rsid w:val="003012A2"/>
    <w:rsid w:val="00301499"/>
    <w:rsid w:val="003018B7"/>
    <w:rsid w:val="0030204B"/>
    <w:rsid w:val="003020C6"/>
    <w:rsid w:val="0030280A"/>
    <w:rsid w:val="00302C8C"/>
    <w:rsid w:val="00303EF4"/>
    <w:rsid w:val="00304ACA"/>
    <w:rsid w:val="00304F2A"/>
    <w:rsid w:val="00305A1B"/>
    <w:rsid w:val="003062D8"/>
    <w:rsid w:val="0030704A"/>
    <w:rsid w:val="003070B7"/>
    <w:rsid w:val="00307309"/>
    <w:rsid w:val="003075BC"/>
    <w:rsid w:val="00307E7E"/>
    <w:rsid w:val="003101EC"/>
    <w:rsid w:val="003104EE"/>
    <w:rsid w:val="003106DE"/>
    <w:rsid w:val="00311663"/>
    <w:rsid w:val="00311B59"/>
    <w:rsid w:val="0031227B"/>
    <w:rsid w:val="003127F4"/>
    <w:rsid w:val="00312A20"/>
    <w:rsid w:val="00312A92"/>
    <w:rsid w:val="003133C7"/>
    <w:rsid w:val="00313652"/>
    <w:rsid w:val="0031376D"/>
    <w:rsid w:val="00313D36"/>
    <w:rsid w:val="00314899"/>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5CC"/>
    <w:rsid w:val="003240B6"/>
    <w:rsid w:val="00324EC4"/>
    <w:rsid w:val="00324FE0"/>
    <w:rsid w:val="00325427"/>
    <w:rsid w:val="00325668"/>
    <w:rsid w:val="00325823"/>
    <w:rsid w:val="00325E60"/>
    <w:rsid w:val="0032752E"/>
    <w:rsid w:val="00327705"/>
    <w:rsid w:val="00330014"/>
    <w:rsid w:val="0033097A"/>
    <w:rsid w:val="00330C51"/>
    <w:rsid w:val="00330DCC"/>
    <w:rsid w:val="003310D4"/>
    <w:rsid w:val="0033199D"/>
    <w:rsid w:val="00331CFC"/>
    <w:rsid w:val="0033241A"/>
    <w:rsid w:val="00332627"/>
    <w:rsid w:val="00332A87"/>
    <w:rsid w:val="00332E97"/>
    <w:rsid w:val="00332F1F"/>
    <w:rsid w:val="00333196"/>
    <w:rsid w:val="0033432E"/>
    <w:rsid w:val="00334EB2"/>
    <w:rsid w:val="003351CE"/>
    <w:rsid w:val="0033535C"/>
    <w:rsid w:val="00335589"/>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6021"/>
    <w:rsid w:val="00346127"/>
    <w:rsid w:val="00346B36"/>
    <w:rsid w:val="0034796D"/>
    <w:rsid w:val="00347CC0"/>
    <w:rsid w:val="0035093A"/>
    <w:rsid w:val="003509E6"/>
    <w:rsid w:val="00350F1B"/>
    <w:rsid w:val="00351016"/>
    <w:rsid w:val="00351237"/>
    <w:rsid w:val="00351946"/>
    <w:rsid w:val="00351B53"/>
    <w:rsid w:val="00351FF0"/>
    <w:rsid w:val="0035210E"/>
    <w:rsid w:val="003521FD"/>
    <w:rsid w:val="00352802"/>
    <w:rsid w:val="00352C0E"/>
    <w:rsid w:val="00353085"/>
    <w:rsid w:val="003535EF"/>
    <w:rsid w:val="003538EF"/>
    <w:rsid w:val="00354D5C"/>
    <w:rsid w:val="0035515E"/>
    <w:rsid w:val="0035543B"/>
    <w:rsid w:val="00355868"/>
    <w:rsid w:val="00355E2C"/>
    <w:rsid w:val="00355EAC"/>
    <w:rsid w:val="00357596"/>
    <w:rsid w:val="003575B9"/>
    <w:rsid w:val="00357828"/>
    <w:rsid w:val="00357895"/>
    <w:rsid w:val="00357916"/>
    <w:rsid w:val="00357B15"/>
    <w:rsid w:val="0036025D"/>
    <w:rsid w:val="00360937"/>
    <w:rsid w:val="00360957"/>
    <w:rsid w:val="00360B19"/>
    <w:rsid w:val="00360FCE"/>
    <w:rsid w:val="0036193E"/>
    <w:rsid w:val="003626D8"/>
    <w:rsid w:val="00362D25"/>
    <w:rsid w:val="00362DF3"/>
    <w:rsid w:val="00362E82"/>
    <w:rsid w:val="00363384"/>
    <w:rsid w:val="00364001"/>
    <w:rsid w:val="00364819"/>
    <w:rsid w:val="003658BD"/>
    <w:rsid w:val="00365B5F"/>
    <w:rsid w:val="00365DC3"/>
    <w:rsid w:val="0036633C"/>
    <w:rsid w:val="00366CA4"/>
    <w:rsid w:val="00366CC9"/>
    <w:rsid w:val="0036763E"/>
    <w:rsid w:val="00367773"/>
    <w:rsid w:val="00367C14"/>
    <w:rsid w:val="00367E02"/>
    <w:rsid w:val="0037013D"/>
    <w:rsid w:val="0037078A"/>
    <w:rsid w:val="00370DA4"/>
    <w:rsid w:val="003710CD"/>
    <w:rsid w:val="00371CE1"/>
    <w:rsid w:val="00372673"/>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17A9"/>
    <w:rsid w:val="00382BFE"/>
    <w:rsid w:val="00383057"/>
    <w:rsid w:val="00383AFB"/>
    <w:rsid w:val="00383B9B"/>
    <w:rsid w:val="0038431A"/>
    <w:rsid w:val="0038547C"/>
    <w:rsid w:val="003857D3"/>
    <w:rsid w:val="00385A88"/>
    <w:rsid w:val="00385BA5"/>
    <w:rsid w:val="00386E93"/>
    <w:rsid w:val="00387900"/>
    <w:rsid w:val="00387AF8"/>
    <w:rsid w:val="00387BE8"/>
    <w:rsid w:val="00390065"/>
    <w:rsid w:val="00390A1E"/>
    <w:rsid w:val="0039120F"/>
    <w:rsid w:val="00393383"/>
    <w:rsid w:val="00393660"/>
    <w:rsid w:val="00393F9F"/>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47E8"/>
    <w:rsid w:val="003A4AB7"/>
    <w:rsid w:val="003A5083"/>
    <w:rsid w:val="003A58BA"/>
    <w:rsid w:val="003A67C6"/>
    <w:rsid w:val="003A7124"/>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51EE"/>
    <w:rsid w:val="003B61F0"/>
    <w:rsid w:val="003B62DF"/>
    <w:rsid w:val="003B6357"/>
    <w:rsid w:val="003B64B3"/>
    <w:rsid w:val="003B693A"/>
    <w:rsid w:val="003B6AB8"/>
    <w:rsid w:val="003B6DBC"/>
    <w:rsid w:val="003B6E18"/>
    <w:rsid w:val="003B7053"/>
    <w:rsid w:val="003B7102"/>
    <w:rsid w:val="003B774F"/>
    <w:rsid w:val="003B7778"/>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56D"/>
    <w:rsid w:val="003C6612"/>
    <w:rsid w:val="003C6A1E"/>
    <w:rsid w:val="003C6BB7"/>
    <w:rsid w:val="003C7603"/>
    <w:rsid w:val="003D0A88"/>
    <w:rsid w:val="003D0DC8"/>
    <w:rsid w:val="003D12C2"/>
    <w:rsid w:val="003D19A0"/>
    <w:rsid w:val="003D265F"/>
    <w:rsid w:val="003D27BD"/>
    <w:rsid w:val="003D3202"/>
    <w:rsid w:val="003D353C"/>
    <w:rsid w:val="003D63C8"/>
    <w:rsid w:val="003D6472"/>
    <w:rsid w:val="003D6A4E"/>
    <w:rsid w:val="003D7756"/>
    <w:rsid w:val="003E059A"/>
    <w:rsid w:val="003E08FA"/>
    <w:rsid w:val="003E0A78"/>
    <w:rsid w:val="003E19E7"/>
    <w:rsid w:val="003E29B3"/>
    <w:rsid w:val="003E36C0"/>
    <w:rsid w:val="003E3724"/>
    <w:rsid w:val="003E3957"/>
    <w:rsid w:val="003E398D"/>
    <w:rsid w:val="003E4289"/>
    <w:rsid w:val="003E4800"/>
    <w:rsid w:val="003E487B"/>
    <w:rsid w:val="003E4957"/>
    <w:rsid w:val="003E4981"/>
    <w:rsid w:val="003E55E5"/>
    <w:rsid w:val="003E57F9"/>
    <w:rsid w:val="003E5DFE"/>
    <w:rsid w:val="003E5F4F"/>
    <w:rsid w:val="003E6144"/>
    <w:rsid w:val="003E6395"/>
    <w:rsid w:val="003E6A80"/>
    <w:rsid w:val="003E6EF7"/>
    <w:rsid w:val="003E7F59"/>
    <w:rsid w:val="003F0D8B"/>
    <w:rsid w:val="003F1BF6"/>
    <w:rsid w:val="003F1E6F"/>
    <w:rsid w:val="003F1F9E"/>
    <w:rsid w:val="003F27BF"/>
    <w:rsid w:val="003F2A93"/>
    <w:rsid w:val="003F3604"/>
    <w:rsid w:val="003F3BC1"/>
    <w:rsid w:val="003F3D76"/>
    <w:rsid w:val="003F43E6"/>
    <w:rsid w:val="003F4894"/>
    <w:rsid w:val="003F490D"/>
    <w:rsid w:val="003F4DDB"/>
    <w:rsid w:val="003F5542"/>
    <w:rsid w:val="003F5842"/>
    <w:rsid w:val="003F6190"/>
    <w:rsid w:val="003F61E1"/>
    <w:rsid w:val="003F704D"/>
    <w:rsid w:val="003F755C"/>
    <w:rsid w:val="003F77FC"/>
    <w:rsid w:val="003F7E56"/>
    <w:rsid w:val="004000BE"/>
    <w:rsid w:val="00400122"/>
    <w:rsid w:val="004015C7"/>
    <w:rsid w:val="00401A49"/>
    <w:rsid w:val="00401D3D"/>
    <w:rsid w:val="004020AB"/>
    <w:rsid w:val="004024ED"/>
    <w:rsid w:val="004026BA"/>
    <w:rsid w:val="00403038"/>
    <w:rsid w:val="004030D5"/>
    <w:rsid w:val="0040388F"/>
    <w:rsid w:val="00404249"/>
    <w:rsid w:val="004042BA"/>
    <w:rsid w:val="004050B4"/>
    <w:rsid w:val="00405746"/>
    <w:rsid w:val="004062EC"/>
    <w:rsid w:val="00406755"/>
    <w:rsid w:val="004067DB"/>
    <w:rsid w:val="004069C5"/>
    <w:rsid w:val="00406D6A"/>
    <w:rsid w:val="0040709C"/>
    <w:rsid w:val="00407F30"/>
    <w:rsid w:val="00410ECC"/>
    <w:rsid w:val="004116DA"/>
    <w:rsid w:val="004117D6"/>
    <w:rsid w:val="00411834"/>
    <w:rsid w:val="00411963"/>
    <w:rsid w:val="00411B1C"/>
    <w:rsid w:val="00411C7A"/>
    <w:rsid w:val="00412A23"/>
    <w:rsid w:val="004149DA"/>
    <w:rsid w:val="00414A2E"/>
    <w:rsid w:val="00415755"/>
    <w:rsid w:val="00415B3D"/>
    <w:rsid w:val="004161DE"/>
    <w:rsid w:val="00416211"/>
    <w:rsid w:val="004162D1"/>
    <w:rsid w:val="004167B1"/>
    <w:rsid w:val="0042035D"/>
    <w:rsid w:val="00420604"/>
    <w:rsid w:val="00420841"/>
    <w:rsid w:val="00421E00"/>
    <w:rsid w:val="004226AA"/>
    <w:rsid w:val="00422793"/>
    <w:rsid w:val="00423732"/>
    <w:rsid w:val="0042396F"/>
    <w:rsid w:val="00423FCE"/>
    <w:rsid w:val="004249C4"/>
    <w:rsid w:val="00424F24"/>
    <w:rsid w:val="004259F9"/>
    <w:rsid w:val="00425B31"/>
    <w:rsid w:val="00425BAA"/>
    <w:rsid w:val="0042648D"/>
    <w:rsid w:val="00426957"/>
    <w:rsid w:val="00426976"/>
    <w:rsid w:val="00426BBE"/>
    <w:rsid w:val="00426D02"/>
    <w:rsid w:val="00427722"/>
    <w:rsid w:val="00427A13"/>
    <w:rsid w:val="00427C25"/>
    <w:rsid w:val="00427F4F"/>
    <w:rsid w:val="00430027"/>
    <w:rsid w:val="00430E76"/>
    <w:rsid w:val="00430ED0"/>
    <w:rsid w:val="00431731"/>
    <w:rsid w:val="00431779"/>
    <w:rsid w:val="00431A2A"/>
    <w:rsid w:val="00431CE6"/>
    <w:rsid w:val="00431F2E"/>
    <w:rsid w:val="0043240F"/>
    <w:rsid w:val="00433C39"/>
    <w:rsid w:val="00433C3E"/>
    <w:rsid w:val="00433DA2"/>
    <w:rsid w:val="004343BC"/>
    <w:rsid w:val="00434AC5"/>
    <w:rsid w:val="00435A31"/>
    <w:rsid w:val="0043648F"/>
    <w:rsid w:val="004365F0"/>
    <w:rsid w:val="00436DA8"/>
    <w:rsid w:val="00437108"/>
    <w:rsid w:val="00437D2F"/>
    <w:rsid w:val="00440246"/>
    <w:rsid w:val="00440912"/>
    <w:rsid w:val="00441588"/>
    <w:rsid w:val="00441CF2"/>
    <w:rsid w:val="00441EE6"/>
    <w:rsid w:val="00442540"/>
    <w:rsid w:val="0044307B"/>
    <w:rsid w:val="004431F9"/>
    <w:rsid w:val="00443484"/>
    <w:rsid w:val="00443B1B"/>
    <w:rsid w:val="00444072"/>
    <w:rsid w:val="004440D4"/>
    <w:rsid w:val="004441C7"/>
    <w:rsid w:val="00444204"/>
    <w:rsid w:val="004446E5"/>
    <w:rsid w:val="00446A46"/>
    <w:rsid w:val="00446BAE"/>
    <w:rsid w:val="004473E9"/>
    <w:rsid w:val="0045044A"/>
    <w:rsid w:val="004504BB"/>
    <w:rsid w:val="00450B23"/>
    <w:rsid w:val="004511AB"/>
    <w:rsid w:val="004511FA"/>
    <w:rsid w:val="004514DB"/>
    <w:rsid w:val="0045234D"/>
    <w:rsid w:val="0045235F"/>
    <w:rsid w:val="004533F1"/>
    <w:rsid w:val="00453797"/>
    <w:rsid w:val="00453ABE"/>
    <w:rsid w:val="004542A8"/>
    <w:rsid w:val="004546CE"/>
    <w:rsid w:val="00455912"/>
    <w:rsid w:val="004560D2"/>
    <w:rsid w:val="004576E8"/>
    <w:rsid w:val="00457CEE"/>
    <w:rsid w:val="00460794"/>
    <w:rsid w:val="00461DF1"/>
    <w:rsid w:val="00462B10"/>
    <w:rsid w:val="00462BA8"/>
    <w:rsid w:val="00462C0D"/>
    <w:rsid w:val="00462E57"/>
    <w:rsid w:val="00463731"/>
    <w:rsid w:val="00463A9F"/>
    <w:rsid w:val="00463CEF"/>
    <w:rsid w:val="00463DEF"/>
    <w:rsid w:val="004648AA"/>
    <w:rsid w:val="00464FEE"/>
    <w:rsid w:val="00466302"/>
    <w:rsid w:val="004672B7"/>
    <w:rsid w:val="00467391"/>
    <w:rsid w:val="004706A0"/>
    <w:rsid w:val="0047103A"/>
    <w:rsid w:val="00471318"/>
    <w:rsid w:val="004715A8"/>
    <w:rsid w:val="00471789"/>
    <w:rsid w:val="00471907"/>
    <w:rsid w:val="00472190"/>
    <w:rsid w:val="004724BF"/>
    <w:rsid w:val="00472695"/>
    <w:rsid w:val="004729E0"/>
    <w:rsid w:val="00473164"/>
    <w:rsid w:val="00473E9C"/>
    <w:rsid w:val="004744D7"/>
    <w:rsid w:val="00474823"/>
    <w:rsid w:val="00474AAA"/>
    <w:rsid w:val="00474BF7"/>
    <w:rsid w:val="00474D9B"/>
    <w:rsid w:val="00474E5C"/>
    <w:rsid w:val="00474F62"/>
    <w:rsid w:val="00475824"/>
    <w:rsid w:val="00475E1A"/>
    <w:rsid w:val="00476230"/>
    <w:rsid w:val="004762ED"/>
    <w:rsid w:val="004763E6"/>
    <w:rsid w:val="00476F6F"/>
    <w:rsid w:val="00477469"/>
    <w:rsid w:val="004774B6"/>
    <w:rsid w:val="004775E8"/>
    <w:rsid w:val="00477A87"/>
    <w:rsid w:val="00477C56"/>
    <w:rsid w:val="00477EAF"/>
    <w:rsid w:val="00480487"/>
    <w:rsid w:val="0048052E"/>
    <w:rsid w:val="00481888"/>
    <w:rsid w:val="004827FE"/>
    <w:rsid w:val="00482BE4"/>
    <w:rsid w:val="004831E5"/>
    <w:rsid w:val="0048370B"/>
    <w:rsid w:val="00483C2E"/>
    <w:rsid w:val="00483E9A"/>
    <w:rsid w:val="004848D1"/>
    <w:rsid w:val="0048491E"/>
    <w:rsid w:val="00486750"/>
    <w:rsid w:val="00487EBC"/>
    <w:rsid w:val="00490DDC"/>
    <w:rsid w:val="00490E33"/>
    <w:rsid w:val="00491D56"/>
    <w:rsid w:val="00491D60"/>
    <w:rsid w:val="004930DF"/>
    <w:rsid w:val="004947D5"/>
    <w:rsid w:val="0049492A"/>
    <w:rsid w:val="00494CD1"/>
    <w:rsid w:val="00494CDA"/>
    <w:rsid w:val="00494F25"/>
    <w:rsid w:val="00495713"/>
    <w:rsid w:val="004957BA"/>
    <w:rsid w:val="0049590A"/>
    <w:rsid w:val="004959FF"/>
    <w:rsid w:val="00495CE9"/>
    <w:rsid w:val="004962C7"/>
    <w:rsid w:val="004963CC"/>
    <w:rsid w:val="004970C9"/>
    <w:rsid w:val="00497428"/>
    <w:rsid w:val="00497574"/>
    <w:rsid w:val="004977CF"/>
    <w:rsid w:val="004978DC"/>
    <w:rsid w:val="00497B5E"/>
    <w:rsid w:val="004A0C7E"/>
    <w:rsid w:val="004A1416"/>
    <w:rsid w:val="004A224A"/>
    <w:rsid w:val="004A275E"/>
    <w:rsid w:val="004A28DD"/>
    <w:rsid w:val="004A2F02"/>
    <w:rsid w:val="004A3074"/>
    <w:rsid w:val="004A32DD"/>
    <w:rsid w:val="004A41C2"/>
    <w:rsid w:val="004A570E"/>
    <w:rsid w:val="004A59B2"/>
    <w:rsid w:val="004A60ED"/>
    <w:rsid w:val="004A74F3"/>
    <w:rsid w:val="004A79D9"/>
    <w:rsid w:val="004A7CEC"/>
    <w:rsid w:val="004B00A4"/>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18B"/>
    <w:rsid w:val="004B62A5"/>
    <w:rsid w:val="004B6816"/>
    <w:rsid w:val="004B6BC5"/>
    <w:rsid w:val="004B702E"/>
    <w:rsid w:val="004B7E3E"/>
    <w:rsid w:val="004C0165"/>
    <w:rsid w:val="004C0544"/>
    <w:rsid w:val="004C07ED"/>
    <w:rsid w:val="004C1AF9"/>
    <w:rsid w:val="004C1C4F"/>
    <w:rsid w:val="004C1C62"/>
    <w:rsid w:val="004C228F"/>
    <w:rsid w:val="004C2469"/>
    <w:rsid w:val="004C2585"/>
    <w:rsid w:val="004C279B"/>
    <w:rsid w:val="004C281D"/>
    <w:rsid w:val="004C2E9D"/>
    <w:rsid w:val="004C3128"/>
    <w:rsid w:val="004C3294"/>
    <w:rsid w:val="004C4513"/>
    <w:rsid w:val="004C4BEC"/>
    <w:rsid w:val="004C5A9B"/>
    <w:rsid w:val="004C60DC"/>
    <w:rsid w:val="004C631D"/>
    <w:rsid w:val="004C7022"/>
    <w:rsid w:val="004C7663"/>
    <w:rsid w:val="004C7FC6"/>
    <w:rsid w:val="004D055D"/>
    <w:rsid w:val="004D08E0"/>
    <w:rsid w:val="004D129E"/>
    <w:rsid w:val="004D25B5"/>
    <w:rsid w:val="004D31BD"/>
    <w:rsid w:val="004D31CA"/>
    <w:rsid w:val="004D47B9"/>
    <w:rsid w:val="004D489C"/>
    <w:rsid w:val="004D49C8"/>
    <w:rsid w:val="004D4B5F"/>
    <w:rsid w:val="004D5428"/>
    <w:rsid w:val="004D5D5C"/>
    <w:rsid w:val="004D5FBA"/>
    <w:rsid w:val="004D6E67"/>
    <w:rsid w:val="004D752E"/>
    <w:rsid w:val="004E00B4"/>
    <w:rsid w:val="004E02BD"/>
    <w:rsid w:val="004E0745"/>
    <w:rsid w:val="004E0963"/>
    <w:rsid w:val="004E0B2F"/>
    <w:rsid w:val="004E0CCF"/>
    <w:rsid w:val="004E1B3F"/>
    <w:rsid w:val="004E21ED"/>
    <w:rsid w:val="004E2A8E"/>
    <w:rsid w:val="004E4559"/>
    <w:rsid w:val="004E458C"/>
    <w:rsid w:val="004E70F1"/>
    <w:rsid w:val="004E714B"/>
    <w:rsid w:val="004E7930"/>
    <w:rsid w:val="004F000D"/>
    <w:rsid w:val="004F0497"/>
    <w:rsid w:val="004F0EC9"/>
    <w:rsid w:val="004F0F77"/>
    <w:rsid w:val="004F224B"/>
    <w:rsid w:val="004F27DD"/>
    <w:rsid w:val="004F40AB"/>
    <w:rsid w:val="004F47F7"/>
    <w:rsid w:val="004F4C76"/>
    <w:rsid w:val="004F5AD4"/>
    <w:rsid w:val="004F5E74"/>
    <w:rsid w:val="004F5ED2"/>
    <w:rsid w:val="004F7CCB"/>
    <w:rsid w:val="0050050B"/>
    <w:rsid w:val="00500DC6"/>
    <w:rsid w:val="0050132A"/>
    <w:rsid w:val="00502F3E"/>
    <w:rsid w:val="00503196"/>
    <w:rsid w:val="005035E4"/>
    <w:rsid w:val="00503672"/>
    <w:rsid w:val="00503967"/>
    <w:rsid w:val="00503ADE"/>
    <w:rsid w:val="00503FC8"/>
    <w:rsid w:val="00504302"/>
    <w:rsid w:val="005044E0"/>
    <w:rsid w:val="0050467F"/>
    <w:rsid w:val="00504706"/>
    <w:rsid w:val="00504E60"/>
    <w:rsid w:val="0050553B"/>
    <w:rsid w:val="00505D13"/>
    <w:rsid w:val="005066F9"/>
    <w:rsid w:val="0050674F"/>
    <w:rsid w:val="00506767"/>
    <w:rsid w:val="00506A2E"/>
    <w:rsid w:val="00510478"/>
    <w:rsid w:val="00510BE0"/>
    <w:rsid w:val="00510C5C"/>
    <w:rsid w:val="00511288"/>
    <w:rsid w:val="00511A73"/>
    <w:rsid w:val="00511E62"/>
    <w:rsid w:val="00513492"/>
    <w:rsid w:val="00513696"/>
    <w:rsid w:val="005139F7"/>
    <w:rsid w:val="005148F6"/>
    <w:rsid w:val="00515EAB"/>
    <w:rsid w:val="00517065"/>
    <w:rsid w:val="005178CD"/>
    <w:rsid w:val="005207B3"/>
    <w:rsid w:val="005208AC"/>
    <w:rsid w:val="00520B14"/>
    <w:rsid w:val="00520BF3"/>
    <w:rsid w:val="005219BF"/>
    <w:rsid w:val="00521DC2"/>
    <w:rsid w:val="00521EFA"/>
    <w:rsid w:val="005221C4"/>
    <w:rsid w:val="0052230A"/>
    <w:rsid w:val="0052266F"/>
    <w:rsid w:val="00522B6D"/>
    <w:rsid w:val="00522BED"/>
    <w:rsid w:val="00522CEC"/>
    <w:rsid w:val="00522D01"/>
    <w:rsid w:val="00523237"/>
    <w:rsid w:val="00523A16"/>
    <w:rsid w:val="00523D2D"/>
    <w:rsid w:val="00524432"/>
    <w:rsid w:val="00524822"/>
    <w:rsid w:val="005256BB"/>
    <w:rsid w:val="005256DB"/>
    <w:rsid w:val="00525AC4"/>
    <w:rsid w:val="00525B79"/>
    <w:rsid w:val="005264A5"/>
    <w:rsid w:val="00526754"/>
    <w:rsid w:val="00526A8A"/>
    <w:rsid w:val="00526D01"/>
    <w:rsid w:val="00526D9F"/>
    <w:rsid w:val="00530860"/>
    <w:rsid w:val="00531932"/>
    <w:rsid w:val="00531C3D"/>
    <w:rsid w:val="005326BA"/>
    <w:rsid w:val="0053277C"/>
    <w:rsid w:val="00532EB0"/>
    <w:rsid w:val="005335BC"/>
    <w:rsid w:val="005336CE"/>
    <w:rsid w:val="00533CD5"/>
    <w:rsid w:val="00533FD5"/>
    <w:rsid w:val="00534621"/>
    <w:rsid w:val="00534871"/>
    <w:rsid w:val="00534F33"/>
    <w:rsid w:val="00535069"/>
    <w:rsid w:val="00535A60"/>
    <w:rsid w:val="005368AB"/>
    <w:rsid w:val="005372AF"/>
    <w:rsid w:val="00537F74"/>
    <w:rsid w:val="00540D5C"/>
    <w:rsid w:val="00540EBB"/>
    <w:rsid w:val="005414C4"/>
    <w:rsid w:val="00541971"/>
    <w:rsid w:val="00541FF9"/>
    <w:rsid w:val="00544481"/>
    <w:rsid w:val="005444FD"/>
    <w:rsid w:val="00544A27"/>
    <w:rsid w:val="00544C2E"/>
    <w:rsid w:val="0054689F"/>
    <w:rsid w:val="00546DAD"/>
    <w:rsid w:val="0054701C"/>
    <w:rsid w:val="0055024A"/>
    <w:rsid w:val="0055040D"/>
    <w:rsid w:val="00550CE9"/>
    <w:rsid w:val="00550D90"/>
    <w:rsid w:val="0055248D"/>
    <w:rsid w:val="00552EC6"/>
    <w:rsid w:val="00553590"/>
    <w:rsid w:val="005538CF"/>
    <w:rsid w:val="005542A1"/>
    <w:rsid w:val="005549AB"/>
    <w:rsid w:val="005557FE"/>
    <w:rsid w:val="00555A0C"/>
    <w:rsid w:val="00555A17"/>
    <w:rsid w:val="00555EC7"/>
    <w:rsid w:val="005570AD"/>
    <w:rsid w:val="00557DCC"/>
    <w:rsid w:val="0056092A"/>
    <w:rsid w:val="00560C7F"/>
    <w:rsid w:val="00561169"/>
    <w:rsid w:val="005615B9"/>
    <w:rsid w:val="005617DA"/>
    <w:rsid w:val="00561AAC"/>
    <w:rsid w:val="00561B18"/>
    <w:rsid w:val="00561C21"/>
    <w:rsid w:val="00561F0C"/>
    <w:rsid w:val="005623E3"/>
    <w:rsid w:val="005624E0"/>
    <w:rsid w:val="005629EE"/>
    <w:rsid w:val="0056329F"/>
    <w:rsid w:val="0056339B"/>
    <w:rsid w:val="00563DF3"/>
    <w:rsid w:val="00564EBB"/>
    <w:rsid w:val="00565022"/>
    <w:rsid w:val="0056580C"/>
    <w:rsid w:val="00565B20"/>
    <w:rsid w:val="00566C79"/>
    <w:rsid w:val="00567966"/>
    <w:rsid w:val="00570169"/>
    <w:rsid w:val="00571DC3"/>
    <w:rsid w:val="00571DD3"/>
    <w:rsid w:val="00571FF4"/>
    <w:rsid w:val="005720B2"/>
    <w:rsid w:val="005721C8"/>
    <w:rsid w:val="00572D19"/>
    <w:rsid w:val="00573C76"/>
    <w:rsid w:val="0057402C"/>
    <w:rsid w:val="005748A1"/>
    <w:rsid w:val="00575001"/>
    <w:rsid w:val="005757C3"/>
    <w:rsid w:val="00575C32"/>
    <w:rsid w:val="0057720B"/>
    <w:rsid w:val="00577800"/>
    <w:rsid w:val="00577D2F"/>
    <w:rsid w:val="00580185"/>
    <w:rsid w:val="005809B5"/>
    <w:rsid w:val="005812EF"/>
    <w:rsid w:val="00582010"/>
    <w:rsid w:val="0058254B"/>
    <w:rsid w:val="0058351E"/>
    <w:rsid w:val="00584064"/>
    <w:rsid w:val="00584584"/>
    <w:rsid w:val="00584922"/>
    <w:rsid w:val="005854E3"/>
    <w:rsid w:val="005858C5"/>
    <w:rsid w:val="00585EF3"/>
    <w:rsid w:val="00587914"/>
    <w:rsid w:val="005900F4"/>
    <w:rsid w:val="0059181C"/>
    <w:rsid w:val="005921B3"/>
    <w:rsid w:val="005925EC"/>
    <w:rsid w:val="00592ACB"/>
    <w:rsid w:val="00593ADA"/>
    <w:rsid w:val="00593E4F"/>
    <w:rsid w:val="00594F57"/>
    <w:rsid w:val="00595265"/>
    <w:rsid w:val="005958A0"/>
    <w:rsid w:val="0059611F"/>
    <w:rsid w:val="005964F5"/>
    <w:rsid w:val="00597224"/>
    <w:rsid w:val="005A0727"/>
    <w:rsid w:val="005A0F0D"/>
    <w:rsid w:val="005A1B7D"/>
    <w:rsid w:val="005A1FB5"/>
    <w:rsid w:val="005A21F0"/>
    <w:rsid w:val="005A2B32"/>
    <w:rsid w:val="005A3592"/>
    <w:rsid w:val="005A3696"/>
    <w:rsid w:val="005A4082"/>
    <w:rsid w:val="005A46DD"/>
    <w:rsid w:val="005A5176"/>
    <w:rsid w:val="005A64FE"/>
    <w:rsid w:val="005A6C46"/>
    <w:rsid w:val="005A71E5"/>
    <w:rsid w:val="005A78BC"/>
    <w:rsid w:val="005B0AAB"/>
    <w:rsid w:val="005B2FBF"/>
    <w:rsid w:val="005B3AF7"/>
    <w:rsid w:val="005B3F91"/>
    <w:rsid w:val="005B409A"/>
    <w:rsid w:val="005B40F1"/>
    <w:rsid w:val="005B4285"/>
    <w:rsid w:val="005B48B5"/>
    <w:rsid w:val="005B4EB8"/>
    <w:rsid w:val="005B5497"/>
    <w:rsid w:val="005B5790"/>
    <w:rsid w:val="005B5E9D"/>
    <w:rsid w:val="005B5FA3"/>
    <w:rsid w:val="005B5FD3"/>
    <w:rsid w:val="005B633B"/>
    <w:rsid w:val="005B66C5"/>
    <w:rsid w:val="005B6C43"/>
    <w:rsid w:val="005B6F1B"/>
    <w:rsid w:val="005B711B"/>
    <w:rsid w:val="005B72C0"/>
    <w:rsid w:val="005C0DB2"/>
    <w:rsid w:val="005C1453"/>
    <w:rsid w:val="005C196C"/>
    <w:rsid w:val="005C1C71"/>
    <w:rsid w:val="005C205B"/>
    <w:rsid w:val="005C2CA2"/>
    <w:rsid w:val="005C3064"/>
    <w:rsid w:val="005C3121"/>
    <w:rsid w:val="005C3191"/>
    <w:rsid w:val="005C3464"/>
    <w:rsid w:val="005C3C86"/>
    <w:rsid w:val="005C42DE"/>
    <w:rsid w:val="005C4651"/>
    <w:rsid w:val="005C5C1C"/>
    <w:rsid w:val="005C7161"/>
    <w:rsid w:val="005C725E"/>
    <w:rsid w:val="005C7653"/>
    <w:rsid w:val="005C7BBF"/>
    <w:rsid w:val="005D0057"/>
    <w:rsid w:val="005D019B"/>
    <w:rsid w:val="005D15AC"/>
    <w:rsid w:val="005D22E9"/>
    <w:rsid w:val="005D3069"/>
    <w:rsid w:val="005D31CB"/>
    <w:rsid w:val="005D370F"/>
    <w:rsid w:val="005D3730"/>
    <w:rsid w:val="005D3BD1"/>
    <w:rsid w:val="005D40A5"/>
    <w:rsid w:val="005D4675"/>
    <w:rsid w:val="005D57F3"/>
    <w:rsid w:val="005D5940"/>
    <w:rsid w:val="005D5A15"/>
    <w:rsid w:val="005D5D26"/>
    <w:rsid w:val="005D5EBA"/>
    <w:rsid w:val="005D60AE"/>
    <w:rsid w:val="005D7907"/>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5F5C"/>
    <w:rsid w:val="005E62CE"/>
    <w:rsid w:val="005E73A1"/>
    <w:rsid w:val="005E7458"/>
    <w:rsid w:val="005E76FD"/>
    <w:rsid w:val="005F013F"/>
    <w:rsid w:val="005F0547"/>
    <w:rsid w:val="005F06EC"/>
    <w:rsid w:val="005F19C6"/>
    <w:rsid w:val="005F1C17"/>
    <w:rsid w:val="005F3F86"/>
    <w:rsid w:val="005F4197"/>
    <w:rsid w:val="005F45D3"/>
    <w:rsid w:val="005F4B38"/>
    <w:rsid w:val="005F4C67"/>
    <w:rsid w:val="005F4F12"/>
    <w:rsid w:val="005F5163"/>
    <w:rsid w:val="005F52C6"/>
    <w:rsid w:val="005F541C"/>
    <w:rsid w:val="005F5A77"/>
    <w:rsid w:val="005F6596"/>
    <w:rsid w:val="005F6751"/>
    <w:rsid w:val="005F73CC"/>
    <w:rsid w:val="005F7601"/>
    <w:rsid w:val="005F7D76"/>
    <w:rsid w:val="00600709"/>
    <w:rsid w:val="00601491"/>
    <w:rsid w:val="00601639"/>
    <w:rsid w:val="006024F3"/>
    <w:rsid w:val="006028B7"/>
    <w:rsid w:val="00602D46"/>
    <w:rsid w:val="00603543"/>
    <w:rsid w:val="00603572"/>
    <w:rsid w:val="00603665"/>
    <w:rsid w:val="00604ACB"/>
    <w:rsid w:val="006055FE"/>
    <w:rsid w:val="00605FE7"/>
    <w:rsid w:val="006067DB"/>
    <w:rsid w:val="006073F9"/>
    <w:rsid w:val="00607C34"/>
    <w:rsid w:val="00607F86"/>
    <w:rsid w:val="0061009A"/>
    <w:rsid w:val="006104F9"/>
    <w:rsid w:val="00610669"/>
    <w:rsid w:val="00610BC0"/>
    <w:rsid w:val="00610FEC"/>
    <w:rsid w:val="00611335"/>
    <w:rsid w:val="006114ED"/>
    <w:rsid w:val="0061157C"/>
    <w:rsid w:val="0061278F"/>
    <w:rsid w:val="0061282A"/>
    <w:rsid w:val="00612ACE"/>
    <w:rsid w:val="00612C9E"/>
    <w:rsid w:val="006131E5"/>
    <w:rsid w:val="006132AE"/>
    <w:rsid w:val="00615427"/>
    <w:rsid w:val="00615E96"/>
    <w:rsid w:val="006167B8"/>
    <w:rsid w:val="00617C22"/>
    <w:rsid w:val="00620A9C"/>
    <w:rsid w:val="00620D7C"/>
    <w:rsid w:val="00621047"/>
    <w:rsid w:val="00621A6D"/>
    <w:rsid w:val="00621DB3"/>
    <w:rsid w:val="00621F03"/>
    <w:rsid w:val="00621FED"/>
    <w:rsid w:val="0062265E"/>
    <w:rsid w:val="00622F11"/>
    <w:rsid w:val="00623213"/>
    <w:rsid w:val="006246E4"/>
    <w:rsid w:val="00624BC2"/>
    <w:rsid w:val="006251DE"/>
    <w:rsid w:val="006254EE"/>
    <w:rsid w:val="00625B63"/>
    <w:rsid w:val="00626190"/>
    <w:rsid w:val="00626DB8"/>
    <w:rsid w:val="00627149"/>
    <w:rsid w:val="00627517"/>
    <w:rsid w:val="00630B1A"/>
    <w:rsid w:val="006311F7"/>
    <w:rsid w:val="006313B9"/>
    <w:rsid w:val="00632281"/>
    <w:rsid w:val="00632364"/>
    <w:rsid w:val="006324C1"/>
    <w:rsid w:val="006327BE"/>
    <w:rsid w:val="00632A4A"/>
    <w:rsid w:val="00634573"/>
    <w:rsid w:val="006348CC"/>
    <w:rsid w:val="00635A24"/>
    <w:rsid w:val="00635DDF"/>
    <w:rsid w:val="006366BE"/>
    <w:rsid w:val="00636818"/>
    <w:rsid w:val="00636ADD"/>
    <w:rsid w:val="00636C79"/>
    <w:rsid w:val="006373D4"/>
    <w:rsid w:val="00640221"/>
    <w:rsid w:val="006406E5"/>
    <w:rsid w:val="00640B24"/>
    <w:rsid w:val="0064110A"/>
    <w:rsid w:val="006417BC"/>
    <w:rsid w:val="0064185B"/>
    <w:rsid w:val="00641C9C"/>
    <w:rsid w:val="00641EE6"/>
    <w:rsid w:val="00641F0C"/>
    <w:rsid w:val="006422EA"/>
    <w:rsid w:val="00642EB3"/>
    <w:rsid w:val="006441AD"/>
    <w:rsid w:val="006442C8"/>
    <w:rsid w:val="0064464F"/>
    <w:rsid w:val="006446B7"/>
    <w:rsid w:val="0064476C"/>
    <w:rsid w:val="00644B90"/>
    <w:rsid w:val="00646E32"/>
    <w:rsid w:val="00646E56"/>
    <w:rsid w:val="00647687"/>
    <w:rsid w:val="00647768"/>
    <w:rsid w:val="006505E5"/>
    <w:rsid w:val="006509AD"/>
    <w:rsid w:val="00651AD8"/>
    <w:rsid w:val="0065230F"/>
    <w:rsid w:val="0065353F"/>
    <w:rsid w:val="00653CF8"/>
    <w:rsid w:val="00653F72"/>
    <w:rsid w:val="006546B9"/>
    <w:rsid w:val="00654B60"/>
    <w:rsid w:val="00655090"/>
    <w:rsid w:val="0065588C"/>
    <w:rsid w:val="00655E6B"/>
    <w:rsid w:val="00656911"/>
    <w:rsid w:val="00656F58"/>
    <w:rsid w:val="00657727"/>
    <w:rsid w:val="00660969"/>
    <w:rsid w:val="00660B48"/>
    <w:rsid w:val="00662650"/>
    <w:rsid w:val="006634BC"/>
    <w:rsid w:val="0066366C"/>
    <w:rsid w:val="006648D1"/>
    <w:rsid w:val="00664D37"/>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345B"/>
    <w:rsid w:val="006734ED"/>
    <w:rsid w:val="006738C1"/>
    <w:rsid w:val="00673D00"/>
    <w:rsid w:val="00674329"/>
    <w:rsid w:val="00674808"/>
    <w:rsid w:val="00674CE6"/>
    <w:rsid w:val="00674F39"/>
    <w:rsid w:val="00674FC2"/>
    <w:rsid w:val="006758EF"/>
    <w:rsid w:val="00675D53"/>
    <w:rsid w:val="006767DB"/>
    <w:rsid w:val="00676BB6"/>
    <w:rsid w:val="00676FCA"/>
    <w:rsid w:val="00677279"/>
    <w:rsid w:val="00677979"/>
    <w:rsid w:val="0067798B"/>
    <w:rsid w:val="00680232"/>
    <w:rsid w:val="00680316"/>
    <w:rsid w:val="006803A0"/>
    <w:rsid w:val="00680AC2"/>
    <w:rsid w:val="0068141A"/>
    <w:rsid w:val="0068146E"/>
    <w:rsid w:val="00681809"/>
    <w:rsid w:val="00681B55"/>
    <w:rsid w:val="00682088"/>
    <w:rsid w:val="0068273E"/>
    <w:rsid w:val="0068303F"/>
    <w:rsid w:val="006830FC"/>
    <w:rsid w:val="00683770"/>
    <w:rsid w:val="00683926"/>
    <w:rsid w:val="00683B58"/>
    <w:rsid w:val="0068416C"/>
    <w:rsid w:val="006849B0"/>
    <w:rsid w:val="006849D2"/>
    <w:rsid w:val="00685035"/>
    <w:rsid w:val="00685F7C"/>
    <w:rsid w:val="00686775"/>
    <w:rsid w:val="00686A7E"/>
    <w:rsid w:val="00686C41"/>
    <w:rsid w:val="00686CAE"/>
    <w:rsid w:val="006903A2"/>
    <w:rsid w:val="00690509"/>
    <w:rsid w:val="00690963"/>
    <w:rsid w:val="00690B95"/>
    <w:rsid w:val="00690EA6"/>
    <w:rsid w:val="00691156"/>
    <w:rsid w:val="00691601"/>
    <w:rsid w:val="00691998"/>
    <w:rsid w:val="00691CDA"/>
    <w:rsid w:val="00691E0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97BFC"/>
    <w:rsid w:val="006A0169"/>
    <w:rsid w:val="006A0433"/>
    <w:rsid w:val="006A09A4"/>
    <w:rsid w:val="006A134B"/>
    <w:rsid w:val="006A1957"/>
    <w:rsid w:val="006A21CC"/>
    <w:rsid w:val="006A22CA"/>
    <w:rsid w:val="006A291A"/>
    <w:rsid w:val="006A3856"/>
    <w:rsid w:val="006A438F"/>
    <w:rsid w:val="006A503A"/>
    <w:rsid w:val="006A65A6"/>
    <w:rsid w:val="006A66BF"/>
    <w:rsid w:val="006A6750"/>
    <w:rsid w:val="006A7601"/>
    <w:rsid w:val="006A7D6E"/>
    <w:rsid w:val="006A7FA7"/>
    <w:rsid w:val="006B0417"/>
    <w:rsid w:val="006B0634"/>
    <w:rsid w:val="006B0F9B"/>
    <w:rsid w:val="006B1837"/>
    <w:rsid w:val="006B1C34"/>
    <w:rsid w:val="006B1FDC"/>
    <w:rsid w:val="006B1FF1"/>
    <w:rsid w:val="006B2896"/>
    <w:rsid w:val="006B293F"/>
    <w:rsid w:val="006B34DE"/>
    <w:rsid w:val="006B35F3"/>
    <w:rsid w:val="006B40C1"/>
    <w:rsid w:val="006B5F49"/>
    <w:rsid w:val="006B60A2"/>
    <w:rsid w:val="006B6490"/>
    <w:rsid w:val="006B6A20"/>
    <w:rsid w:val="006C078D"/>
    <w:rsid w:val="006C086F"/>
    <w:rsid w:val="006C0D6F"/>
    <w:rsid w:val="006C164E"/>
    <w:rsid w:val="006C1EDD"/>
    <w:rsid w:val="006C2188"/>
    <w:rsid w:val="006C22E4"/>
    <w:rsid w:val="006C25AD"/>
    <w:rsid w:val="006C2C69"/>
    <w:rsid w:val="006C2F5C"/>
    <w:rsid w:val="006C319D"/>
    <w:rsid w:val="006C3573"/>
    <w:rsid w:val="006C3593"/>
    <w:rsid w:val="006C4010"/>
    <w:rsid w:val="006C41FC"/>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4C04"/>
    <w:rsid w:val="006D4E80"/>
    <w:rsid w:val="006D5A07"/>
    <w:rsid w:val="006D5DCC"/>
    <w:rsid w:val="006D5E38"/>
    <w:rsid w:val="006D614A"/>
    <w:rsid w:val="006D61AF"/>
    <w:rsid w:val="006D65EC"/>
    <w:rsid w:val="006D6B5E"/>
    <w:rsid w:val="006D6CA1"/>
    <w:rsid w:val="006D712E"/>
    <w:rsid w:val="006D7DA7"/>
    <w:rsid w:val="006E08F5"/>
    <w:rsid w:val="006E09B5"/>
    <w:rsid w:val="006E0EE2"/>
    <w:rsid w:val="006E0FAD"/>
    <w:rsid w:val="006E1E87"/>
    <w:rsid w:val="006E2057"/>
    <w:rsid w:val="006E2715"/>
    <w:rsid w:val="006E27D1"/>
    <w:rsid w:val="006E2953"/>
    <w:rsid w:val="006E2ADA"/>
    <w:rsid w:val="006E2CD8"/>
    <w:rsid w:val="006E3E4E"/>
    <w:rsid w:val="006E4019"/>
    <w:rsid w:val="006E43D2"/>
    <w:rsid w:val="006E4462"/>
    <w:rsid w:val="006E465C"/>
    <w:rsid w:val="006E48B7"/>
    <w:rsid w:val="006E4B08"/>
    <w:rsid w:val="006E4EB7"/>
    <w:rsid w:val="006E558B"/>
    <w:rsid w:val="006E753A"/>
    <w:rsid w:val="006E7A5E"/>
    <w:rsid w:val="006E7C6D"/>
    <w:rsid w:val="006E7D59"/>
    <w:rsid w:val="006E7F4D"/>
    <w:rsid w:val="006E7F81"/>
    <w:rsid w:val="006F12A6"/>
    <w:rsid w:val="006F1443"/>
    <w:rsid w:val="006F17D6"/>
    <w:rsid w:val="006F17DA"/>
    <w:rsid w:val="006F1C69"/>
    <w:rsid w:val="006F22F8"/>
    <w:rsid w:val="006F2579"/>
    <w:rsid w:val="006F2855"/>
    <w:rsid w:val="006F2887"/>
    <w:rsid w:val="006F2958"/>
    <w:rsid w:val="006F2DD6"/>
    <w:rsid w:val="006F5439"/>
    <w:rsid w:val="006F69AA"/>
    <w:rsid w:val="006F713E"/>
    <w:rsid w:val="006F7400"/>
    <w:rsid w:val="006F750C"/>
    <w:rsid w:val="006F7BB3"/>
    <w:rsid w:val="006F7EB1"/>
    <w:rsid w:val="00700A36"/>
    <w:rsid w:val="00700AD5"/>
    <w:rsid w:val="00701834"/>
    <w:rsid w:val="0070199E"/>
    <w:rsid w:val="007019C6"/>
    <w:rsid w:val="00701B71"/>
    <w:rsid w:val="00701BDD"/>
    <w:rsid w:val="00701E8E"/>
    <w:rsid w:val="00701EA6"/>
    <w:rsid w:val="00702171"/>
    <w:rsid w:val="00702B93"/>
    <w:rsid w:val="00702D4F"/>
    <w:rsid w:val="00703943"/>
    <w:rsid w:val="00703D5F"/>
    <w:rsid w:val="007045FC"/>
    <w:rsid w:val="0070488F"/>
    <w:rsid w:val="00704CDE"/>
    <w:rsid w:val="00704CF9"/>
    <w:rsid w:val="00704ECD"/>
    <w:rsid w:val="00705075"/>
    <w:rsid w:val="00705199"/>
    <w:rsid w:val="00705711"/>
    <w:rsid w:val="0070582E"/>
    <w:rsid w:val="0070596D"/>
    <w:rsid w:val="00706AAB"/>
    <w:rsid w:val="00707178"/>
    <w:rsid w:val="007073E2"/>
    <w:rsid w:val="0070772C"/>
    <w:rsid w:val="00707EED"/>
    <w:rsid w:val="00710713"/>
    <w:rsid w:val="00710A96"/>
    <w:rsid w:val="00711B38"/>
    <w:rsid w:val="00711F83"/>
    <w:rsid w:val="007122C3"/>
    <w:rsid w:val="007123C3"/>
    <w:rsid w:val="0071266E"/>
    <w:rsid w:val="00712C38"/>
    <w:rsid w:val="00712E25"/>
    <w:rsid w:val="00712E70"/>
    <w:rsid w:val="007130F7"/>
    <w:rsid w:val="00714183"/>
    <w:rsid w:val="00714B95"/>
    <w:rsid w:val="00715CA4"/>
    <w:rsid w:val="00715E75"/>
    <w:rsid w:val="0071643E"/>
    <w:rsid w:val="0071691D"/>
    <w:rsid w:val="0071695A"/>
    <w:rsid w:val="007172B6"/>
    <w:rsid w:val="0071779F"/>
    <w:rsid w:val="00717CD9"/>
    <w:rsid w:val="00720C6C"/>
    <w:rsid w:val="00720D93"/>
    <w:rsid w:val="007218A2"/>
    <w:rsid w:val="00721EC2"/>
    <w:rsid w:val="007225C9"/>
    <w:rsid w:val="00722634"/>
    <w:rsid w:val="007226F3"/>
    <w:rsid w:val="00722D51"/>
    <w:rsid w:val="0072328D"/>
    <w:rsid w:val="0072344E"/>
    <w:rsid w:val="007237EE"/>
    <w:rsid w:val="007240C3"/>
    <w:rsid w:val="007243CC"/>
    <w:rsid w:val="0072530B"/>
    <w:rsid w:val="007263B7"/>
    <w:rsid w:val="0072677C"/>
    <w:rsid w:val="00727471"/>
    <w:rsid w:val="00727632"/>
    <w:rsid w:val="007301CB"/>
    <w:rsid w:val="0073087D"/>
    <w:rsid w:val="00731957"/>
    <w:rsid w:val="007323E0"/>
    <w:rsid w:val="00732744"/>
    <w:rsid w:val="0073288D"/>
    <w:rsid w:val="00732974"/>
    <w:rsid w:val="00732BB6"/>
    <w:rsid w:val="00733697"/>
    <w:rsid w:val="00733C12"/>
    <w:rsid w:val="00733C2F"/>
    <w:rsid w:val="00733EF3"/>
    <w:rsid w:val="007344A7"/>
    <w:rsid w:val="007356BB"/>
    <w:rsid w:val="00735B0B"/>
    <w:rsid w:val="00735BED"/>
    <w:rsid w:val="0073666D"/>
    <w:rsid w:val="0073669E"/>
    <w:rsid w:val="00736799"/>
    <w:rsid w:val="0073707B"/>
    <w:rsid w:val="00737C67"/>
    <w:rsid w:val="00737D1D"/>
    <w:rsid w:val="00737F76"/>
    <w:rsid w:val="007404A0"/>
    <w:rsid w:val="007406D2"/>
    <w:rsid w:val="00740FC0"/>
    <w:rsid w:val="00741002"/>
    <w:rsid w:val="00741637"/>
    <w:rsid w:val="007418D4"/>
    <w:rsid w:val="00741E81"/>
    <w:rsid w:val="00742121"/>
    <w:rsid w:val="00742CE6"/>
    <w:rsid w:val="00743353"/>
    <w:rsid w:val="00743655"/>
    <w:rsid w:val="00743FDA"/>
    <w:rsid w:val="0074467F"/>
    <w:rsid w:val="00744F24"/>
    <w:rsid w:val="0074501E"/>
    <w:rsid w:val="00745868"/>
    <w:rsid w:val="00746472"/>
    <w:rsid w:val="00746CD0"/>
    <w:rsid w:val="00746F76"/>
    <w:rsid w:val="007471B6"/>
    <w:rsid w:val="00747C5A"/>
    <w:rsid w:val="00747CD0"/>
    <w:rsid w:val="007500B9"/>
    <w:rsid w:val="007502B5"/>
    <w:rsid w:val="00750846"/>
    <w:rsid w:val="007516D1"/>
    <w:rsid w:val="00751ADF"/>
    <w:rsid w:val="00751DE7"/>
    <w:rsid w:val="00752CE8"/>
    <w:rsid w:val="00753790"/>
    <w:rsid w:val="0075428A"/>
    <w:rsid w:val="0075561B"/>
    <w:rsid w:val="00755E24"/>
    <w:rsid w:val="00756E8B"/>
    <w:rsid w:val="007575BC"/>
    <w:rsid w:val="007603BD"/>
    <w:rsid w:val="00760A78"/>
    <w:rsid w:val="007618B2"/>
    <w:rsid w:val="007620C8"/>
    <w:rsid w:val="00763C94"/>
    <w:rsid w:val="0076468E"/>
    <w:rsid w:val="00764725"/>
    <w:rsid w:val="0076472C"/>
    <w:rsid w:val="007649D6"/>
    <w:rsid w:val="00764B6B"/>
    <w:rsid w:val="00764F0C"/>
    <w:rsid w:val="007659EF"/>
    <w:rsid w:val="00765B31"/>
    <w:rsid w:val="00766029"/>
    <w:rsid w:val="00766432"/>
    <w:rsid w:val="00766983"/>
    <w:rsid w:val="00767A28"/>
    <w:rsid w:val="00767D99"/>
    <w:rsid w:val="00770893"/>
    <w:rsid w:val="007712C3"/>
    <w:rsid w:val="00771D33"/>
    <w:rsid w:val="00771F1C"/>
    <w:rsid w:val="00771F3F"/>
    <w:rsid w:val="007724C4"/>
    <w:rsid w:val="007725DF"/>
    <w:rsid w:val="00772E14"/>
    <w:rsid w:val="00772E1A"/>
    <w:rsid w:val="007736D0"/>
    <w:rsid w:val="00773A11"/>
    <w:rsid w:val="00773D01"/>
    <w:rsid w:val="0077411F"/>
    <w:rsid w:val="00774C10"/>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5E47"/>
    <w:rsid w:val="007861AA"/>
    <w:rsid w:val="0078659F"/>
    <w:rsid w:val="00787447"/>
    <w:rsid w:val="0078776F"/>
    <w:rsid w:val="007900EA"/>
    <w:rsid w:val="00790BDA"/>
    <w:rsid w:val="00790CD2"/>
    <w:rsid w:val="0079103F"/>
    <w:rsid w:val="007918A1"/>
    <w:rsid w:val="00792169"/>
    <w:rsid w:val="00793091"/>
    <w:rsid w:val="00793F12"/>
    <w:rsid w:val="00794320"/>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1803"/>
    <w:rsid w:val="007A20A0"/>
    <w:rsid w:val="007A289D"/>
    <w:rsid w:val="007A2AD1"/>
    <w:rsid w:val="007A2B71"/>
    <w:rsid w:val="007A2BE6"/>
    <w:rsid w:val="007A2C5D"/>
    <w:rsid w:val="007A340C"/>
    <w:rsid w:val="007A367F"/>
    <w:rsid w:val="007A36E5"/>
    <w:rsid w:val="007A38B8"/>
    <w:rsid w:val="007A4A3D"/>
    <w:rsid w:val="007A4E3F"/>
    <w:rsid w:val="007A5090"/>
    <w:rsid w:val="007A5A11"/>
    <w:rsid w:val="007A5AB8"/>
    <w:rsid w:val="007A6F16"/>
    <w:rsid w:val="007A72CA"/>
    <w:rsid w:val="007A7512"/>
    <w:rsid w:val="007A752A"/>
    <w:rsid w:val="007A7B6E"/>
    <w:rsid w:val="007A7E3D"/>
    <w:rsid w:val="007A7F7F"/>
    <w:rsid w:val="007A7FD6"/>
    <w:rsid w:val="007B028F"/>
    <w:rsid w:val="007B09DF"/>
    <w:rsid w:val="007B0CC3"/>
    <w:rsid w:val="007B16A1"/>
    <w:rsid w:val="007B217C"/>
    <w:rsid w:val="007B2DB6"/>
    <w:rsid w:val="007B300E"/>
    <w:rsid w:val="007B30CA"/>
    <w:rsid w:val="007B3A11"/>
    <w:rsid w:val="007B3AFD"/>
    <w:rsid w:val="007B4DDD"/>
    <w:rsid w:val="007B530F"/>
    <w:rsid w:val="007B567F"/>
    <w:rsid w:val="007B57E8"/>
    <w:rsid w:val="007B58BF"/>
    <w:rsid w:val="007B5D4F"/>
    <w:rsid w:val="007B65D4"/>
    <w:rsid w:val="007B67FE"/>
    <w:rsid w:val="007B7101"/>
    <w:rsid w:val="007B7B2B"/>
    <w:rsid w:val="007B7B34"/>
    <w:rsid w:val="007B7DA1"/>
    <w:rsid w:val="007B7F68"/>
    <w:rsid w:val="007C0BE9"/>
    <w:rsid w:val="007C10C6"/>
    <w:rsid w:val="007C17BF"/>
    <w:rsid w:val="007C1B02"/>
    <w:rsid w:val="007C1D91"/>
    <w:rsid w:val="007C200D"/>
    <w:rsid w:val="007C204B"/>
    <w:rsid w:val="007C398B"/>
    <w:rsid w:val="007C4C4F"/>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3D41"/>
    <w:rsid w:val="007D41C2"/>
    <w:rsid w:val="007D42D5"/>
    <w:rsid w:val="007D467D"/>
    <w:rsid w:val="007D4BFC"/>
    <w:rsid w:val="007D5080"/>
    <w:rsid w:val="007D6193"/>
    <w:rsid w:val="007D6B1C"/>
    <w:rsid w:val="007D78EE"/>
    <w:rsid w:val="007D7A92"/>
    <w:rsid w:val="007D7BFE"/>
    <w:rsid w:val="007E01C5"/>
    <w:rsid w:val="007E0750"/>
    <w:rsid w:val="007E0A49"/>
    <w:rsid w:val="007E0B1E"/>
    <w:rsid w:val="007E0F2C"/>
    <w:rsid w:val="007E0FAF"/>
    <w:rsid w:val="007E112F"/>
    <w:rsid w:val="007E1356"/>
    <w:rsid w:val="007E1C60"/>
    <w:rsid w:val="007E3301"/>
    <w:rsid w:val="007E3CC5"/>
    <w:rsid w:val="007E441D"/>
    <w:rsid w:val="007E450C"/>
    <w:rsid w:val="007E4A09"/>
    <w:rsid w:val="007E4C9C"/>
    <w:rsid w:val="007E5486"/>
    <w:rsid w:val="007E54AD"/>
    <w:rsid w:val="007E5B1C"/>
    <w:rsid w:val="007E5F2E"/>
    <w:rsid w:val="007E5FB5"/>
    <w:rsid w:val="007E6196"/>
    <w:rsid w:val="007E6656"/>
    <w:rsid w:val="007E6E12"/>
    <w:rsid w:val="007E70BF"/>
    <w:rsid w:val="007E717D"/>
    <w:rsid w:val="007E724E"/>
    <w:rsid w:val="007E735A"/>
    <w:rsid w:val="007E7432"/>
    <w:rsid w:val="007E7F06"/>
    <w:rsid w:val="007F0085"/>
    <w:rsid w:val="007F080F"/>
    <w:rsid w:val="007F0F01"/>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7DD"/>
    <w:rsid w:val="007F67F0"/>
    <w:rsid w:val="007F6BC7"/>
    <w:rsid w:val="007F7F32"/>
    <w:rsid w:val="00800A70"/>
    <w:rsid w:val="00800DF8"/>
    <w:rsid w:val="008017C2"/>
    <w:rsid w:val="00801DBA"/>
    <w:rsid w:val="00801E32"/>
    <w:rsid w:val="00801FB7"/>
    <w:rsid w:val="008021FD"/>
    <w:rsid w:val="00802554"/>
    <w:rsid w:val="008026FA"/>
    <w:rsid w:val="00802B21"/>
    <w:rsid w:val="00802DB4"/>
    <w:rsid w:val="008036BE"/>
    <w:rsid w:val="00803B18"/>
    <w:rsid w:val="00803B2E"/>
    <w:rsid w:val="00804501"/>
    <w:rsid w:val="0080493A"/>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3C7"/>
    <w:rsid w:val="00814DCA"/>
    <w:rsid w:val="008150BE"/>
    <w:rsid w:val="0081539C"/>
    <w:rsid w:val="008154EA"/>
    <w:rsid w:val="008157B3"/>
    <w:rsid w:val="00815822"/>
    <w:rsid w:val="00815D1B"/>
    <w:rsid w:val="008163BE"/>
    <w:rsid w:val="008164A8"/>
    <w:rsid w:val="00816C1F"/>
    <w:rsid w:val="008174AD"/>
    <w:rsid w:val="00820876"/>
    <w:rsid w:val="0082143F"/>
    <w:rsid w:val="0082159A"/>
    <w:rsid w:val="00821718"/>
    <w:rsid w:val="00822064"/>
    <w:rsid w:val="008220AD"/>
    <w:rsid w:val="00822738"/>
    <w:rsid w:val="00822969"/>
    <w:rsid w:val="00823196"/>
    <w:rsid w:val="00823610"/>
    <w:rsid w:val="008237DE"/>
    <w:rsid w:val="00824ABF"/>
    <w:rsid w:val="00824E32"/>
    <w:rsid w:val="00825B9C"/>
    <w:rsid w:val="00827EFF"/>
    <w:rsid w:val="008301C6"/>
    <w:rsid w:val="0083049A"/>
    <w:rsid w:val="00830846"/>
    <w:rsid w:val="008319DA"/>
    <w:rsid w:val="00831D1D"/>
    <w:rsid w:val="008321A6"/>
    <w:rsid w:val="00832C7E"/>
    <w:rsid w:val="00833393"/>
    <w:rsid w:val="0083380F"/>
    <w:rsid w:val="00833A60"/>
    <w:rsid w:val="00833C3B"/>
    <w:rsid w:val="00833D2C"/>
    <w:rsid w:val="00835CF4"/>
    <w:rsid w:val="00835FCE"/>
    <w:rsid w:val="008368DE"/>
    <w:rsid w:val="0083696A"/>
    <w:rsid w:val="00840BCC"/>
    <w:rsid w:val="00840E25"/>
    <w:rsid w:val="0084161A"/>
    <w:rsid w:val="00841962"/>
    <w:rsid w:val="008424BB"/>
    <w:rsid w:val="00842B3A"/>
    <w:rsid w:val="00843613"/>
    <w:rsid w:val="0084383C"/>
    <w:rsid w:val="0084456D"/>
    <w:rsid w:val="00844729"/>
    <w:rsid w:val="008461B4"/>
    <w:rsid w:val="008465CB"/>
    <w:rsid w:val="00846695"/>
    <w:rsid w:val="00846A62"/>
    <w:rsid w:val="0085127E"/>
    <w:rsid w:val="008515CC"/>
    <w:rsid w:val="008517C6"/>
    <w:rsid w:val="00852898"/>
    <w:rsid w:val="00852F4F"/>
    <w:rsid w:val="00853308"/>
    <w:rsid w:val="008534CC"/>
    <w:rsid w:val="00853646"/>
    <w:rsid w:val="00853C98"/>
    <w:rsid w:val="00854103"/>
    <w:rsid w:val="00854773"/>
    <w:rsid w:val="008549B1"/>
    <w:rsid w:val="00854B47"/>
    <w:rsid w:val="008550BA"/>
    <w:rsid w:val="0085543E"/>
    <w:rsid w:val="00855820"/>
    <w:rsid w:val="008568B0"/>
    <w:rsid w:val="0085710E"/>
    <w:rsid w:val="008578F2"/>
    <w:rsid w:val="00857A16"/>
    <w:rsid w:val="00857DB6"/>
    <w:rsid w:val="008600ED"/>
    <w:rsid w:val="00860366"/>
    <w:rsid w:val="008614BF"/>
    <w:rsid w:val="008615DC"/>
    <w:rsid w:val="008619B4"/>
    <w:rsid w:val="00861CAB"/>
    <w:rsid w:val="008623CA"/>
    <w:rsid w:val="008627A8"/>
    <w:rsid w:val="00862B21"/>
    <w:rsid w:val="00863523"/>
    <w:rsid w:val="008636D6"/>
    <w:rsid w:val="00863E02"/>
    <w:rsid w:val="0086489A"/>
    <w:rsid w:val="00865274"/>
    <w:rsid w:val="00865301"/>
    <w:rsid w:val="00865940"/>
    <w:rsid w:val="00865A0D"/>
    <w:rsid w:val="00865EEC"/>
    <w:rsid w:val="00866416"/>
    <w:rsid w:val="00866A27"/>
    <w:rsid w:val="00866C88"/>
    <w:rsid w:val="0086726E"/>
    <w:rsid w:val="00867C61"/>
    <w:rsid w:val="008701DC"/>
    <w:rsid w:val="00870234"/>
    <w:rsid w:val="00870335"/>
    <w:rsid w:val="0087051A"/>
    <w:rsid w:val="0087081B"/>
    <w:rsid w:val="008714CD"/>
    <w:rsid w:val="00872A6E"/>
    <w:rsid w:val="008739F1"/>
    <w:rsid w:val="00873F33"/>
    <w:rsid w:val="00874197"/>
    <w:rsid w:val="00874308"/>
    <w:rsid w:val="00874882"/>
    <w:rsid w:val="00875375"/>
    <w:rsid w:val="008753E4"/>
    <w:rsid w:val="00875827"/>
    <w:rsid w:val="008764DF"/>
    <w:rsid w:val="00876C7F"/>
    <w:rsid w:val="00876DA9"/>
    <w:rsid w:val="00877B13"/>
    <w:rsid w:val="00880AB5"/>
    <w:rsid w:val="00880AD5"/>
    <w:rsid w:val="00880C01"/>
    <w:rsid w:val="00881095"/>
    <w:rsid w:val="00881457"/>
    <w:rsid w:val="00881918"/>
    <w:rsid w:val="00881E91"/>
    <w:rsid w:val="00882802"/>
    <w:rsid w:val="00882B0F"/>
    <w:rsid w:val="008836A7"/>
    <w:rsid w:val="00883749"/>
    <w:rsid w:val="008837DA"/>
    <w:rsid w:val="00884467"/>
    <w:rsid w:val="0088452E"/>
    <w:rsid w:val="00884AB6"/>
    <w:rsid w:val="0088559A"/>
    <w:rsid w:val="00885D99"/>
    <w:rsid w:val="00886448"/>
    <w:rsid w:val="0088656B"/>
    <w:rsid w:val="00887031"/>
    <w:rsid w:val="008872D7"/>
    <w:rsid w:val="00887E8C"/>
    <w:rsid w:val="00887F03"/>
    <w:rsid w:val="0089055E"/>
    <w:rsid w:val="00891448"/>
    <w:rsid w:val="008914A2"/>
    <w:rsid w:val="00891D38"/>
    <w:rsid w:val="00891D7B"/>
    <w:rsid w:val="008923EA"/>
    <w:rsid w:val="00893B95"/>
    <w:rsid w:val="008941B2"/>
    <w:rsid w:val="0089486E"/>
    <w:rsid w:val="00894DEA"/>
    <w:rsid w:val="00895941"/>
    <w:rsid w:val="00896875"/>
    <w:rsid w:val="008A0D44"/>
    <w:rsid w:val="008A1084"/>
    <w:rsid w:val="008A1C2F"/>
    <w:rsid w:val="008A1DA7"/>
    <w:rsid w:val="008A29BC"/>
    <w:rsid w:val="008A3884"/>
    <w:rsid w:val="008A3A4B"/>
    <w:rsid w:val="008A41DE"/>
    <w:rsid w:val="008A49EA"/>
    <w:rsid w:val="008A4ABF"/>
    <w:rsid w:val="008A5519"/>
    <w:rsid w:val="008A6614"/>
    <w:rsid w:val="008A739F"/>
    <w:rsid w:val="008A7517"/>
    <w:rsid w:val="008A790C"/>
    <w:rsid w:val="008B0108"/>
    <w:rsid w:val="008B0CD7"/>
    <w:rsid w:val="008B1123"/>
    <w:rsid w:val="008B18E3"/>
    <w:rsid w:val="008B3670"/>
    <w:rsid w:val="008B392A"/>
    <w:rsid w:val="008B3E82"/>
    <w:rsid w:val="008B4157"/>
    <w:rsid w:val="008B4A24"/>
    <w:rsid w:val="008B51DE"/>
    <w:rsid w:val="008B5AFF"/>
    <w:rsid w:val="008B5E0B"/>
    <w:rsid w:val="008B758A"/>
    <w:rsid w:val="008B7C72"/>
    <w:rsid w:val="008B7CD2"/>
    <w:rsid w:val="008C00EF"/>
    <w:rsid w:val="008C053C"/>
    <w:rsid w:val="008C0C4F"/>
    <w:rsid w:val="008C0F75"/>
    <w:rsid w:val="008C12F3"/>
    <w:rsid w:val="008C1433"/>
    <w:rsid w:val="008C17EE"/>
    <w:rsid w:val="008C1D8B"/>
    <w:rsid w:val="008C1F03"/>
    <w:rsid w:val="008C21EC"/>
    <w:rsid w:val="008C277A"/>
    <w:rsid w:val="008C2F47"/>
    <w:rsid w:val="008C3373"/>
    <w:rsid w:val="008C49A9"/>
    <w:rsid w:val="008C561D"/>
    <w:rsid w:val="008C62EC"/>
    <w:rsid w:val="008C6316"/>
    <w:rsid w:val="008C7911"/>
    <w:rsid w:val="008C7FAF"/>
    <w:rsid w:val="008D0BE4"/>
    <w:rsid w:val="008D0F42"/>
    <w:rsid w:val="008D1475"/>
    <w:rsid w:val="008D151E"/>
    <w:rsid w:val="008D19DB"/>
    <w:rsid w:val="008D35E2"/>
    <w:rsid w:val="008D3981"/>
    <w:rsid w:val="008D41B5"/>
    <w:rsid w:val="008D48AA"/>
    <w:rsid w:val="008D52D5"/>
    <w:rsid w:val="008D5BE0"/>
    <w:rsid w:val="008D72C3"/>
    <w:rsid w:val="008D7537"/>
    <w:rsid w:val="008D7689"/>
    <w:rsid w:val="008D7B10"/>
    <w:rsid w:val="008E041A"/>
    <w:rsid w:val="008E04F6"/>
    <w:rsid w:val="008E0FD3"/>
    <w:rsid w:val="008E154C"/>
    <w:rsid w:val="008E1B76"/>
    <w:rsid w:val="008E1DCB"/>
    <w:rsid w:val="008E2248"/>
    <w:rsid w:val="008E237A"/>
    <w:rsid w:val="008E24CD"/>
    <w:rsid w:val="008E2CD5"/>
    <w:rsid w:val="008E2DF1"/>
    <w:rsid w:val="008E3BD0"/>
    <w:rsid w:val="008E53E7"/>
    <w:rsid w:val="008E5B3B"/>
    <w:rsid w:val="008E5D69"/>
    <w:rsid w:val="008E5EE3"/>
    <w:rsid w:val="008E63EA"/>
    <w:rsid w:val="008E7537"/>
    <w:rsid w:val="008E7558"/>
    <w:rsid w:val="008E7C23"/>
    <w:rsid w:val="008E7F8D"/>
    <w:rsid w:val="008F06E9"/>
    <w:rsid w:val="008F11C4"/>
    <w:rsid w:val="008F19BB"/>
    <w:rsid w:val="008F2850"/>
    <w:rsid w:val="008F2FC2"/>
    <w:rsid w:val="008F302C"/>
    <w:rsid w:val="008F327F"/>
    <w:rsid w:val="008F3305"/>
    <w:rsid w:val="008F3A1B"/>
    <w:rsid w:val="008F3C46"/>
    <w:rsid w:val="008F3E18"/>
    <w:rsid w:val="008F4783"/>
    <w:rsid w:val="008F4C45"/>
    <w:rsid w:val="008F5481"/>
    <w:rsid w:val="008F5D1E"/>
    <w:rsid w:val="008F6FE8"/>
    <w:rsid w:val="008F7242"/>
    <w:rsid w:val="008F75F1"/>
    <w:rsid w:val="008F7D34"/>
    <w:rsid w:val="008F7FBB"/>
    <w:rsid w:val="009011A5"/>
    <w:rsid w:val="00901457"/>
    <w:rsid w:val="00901C77"/>
    <w:rsid w:val="0090233F"/>
    <w:rsid w:val="00902698"/>
    <w:rsid w:val="009026E8"/>
    <w:rsid w:val="009030B0"/>
    <w:rsid w:val="009031E3"/>
    <w:rsid w:val="009035A2"/>
    <w:rsid w:val="0090368C"/>
    <w:rsid w:val="00903C20"/>
    <w:rsid w:val="00903E1E"/>
    <w:rsid w:val="00903EBB"/>
    <w:rsid w:val="00904067"/>
    <w:rsid w:val="00904674"/>
    <w:rsid w:val="00904BC9"/>
    <w:rsid w:val="009056C1"/>
    <w:rsid w:val="009056CA"/>
    <w:rsid w:val="009057C5"/>
    <w:rsid w:val="00905F4A"/>
    <w:rsid w:val="009062BB"/>
    <w:rsid w:val="0090688C"/>
    <w:rsid w:val="0090766E"/>
    <w:rsid w:val="0091038B"/>
    <w:rsid w:val="009119D3"/>
    <w:rsid w:val="00911F66"/>
    <w:rsid w:val="00913377"/>
    <w:rsid w:val="0091344B"/>
    <w:rsid w:val="00913491"/>
    <w:rsid w:val="009136AF"/>
    <w:rsid w:val="00913DCC"/>
    <w:rsid w:val="0091409A"/>
    <w:rsid w:val="00914378"/>
    <w:rsid w:val="00914F27"/>
    <w:rsid w:val="00916333"/>
    <w:rsid w:val="00916B50"/>
    <w:rsid w:val="00917B21"/>
    <w:rsid w:val="00921839"/>
    <w:rsid w:val="00921E03"/>
    <w:rsid w:val="00922101"/>
    <w:rsid w:val="00922A4B"/>
    <w:rsid w:val="00923492"/>
    <w:rsid w:val="009236F3"/>
    <w:rsid w:val="009241BB"/>
    <w:rsid w:val="009244F7"/>
    <w:rsid w:val="00924C0D"/>
    <w:rsid w:val="00924D94"/>
    <w:rsid w:val="0092501B"/>
    <w:rsid w:val="0092587F"/>
    <w:rsid w:val="00925AA4"/>
    <w:rsid w:val="00926BE1"/>
    <w:rsid w:val="009272CD"/>
    <w:rsid w:val="00930FA6"/>
    <w:rsid w:val="00931158"/>
    <w:rsid w:val="009313BE"/>
    <w:rsid w:val="009318B0"/>
    <w:rsid w:val="00932FE2"/>
    <w:rsid w:val="00933907"/>
    <w:rsid w:val="00933DCB"/>
    <w:rsid w:val="0093405E"/>
    <w:rsid w:val="009340AB"/>
    <w:rsid w:val="0093426D"/>
    <w:rsid w:val="00934498"/>
    <w:rsid w:val="00936192"/>
    <w:rsid w:val="00937516"/>
    <w:rsid w:val="0094066E"/>
    <w:rsid w:val="0094182D"/>
    <w:rsid w:val="00942004"/>
    <w:rsid w:val="0094245B"/>
    <w:rsid w:val="00942913"/>
    <w:rsid w:val="00942A08"/>
    <w:rsid w:val="00942CAD"/>
    <w:rsid w:val="009432E4"/>
    <w:rsid w:val="00943363"/>
    <w:rsid w:val="009434CF"/>
    <w:rsid w:val="009434EA"/>
    <w:rsid w:val="009442EB"/>
    <w:rsid w:val="00944491"/>
    <w:rsid w:val="009447D8"/>
    <w:rsid w:val="00945752"/>
    <w:rsid w:val="009461AA"/>
    <w:rsid w:val="0094624F"/>
    <w:rsid w:val="009463C5"/>
    <w:rsid w:val="009468E9"/>
    <w:rsid w:val="00946910"/>
    <w:rsid w:val="00946D18"/>
    <w:rsid w:val="00947C38"/>
    <w:rsid w:val="00947E63"/>
    <w:rsid w:val="00951718"/>
    <w:rsid w:val="00951817"/>
    <w:rsid w:val="00952CCB"/>
    <w:rsid w:val="00953322"/>
    <w:rsid w:val="00953BFE"/>
    <w:rsid w:val="009550BB"/>
    <w:rsid w:val="0095545C"/>
    <w:rsid w:val="00955935"/>
    <w:rsid w:val="00955992"/>
    <w:rsid w:val="00955AB7"/>
    <w:rsid w:val="00955B26"/>
    <w:rsid w:val="00955B99"/>
    <w:rsid w:val="00956067"/>
    <w:rsid w:val="00956115"/>
    <w:rsid w:val="00956244"/>
    <w:rsid w:val="00956304"/>
    <w:rsid w:val="009566DC"/>
    <w:rsid w:val="00957342"/>
    <w:rsid w:val="009574F2"/>
    <w:rsid w:val="00957921"/>
    <w:rsid w:val="00957A1E"/>
    <w:rsid w:val="00957A76"/>
    <w:rsid w:val="00957C00"/>
    <w:rsid w:val="00960719"/>
    <w:rsid w:val="00960F89"/>
    <w:rsid w:val="009616B6"/>
    <w:rsid w:val="009619CF"/>
    <w:rsid w:val="00962255"/>
    <w:rsid w:val="00962B2A"/>
    <w:rsid w:val="00963502"/>
    <w:rsid w:val="00963C96"/>
    <w:rsid w:val="009648EF"/>
    <w:rsid w:val="009649FF"/>
    <w:rsid w:val="00965DC9"/>
    <w:rsid w:val="00966B53"/>
    <w:rsid w:val="00967433"/>
    <w:rsid w:val="009700F8"/>
    <w:rsid w:val="00970584"/>
    <w:rsid w:val="00970F04"/>
    <w:rsid w:val="009710FB"/>
    <w:rsid w:val="0097114B"/>
    <w:rsid w:val="00971224"/>
    <w:rsid w:val="00971F36"/>
    <w:rsid w:val="009720C3"/>
    <w:rsid w:val="0097319E"/>
    <w:rsid w:val="0097358B"/>
    <w:rsid w:val="00973730"/>
    <w:rsid w:val="00973A12"/>
    <w:rsid w:val="00973AFE"/>
    <w:rsid w:val="00974614"/>
    <w:rsid w:val="009748FF"/>
    <w:rsid w:val="00975084"/>
    <w:rsid w:val="00975243"/>
    <w:rsid w:val="009754BC"/>
    <w:rsid w:val="0097588C"/>
    <w:rsid w:val="00975C3B"/>
    <w:rsid w:val="0097620F"/>
    <w:rsid w:val="00976397"/>
    <w:rsid w:val="00976588"/>
    <w:rsid w:val="00976FE8"/>
    <w:rsid w:val="009771A0"/>
    <w:rsid w:val="0097799A"/>
    <w:rsid w:val="00977C25"/>
    <w:rsid w:val="009807C9"/>
    <w:rsid w:val="0098082E"/>
    <w:rsid w:val="00980CAF"/>
    <w:rsid w:val="00980DB8"/>
    <w:rsid w:val="0098122A"/>
    <w:rsid w:val="0098137E"/>
    <w:rsid w:val="009816C8"/>
    <w:rsid w:val="0098173F"/>
    <w:rsid w:val="00981DC5"/>
    <w:rsid w:val="00981FC9"/>
    <w:rsid w:val="00982327"/>
    <w:rsid w:val="009833CB"/>
    <w:rsid w:val="009836FB"/>
    <w:rsid w:val="009837A3"/>
    <w:rsid w:val="00983F27"/>
    <w:rsid w:val="009843E2"/>
    <w:rsid w:val="0098582B"/>
    <w:rsid w:val="009858DA"/>
    <w:rsid w:val="009861EE"/>
    <w:rsid w:val="00986262"/>
    <w:rsid w:val="00987566"/>
    <w:rsid w:val="0098760C"/>
    <w:rsid w:val="0098795A"/>
    <w:rsid w:val="00987F32"/>
    <w:rsid w:val="0099011B"/>
    <w:rsid w:val="00990487"/>
    <w:rsid w:val="009912E2"/>
    <w:rsid w:val="00991536"/>
    <w:rsid w:val="009915AA"/>
    <w:rsid w:val="00991648"/>
    <w:rsid w:val="009918AC"/>
    <w:rsid w:val="0099255B"/>
    <w:rsid w:val="00992A8B"/>
    <w:rsid w:val="00993DAC"/>
    <w:rsid w:val="00995D5C"/>
    <w:rsid w:val="00996373"/>
    <w:rsid w:val="00996A23"/>
    <w:rsid w:val="00997046"/>
    <w:rsid w:val="009973B6"/>
    <w:rsid w:val="00997585"/>
    <w:rsid w:val="00997705"/>
    <w:rsid w:val="00997BEC"/>
    <w:rsid w:val="00997C26"/>
    <w:rsid w:val="009A06D0"/>
    <w:rsid w:val="009A0B7F"/>
    <w:rsid w:val="009A0E19"/>
    <w:rsid w:val="009A1215"/>
    <w:rsid w:val="009A1416"/>
    <w:rsid w:val="009A20E4"/>
    <w:rsid w:val="009A2440"/>
    <w:rsid w:val="009A2448"/>
    <w:rsid w:val="009A28F6"/>
    <w:rsid w:val="009A3437"/>
    <w:rsid w:val="009A3D15"/>
    <w:rsid w:val="009A3E6F"/>
    <w:rsid w:val="009A3FD3"/>
    <w:rsid w:val="009A4588"/>
    <w:rsid w:val="009A4ECB"/>
    <w:rsid w:val="009A5F3F"/>
    <w:rsid w:val="009A6007"/>
    <w:rsid w:val="009A6A00"/>
    <w:rsid w:val="009A6E33"/>
    <w:rsid w:val="009A6F9E"/>
    <w:rsid w:val="009A714A"/>
    <w:rsid w:val="009A718B"/>
    <w:rsid w:val="009A7318"/>
    <w:rsid w:val="009A7B51"/>
    <w:rsid w:val="009A7E2A"/>
    <w:rsid w:val="009B0602"/>
    <w:rsid w:val="009B0987"/>
    <w:rsid w:val="009B0CAB"/>
    <w:rsid w:val="009B121B"/>
    <w:rsid w:val="009B144A"/>
    <w:rsid w:val="009B14F4"/>
    <w:rsid w:val="009B177F"/>
    <w:rsid w:val="009B17DB"/>
    <w:rsid w:val="009B26EE"/>
    <w:rsid w:val="009B3199"/>
    <w:rsid w:val="009B38BC"/>
    <w:rsid w:val="009B4EC5"/>
    <w:rsid w:val="009B50CC"/>
    <w:rsid w:val="009B51A4"/>
    <w:rsid w:val="009B5A4A"/>
    <w:rsid w:val="009B5ACD"/>
    <w:rsid w:val="009B5E21"/>
    <w:rsid w:val="009B67B3"/>
    <w:rsid w:val="009B7146"/>
    <w:rsid w:val="009B7391"/>
    <w:rsid w:val="009B739B"/>
    <w:rsid w:val="009B7407"/>
    <w:rsid w:val="009B7BAA"/>
    <w:rsid w:val="009C067B"/>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F7"/>
    <w:rsid w:val="009C5C5F"/>
    <w:rsid w:val="009C5F2B"/>
    <w:rsid w:val="009C5F5B"/>
    <w:rsid w:val="009C61C6"/>
    <w:rsid w:val="009C61EE"/>
    <w:rsid w:val="009C6454"/>
    <w:rsid w:val="009C6CF4"/>
    <w:rsid w:val="009C74B8"/>
    <w:rsid w:val="009C78E3"/>
    <w:rsid w:val="009C7FFB"/>
    <w:rsid w:val="009D04DD"/>
    <w:rsid w:val="009D1DCA"/>
    <w:rsid w:val="009D2018"/>
    <w:rsid w:val="009D2D62"/>
    <w:rsid w:val="009D31CD"/>
    <w:rsid w:val="009D4E10"/>
    <w:rsid w:val="009D4F53"/>
    <w:rsid w:val="009D5454"/>
    <w:rsid w:val="009D69CD"/>
    <w:rsid w:val="009D7121"/>
    <w:rsid w:val="009D7892"/>
    <w:rsid w:val="009E01B8"/>
    <w:rsid w:val="009E0843"/>
    <w:rsid w:val="009E0B3D"/>
    <w:rsid w:val="009E18D5"/>
    <w:rsid w:val="009E1B79"/>
    <w:rsid w:val="009E1BC8"/>
    <w:rsid w:val="009E1E84"/>
    <w:rsid w:val="009E3111"/>
    <w:rsid w:val="009E38AF"/>
    <w:rsid w:val="009E40B7"/>
    <w:rsid w:val="009E4205"/>
    <w:rsid w:val="009E52A8"/>
    <w:rsid w:val="009E673E"/>
    <w:rsid w:val="009E68BE"/>
    <w:rsid w:val="009E68ED"/>
    <w:rsid w:val="009E6A49"/>
    <w:rsid w:val="009E74CA"/>
    <w:rsid w:val="009E759E"/>
    <w:rsid w:val="009E7AD8"/>
    <w:rsid w:val="009F096D"/>
    <w:rsid w:val="009F0C01"/>
    <w:rsid w:val="009F0D41"/>
    <w:rsid w:val="009F161C"/>
    <w:rsid w:val="009F1BC2"/>
    <w:rsid w:val="009F1D57"/>
    <w:rsid w:val="009F28F7"/>
    <w:rsid w:val="009F29A4"/>
    <w:rsid w:val="009F2B8A"/>
    <w:rsid w:val="009F2BAF"/>
    <w:rsid w:val="009F2F18"/>
    <w:rsid w:val="009F3041"/>
    <w:rsid w:val="009F3655"/>
    <w:rsid w:val="009F38E8"/>
    <w:rsid w:val="009F39AD"/>
    <w:rsid w:val="009F4EF8"/>
    <w:rsid w:val="009F4F1B"/>
    <w:rsid w:val="009F5872"/>
    <w:rsid w:val="009F5FF4"/>
    <w:rsid w:val="009F6DB9"/>
    <w:rsid w:val="009F70AA"/>
    <w:rsid w:val="009F740D"/>
    <w:rsid w:val="009F77F0"/>
    <w:rsid w:val="009F7E73"/>
    <w:rsid w:val="00A0020E"/>
    <w:rsid w:val="00A00370"/>
    <w:rsid w:val="00A0073E"/>
    <w:rsid w:val="00A00F88"/>
    <w:rsid w:val="00A016A7"/>
    <w:rsid w:val="00A01A02"/>
    <w:rsid w:val="00A01AAA"/>
    <w:rsid w:val="00A01AED"/>
    <w:rsid w:val="00A02007"/>
    <w:rsid w:val="00A024F6"/>
    <w:rsid w:val="00A0288A"/>
    <w:rsid w:val="00A02A8B"/>
    <w:rsid w:val="00A02B6A"/>
    <w:rsid w:val="00A02F74"/>
    <w:rsid w:val="00A030F3"/>
    <w:rsid w:val="00A03652"/>
    <w:rsid w:val="00A041C7"/>
    <w:rsid w:val="00A04E7C"/>
    <w:rsid w:val="00A04F4B"/>
    <w:rsid w:val="00A06B3C"/>
    <w:rsid w:val="00A06DB6"/>
    <w:rsid w:val="00A10003"/>
    <w:rsid w:val="00A1084E"/>
    <w:rsid w:val="00A10A09"/>
    <w:rsid w:val="00A113B3"/>
    <w:rsid w:val="00A114CC"/>
    <w:rsid w:val="00A11A74"/>
    <w:rsid w:val="00A11CB9"/>
    <w:rsid w:val="00A12CC9"/>
    <w:rsid w:val="00A134B1"/>
    <w:rsid w:val="00A13648"/>
    <w:rsid w:val="00A1449A"/>
    <w:rsid w:val="00A1467F"/>
    <w:rsid w:val="00A14921"/>
    <w:rsid w:val="00A151D1"/>
    <w:rsid w:val="00A15B66"/>
    <w:rsid w:val="00A15B7F"/>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6BB3"/>
    <w:rsid w:val="00A271B3"/>
    <w:rsid w:val="00A272BE"/>
    <w:rsid w:val="00A273BD"/>
    <w:rsid w:val="00A27757"/>
    <w:rsid w:val="00A2797C"/>
    <w:rsid w:val="00A27C35"/>
    <w:rsid w:val="00A30231"/>
    <w:rsid w:val="00A30317"/>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858"/>
    <w:rsid w:val="00A40A77"/>
    <w:rsid w:val="00A4137E"/>
    <w:rsid w:val="00A41515"/>
    <w:rsid w:val="00A41B5E"/>
    <w:rsid w:val="00A41E03"/>
    <w:rsid w:val="00A41FEE"/>
    <w:rsid w:val="00A42042"/>
    <w:rsid w:val="00A422C2"/>
    <w:rsid w:val="00A42659"/>
    <w:rsid w:val="00A426D4"/>
    <w:rsid w:val="00A4281A"/>
    <w:rsid w:val="00A42CF9"/>
    <w:rsid w:val="00A42F88"/>
    <w:rsid w:val="00A43F0E"/>
    <w:rsid w:val="00A44228"/>
    <w:rsid w:val="00A44C41"/>
    <w:rsid w:val="00A44E81"/>
    <w:rsid w:val="00A45529"/>
    <w:rsid w:val="00A461E4"/>
    <w:rsid w:val="00A466AC"/>
    <w:rsid w:val="00A47031"/>
    <w:rsid w:val="00A4765E"/>
    <w:rsid w:val="00A50604"/>
    <w:rsid w:val="00A50E26"/>
    <w:rsid w:val="00A51518"/>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6D83"/>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10E"/>
    <w:rsid w:val="00A67235"/>
    <w:rsid w:val="00A67460"/>
    <w:rsid w:val="00A675DD"/>
    <w:rsid w:val="00A70197"/>
    <w:rsid w:val="00A7047F"/>
    <w:rsid w:val="00A70571"/>
    <w:rsid w:val="00A70585"/>
    <w:rsid w:val="00A70728"/>
    <w:rsid w:val="00A70C52"/>
    <w:rsid w:val="00A715EF"/>
    <w:rsid w:val="00A71A8E"/>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E09"/>
    <w:rsid w:val="00A77F4A"/>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6C4"/>
    <w:rsid w:val="00A869C4"/>
    <w:rsid w:val="00A8700B"/>
    <w:rsid w:val="00A871C9"/>
    <w:rsid w:val="00A87FE2"/>
    <w:rsid w:val="00A91271"/>
    <w:rsid w:val="00A9140C"/>
    <w:rsid w:val="00A915C6"/>
    <w:rsid w:val="00A917FF"/>
    <w:rsid w:val="00A91E31"/>
    <w:rsid w:val="00A9205F"/>
    <w:rsid w:val="00A92202"/>
    <w:rsid w:val="00A92AC2"/>
    <w:rsid w:val="00A93498"/>
    <w:rsid w:val="00A93C3D"/>
    <w:rsid w:val="00A93D3C"/>
    <w:rsid w:val="00A940A9"/>
    <w:rsid w:val="00A9456E"/>
    <w:rsid w:val="00A948B2"/>
    <w:rsid w:val="00A95355"/>
    <w:rsid w:val="00A95EE6"/>
    <w:rsid w:val="00A95F70"/>
    <w:rsid w:val="00A960E9"/>
    <w:rsid w:val="00A964C7"/>
    <w:rsid w:val="00A97B41"/>
    <w:rsid w:val="00A97DC4"/>
    <w:rsid w:val="00A97F0C"/>
    <w:rsid w:val="00A97F93"/>
    <w:rsid w:val="00AA0147"/>
    <w:rsid w:val="00AA0E4D"/>
    <w:rsid w:val="00AA219A"/>
    <w:rsid w:val="00AA25C5"/>
    <w:rsid w:val="00AA2964"/>
    <w:rsid w:val="00AA2B8B"/>
    <w:rsid w:val="00AA2C6E"/>
    <w:rsid w:val="00AA3E2B"/>
    <w:rsid w:val="00AA3F84"/>
    <w:rsid w:val="00AA46DD"/>
    <w:rsid w:val="00AA4886"/>
    <w:rsid w:val="00AA509E"/>
    <w:rsid w:val="00AA53A0"/>
    <w:rsid w:val="00AA53AC"/>
    <w:rsid w:val="00AA626F"/>
    <w:rsid w:val="00AA6484"/>
    <w:rsid w:val="00AA66A3"/>
    <w:rsid w:val="00AA7874"/>
    <w:rsid w:val="00AA7D0F"/>
    <w:rsid w:val="00AB0396"/>
    <w:rsid w:val="00AB0440"/>
    <w:rsid w:val="00AB0479"/>
    <w:rsid w:val="00AB05C9"/>
    <w:rsid w:val="00AB0A0C"/>
    <w:rsid w:val="00AB0BC7"/>
    <w:rsid w:val="00AB0FDF"/>
    <w:rsid w:val="00AB1831"/>
    <w:rsid w:val="00AB20AB"/>
    <w:rsid w:val="00AB27B9"/>
    <w:rsid w:val="00AB282E"/>
    <w:rsid w:val="00AB2831"/>
    <w:rsid w:val="00AB2AAE"/>
    <w:rsid w:val="00AB2C0F"/>
    <w:rsid w:val="00AB2D52"/>
    <w:rsid w:val="00AB3DD2"/>
    <w:rsid w:val="00AB40A0"/>
    <w:rsid w:val="00AB5528"/>
    <w:rsid w:val="00AB5538"/>
    <w:rsid w:val="00AB5825"/>
    <w:rsid w:val="00AB58D9"/>
    <w:rsid w:val="00AB5983"/>
    <w:rsid w:val="00AB6656"/>
    <w:rsid w:val="00AB7178"/>
    <w:rsid w:val="00AB74C3"/>
    <w:rsid w:val="00AC0E72"/>
    <w:rsid w:val="00AC1250"/>
    <w:rsid w:val="00AC21C6"/>
    <w:rsid w:val="00AC3779"/>
    <w:rsid w:val="00AC422A"/>
    <w:rsid w:val="00AC4739"/>
    <w:rsid w:val="00AC4979"/>
    <w:rsid w:val="00AC640E"/>
    <w:rsid w:val="00AC673B"/>
    <w:rsid w:val="00AC79A8"/>
    <w:rsid w:val="00AC7B7D"/>
    <w:rsid w:val="00AD0097"/>
    <w:rsid w:val="00AD020B"/>
    <w:rsid w:val="00AD07EF"/>
    <w:rsid w:val="00AD08E5"/>
    <w:rsid w:val="00AD0D5C"/>
    <w:rsid w:val="00AD0E15"/>
    <w:rsid w:val="00AD129B"/>
    <w:rsid w:val="00AD12B6"/>
    <w:rsid w:val="00AD1A96"/>
    <w:rsid w:val="00AD1E0A"/>
    <w:rsid w:val="00AD1E79"/>
    <w:rsid w:val="00AD2385"/>
    <w:rsid w:val="00AD23F3"/>
    <w:rsid w:val="00AD2A29"/>
    <w:rsid w:val="00AD2FCF"/>
    <w:rsid w:val="00AD36A2"/>
    <w:rsid w:val="00AD420D"/>
    <w:rsid w:val="00AD4728"/>
    <w:rsid w:val="00AD4CC2"/>
    <w:rsid w:val="00AD4F89"/>
    <w:rsid w:val="00AD52A6"/>
    <w:rsid w:val="00AD5AEC"/>
    <w:rsid w:val="00AD620C"/>
    <w:rsid w:val="00AD669D"/>
    <w:rsid w:val="00AD6AD0"/>
    <w:rsid w:val="00AD6D0B"/>
    <w:rsid w:val="00AD7537"/>
    <w:rsid w:val="00AD7D99"/>
    <w:rsid w:val="00AD7DC1"/>
    <w:rsid w:val="00AE07B8"/>
    <w:rsid w:val="00AE11D6"/>
    <w:rsid w:val="00AE2C85"/>
    <w:rsid w:val="00AE328A"/>
    <w:rsid w:val="00AE42F5"/>
    <w:rsid w:val="00AE4721"/>
    <w:rsid w:val="00AE4736"/>
    <w:rsid w:val="00AE4C09"/>
    <w:rsid w:val="00AE541B"/>
    <w:rsid w:val="00AE56D5"/>
    <w:rsid w:val="00AE6180"/>
    <w:rsid w:val="00AE7160"/>
    <w:rsid w:val="00AE747B"/>
    <w:rsid w:val="00AE7B1F"/>
    <w:rsid w:val="00AE7D07"/>
    <w:rsid w:val="00AE7DE5"/>
    <w:rsid w:val="00AF03C7"/>
    <w:rsid w:val="00AF03E3"/>
    <w:rsid w:val="00AF12DE"/>
    <w:rsid w:val="00AF1653"/>
    <w:rsid w:val="00AF209A"/>
    <w:rsid w:val="00AF22E3"/>
    <w:rsid w:val="00AF3BF4"/>
    <w:rsid w:val="00AF3F93"/>
    <w:rsid w:val="00AF46CB"/>
    <w:rsid w:val="00AF48C9"/>
    <w:rsid w:val="00AF4BB9"/>
    <w:rsid w:val="00AF50BF"/>
    <w:rsid w:val="00AF5369"/>
    <w:rsid w:val="00AF5612"/>
    <w:rsid w:val="00AF5C96"/>
    <w:rsid w:val="00AF63E5"/>
    <w:rsid w:val="00AF67F3"/>
    <w:rsid w:val="00AF71D2"/>
    <w:rsid w:val="00B00325"/>
    <w:rsid w:val="00B00478"/>
    <w:rsid w:val="00B01410"/>
    <w:rsid w:val="00B01BCB"/>
    <w:rsid w:val="00B01DF0"/>
    <w:rsid w:val="00B026D2"/>
    <w:rsid w:val="00B02B12"/>
    <w:rsid w:val="00B02B2E"/>
    <w:rsid w:val="00B02C5B"/>
    <w:rsid w:val="00B02DE3"/>
    <w:rsid w:val="00B037AA"/>
    <w:rsid w:val="00B03A9D"/>
    <w:rsid w:val="00B053DD"/>
    <w:rsid w:val="00B054BA"/>
    <w:rsid w:val="00B06804"/>
    <w:rsid w:val="00B0782C"/>
    <w:rsid w:val="00B07908"/>
    <w:rsid w:val="00B07ADC"/>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6F3"/>
    <w:rsid w:val="00B226FA"/>
    <w:rsid w:val="00B22B7D"/>
    <w:rsid w:val="00B22D7B"/>
    <w:rsid w:val="00B2329D"/>
    <w:rsid w:val="00B2343E"/>
    <w:rsid w:val="00B2355A"/>
    <w:rsid w:val="00B23822"/>
    <w:rsid w:val="00B23A32"/>
    <w:rsid w:val="00B23A60"/>
    <w:rsid w:val="00B23B72"/>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276"/>
    <w:rsid w:val="00B30861"/>
    <w:rsid w:val="00B32642"/>
    <w:rsid w:val="00B328CA"/>
    <w:rsid w:val="00B33676"/>
    <w:rsid w:val="00B33FC9"/>
    <w:rsid w:val="00B343CF"/>
    <w:rsid w:val="00B34A70"/>
    <w:rsid w:val="00B34D05"/>
    <w:rsid w:val="00B34E1F"/>
    <w:rsid w:val="00B35194"/>
    <w:rsid w:val="00B352DD"/>
    <w:rsid w:val="00B3606F"/>
    <w:rsid w:val="00B36C97"/>
    <w:rsid w:val="00B37179"/>
    <w:rsid w:val="00B37AAA"/>
    <w:rsid w:val="00B37AE6"/>
    <w:rsid w:val="00B37C41"/>
    <w:rsid w:val="00B4078C"/>
    <w:rsid w:val="00B40A92"/>
    <w:rsid w:val="00B40D0C"/>
    <w:rsid w:val="00B41227"/>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47A4F"/>
    <w:rsid w:val="00B50983"/>
    <w:rsid w:val="00B50BD3"/>
    <w:rsid w:val="00B5139A"/>
    <w:rsid w:val="00B51669"/>
    <w:rsid w:val="00B52315"/>
    <w:rsid w:val="00B5294D"/>
    <w:rsid w:val="00B52D8A"/>
    <w:rsid w:val="00B52DAB"/>
    <w:rsid w:val="00B539BE"/>
    <w:rsid w:val="00B53BAE"/>
    <w:rsid w:val="00B53CF9"/>
    <w:rsid w:val="00B54336"/>
    <w:rsid w:val="00B54F44"/>
    <w:rsid w:val="00B5549D"/>
    <w:rsid w:val="00B56011"/>
    <w:rsid w:val="00B56152"/>
    <w:rsid w:val="00B565D0"/>
    <w:rsid w:val="00B56C51"/>
    <w:rsid w:val="00B56EF5"/>
    <w:rsid w:val="00B575F4"/>
    <w:rsid w:val="00B57C19"/>
    <w:rsid w:val="00B60423"/>
    <w:rsid w:val="00B6058A"/>
    <w:rsid w:val="00B6070A"/>
    <w:rsid w:val="00B60A02"/>
    <w:rsid w:val="00B6183E"/>
    <w:rsid w:val="00B61D05"/>
    <w:rsid w:val="00B61DAB"/>
    <w:rsid w:val="00B62043"/>
    <w:rsid w:val="00B622BD"/>
    <w:rsid w:val="00B626BA"/>
    <w:rsid w:val="00B62901"/>
    <w:rsid w:val="00B633AD"/>
    <w:rsid w:val="00B63682"/>
    <w:rsid w:val="00B63C66"/>
    <w:rsid w:val="00B64183"/>
    <w:rsid w:val="00B65076"/>
    <w:rsid w:val="00B65787"/>
    <w:rsid w:val="00B6581A"/>
    <w:rsid w:val="00B6639E"/>
    <w:rsid w:val="00B670E5"/>
    <w:rsid w:val="00B70775"/>
    <w:rsid w:val="00B70807"/>
    <w:rsid w:val="00B70890"/>
    <w:rsid w:val="00B71CAF"/>
    <w:rsid w:val="00B71DB8"/>
    <w:rsid w:val="00B72ED7"/>
    <w:rsid w:val="00B7320C"/>
    <w:rsid w:val="00B73271"/>
    <w:rsid w:val="00B73752"/>
    <w:rsid w:val="00B73779"/>
    <w:rsid w:val="00B749EC"/>
    <w:rsid w:val="00B74DA0"/>
    <w:rsid w:val="00B74DFD"/>
    <w:rsid w:val="00B7733B"/>
    <w:rsid w:val="00B778F3"/>
    <w:rsid w:val="00B77E7C"/>
    <w:rsid w:val="00B809A7"/>
    <w:rsid w:val="00B80A20"/>
    <w:rsid w:val="00B80BD8"/>
    <w:rsid w:val="00B80F85"/>
    <w:rsid w:val="00B81892"/>
    <w:rsid w:val="00B81B52"/>
    <w:rsid w:val="00B81CDF"/>
    <w:rsid w:val="00B824E7"/>
    <w:rsid w:val="00B827FD"/>
    <w:rsid w:val="00B829D3"/>
    <w:rsid w:val="00B82AA3"/>
    <w:rsid w:val="00B82D29"/>
    <w:rsid w:val="00B83703"/>
    <w:rsid w:val="00B83B7C"/>
    <w:rsid w:val="00B83E7E"/>
    <w:rsid w:val="00B83EBF"/>
    <w:rsid w:val="00B84F90"/>
    <w:rsid w:val="00B85A66"/>
    <w:rsid w:val="00B86396"/>
    <w:rsid w:val="00B86CFF"/>
    <w:rsid w:val="00B86E92"/>
    <w:rsid w:val="00B879A2"/>
    <w:rsid w:val="00B87DBB"/>
    <w:rsid w:val="00B90370"/>
    <w:rsid w:val="00B907B5"/>
    <w:rsid w:val="00B90F3B"/>
    <w:rsid w:val="00B91053"/>
    <w:rsid w:val="00B91270"/>
    <w:rsid w:val="00B916F3"/>
    <w:rsid w:val="00B91DE9"/>
    <w:rsid w:val="00B92397"/>
    <w:rsid w:val="00B92EB5"/>
    <w:rsid w:val="00B92EEB"/>
    <w:rsid w:val="00B9309E"/>
    <w:rsid w:val="00B93544"/>
    <w:rsid w:val="00B946DE"/>
    <w:rsid w:val="00B94A45"/>
    <w:rsid w:val="00B955E4"/>
    <w:rsid w:val="00B957C1"/>
    <w:rsid w:val="00B95994"/>
    <w:rsid w:val="00B95A58"/>
    <w:rsid w:val="00B95A9E"/>
    <w:rsid w:val="00B9625A"/>
    <w:rsid w:val="00B96795"/>
    <w:rsid w:val="00B96958"/>
    <w:rsid w:val="00B972EB"/>
    <w:rsid w:val="00B9730B"/>
    <w:rsid w:val="00B974A4"/>
    <w:rsid w:val="00B9752D"/>
    <w:rsid w:val="00B976DB"/>
    <w:rsid w:val="00B979F7"/>
    <w:rsid w:val="00BA00D5"/>
    <w:rsid w:val="00BA01C1"/>
    <w:rsid w:val="00BA0438"/>
    <w:rsid w:val="00BA06FA"/>
    <w:rsid w:val="00BA0A23"/>
    <w:rsid w:val="00BA33A9"/>
    <w:rsid w:val="00BA3460"/>
    <w:rsid w:val="00BA39C2"/>
    <w:rsid w:val="00BA441A"/>
    <w:rsid w:val="00BA49AF"/>
    <w:rsid w:val="00BA4B61"/>
    <w:rsid w:val="00BA5BDA"/>
    <w:rsid w:val="00BA5EB3"/>
    <w:rsid w:val="00BA5F1E"/>
    <w:rsid w:val="00BA6D44"/>
    <w:rsid w:val="00BA6F31"/>
    <w:rsid w:val="00BA7240"/>
    <w:rsid w:val="00BA7782"/>
    <w:rsid w:val="00BB0472"/>
    <w:rsid w:val="00BB0D77"/>
    <w:rsid w:val="00BB134D"/>
    <w:rsid w:val="00BB2A4D"/>
    <w:rsid w:val="00BB2F5F"/>
    <w:rsid w:val="00BB3A0C"/>
    <w:rsid w:val="00BB3D35"/>
    <w:rsid w:val="00BB3D7A"/>
    <w:rsid w:val="00BB3DB6"/>
    <w:rsid w:val="00BB4B53"/>
    <w:rsid w:val="00BB4D5A"/>
    <w:rsid w:val="00BB5077"/>
    <w:rsid w:val="00BB5337"/>
    <w:rsid w:val="00BB6658"/>
    <w:rsid w:val="00BB686D"/>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194D"/>
    <w:rsid w:val="00BD2421"/>
    <w:rsid w:val="00BD2506"/>
    <w:rsid w:val="00BD28F9"/>
    <w:rsid w:val="00BD2EF0"/>
    <w:rsid w:val="00BD3541"/>
    <w:rsid w:val="00BD4652"/>
    <w:rsid w:val="00BD4A2D"/>
    <w:rsid w:val="00BD4A8F"/>
    <w:rsid w:val="00BD4DE9"/>
    <w:rsid w:val="00BD513D"/>
    <w:rsid w:val="00BD525F"/>
    <w:rsid w:val="00BD5EDD"/>
    <w:rsid w:val="00BD62A2"/>
    <w:rsid w:val="00BD6A96"/>
    <w:rsid w:val="00BD6BF0"/>
    <w:rsid w:val="00BD74B1"/>
    <w:rsid w:val="00BD76C9"/>
    <w:rsid w:val="00BE0172"/>
    <w:rsid w:val="00BE037A"/>
    <w:rsid w:val="00BE0AF2"/>
    <w:rsid w:val="00BE0F38"/>
    <w:rsid w:val="00BE112A"/>
    <w:rsid w:val="00BE1561"/>
    <w:rsid w:val="00BE17E6"/>
    <w:rsid w:val="00BE17EB"/>
    <w:rsid w:val="00BE187B"/>
    <w:rsid w:val="00BE1D6C"/>
    <w:rsid w:val="00BE27CF"/>
    <w:rsid w:val="00BE2C4B"/>
    <w:rsid w:val="00BE2D7E"/>
    <w:rsid w:val="00BE32B4"/>
    <w:rsid w:val="00BE3A56"/>
    <w:rsid w:val="00BE3EAD"/>
    <w:rsid w:val="00BE4084"/>
    <w:rsid w:val="00BE40C9"/>
    <w:rsid w:val="00BE4426"/>
    <w:rsid w:val="00BE4966"/>
    <w:rsid w:val="00BE5178"/>
    <w:rsid w:val="00BE540B"/>
    <w:rsid w:val="00BE6364"/>
    <w:rsid w:val="00BE6576"/>
    <w:rsid w:val="00BE6C1C"/>
    <w:rsid w:val="00BE7433"/>
    <w:rsid w:val="00BE7CB6"/>
    <w:rsid w:val="00BF048F"/>
    <w:rsid w:val="00BF062D"/>
    <w:rsid w:val="00BF0B8A"/>
    <w:rsid w:val="00BF0F92"/>
    <w:rsid w:val="00BF159A"/>
    <w:rsid w:val="00BF1A2A"/>
    <w:rsid w:val="00BF1A6B"/>
    <w:rsid w:val="00BF1EEF"/>
    <w:rsid w:val="00BF1FCA"/>
    <w:rsid w:val="00BF282B"/>
    <w:rsid w:val="00BF3924"/>
    <w:rsid w:val="00BF44FB"/>
    <w:rsid w:val="00BF5160"/>
    <w:rsid w:val="00BF6E43"/>
    <w:rsid w:val="00BF72CB"/>
    <w:rsid w:val="00BF7494"/>
    <w:rsid w:val="00BF7FF6"/>
    <w:rsid w:val="00C00270"/>
    <w:rsid w:val="00C00650"/>
    <w:rsid w:val="00C00E23"/>
    <w:rsid w:val="00C012C4"/>
    <w:rsid w:val="00C014C3"/>
    <w:rsid w:val="00C01507"/>
    <w:rsid w:val="00C021BB"/>
    <w:rsid w:val="00C026F9"/>
    <w:rsid w:val="00C028E5"/>
    <w:rsid w:val="00C02BBE"/>
    <w:rsid w:val="00C0331F"/>
    <w:rsid w:val="00C037A3"/>
    <w:rsid w:val="00C03932"/>
    <w:rsid w:val="00C03D86"/>
    <w:rsid w:val="00C04812"/>
    <w:rsid w:val="00C04D79"/>
    <w:rsid w:val="00C0626D"/>
    <w:rsid w:val="00C06879"/>
    <w:rsid w:val="00C06B98"/>
    <w:rsid w:val="00C06DE4"/>
    <w:rsid w:val="00C0702A"/>
    <w:rsid w:val="00C076B5"/>
    <w:rsid w:val="00C110FB"/>
    <w:rsid w:val="00C1171A"/>
    <w:rsid w:val="00C1312A"/>
    <w:rsid w:val="00C1340F"/>
    <w:rsid w:val="00C138FD"/>
    <w:rsid w:val="00C13EFE"/>
    <w:rsid w:val="00C143CD"/>
    <w:rsid w:val="00C14B68"/>
    <w:rsid w:val="00C14FA2"/>
    <w:rsid w:val="00C15480"/>
    <w:rsid w:val="00C166E5"/>
    <w:rsid w:val="00C16980"/>
    <w:rsid w:val="00C16A27"/>
    <w:rsid w:val="00C17F02"/>
    <w:rsid w:val="00C204EF"/>
    <w:rsid w:val="00C21013"/>
    <w:rsid w:val="00C21459"/>
    <w:rsid w:val="00C214B9"/>
    <w:rsid w:val="00C234F7"/>
    <w:rsid w:val="00C23824"/>
    <w:rsid w:val="00C23B84"/>
    <w:rsid w:val="00C24599"/>
    <w:rsid w:val="00C25FA6"/>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35C6"/>
    <w:rsid w:val="00C342CA"/>
    <w:rsid w:val="00C34515"/>
    <w:rsid w:val="00C34A03"/>
    <w:rsid w:val="00C34D9A"/>
    <w:rsid w:val="00C34ECA"/>
    <w:rsid w:val="00C350DE"/>
    <w:rsid w:val="00C35396"/>
    <w:rsid w:val="00C3552E"/>
    <w:rsid w:val="00C35A85"/>
    <w:rsid w:val="00C35B4B"/>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28C"/>
    <w:rsid w:val="00C45F01"/>
    <w:rsid w:val="00C4698C"/>
    <w:rsid w:val="00C46B5F"/>
    <w:rsid w:val="00C472FB"/>
    <w:rsid w:val="00C508AD"/>
    <w:rsid w:val="00C51434"/>
    <w:rsid w:val="00C516F1"/>
    <w:rsid w:val="00C51AE8"/>
    <w:rsid w:val="00C5207F"/>
    <w:rsid w:val="00C5231F"/>
    <w:rsid w:val="00C52604"/>
    <w:rsid w:val="00C52AC9"/>
    <w:rsid w:val="00C52D21"/>
    <w:rsid w:val="00C5317E"/>
    <w:rsid w:val="00C53FC7"/>
    <w:rsid w:val="00C540A5"/>
    <w:rsid w:val="00C548A9"/>
    <w:rsid w:val="00C54C93"/>
    <w:rsid w:val="00C5509F"/>
    <w:rsid w:val="00C5543B"/>
    <w:rsid w:val="00C55F27"/>
    <w:rsid w:val="00C56B88"/>
    <w:rsid w:val="00C573B1"/>
    <w:rsid w:val="00C57B64"/>
    <w:rsid w:val="00C600EE"/>
    <w:rsid w:val="00C60567"/>
    <w:rsid w:val="00C611F9"/>
    <w:rsid w:val="00C61C88"/>
    <w:rsid w:val="00C6294C"/>
    <w:rsid w:val="00C62B06"/>
    <w:rsid w:val="00C62DF8"/>
    <w:rsid w:val="00C62E03"/>
    <w:rsid w:val="00C6321D"/>
    <w:rsid w:val="00C64192"/>
    <w:rsid w:val="00C647CB"/>
    <w:rsid w:val="00C64B47"/>
    <w:rsid w:val="00C651FF"/>
    <w:rsid w:val="00C65B99"/>
    <w:rsid w:val="00C66A35"/>
    <w:rsid w:val="00C66BB7"/>
    <w:rsid w:val="00C67D33"/>
    <w:rsid w:val="00C70135"/>
    <w:rsid w:val="00C71A35"/>
    <w:rsid w:val="00C7235F"/>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23B7"/>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0FB0"/>
    <w:rsid w:val="00C911A9"/>
    <w:rsid w:val="00C9135D"/>
    <w:rsid w:val="00C914F8"/>
    <w:rsid w:val="00C9209C"/>
    <w:rsid w:val="00C92A01"/>
    <w:rsid w:val="00C9319C"/>
    <w:rsid w:val="00C935F6"/>
    <w:rsid w:val="00C93DD4"/>
    <w:rsid w:val="00C93ED0"/>
    <w:rsid w:val="00C9420E"/>
    <w:rsid w:val="00C95234"/>
    <w:rsid w:val="00C971B3"/>
    <w:rsid w:val="00C97715"/>
    <w:rsid w:val="00C9788C"/>
    <w:rsid w:val="00C97C59"/>
    <w:rsid w:val="00C97FC7"/>
    <w:rsid w:val="00CA047B"/>
    <w:rsid w:val="00CA06A9"/>
    <w:rsid w:val="00CA08E3"/>
    <w:rsid w:val="00CA0C2B"/>
    <w:rsid w:val="00CA1087"/>
    <w:rsid w:val="00CA12D5"/>
    <w:rsid w:val="00CA2734"/>
    <w:rsid w:val="00CA32B5"/>
    <w:rsid w:val="00CA37CC"/>
    <w:rsid w:val="00CA418B"/>
    <w:rsid w:val="00CA42DE"/>
    <w:rsid w:val="00CA52C0"/>
    <w:rsid w:val="00CA5922"/>
    <w:rsid w:val="00CA5C69"/>
    <w:rsid w:val="00CA6C2E"/>
    <w:rsid w:val="00CA7A1E"/>
    <w:rsid w:val="00CB0884"/>
    <w:rsid w:val="00CB12E9"/>
    <w:rsid w:val="00CB16E0"/>
    <w:rsid w:val="00CB1766"/>
    <w:rsid w:val="00CB1BC5"/>
    <w:rsid w:val="00CB1E90"/>
    <w:rsid w:val="00CB1EB4"/>
    <w:rsid w:val="00CB328F"/>
    <w:rsid w:val="00CB3573"/>
    <w:rsid w:val="00CB364D"/>
    <w:rsid w:val="00CB3A38"/>
    <w:rsid w:val="00CB3B10"/>
    <w:rsid w:val="00CB425D"/>
    <w:rsid w:val="00CB46B1"/>
    <w:rsid w:val="00CB4831"/>
    <w:rsid w:val="00CB5609"/>
    <w:rsid w:val="00CB5C51"/>
    <w:rsid w:val="00CB5DBA"/>
    <w:rsid w:val="00CB5FBD"/>
    <w:rsid w:val="00CB65DC"/>
    <w:rsid w:val="00CB6DC9"/>
    <w:rsid w:val="00CB7F2D"/>
    <w:rsid w:val="00CC10A8"/>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1F94"/>
    <w:rsid w:val="00CE2C20"/>
    <w:rsid w:val="00CE2CC9"/>
    <w:rsid w:val="00CE3FC9"/>
    <w:rsid w:val="00CE42F4"/>
    <w:rsid w:val="00CE47E8"/>
    <w:rsid w:val="00CE4C9B"/>
    <w:rsid w:val="00CE6109"/>
    <w:rsid w:val="00CE6260"/>
    <w:rsid w:val="00CE62A5"/>
    <w:rsid w:val="00CE633C"/>
    <w:rsid w:val="00CE6C1C"/>
    <w:rsid w:val="00CE7150"/>
    <w:rsid w:val="00CE7B3F"/>
    <w:rsid w:val="00CE7C81"/>
    <w:rsid w:val="00CF0386"/>
    <w:rsid w:val="00CF08B2"/>
    <w:rsid w:val="00CF0A1E"/>
    <w:rsid w:val="00CF0D83"/>
    <w:rsid w:val="00CF0EF2"/>
    <w:rsid w:val="00CF234B"/>
    <w:rsid w:val="00CF3400"/>
    <w:rsid w:val="00CF34B6"/>
    <w:rsid w:val="00CF3BB6"/>
    <w:rsid w:val="00CF40C5"/>
    <w:rsid w:val="00CF4357"/>
    <w:rsid w:val="00CF47E5"/>
    <w:rsid w:val="00CF5B2D"/>
    <w:rsid w:val="00CF5BB5"/>
    <w:rsid w:val="00CF6964"/>
    <w:rsid w:val="00CF6AA3"/>
    <w:rsid w:val="00CF732A"/>
    <w:rsid w:val="00D00533"/>
    <w:rsid w:val="00D00540"/>
    <w:rsid w:val="00D0083A"/>
    <w:rsid w:val="00D0094E"/>
    <w:rsid w:val="00D00AA4"/>
    <w:rsid w:val="00D00E4F"/>
    <w:rsid w:val="00D00F77"/>
    <w:rsid w:val="00D01406"/>
    <w:rsid w:val="00D015A7"/>
    <w:rsid w:val="00D015CB"/>
    <w:rsid w:val="00D01ABC"/>
    <w:rsid w:val="00D01D87"/>
    <w:rsid w:val="00D0250E"/>
    <w:rsid w:val="00D041BB"/>
    <w:rsid w:val="00D0423A"/>
    <w:rsid w:val="00D048C7"/>
    <w:rsid w:val="00D04A90"/>
    <w:rsid w:val="00D05C02"/>
    <w:rsid w:val="00D05D7C"/>
    <w:rsid w:val="00D06573"/>
    <w:rsid w:val="00D06989"/>
    <w:rsid w:val="00D06EF2"/>
    <w:rsid w:val="00D07131"/>
    <w:rsid w:val="00D07526"/>
    <w:rsid w:val="00D07E3B"/>
    <w:rsid w:val="00D10705"/>
    <w:rsid w:val="00D11276"/>
    <w:rsid w:val="00D1233D"/>
    <w:rsid w:val="00D123CF"/>
    <w:rsid w:val="00D127DF"/>
    <w:rsid w:val="00D1308F"/>
    <w:rsid w:val="00D13678"/>
    <w:rsid w:val="00D1460D"/>
    <w:rsid w:val="00D148E4"/>
    <w:rsid w:val="00D14B1E"/>
    <w:rsid w:val="00D14DCC"/>
    <w:rsid w:val="00D150F9"/>
    <w:rsid w:val="00D152F0"/>
    <w:rsid w:val="00D1550B"/>
    <w:rsid w:val="00D15858"/>
    <w:rsid w:val="00D165A5"/>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0F6"/>
    <w:rsid w:val="00D2514B"/>
    <w:rsid w:val="00D25A76"/>
    <w:rsid w:val="00D2692A"/>
    <w:rsid w:val="00D278F4"/>
    <w:rsid w:val="00D27C28"/>
    <w:rsid w:val="00D27E31"/>
    <w:rsid w:val="00D308D8"/>
    <w:rsid w:val="00D31186"/>
    <w:rsid w:val="00D311F7"/>
    <w:rsid w:val="00D318AF"/>
    <w:rsid w:val="00D322C3"/>
    <w:rsid w:val="00D32350"/>
    <w:rsid w:val="00D32B0E"/>
    <w:rsid w:val="00D3344A"/>
    <w:rsid w:val="00D3355A"/>
    <w:rsid w:val="00D33AB7"/>
    <w:rsid w:val="00D34CA3"/>
    <w:rsid w:val="00D35AA2"/>
    <w:rsid w:val="00D35BC0"/>
    <w:rsid w:val="00D362BE"/>
    <w:rsid w:val="00D36BE9"/>
    <w:rsid w:val="00D3722A"/>
    <w:rsid w:val="00D37579"/>
    <w:rsid w:val="00D379CE"/>
    <w:rsid w:val="00D4006F"/>
    <w:rsid w:val="00D4068D"/>
    <w:rsid w:val="00D40B0A"/>
    <w:rsid w:val="00D42ACE"/>
    <w:rsid w:val="00D43569"/>
    <w:rsid w:val="00D43F58"/>
    <w:rsid w:val="00D43FC2"/>
    <w:rsid w:val="00D4457A"/>
    <w:rsid w:val="00D44932"/>
    <w:rsid w:val="00D44AF1"/>
    <w:rsid w:val="00D45734"/>
    <w:rsid w:val="00D45F69"/>
    <w:rsid w:val="00D46162"/>
    <w:rsid w:val="00D46172"/>
    <w:rsid w:val="00D46610"/>
    <w:rsid w:val="00D46632"/>
    <w:rsid w:val="00D46D5A"/>
    <w:rsid w:val="00D46E9D"/>
    <w:rsid w:val="00D47282"/>
    <w:rsid w:val="00D4779F"/>
    <w:rsid w:val="00D47829"/>
    <w:rsid w:val="00D47B29"/>
    <w:rsid w:val="00D47E7C"/>
    <w:rsid w:val="00D47EF5"/>
    <w:rsid w:val="00D50AD1"/>
    <w:rsid w:val="00D517BD"/>
    <w:rsid w:val="00D542A9"/>
    <w:rsid w:val="00D54305"/>
    <w:rsid w:val="00D5443B"/>
    <w:rsid w:val="00D54789"/>
    <w:rsid w:val="00D54F6A"/>
    <w:rsid w:val="00D5501F"/>
    <w:rsid w:val="00D55807"/>
    <w:rsid w:val="00D56540"/>
    <w:rsid w:val="00D56BA3"/>
    <w:rsid w:val="00D56D40"/>
    <w:rsid w:val="00D56D87"/>
    <w:rsid w:val="00D57242"/>
    <w:rsid w:val="00D57F64"/>
    <w:rsid w:val="00D57FAB"/>
    <w:rsid w:val="00D57FD7"/>
    <w:rsid w:val="00D604C4"/>
    <w:rsid w:val="00D605E1"/>
    <w:rsid w:val="00D60C3B"/>
    <w:rsid w:val="00D624DF"/>
    <w:rsid w:val="00D62550"/>
    <w:rsid w:val="00D62693"/>
    <w:rsid w:val="00D635F6"/>
    <w:rsid w:val="00D63645"/>
    <w:rsid w:val="00D63929"/>
    <w:rsid w:val="00D63C1C"/>
    <w:rsid w:val="00D63DC1"/>
    <w:rsid w:val="00D63E1C"/>
    <w:rsid w:val="00D6421D"/>
    <w:rsid w:val="00D645E0"/>
    <w:rsid w:val="00D65124"/>
    <w:rsid w:val="00D65231"/>
    <w:rsid w:val="00D65507"/>
    <w:rsid w:val="00D656B6"/>
    <w:rsid w:val="00D6599A"/>
    <w:rsid w:val="00D65B73"/>
    <w:rsid w:val="00D660C7"/>
    <w:rsid w:val="00D66534"/>
    <w:rsid w:val="00D66977"/>
    <w:rsid w:val="00D669A4"/>
    <w:rsid w:val="00D66E91"/>
    <w:rsid w:val="00D66EFA"/>
    <w:rsid w:val="00D675FE"/>
    <w:rsid w:val="00D679B1"/>
    <w:rsid w:val="00D67C8A"/>
    <w:rsid w:val="00D704A2"/>
    <w:rsid w:val="00D709B7"/>
    <w:rsid w:val="00D71211"/>
    <w:rsid w:val="00D7143F"/>
    <w:rsid w:val="00D72409"/>
    <w:rsid w:val="00D72A0C"/>
    <w:rsid w:val="00D72AD0"/>
    <w:rsid w:val="00D72F4D"/>
    <w:rsid w:val="00D73033"/>
    <w:rsid w:val="00D73621"/>
    <w:rsid w:val="00D73785"/>
    <w:rsid w:val="00D74162"/>
    <w:rsid w:val="00D74745"/>
    <w:rsid w:val="00D74857"/>
    <w:rsid w:val="00D74B58"/>
    <w:rsid w:val="00D7507B"/>
    <w:rsid w:val="00D7557F"/>
    <w:rsid w:val="00D75794"/>
    <w:rsid w:val="00D75BC9"/>
    <w:rsid w:val="00D75CC0"/>
    <w:rsid w:val="00D77016"/>
    <w:rsid w:val="00D77153"/>
    <w:rsid w:val="00D77953"/>
    <w:rsid w:val="00D77B31"/>
    <w:rsid w:val="00D77D62"/>
    <w:rsid w:val="00D8028D"/>
    <w:rsid w:val="00D80B5C"/>
    <w:rsid w:val="00D81BB1"/>
    <w:rsid w:val="00D83554"/>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4DD6"/>
    <w:rsid w:val="00D9526D"/>
    <w:rsid w:val="00D95433"/>
    <w:rsid w:val="00D95689"/>
    <w:rsid w:val="00D956B6"/>
    <w:rsid w:val="00D95EF6"/>
    <w:rsid w:val="00D95F43"/>
    <w:rsid w:val="00D961DA"/>
    <w:rsid w:val="00D9772E"/>
    <w:rsid w:val="00DA07B1"/>
    <w:rsid w:val="00DA0DC8"/>
    <w:rsid w:val="00DA1481"/>
    <w:rsid w:val="00DA17B0"/>
    <w:rsid w:val="00DA2689"/>
    <w:rsid w:val="00DA27C6"/>
    <w:rsid w:val="00DA2C00"/>
    <w:rsid w:val="00DA33EC"/>
    <w:rsid w:val="00DA3B79"/>
    <w:rsid w:val="00DA3F09"/>
    <w:rsid w:val="00DA48B0"/>
    <w:rsid w:val="00DA5BA5"/>
    <w:rsid w:val="00DA5E1F"/>
    <w:rsid w:val="00DA65BB"/>
    <w:rsid w:val="00DA6D82"/>
    <w:rsid w:val="00DA70A5"/>
    <w:rsid w:val="00DA74AE"/>
    <w:rsid w:val="00DA77D0"/>
    <w:rsid w:val="00DA7E29"/>
    <w:rsid w:val="00DB06D2"/>
    <w:rsid w:val="00DB1330"/>
    <w:rsid w:val="00DB169C"/>
    <w:rsid w:val="00DB180E"/>
    <w:rsid w:val="00DB19FA"/>
    <w:rsid w:val="00DB21E9"/>
    <w:rsid w:val="00DB25CD"/>
    <w:rsid w:val="00DB27AF"/>
    <w:rsid w:val="00DB292F"/>
    <w:rsid w:val="00DB3608"/>
    <w:rsid w:val="00DB3966"/>
    <w:rsid w:val="00DB3F0F"/>
    <w:rsid w:val="00DB4D5B"/>
    <w:rsid w:val="00DB597B"/>
    <w:rsid w:val="00DB5A3F"/>
    <w:rsid w:val="00DB6199"/>
    <w:rsid w:val="00DB6496"/>
    <w:rsid w:val="00DB78EC"/>
    <w:rsid w:val="00DB7EAE"/>
    <w:rsid w:val="00DC0112"/>
    <w:rsid w:val="00DC01B2"/>
    <w:rsid w:val="00DC124A"/>
    <w:rsid w:val="00DC1BD9"/>
    <w:rsid w:val="00DC1FC3"/>
    <w:rsid w:val="00DC2393"/>
    <w:rsid w:val="00DC23B0"/>
    <w:rsid w:val="00DC2400"/>
    <w:rsid w:val="00DC246B"/>
    <w:rsid w:val="00DC2998"/>
    <w:rsid w:val="00DC2AD7"/>
    <w:rsid w:val="00DC2CDA"/>
    <w:rsid w:val="00DC54DF"/>
    <w:rsid w:val="00DC5A4C"/>
    <w:rsid w:val="00DC6443"/>
    <w:rsid w:val="00DC68D3"/>
    <w:rsid w:val="00DC6EBF"/>
    <w:rsid w:val="00DD0581"/>
    <w:rsid w:val="00DD085F"/>
    <w:rsid w:val="00DD1761"/>
    <w:rsid w:val="00DD19C3"/>
    <w:rsid w:val="00DD273A"/>
    <w:rsid w:val="00DD2EE7"/>
    <w:rsid w:val="00DD3483"/>
    <w:rsid w:val="00DD40A3"/>
    <w:rsid w:val="00DD4C6C"/>
    <w:rsid w:val="00DD4D17"/>
    <w:rsid w:val="00DD5846"/>
    <w:rsid w:val="00DD620A"/>
    <w:rsid w:val="00DD65CF"/>
    <w:rsid w:val="00DD6AAC"/>
    <w:rsid w:val="00DD6F71"/>
    <w:rsid w:val="00DD7392"/>
    <w:rsid w:val="00DD7C97"/>
    <w:rsid w:val="00DE0462"/>
    <w:rsid w:val="00DE0888"/>
    <w:rsid w:val="00DE10A6"/>
    <w:rsid w:val="00DE11D6"/>
    <w:rsid w:val="00DE1AEE"/>
    <w:rsid w:val="00DE2212"/>
    <w:rsid w:val="00DE2457"/>
    <w:rsid w:val="00DE2796"/>
    <w:rsid w:val="00DE2C8D"/>
    <w:rsid w:val="00DE36B6"/>
    <w:rsid w:val="00DE4021"/>
    <w:rsid w:val="00DE4278"/>
    <w:rsid w:val="00DE5E69"/>
    <w:rsid w:val="00DE6107"/>
    <w:rsid w:val="00DE610C"/>
    <w:rsid w:val="00DE6776"/>
    <w:rsid w:val="00DE6C81"/>
    <w:rsid w:val="00DE7B73"/>
    <w:rsid w:val="00DE7CEB"/>
    <w:rsid w:val="00DE7F13"/>
    <w:rsid w:val="00DF0396"/>
    <w:rsid w:val="00DF06C4"/>
    <w:rsid w:val="00DF090E"/>
    <w:rsid w:val="00DF0C8E"/>
    <w:rsid w:val="00DF0E4D"/>
    <w:rsid w:val="00DF1212"/>
    <w:rsid w:val="00DF12DD"/>
    <w:rsid w:val="00DF16E3"/>
    <w:rsid w:val="00DF1A38"/>
    <w:rsid w:val="00DF1CAA"/>
    <w:rsid w:val="00DF234C"/>
    <w:rsid w:val="00DF2530"/>
    <w:rsid w:val="00DF2C09"/>
    <w:rsid w:val="00DF3A31"/>
    <w:rsid w:val="00DF3DDB"/>
    <w:rsid w:val="00DF563C"/>
    <w:rsid w:val="00DF5D6C"/>
    <w:rsid w:val="00DF631D"/>
    <w:rsid w:val="00DF6C1A"/>
    <w:rsid w:val="00DF6C2D"/>
    <w:rsid w:val="00DF6D88"/>
    <w:rsid w:val="00DF74F4"/>
    <w:rsid w:val="00DF752A"/>
    <w:rsid w:val="00E00415"/>
    <w:rsid w:val="00E010DC"/>
    <w:rsid w:val="00E0165D"/>
    <w:rsid w:val="00E01D4D"/>
    <w:rsid w:val="00E02894"/>
    <w:rsid w:val="00E028C1"/>
    <w:rsid w:val="00E02941"/>
    <w:rsid w:val="00E03081"/>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787E"/>
    <w:rsid w:val="00E10E16"/>
    <w:rsid w:val="00E10EA2"/>
    <w:rsid w:val="00E10F8D"/>
    <w:rsid w:val="00E11171"/>
    <w:rsid w:val="00E112C9"/>
    <w:rsid w:val="00E114D9"/>
    <w:rsid w:val="00E11EF2"/>
    <w:rsid w:val="00E11FDF"/>
    <w:rsid w:val="00E12004"/>
    <w:rsid w:val="00E126BB"/>
    <w:rsid w:val="00E126F6"/>
    <w:rsid w:val="00E1305B"/>
    <w:rsid w:val="00E13069"/>
    <w:rsid w:val="00E13402"/>
    <w:rsid w:val="00E134A9"/>
    <w:rsid w:val="00E135F9"/>
    <w:rsid w:val="00E13649"/>
    <w:rsid w:val="00E136F7"/>
    <w:rsid w:val="00E13771"/>
    <w:rsid w:val="00E13D6B"/>
    <w:rsid w:val="00E140FF"/>
    <w:rsid w:val="00E14AED"/>
    <w:rsid w:val="00E14D31"/>
    <w:rsid w:val="00E150E0"/>
    <w:rsid w:val="00E155F6"/>
    <w:rsid w:val="00E167A2"/>
    <w:rsid w:val="00E16B4A"/>
    <w:rsid w:val="00E17534"/>
    <w:rsid w:val="00E17AB3"/>
    <w:rsid w:val="00E20C2E"/>
    <w:rsid w:val="00E2108D"/>
    <w:rsid w:val="00E214F0"/>
    <w:rsid w:val="00E218A3"/>
    <w:rsid w:val="00E21F9F"/>
    <w:rsid w:val="00E220EA"/>
    <w:rsid w:val="00E2262C"/>
    <w:rsid w:val="00E2294C"/>
    <w:rsid w:val="00E22E16"/>
    <w:rsid w:val="00E23054"/>
    <w:rsid w:val="00E2320D"/>
    <w:rsid w:val="00E236F6"/>
    <w:rsid w:val="00E237A8"/>
    <w:rsid w:val="00E23C15"/>
    <w:rsid w:val="00E23C73"/>
    <w:rsid w:val="00E24A7C"/>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2CB6"/>
    <w:rsid w:val="00E337C4"/>
    <w:rsid w:val="00E337E8"/>
    <w:rsid w:val="00E33990"/>
    <w:rsid w:val="00E339C0"/>
    <w:rsid w:val="00E33A8F"/>
    <w:rsid w:val="00E33AE6"/>
    <w:rsid w:val="00E33EC0"/>
    <w:rsid w:val="00E34274"/>
    <w:rsid w:val="00E3485E"/>
    <w:rsid w:val="00E34AA2"/>
    <w:rsid w:val="00E34E43"/>
    <w:rsid w:val="00E353B2"/>
    <w:rsid w:val="00E35486"/>
    <w:rsid w:val="00E35A3A"/>
    <w:rsid w:val="00E36AD6"/>
    <w:rsid w:val="00E3737C"/>
    <w:rsid w:val="00E379DE"/>
    <w:rsid w:val="00E37FAF"/>
    <w:rsid w:val="00E4090B"/>
    <w:rsid w:val="00E4098C"/>
    <w:rsid w:val="00E40ABB"/>
    <w:rsid w:val="00E412A9"/>
    <w:rsid w:val="00E4166F"/>
    <w:rsid w:val="00E416FB"/>
    <w:rsid w:val="00E419BD"/>
    <w:rsid w:val="00E41F06"/>
    <w:rsid w:val="00E422DC"/>
    <w:rsid w:val="00E42314"/>
    <w:rsid w:val="00E42827"/>
    <w:rsid w:val="00E42B30"/>
    <w:rsid w:val="00E42DA2"/>
    <w:rsid w:val="00E447FE"/>
    <w:rsid w:val="00E44CAD"/>
    <w:rsid w:val="00E4596A"/>
    <w:rsid w:val="00E45E6B"/>
    <w:rsid w:val="00E465FE"/>
    <w:rsid w:val="00E46B19"/>
    <w:rsid w:val="00E476B7"/>
    <w:rsid w:val="00E47A35"/>
    <w:rsid w:val="00E47A7A"/>
    <w:rsid w:val="00E50167"/>
    <w:rsid w:val="00E5097C"/>
    <w:rsid w:val="00E50EAA"/>
    <w:rsid w:val="00E513DE"/>
    <w:rsid w:val="00E51879"/>
    <w:rsid w:val="00E51DDA"/>
    <w:rsid w:val="00E52A08"/>
    <w:rsid w:val="00E5361B"/>
    <w:rsid w:val="00E5366E"/>
    <w:rsid w:val="00E537AB"/>
    <w:rsid w:val="00E544E3"/>
    <w:rsid w:val="00E54925"/>
    <w:rsid w:val="00E5566F"/>
    <w:rsid w:val="00E57188"/>
    <w:rsid w:val="00E604A4"/>
    <w:rsid w:val="00E609FD"/>
    <w:rsid w:val="00E61C4E"/>
    <w:rsid w:val="00E62147"/>
    <w:rsid w:val="00E629E6"/>
    <w:rsid w:val="00E62F93"/>
    <w:rsid w:val="00E631DE"/>
    <w:rsid w:val="00E633BE"/>
    <w:rsid w:val="00E635C2"/>
    <w:rsid w:val="00E6371C"/>
    <w:rsid w:val="00E63872"/>
    <w:rsid w:val="00E63C6C"/>
    <w:rsid w:val="00E63F87"/>
    <w:rsid w:val="00E6527E"/>
    <w:rsid w:val="00E65A41"/>
    <w:rsid w:val="00E665CB"/>
    <w:rsid w:val="00E70259"/>
    <w:rsid w:val="00E70C65"/>
    <w:rsid w:val="00E710C9"/>
    <w:rsid w:val="00E71666"/>
    <w:rsid w:val="00E71676"/>
    <w:rsid w:val="00E71BFF"/>
    <w:rsid w:val="00E71C69"/>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ABB"/>
    <w:rsid w:val="00E82B29"/>
    <w:rsid w:val="00E82B62"/>
    <w:rsid w:val="00E83021"/>
    <w:rsid w:val="00E841D8"/>
    <w:rsid w:val="00E84E02"/>
    <w:rsid w:val="00E850A8"/>
    <w:rsid w:val="00E85588"/>
    <w:rsid w:val="00E858D9"/>
    <w:rsid w:val="00E85DC1"/>
    <w:rsid w:val="00E862F4"/>
    <w:rsid w:val="00E8666E"/>
    <w:rsid w:val="00E86D33"/>
    <w:rsid w:val="00E9032B"/>
    <w:rsid w:val="00E90393"/>
    <w:rsid w:val="00E90B5E"/>
    <w:rsid w:val="00E91579"/>
    <w:rsid w:val="00E91640"/>
    <w:rsid w:val="00E92BD9"/>
    <w:rsid w:val="00E92DE1"/>
    <w:rsid w:val="00E936A7"/>
    <w:rsid w:val="00E93717"/>
    <w:rsid w:val="00E94339"/>
    <w:rsid w:val="00E944FD"/>
    <w:rsid w:val="00E945F8"/>
    <w:rsid w:val="00E94CF9"/>
    <w:rsid w:val="00E94FA2"/>
    <w:rsid w:val="00E94FDF"/>
    <w:rsid w:val="00E9546A"/>
    <w:rsid w:val="00E95546"/>
    <w:rsid w:val="00E95563"/>
    <w:rsid w:val="00E96188"/>
    <w:rsid w:val="00E97CCA"/>
    <w:rsid w:val="00E97E2B"/>
    <w:rsid w:val="00EA015C"/>
    <w:rsid w:val="00EA0177"/>
    <w:rsid w:val="00EA07F0"/>
    <w:rsid w:val="00EA0D5B"/>
    <w:rsid w:val="00EA0D76"/>
    <w:rsid w:val="00EA224E"/>
    <w:rsid w:val="00EA3FF6"/>
    <w:rsid w:val="00EA5683"/>
    <w:rsid w:val="00EA6DC0"/>
    <w:rsid w:val="00EA7FBE"/>
    <w:rsid w:val="00EB0C5B"/>
    <w:rsid w:val="00EB1185"/>
    <w:rsid w:val="00EB159B"/>
    <w:rsid w:val="00EB2033"/>
    <w:rsid w:val="00EB2481"/>
    <w:rsid w:val="00EB257B"/>
    <w:rsid w:val="00EB2A1F"/>
    <w:rsid w:val="00EB2D88"/>
    <w:rsid w:val="00EB370F"/>
    <w:rsid w:val="00EB404A"/>
    <w:rsid w:val="00EB44D2"/>
    <w:rsid w:val="00EB4BE5"/>
    <w:rsid w:val="00EB5234"/>
    <w:rsid w:val="00EB52CC"/>
    <w:rsid w:val="00EB610E"/>
    <w:rsid w:val="00EB6335"/>
    <w:rsid w:val="00EB722E"/>
    <w:rsid w:val="00EB733C"/>
    <w:rsid w:val="00EC091F"/>
    <w:rsid w:val="00EC0E72"/>
    <w:rsid w:val="00EC2028"/>
    <w:rsid w:val="00EC2317"/>
    <w:rsid w:val="00EC25BA"/>
    <w:rsid w:val="00EC2990"/>
    <w:rsid w:val="00EC2A4D"/>
    <w:rsid w:val="00EC3301"/>
    <w:rsid w:val="00EC340D"/>
    <w:rsid w:val="00EC348F"/>
    <w:rsid w:val="00EC376C"/>
    <w:rsid w:val="00EC3CE7"/>
    <w:rsid w:val="00EC43F0"/>
    <w:rsid w:val="00EC4BBD"/>
    <w:rsid w:val="00EC4E0E"/>
    <w:rsid w:val="00EC4EC1"/>
    <w:rsid w:val="00EC4FBB"/>
    <w:rsid w:val="00EC6001"/>
    <w:rsid w:val="00EC61E5"/>
    <w:rsid w:val="00EC63BD"/>
    <w:rsid w:val="00EC6654"/>
    <w:rsid w:val="00EC67A3"/>
    <w:rsid w:val="00EC6FC0"/>
    <w:rsid w:val="00EC7EEF"/>
    <w:rsid w:val="00ED0D0F"/>
    <w:rsid w:val="00ED0E87"/>
    <w:rsid w:val="00ED1037"/>
    <w:rsid w:val="00ED11BA"/>
    <w:rsid w:val="00ED1575"/>
    <w:rsid w:val="00ED1764"/>
    <w:rsid w:val="00ED19B7"/>
    <w:rsid w:val="00ED200B"/>
    <w:rsid w:val="00ED2520"/>
    <w:rsid w:val="00ED2E12"/>
    <w:rsid w:val="00ED3C62"/>
    <w:rsid w:val="00ED3EDC"/>
    <w:rsid w:val="00ED4F03"/>
    <w:rsid w:val="00ED52B2"/>
    <w:rsid w:val="00ED54B4"/>
    <w:rsid w:val="00ED552A"/>
    <w:rsid w:val="00ED56DC"/>
    <w:rsid w:val="00ED6F74"/>
    <w:rsid w:val="00ED7038"/>
    <w:rsid w:val="00ED76DC"/>
    <w:rsid w:val="00ED7D19"/>
    <w:rsid w:val="00ED7F87"/>
    <w:rsid w:val="00EE094E"/>
    <w:rsid w:val="00EE0ADC"/>
    <w:rsid w:val="00EE173D"/>
    <w:rsid w:val="00EE1BE8"/>
    <w:rsid w:val="00EE231A"/>
    <w:rsid w:val="00EE24D6"/>
    <w:rsid w:val="00EE289F"/>
    <w:rsid w:val="00EE2B04"/>
    <w:rsid w:val="00EE3626"/>
    <w:rsid w:val="00EE3B13"/>
    <w:rsid w:val="00EE424C"/>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5D14"/>
    <w:rsid w:val="00EF6828"/>
    <w:rsid w:val="00EF6E6D"/>
    <w:rsid w:val="00EF6EAC"/>
    <w:rsid w:val="00EF775A"/>
    <w:rsid w:val="00EF7A66"/>
    <w:rsid w:val="00EF7D2B"/>
    <w:rsid w:val="00F00020"/>
    <w:rsid w:val="00F00B05"/>
    <w:rsid w:val="00F00DA4"/>
    <w:rsid w:val="00F01A7F"/>
    <w:rsid w:val="00F0227A"/>
    <w:rsid w:val="00F02E36"/>
    <w:rsid w:val="00F03426"/>
    <w:rsid w:val="00F036BA"/>
    <w:rsid w:val="00F036E9"/>
    <w:rsid w:val="00F03C4D"/>
    <w:rsid w:val="00F03CE3"/>
    <w:rsid w:val="00F04655"/>
    <w:rsid w:val="00F04707"/>
    <w:rsid w:val="00F04ACD"/>
    <w:rsid w:val="00F04D5B"/>
    <w:rsid w:val="00F0536F"/>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5DE4"/>
    <w:rsid w:val="00F16949"/>
    <w:rsid w:val="00F16D8C"/>
    <w:rsid w:val="00F177AD"/>
    <w:rsid w:val="00F17C72"/>
    <w:rsid w:val="00F17D2D"/>
    <w:rsid w:val="00F201D4"/>
    <w:rsid w:val="00F20894"/>
    <w:rsid w:val="00F20D29"/>
    <w:rsid w:val="00F20D34"/>
    <w:rsid w:val="00F2115A"/>
    <w:rsid w:val="00F22383"/>
    <w:rsid w:val="00F2241D"/>
    <w:rsid w:val="00F22AEB"/>
    <w:rsid w:val="00F22AFE"/>
    <w:rsid w:val="00F22BCA"/>
    <w:rsid w:val="00F23754"/>
    <w:rsid w:val="00F237A4"/>
    <w:rsid w:val="00F23F6D"/>
    <w:rsid w:val="00F24087"/>
    <w:rsid w:val="00F24334"/>
    <w:rsid w:val="00F243A3"/>
    <w:rsid w:val="00F243AE"/>
    <w:rsid w:val="00F24A5E"/>
    <w:rsid w:val="00F250A9"/>
    <w:rsid w:val="00F265F6"/>
    <w:rsid w:val="00F26653"/>
    <w:rsid w:val="00F27291"/>
    <w:rsid w:val="00F2770C"/>
    <w:rsid w:val="00F3016B"/>
    <w:rsid w:val="00F30CB6"/>
    <w:rsid w:val="00F31113"/>
    <w:rsid w:val="00F311A3"/>
    <w:rsid w:val="00F314C0"/>
    <w:rsid w:val="00F314D3"/>
    <w:rsid w:val="00F31ABF"/>
    <w:rsid w:val="00F31D20"/>
    <w:rsid w:val="00F31E5C"/>
    <w:rsid w:val="00F31EE7"/>
    <w:rsid w:val="00F32084"/>
    <w:rsid w:val="00F32457"/>
    <w:rsid w:val="00F32541"/>
    <w:rsid w:val="00F3254D"/>
    <w:rsid w:val="00F32569"/>
    <w:rsid w:val="00F32D1C"/>
    <w:rsid w:val="00F33889"/>
    <w:rsid w:val="00F33B34"/>
    <w:rsid w:val="00F347C0"/>
    <w:rsid w:val="00F351D3"/>
    <w:rsid w:val="00F357FA"/>
    <w:rsid w:val="00F35C22"/>
    <w:rsid w:val="00F364B2"/>
    <w:rsid w:val="00F377FB"/>
    <w:rsid w:val="00F37FE3"/>
    <w:rsid w:val="00F40306"/>
    <w:rsid w:val="00F40663"/>
    <w:rsid w:val="00F41337"/>
    <w:rsid w:val="00F4140B"/>
    <w:rsid w:val="00F41940"/>
    <w:rsid w:val="00F43AF6"/>
    <w:rsid w:val="00F43E13"/>
    <w:rsid w:val="00F44405"/>
    <w:rsid w:val="00F44796"/>
    <w:rsid w:val="00F44C14"/>
    <w:rsid w:val="00F44D8E"/>
    <w:rsid w:val="00F461AD"/>
    <w:rsid w:val="00F46255"/>
    <w:rsid w:val="00F478ED"/>
    <w:rsid w:val="00F47DC5"/>
    <w:rsid w:val="00F505DA"/>
    <w:rsid w:val="00F50665"/>
    <w:rsid w:val="00F50A23"/>
    <w:rsid w:val="00F50E9F"/>
    <w:rsid w:val="00F51174"/>
    <w:rsid w:val="00F518F3"/>
    <w:rsid w:val="00F5367B"/>
    <w:rsid w:val="00F539D9"/>
    <w:rsid w:val="00F53B3B"/>
    <w:rsid w:val="00F542AC"/>
    <w:rsid w:val="00F54B12"/>
    <w:rsid w:val="00F55403"/>
    <w:rsid w:val="00F55934"/>
    <w:rsid w:val="00F5608F"/>
    <w:rsid w:val="00F560B9"/>
    <w:rsid w:val="00F579FF"/>
    <w:rsid w:val="00F6027C"/>
    <w:rsid w:val="00F60415"/>
    <w:rsid w:val="00F60DAD"/>
    <w:rsid w:val="00F60DE0"/>
    <w:rsid w:val="00F61271"/>
    <w:rsid w:val="00F617DE"/>
    <w:rsid w:val="00F61846"/>
    <w:rsid w:val="00F6194D"/>
    <w:rsid w:val="00F61F8E"/>
    <w:rsid w:val="00F61FFA"/>
    <w:rsid w:val="00F620EC"/>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67C59"/>
    <w:rsid w:val="00F70293"/>
    <w:rsid w:val="00F708A1"/>
    <w:rsid w:val="00F70C8A"/>
    <w:rsid w:val="00F71087"/>
    <w:rsid w:val="00F71242"/>
    <w:rsid w:val="00F717FF"/>
    <w:rsid w:val="00F71A3F"/>
    <w:rsid w:val="00F71C01"/>
    <w:rsid w:val="00F721AC"/>
    <w:rsid w:val="00F7246A"/>
    <w:rsid w:val="00F731E5"/>
    <w:rsid w:val="00F73A04"/>
    <w:rsid w:val="00F73ECA"/>
    <w:rsid w:val="00F743A3"/>
    <w:rsid w:val="00F74A72"/>
    <w:rsid w:val="00F74DE7"/>
    <w:rsid w:val="00F74E5A"/>
    <w:rsid w:val="00F751B6"/>
    <w:rsid w:val="00F76A83"/>
    <w:rsid w:val="00F774C8"/>
    <w:rsid w:val="00F802C8"/>
    <w:rsid w:val="00F813B4"/>
    <w:rsid w:val="00F81D96"/>
    <w:rsid w:val="00F81F18"/>
    <w:rsid w:val="00F826E7"/>
    <w:rsid w:val="00F827AA"/>
    <w:rsid w:val="00F82C6C"/>
    <w:rsid w:val="00F83978"/>
    <w:rsid w:val="00F83ED3"/>
    <w:rsid w:val="00F83F3F"/>
    <w:rsid w:val="00F83FE2"/>
    <w:rsid w:val="00F840B9"/>
    <w:rsid w:val="00F857B4"/>
    <w:rsid w:val="00F85C14"/>
    <w:rsid w:val="00F85C44"/>
    <w:rsid w:val="00F85F4D"/>
    <w:rsid w:val="00F86002"/>
    <w:rsid w:val="00F86371"/>
    <w:rsid w:val="00F86648"/>
    <w:rsid w:val="00F86C88"/>
    <w:rsid w:val="00F86D13"/>
    <w:rsid w:val="00F86DBB"/>
    <w:rsid w:val="00F87027"/>
    <w:rsid w:val="00F874B8"/>
    <w:rsid w:val="00F87535"/>
    <w:rsid w:val="00F877A0"/>
    <w:rsid w:val="00F90859"/>
    <w:rsid w:val="00F916C9"/>
    <w:rsid w:val="00F91915"/>
    <w:rsid w:val="00F91D8C"/>
    <w:rsid w:val="00F921C0"/>
    <w:rsid w:val="00F92282"/>
    <w:rsid w:val="00F931F5"/>
    <w:rsid w:val="00F932FB"/>
    <w:rsid w:val="00F9337A"/>
    <w:rsid w:val="00F9347F"/>
    <w:rsid w:val="00F944B3"/>
    <w:rsid w:val="00F94D65"/>
    <w:rsid w:val="00F9549D"/>
    <w:rsid w:val="00F95724"/>
    <w:rsid w:val="00F960B1"/>
    <w:rsid w:val="00F962B4"/>
    <w:rsid w:val="00F96CF3"/>
    <w:rsid w:val="00F972B0"/>
    <w:rsid w:val="00FA0210"/>
    <w:rsid w:val="00FA08D8"/>
    <w:rsid w:val="00FA2500"/>
    <w:rsid w:val="00FA2BF8"/>
    <w:rsid w:val="00FA32FF"/>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33E"/>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695"/>
    <w:rsid w:val="00FB66D9"/>
    <w:rsid w:val="00FB74E5"/>
    <w:rsid w:val="00FC05C1"/>
    <w:rsid w:val="00FC0A0F"/>
    <w:rsid w:val="00FC0D59"/>
    <w:rsid w:val="00FC1673"/>
    <w:rsid w:val="00FC1A3D"/>
    <w:rsid w:val="00FC1A5C"/>
    <w:rsid w:val="00FC1C53"/>
    <w:rsid w:val="00FC1D2A"/>
    <w:rsid w:val="00FC2B88"/>
    <w:rsid w:val="00FC2D03"/>
    <w:rsid w:val="00FC2D4C"/>
    <w:rsid w:val="00FC39EA"/>
    <w:rsid w:val="00FC469C"/>
    <w:rsid w:val="00FC473D"/>
    <w:rsid w:val="00FC4943"/>
    <w:rsid w:val="00FC49E0"/>
    <w:rsid w:val="00FC4AA6"/>
    <w:rsid w:val="00FC559A"/>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3FA0"/>
    <w:rsid w:val="00FD440C"/>
    <w:rsid w:val="00FD4EC8"/>
    <w:rsid w:val="00FD556D"/>
    <w:rsid w:val="00FD5684"/>
    <w:rsid w:val="00FD5E81"/>
    <w:rsid w:val="00FD5FF0"/>
    <w:rsid w:val="00FD60B6"/>
    <w:rsid w:val="00FD6616"/>
    <w:rsid w:val="00FD7F01"/>
    <w:rsid w:val="00FD7F02"/>
    <w:rsid w:val="00FE0775"/>
    <w:rsid w:val="00FE0F88"/>
    <w:rsid w:val="00FE1A47"/>
    <w:rsid w:val="00FE1D5C"/>
    <w:rsid w:val="00FE2400"/>
    <w:rsid w:val="00FE2C02"/>
    <w:rsid w:val="00FE3782"/>
    <w:rsid w:val="00FE3A6A"/>
    <w:rsid w:val="00FE3AC5"/>
    <w:rsid w:val="00FE413B"/>
    <w:rsid w:val="00FE44CF"/>
    <w:rsid w:val="00FE4721"/>
    <w:rsid w:val="00FE4D2A"/>
    <w:rsid w:val="00FE4FA0"/>
    <w:rsid w:val="00FE4FD0"/>
    <w:rsid w:val="00FE5051"/>
    <w:rsid w:val="00FE53DC"/>
    <w:rsid w:val="00FE566B"/>
    <w:rsid w:val="00FE5839"/>
    <w:rsid w:val="00FE5B58"/>
    <w:rsid w:val="00FE6DE2"/>
    <w:rsid w:val="00FE6E80"/>
    <w:rsid w:val="00FF02E4"/>
    <w:rsid w:val="00FF0677"/>
    <w:rsid w:val="00FF0DA9"/>
    <w:rsid w:val="00FF10F1"/>
    <w:rsid w:val="00FF2986"/>
    <w:rsid w:val="00FF2F3F"/>
    <w:rsid w:val="00FF3A63"/>
    <w:rsid w:val="00FF4902"/>
    <w:rsid w:val="00FF524A"/>
    <w:rsid w:val="00FF524F"/>
    <w:rsid w:val="00FF58A5"/>
    <w:rsid w:val="00FF58F3"/>
    <w:rsid w:val="00FF5AA4"/>
    <w:rsid w:val="00FF6251"/>
    <w:rsid w:val="00FF6A5E"/>
    <w:rsid w:val="00FF7151"/>
    <w:rsid w:val="00FF7523"/>
    <w:rsid w:val="00FF7B13"/>
    <w:rsid w:val="00FF7C29"/>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table" w:styleId="TableGrid">
    <w:name w:val="Table Grid"/>
    <w:basedOn w:val="TableNormal"/>
    <w:uiPriority w:val="59"/>
    <w:rsid w:val="003240B6"/>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CLsocOtherPartySeparator">
    <w:name w:val="SCC.Lsoc.OtherPartySeparator"/>
    <w:basedOn w:val="Normal"/>
    <w:next w:val="Normal"/>
    <w:link w:val="SCCLsocOtherPartySeparatorChar"/>
    <w:rsid w:val="00537F74"/>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537F74"/>
    <w:rPr>
      <w:rFonts w:ascii="Times New Roman" w:eastAsiaTheme="minorHAnsi" w:hAnsi="Times New Roman" w:cstheme="minorBidi"/>
      <w:b/>
      <w:sz w:val="24"/>
      <w:szCs w:val="22"/>
      <w:lang w:val="fr-CA"/>
    </w:rPr>
  </w:style>
  <w:style w:type="paragraph" w:customStyle="1" w:styleId="mainparagraph1">
    <w:name w:val="mainparagraph1"/>
    <w:basedOn w:val="Normal"/>
    <w:rsid w:val="00537F74"/>
    <w:pPr>
      <w:spacing w:after="240"/>
      <w:ind w:left="720" w:hanging="720"/>
      <w:jc w:val="both"/>
    </w:pPr>
    <w:rPr>
      <w:szCs w:val="24"/>
    </w:rPr>
  </w:style>
  <w:style w:type="paragraph" w:customStyle="1" w:styleId="aparanumbering1">
    <w:name w:val="aparanumbering1"/>
    <w:basedOn w:val="Normal"/>
    <w:rsid w:val="00537F74"/>
    <w:pPr>
      <w:spacing w:before="120" w:after="120"/>
      <w:jc w:val="both"/>
    </w:pPr>
    <w:rPr>
      <w:rFonts w:ascii="Arial" w:hAnsi="Arial" w:cs="Arial"/>
      <w:sz w:val="26"/>
      <w:szCs w:val="26"/>
    </w:rPr>
  </w:style>
  <w:style w:type="paragraph" w:customStyle="1" w:styleId="number1">
    <w:name w:val="number1"/>
    <w:basedOn w:val="Normal"/>
    <w:rsid w:val="00FE413B"/>
    <w:pPr>
      <w:jc w:val="both"/>
    </w:pPr>
    <w:rPr>
      <w:rFonts w:ascii="Tahoma" w:hAnsi="Tahoma" w:cs="Tahoma"/>
      <w:szCs w:val="24"/>
    </w:rPr>
  </w:style>
  <w:style w:type="character" w:customStyle="1" w:styleId="reflex3-block">
    <w:name w:val="reflex3-block"/>
    <w:basedOn w:val="DefaultParagraphFont"/>
    <w:rsid w:val="00FE413B"/>
  </w:style>
  <w:style w:type="character" w:customStyle="1" w:styleId="reflex3-alt">
    <w:name w:val="reflex3-alt"/>
    <w:basedOn w:val="DefaultParagraphFont"/>
    <w:rsid w:val="00FE413B"/>
  </w:style>
  <w:style w:type="paragraph" w:customStyle="1" w:styleId="scjnumber1">
    <w:name w:val="scjnumber1"/>
    <w:basedOn w:val="Normal"/>
    <w:rsid w:val="00CA32B5"/>
    <w:pPr>
      <w:spacing w:after="240"/>
    </w:pPr>
    <w:rPr>
      <w:rFonts w:ascii="Arial" w:hAnsi="Arial" w:cs="Arial"/>
      <w:szCs w:val="24"/>
    </w:rPr>
  </w:style>
  <w:style w:type="character" w:customStyle="1" w:styleId="reflex">
    <w:name w:val="reflex"/>
    <w:basedOn w:val="DefaultParagraphFont"/>
    <w:rsid w:val="00E85588"/>
  </w:style>
  <w:style w:type="paragraph" w:customStyle="1" w:styleId="paragraphe">
    <w:name w:val="paragraphe"/>
    <w:basedOn w:val="Normal"/>
    <w:rsid w:val="007A38B8"/>
    <w:pPr>
      <w:spacing w:before="100" w:beforeAutospacing="1" w:after="100" w:afterAutospacing="1"/>
    </w:pPr>
    <w:rPr>
      <w:szCs w:val="24"/>
    </w:rPr>
  </w:style>
  <w:style w:type="character" w:customStyle="1" w:styleId="nowrap">
    <w:name w:val="nowrap"/>
    <w:basedOn w:val="DefaultParagraphFont"/>
    <w:rsid w:val="007A38B8"/>
  </w:style>
  <w:style w:type="paragraph" w:customStyle="1" w:styleId="SCCLsocSubfileSeparator">
    <w:name w:val="SCC.Lsoc.SubfileSeparator"/>
    <w:basedOn w:val="Normal"/>
    <w:next w:val="Normal"/>
    <w:link w:val="SCCLsocSubfileSeparatorChar"/>
    <w:rsid w:val="003F6190"/>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3F6190"/>
    <w:rPr>
      <w:rFonts w:ascii="Times New Roman" w:eastAsiaTheme="minorHAnsi" w:hAnsi="Times New Roman"/>
      <w:b/>
      <w:sz w:val="24"/>
      <w:szCs w:val="24"/>
      <w:lang w:val="en-CA"/>
    </w:rPr>
  </w:style>
  <w:style w:type="paragraph" w:customStyle="1" w:styleId="s3">
    <w:name w:val="s3"/>
    <w:basedOn w:val="Normal"/>
    <w:rsid w:val="00B328CA"/>
    <w:pPr>
      <w:spacing w:before="100" w:beforeAutospacing="1" w:after="100" w:afterAutospacing="1"/>
    </w:pPr>
    <w:rPr>
      <w:rFonts w:eastAsiaTheme="minorHAnsi"/>
      <w:szCs w:val="24"/>
    </w:rPr>
  </w:style>
  <w:style w:type="character" w:customStyle="1" w:styleId="s4">
    <w:name w:val="s4"/>
    <w:basedOn w:val="DefaultParagraphFont"/>
    <w:rsid w:val="00B328CA"/>
  </w:style>
  <w:style w:type="character" w:customStyle="1" w:styleId="s5">
    <w:name w:val="s5"/>
    <w:basedOn w:val="DefaultParagraphFont"/>
    <w:rsid w:val="00B328CA"/>
  </w:style>
  <w:style w:type="paragraph" w:customStyle="1" w:styleId="paragraphenumrot">
    <w:name w:val="paragraphenumrot"/>
    <w:basedOn w:val="Normal"/>
    <w:rsid w:val="001E2AA6"/>
    <w:pPr>
      <w:spacing w:before="100" w:beforeAutospacing="1" w:after="100" w:afterAutospacing="1"/>
    </w:pPr>
    <w:rPr>
      <w:szCs w:val="24"/>
    </w:rPr>
  </w:style>
  <w:style w:type="paragraph" w:customStyle="1" w:styleId="paragnum">
    <w:name w:val="paragnum"/>
    <w:basedOn w:val="Normal"/>
    <w:rsid w:val="0098760C"/>
    <w:pPr>
      <w:spacing w:before="100" w:beforeAutospacing="1" w:after="100" w:afterAutospacing="1"/>
    </w:pPr>
    <w:rPr>
      <w:szCs w:val="24"/>
    </w:rPr>
  </w:style>
  <w:style w:type="character" w:customStyle="1" w:styleId="sh3135415119">
    <w:name w:val="sh_3135415119"/>
    <w:basedOn w:val="DefaultParagraphFont"/>
    <w:rsid w:val="00843613"/>
  </w:style>
  <w:style w:type="character" w:styleId="Emphasis">
    <w:name w:val="Emphasis"/>
    <w:basedOn w:val="DefaultParagraphFont"/>
    <w:uiPriority w:val="20"/>
    <w:qFormat/>
    <w:rsid w:val="0039120F"/>
    <w:rPr>
      <w:i/>
      <w:iCs/>
    </w:rPr>
  </w:style>
  <w:style w:type="paragraph" w:customStyle="1" w:styleId="aparanumbering">
    <w:name w:val="aparanumbering"/>
    <w:basedOn w:val="Normal"/>
    <w:rsid w:val="002E6084"/>
    <w:pPr>
      <w:spacing w:before="100" w:beforeAutospacing="1" w:after="100" w:afterAutospacing="1"/>
    </w:pPr>
    <w:rPr>
      <w:szCs w:val="24"/>
    </w:rPr>
  </w:style>
  <w:style w:type="character" w:customStyle="1" w:styleId="citationcar">
    <w:name w:val="citationcar"/>
    <w:basedOn w:val="DefaultParagraphFont"/>
    <w:rsid w:val="00314899"/>
  </w:style>
  <w:style w:type="paragraph" w:customStyle="1" w:styleId="scjnumber">
    <w:name w:val="scjnumber"/>
    <w:basedOn w:val="Normal"/>
    <w:rsid w:val="006509A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27494801">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27291651">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498548245">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5501231">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39292" TargetMode="External"/><Relationship Id="rId18" Type="http://schemas.openxmlformats.org/officeDocument/2006/relationships/hyperlink" Target="http://canlii.ca/t/j3xsm" TargetMode="External"/><Relationship Id="rId26" Type="http://schemas.openxmlformats.org/officeDocument/2006/relationships/hyperlink" Target="https://www.canlii.org/en/bc/bcsc/doc/2019/2019bcsc1422/2019bcsc1422.html" TargetMode="External"/><Relationship Id="rId39" Type="http://schemas.openxmlformats.org/officeDocument/2006/relationships/hyperlink" Target="https://www.canlii.org/en/ab/abca/doc/2020/2020abca120/2020abca120.html?searchUrlHash=AAAAAQANMjAyMCBBQkNBIDEyMAAAAAAB&amp;resultIndex=1" TargetMode="External"/><Relationship Id="rId21" Type="http://schemas.openxmlformats.org/officeDocument/2006/relationships/hyperlink" Target="http://canlii.ca/t/j3xsm" TargetMode="External"/><Relationship Id="rId34" Type="http://schemas.openxmlformats.org/officeDocument/2006/relationships/hyperlink" Target="https://www.canlii.org/en/bc/bcsc/doc/2019/2019bcsc739/2019bcsc739.html" TargetMode="External"/><Relationship Id="rId42" Type="http://schemas.openxmlformats.org/officeDocument/2006/relationships/hyperlink" Target="https://www.canlii.org/en/ab/abca/doc/2019/2019abca123/2019abca123.html" TargetMode="External"/><Relationship Id="rId47" Type="http://schemas.openxmlformats.org/officeDocument/2006/relationships/hyperlink" Target="https://www.canlii.org/en/bc/bcca/doc/2020/2020bcca138/2020bcca138.html?autocompleteStr=2020%20BCCA%20138&amp;autocompletePos=1" TargetMode="External"/><Relationship Id="rId50" Type="http://schemas.openxmlformats.org/officeDocument/2006/relationships/hyperlink" Target="https://www.canlii.org/en/ab/abqb/doc/2019/2019abqb746/2019abqb746.html?autocompleteStr=2019%20ABQB%20746&amp;autocompletePos=1" TargetMode="External"/><Relationship Id="rId55" Type="http://schemas.openxmlformats.org/officeDocument/2006/relationships/hyperlink" Target="https://www.canlii.org/en/on/onca/doc/2020/2020onca430/2020onca430.html?autocompleteStr=2020%20ONCA%20430&amp;autocompletePos=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lii.org/en/on/laws/stat/rso-1990-c-c12/latest/rso-1990-c-c12.html" TargetMode="External"/><Relationship Id="rId20" Type="http://schemas.openxmlformats.org/officeDocument/2006/relationships/hyperlink" Target="https://www.canlii.org/en/on/laws/stat/rso-1990-c-c12/latest/rso-1990-c-c12.html" TargetMode="External"/><Relationship Id="rId29" Type="http://schemas.openxmlformats.org/officeDocument/2006/relationships/hyperlink" Target="http://canlii.ca/t/j6c8q" TargetMode="External"/><Relationship Id="rId41" Type="http://schemas.openxmlformats.org/officeDocument/2006/relationships/hyperlink" Target="https://www.canlii.org/en/ab/abqb/doc/2018/2018abqb47/2018abqb47.html" TargetMode="External"/><Relationship Id="rId54" Type="http://schemas.openxmlformats.org/officeDocument/2006/relationships/hyperlink" Target="https://www.canlii.org/en/on/onsc/doc/2019/2019onsc259/2019onsc259.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9246" TargetMode="External"/><Relationship Id="rId24" Type="http://schemas.openxmlformats.org/officeDocument/2006/relationships/hyperlink" Target="https://www.canlii.org/en/bc/bcca/doc/2020/2020bcca159/2020bcca159.html" TargetMode="External"/><Relationship Id="rId32" Type="http://schemas.openxmlformats.org/officeDocument/2006/relationships/hyperlink" Target="https://www.canlii.org/en/bc/bcsc/doc/2019/2019bcsc739/2019bcsc739.html" TargetMode="External"/><Relationship Id="rId37" Type="http://schemas.openxmlformats.org/officeDocument/2006/relationships/hyperlink" Target="https://www.canlii.org/en/ab/abqb/doc/2018/2018abqb47/2018abqb47.html" TargetMode="External"/><Relationship Id="rId40" Type="http://schemas.openxmlformats.org/officeDocument/2006/relationships/hyperlink" Target="https://www.canlii.org/en/ab/abqb/doc/2016/2016abqb13/2016abqb13.html" TargetMode="External"/><Relationship Id="rId45" Type="http://schemas.openxmlformats.org/officeDocument/2006/relationships/hyperlink" Target="https://www.canlii.org/en/bc/bcca/doc/2020/2020bcca138/2020bcca138.html?autocompleteStr=2020%20BCCA%20138&amp;autocompletePos=1" TargetMode="External"/><Relationship Id="rId53" Type="http://schemas.openxmlformats.org/officeDocument/2006/relationships/hyperlink" Target="https://www.canlii.org/en/on/onca/doc/2020/2020onca430/2020onca430.html?autocompleteStr=2020%20ONCA%20430&amp;autocompletePos=1"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c-csc.ca/case-dossier/info/sum-som-eng.aspx?cas=39347" TargetMode="External"/><Relationship Id="rId23" Type="http://schemas.openxmlformats.org/officeDocument/2006/relationships/hyperlink" Target="https://www.canlii.org/en/bc/bcsc/doc/2019/2019bcsc1422/2019bcsc1422.html" TargetMode="External"/><Relationship Id="rId28" Type="http://schemas.openxmlformats.org/officeDocument/2006/relationships/hyperlink" Target="http://canlii.ca/t/htjnn" TargetMode="External"/><Relationship Id="rId36" Type="http://schemas.openxmlformats.org/officeDocument/2006/relationships/hyperlink" Target="https://www.canlii.org/en/ab/abqb/doc/2016/2016abqb13/2016abqb13.html" TargetMode="External"/><Relationship Id="rId49" Type="http://schemas.openxmlformats.org/officeDocument/2006/relationships/hyperlink" Target="https://www.canlii.org/en/ab/abca/doc/2020/2020abca238/2020abca238.html?autocompleteStr=2020%20ABCA%20238&amp;autocompletePos=1"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www.scc-csc.ca/case-dossier/info/sum-som-fra.aspx?cas=39196" TargetMode="External"/><Relationship Id="rId19" Type="http://schemas.openxmlformats.org/officeDocument/2006/relationships/hyperlink" Target="https://www.canlii.org/en/on/laws/stat/rso-1990-c-c12/latest/rso-1990-c-c12.html" TargetMode="External"/><Relationship Id="rId31" Type="http://schemas.openxmlformats.org/officeDocument/2006/relationships/hyperlink" Target="http://canlii.ca/t/j6c8q" TargetMode="External"/><Relationship Id="rId44" Type="http://schemas.openxmlformats.org/officeDocument/2006/relationships/hyperlink" Target="https://www.canlii.org/en/bc/bcsc/doc/2017/2017bcsc1700/2017bcsc1700.html?autocompleteStr=2017%20BCSC%201700&amp;autocompletePos=1" TargetMode="External"/><Relationship Id="rId52" Type="http://schemas.openxmlformats.org/officeDocument/2006/relationships/hyperlink" Target="https://www.canlii.org/en/on/onsc/doc/2019/2019onsc259/2019onsc259.htm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c-csc.ca/case-dossier/info/sum-som-eng.aspx?cas=39317" TargetMode="External"/><Relationship Id="rId14" Type="http://schemas.openxmlformats.org/officeDocument/2006/relationships/hyperlink" Target="https://www.scc-csc.ca/case-dossier/info/sum-som-eng.aspx?cas=39323" TargetMode="External"/><Relationship Id="rId22" Type="http://schemas.openxmlformats.org/officeDocument/2006/relationships/hyperlink" Target="https://www.canlii.org/en/bc/bclrb/doc/2018/2018canlii5111/2018canlii5111.html" TargetMode="External"/><Relationship Id="rId27" Type="http://schemas.openxmlformats.org/officeDocument/2006/relationships/hyperlink" Target="https://www.canlii.org/en/bc/bcca/doc/2020/2020bcca159/2020bcca159.html" TargetMode="External"/><Relationship Id="rId30" Type="http://schemas.openxmlformats.org/officeDocument/2006/relationships/hyperlink" Target="http://canlii.ca/t/htjnn" TargetMode="External"/><Relationship Id="rId35" Type="http://schemas.openxmlformats.org/officeDocument/2006/relationships/hyperlink" Target="https://www.canlii.org/en/bc/bcca/doc/2020/2020bcca130/2020bcca130.html?autocompleteStr=2020%20BCCA%20130&amp;autocompletePos=1" TargetMode="External"/><Relationship Id="rId43" Type="http://schemas.openxmlformats.org/officeDocument/2006/relationships/hyperlink" Target="https://www.canlii.org/en/ab/abca/doc/2020/2020abca120/2020abca120.html?searchUrlHash=AAAAAQANMjAyMCBBQkNBIDEyMAAAAAAB&amp;resultIndex=1" TargetMode="External"/><Relationship Id="rId48" Type="http://schemas.openxmlformats.org/officeDocument/2006/relationships/hyperlink" Target="https://www.canlii.org/en/ab/abqb/doc/2019/2019abqb746/2019abqb746.html?autocompleteStr=2019%20ABQB%20746&amp;autocompletePos=1" TargetMode="External"/><Relationship Id="rId56" Type="http://schemas.openxmlformats.org/officeDocument/2006/relationships/hyperlink" Target="mailto:comments-commentaires@scc-csc.ca" TargetMode="External"/><Relationship Id="rId64" Type="http://schemas.openxmlformats.org/officeDocument/2006/relationships/theme" Target="theme/theme1.xml"/><Relationship Id="rId8" Type="http://schemas.openxmlformats.org/officeDocument/2006/relationships/hyperlink" Target="https://www.scc-csc.ca/case-dossier/info/sum-som-eng.aspx?cas=39123" TargetMode="External"/><Relationship Id="rId51" Type="http://schemas.openxmlformats.org/officeDocument/2006/relationships/hyperlink" Target="https://www.canlii.org/en/ab/abca/doc/2020/2020abca238/2020abca238.html?autocompleteStr=2020%20ABCA%20238&amp;autocompletePos=1" TargetMode="External"/><Relationship Id="rId3" Type="http://schemas.openxmlformats.org/officeDocument/2006/relationships/styles" Target="styles.xml"/><Relationship Id="rId12" Type="http://schemas.openxmlformats.org/officeDocument/2006/relationships/hyperlink" Target="https://www.scc-csc.ca/case-dossier/info/sum-som-eng.aspx?cas=39319" TargetMode="External"/><Relationship Id="rId17" Type="http://schemas.openxmlformats.org/officeDocument/2006/relationships/hyperlink" Target="https://www.canlii.org/en/on/laws/stat/rso-1990-c-c12/latest/rso-1990-c-c12.html" TargetMode="External"/><Relationship Id="rId25" Type="http://schemas.openxmlformats.org/officeDocument/2006/relationships/hyperlink" Target="https://www.canlii.org/en/bc/bclrb/doc/2018/2018canlii5111/2018canlii5111.html" TargetMode="External"/><Relationship Id="rId33" Type="http://schemas.openxmlformats.org/officeDocument/2006/relationships/hyperlink" Target="https://www.canlii.org/en/bc/bcca/doc/2020/2020bcca130/2020bcca130.html?autocompleteStr=2020%20BCCA%20130&amp;autocompletePos=1" TargetMode="External"/><Relationship Id="rId38" Type="http://schemas.openxmlformats.org/officeDocument/2006/relationships/hyperlink" Target="https://www.canlii.org/en/ab/abca/doc/2019/2019abca123/2019abca123.html" TargetMode="External"/><Relationship Id="rId46" Type="http://schemas.openxmlformats.org/officeDocument/2006/relationships/hyperlink" Target="https://www.canlii.org/en/bc/bcsc/doc/2017/2017bcsc1700/2017bcsc1700.html?autocompleteStr=2017%20BCSC%201700&amp;autocompletePos=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CE8B8-F32E-42C9-8A3A-FC585196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8327</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55680</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2019-12-17T19:10:00Z</dcterms:created>
  <dcterms:modified xsi:type="dcterms:W3CDTF">2021-01-18T13:49:00Z</dcterms:modified>
</cp:coreProperties>
</file>