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375B7" w:rsidRDefault="000E391F" w:rsidP="000E391F">
      <w:pPr>
        <w:pStyle w:val="Header"/>
        <w:jc w:val="center"/>
        <w:rPr>
          <w:b/>
          <w:sz w:val="32"/>
        </w:rPr>
      </w:pPr>
      <w:r w:rsidRPr="001375B7">
        <w:rPr>
          <w:b/>
          <w:sz w:val="32"/>
        </w:rPr>
        <w:t>Supreme Court of Canada / Cour suprême du Canada</w:t>
      </w:r>
    </w:p>
    <w:p w:rsidR="000E391F" w:rsidRPr="001375B7" w:rsidRDefault="000E391F" w:rsidP="000E391F">
      <w:pPr>
        <w:widowControl w:val="0"/>
      </w:pPr>
    </w:p>
    <w:p w:rsidR="000E391F" w:rsidRPr="001375B7" w:rsidRDefault="000E391F" w:rsidP="000E391F">
      <w:pPr>
        <w:widowControl w:val="0"/>
        <w:rPr>
          <w:i/>
        </w:rPr>
      </w:pPr>
    </w:p>
    <w:p w:rsidR="006F2579" w:rsidRPr="001375B7" w:rsidRDefault="006F2579" w:rsidP="006F2579">
      <w:pPr>
        <w:widowControl w:val="0"/>
        <w:rPr>
          <w:i/>
          <w:sz w:val="20"/>
        </w:rPr>
      </w:pPr>
      <w:r w:rsidRPr="001375B7">
        <w:rPr>
          <w:i/>
          <w:sz w:val="20"/>
        </w:rPr>
        <w:t>(</w:t>
      </w:r>
      <w:r w:rsidR="003240B6" w:rsidRPr="001375B7">
        <w:rPr>
          <w:i/>
          <w:sz w:val="20"/>
        </w:rPr>
        <w:t>L</w:t>
      </w:r>
      <w:r w:rsidRPr="001375B7">
        <w:rPr>
          <w:i/>
          <w:sz w:val="20"/>
        </w:rPr>
        <w:t>e français suit)</w:t>
      </w:r>
    </w:p>
    <w:p w:rsidR="006F2579" w:rsidRPr="001375B7" w:rsidRDefault="006F2579" w:rsidP="006F2579">
      <w:pPr>
        <w:widowControl w:val="0"/>
      </w:pPr>
    </w:p>
    <w:p w:rsidR="006F2579" w:rsidRPr="001375B7" w:rsidRDefault="00B07908" w:rsidP="006F2579">
      <w:pPr>
        <w:widowControl w:val="0"/>
        <w:jc w:val="center"/>
        <w:rPr>
          <w:b/>
        </w:rPr>
      </w:pPr>
      <w:r w:rsidRPr="001375B7">
        <w:fldChar w:fldCharType="begin"/>
      </w:r>
      <w:r w:rsidR="006F2579" w:rsidRPr="001375B7">
        <w:instrText xml:space="preserve"> SEQ CHAPTER \h \r 1</w:instrText>
      </w:r>
      <w:r w:rsidRPr="001375B7">
        <w:fldChar w:fldCharType="end"/>
      </w:r>
      <w:r w:rsidR="006F2579" w:rsidRPr="001375B7">
        <w:rPr>
          <w:b/>
        </w:rPr>
        <w:t>JUDGMENT</w:t>
      </w:r>
      <w:r w:rsidR="00B17AAC" w:rsidRPr="001375B7">
        <w:rPr>
          <w:b/>
        </w:rPr>
        <w:t>S</w:t>
      </w:r>
      <w:r w:rsidR="006F2579" w:rsidRPr="001375B7">
        <w:rPr>
          <w:b/>
        </w:rPr>
        <w:t xml:space="preserve"> TO B</w:t>
      </w:r>
      <w:r w:rsidR="00001846" w:rsidRPr="001375B7">
        <w:rPr>
          <w:b/>
        </w:rPr>
        <w:t>E RENDERED IN LE</w:t>
      </w:r>
      <w:r w:rsidR="00A0288A" w:rsidRPr="001375B7">
        <w:rPr>
          <w:b/>
        </w:rPr>
        <w:t>A</w:t>
      </w:r>
      <w:r w:rsidR="00001846" w:rsidRPr="001375B7">
        <w:rPr>
          <w:b/>
        </w:rPr>
        <w:t>VE APPLICATION</w:t>
      </w:r>
      <w:r w:rsidR="00511288" w:rsidRPr="001375B7">
        <w:rPr>
          <w:b/>
        </w:rPr>
        <w:t>S</w:t>
      </w:r>
    </w:p>
    <w:p w:rsidR="006F2579" w:rsidRPr="001375B7" w:rsidRDefault="006F2579" w:rsidP="006F2579">
      <w:pPr>
        <w:widowControl w:val="0"/>
      </w:pPr>
    </w:p>
    <w:p w:rsidR="006F2579" w:rsidRPr="001375B7" w:rsidRDefault="00B2235C" w:rsidP="006F2579">
      <w:pPr>
        <w:widowControl w:val="0"/>
      </w:pPr>
      <w:r w:rsidRPr="001375B7">
        <w:rPr>
          <w:b/>
        </w:rPr>
        <w:t>May</w:t>
      </w:r>
      <w:r w:rsidR="00A15B66" w:rsidRPr="001375B7">
        <w:rPr>
          <w:b/>
        </w:rPr>
        <w:t xml:space="preserve"> </w:t>
      </w:r>
      <w:r w:rsidR="0058226F" w:rsidRPr="001375B7">
        <w:rPr>
          <w:b/>
        </w:rPr>
        <w:t>1</w:t>
      </w:r>
      <w:r w:rsidR="00FC13B1" w:rsidRPr="001375B7">
        <w:rPr>
          <w:b/>
        </w:rPr>
        <w:t>7</w:t>
      </w:r>
      <w:r w:rsidR="004441C7" w:rsidRPr="001375B7">
        <w:rPr>
          <w:b/>
        </w:rPr>
        <w:t>,</w:t>
      </w:r>
      <w:r w:rsidR="006F2579" w:rsidRPr="001375B7">
        <w:rPr>
          <w:b/>
        </w:rPr>
        <w:t xml:space="preserve"> </w:t>
      </w:r>
      <w:r w:rsidR="0054689F" w:rsidRPr="001375B7">
        <w:rPr>
          <w:b/>
        </w:rPr>
        <w:t>20</w:t>
      </w:r>
      <w:r w:rsidR="00526754" w:rsidRPr="001375B7">
        <w:rPr>
          <w:b/>
        </w:rPr>
        <w:t>2</w:t>
      </w:r>
      <w:r w:rsidR="0068416C" w:rsidRPr="001375B7">
        <w:rPr>
          <w:b/>
        </w:rPr>
        <w:t>1</w:t>
      </w:r>
    </w:p>
    <w:p w:rsidR="006F2579" w:rsidRPr="001375B7" w:rsidRDefault="00674F39" w:rsidP="006F2579">
      <w:pPr>
        <w:widowControl w:val="0"/>
        <w:rPr>
          <w:b/>
        </w:rPr>
      </w:pPr>
      <w:r w:rsidRPr="001375B7">
        <w:rPr>
          <w:b/>
        </w:rPr>
        <w:t>For immediate release</w:t>
      </w:r>
    </w:p>
    <w:p w:rsidR="006F2579" w:rsidRPr="001375B7" w:rsidRDefault="006F2579" w:rsidP="006F2579">
      <w:pPr>
        <w:widowControl w:val="0"/>
      </w:pPr>
    </w:p>
    <w:p w:rsidR="006F2579" w:rsidRPr="001375B7" w:rsidRDefault="006F2579" w:rsidP="006F2579">
      <w:pPr>
        <w:widowControl w:val="0"/>
        <w:rPr>
          <w:lang w:val="fr-CA"/>
        </w:rPr>
      </w:pPr>
      <w:r w:rsidRPr="001375B7">
        <w:rPr>
          <w:b/>
        </w:rPr>
        <w:t>OTTAWA</w:t>
      </w:r>
      <w:r w:rsidRPr="001375B7">
        <w:t xml:space="preserve"> – The Supreme Court of Canad</w:t>
      </w:r>
      <w:r w:rsidR="006246E4" w:rsidRPr="001375B7">
        <w:t>a</w:t>
      </w:r>
      <w:r w:rsidRPr="001375B7">
        <w:t xml:space="preserve"> announced today that judgment in the following </w:t>
      </w:r>
      <w:r w:rsidR="00DB6199" w:rsidRPr="001375B7">
        <w:t xml:space="preserve">leave applications </w:t>
      </w:r>
      <w:r w:rsidRPr="001375B7">
        <w:t xml:space="preserve">will be delivered at 9:45 a.m. </w:t>
      </w:r>
      <w:r w:rsidR="00E05816" w:rsidRPr="001375B7">
        <w:t>E</w:t>
      </w:r>
      <w:r w:rsidR="0098345D" w:rsidRPr="001375B7">
        <w:t>D</w:t>
      </w:r>
      <w:r w:rsidR="00E05816" w:rsidRPr="001375B7">
        <w:t>T</w:t>
      </w:r>
      <w:r w:rsidRPr="001375B7">
        <w:t xml:space="preserve"> on </w:t>
      </w:r>
      <w:r w:rsidR="0068416C" w:rsidRPr="001375B7">
        <w:t>Thursday</w:t>
      </w:r>
      <w:r w:rsidRPr="001375B7">
        <w:t xml:space="preserve">, </w:t>
      </w:r>
      <w:r w:rsidR="00B2235C" w:rsidRPr="001375B7">
        <w:t>May</w:t>
      </w:r>
      <w:r w:rsidR="00455912" w:rsidRPr="001375B7">
        <w:t xml:space="preserve"> </w:t>
      </w:r>
      <w:r w:rsidR="00FC13B1" w:rsidRPr="001375B7">
        <w:t>20</w:t>
      </w:r>
      <w:r w:rsidR="007E112F" w:rsidRPr="001375B7">
        <w:t>,</w:t>
      </w:r>
      <w:r w:rsidR="002F38D7" w:rsidRPr="001375B7">
        <w:t xml:space="preserve"> </w:t>
      </w:r>
      <w:r w:rsidR="006648D1" w:rsidRPr="001375B7">
        <w:t>20</w:t>
      </w:r>
      <w:r w:rsidR="00526754" w:rsidRPr="001375B7">
        <w:t>2</w:t>
      </w:r>
      <w:r w:rsidR="00DD65CF" w:rsidRPr="001375B7">
        <w:t>1</w:t>
      </w:r>
      <w:r w:rsidRPr="001375B7">
        <w:t xml:space="preserve">. </w:t>
      </w:r>
      <w:r w:rsidRPr="001375B7">
        <w:rPr>
          <w:lang w:val="fr-CA"/>
        </w:rPr>
        <w:t>This list is subject to chang</w:t>
      </w:r>
      <w:r w:rsidR="00192F7F" w:rsidRPr="001375B7">
        <w:rPr>
          <w:lang w:val="fr-CA"/>
        </w:rPr>
        <w:t>e</w:t>
      </w:r>
      <w:r w:rsidRPr="001375B7">
        <w:rPr>
          <w:lang w:val="fr-CA"/>
        </w:rPr>
        <w:t>.</w:t>
      </w:r>
    </w:p>
    <w:p w:rsidR="00FF5AA4" w:rsidRPr="001375B7" w:rsidRDefault="00FF5AA4" w:rsidP="006F2579">
      <w:pPr>
        <w:widowControl w:val="0"/>
        <w:rPr>
          <w:lang w:val="fr-CA"/>
        </w:rPr>
      </w:pPr>
    </w:p>
    <w:p w:rsidR="00B43418" w:rsidRPr="001375B7" w:rsidRDefault="00B43418" w:rsidP="006F2579">
      <w:pPr>
        <w:widowControl w:val="0"/>
        <w:rPr>
          <w:lang w:val="fr-CA"/>
        </w:rPr>
      </w:pPr>
    </w:p>
    <w:p w:rsidR="006F2579" w:rsidRPr="001375B7" w:rsidRDefault="006F2579" w:rsidP="006F2579">
      <w:pPr>
        <w:widowControl w:val="0"/>
        <w:jc w:val="center"/>
        <w:rPr>
          <w:lang w:val="fr-CA"/>
        </w:rPr>
      </w:pPr>
      <w:r w:rsidRPr="001375B7">
        <w:rPr>
          <w:b/>
          <w:lang w:val="fr-CA"/>
        </w:rPr>
        <w:t>PROCHAIN</w:t>
      </w:r>
      <w:r w:rsidR="00B17AAC" w:rsidRPr="001375B7">
        <w:rPr>
          <w:b/>
          <w:lang w:val="fr-CA"/>
        </w:rPr>
        <w:t>S</w:t>
      </w:r>
      <w:r w:rsidRPr="001375B7">
        <w:rPr>
          <w:b/>
          <w:lang w:val="fr-CA"/>
        </w:rPr>
        <w:t xml:space="preserve"> JUGEMENT</w:t>
      </w:r>
      <w:r w:rsidR="00B17AAC" w:rsidRPr="001375B7">
        <w:rPr>
          <w:b/>
          <w:lang w:val="fr-CA"/>
        </w:rPr>
        <w:t>S</w:t>
      </w:r>
      <w:r w:rsidR="00001846" w:rsidRPr="001375B7">
        <w:rPr>
          <w:b/>
          <w:lang w:val="fr-CA"/>
        </w:rPr>
        <w:t xml:space="preserve"> SUR DEMANDE</w:t>
      </w:r>
      <w:r w:rsidR="00B17AAC" w:rsidRPr="001375B7">
        <w:rPr>
          <w:b/>
          <w:lang w:val="fr-CA"/>
        </w:rPr>
        <w:t>S</w:t>
      </w:r>
      <w:r w:rsidRPr="001375B7">
        <w:rPr>
          <w:b/>
          <w:lang w:val="fr-CA"/>
        </w:rPr>
        <w:t xml:space="preserve"> D’AUTORISATION</w:t>
      </w:r>
    </w:p>
    <w:p w:rsidR="006F2579" w:rsidRPr="001375B7" w:rsidRDefault="006F2579" w:rsidP="006F2579">
      <w:pPr>
        <w:widowControl w:val="0"/>
        <w:rPr>
          <w:lang w:val="fr-CA"/>
        </w:rPr>
      </w:pPr>
    </w:p>
    <w:p w:rsidR="006F2579" w:rsidRPr="001375B7" w:rsidRDefault="006F2579" w:rsidP="006F2579">
      <w:pPr>
        <w:widowControl w:val="0"/>
        <w:rPr>
          <w:lang w:val="fr-CA"/>
        </w:rPr>
      </w:pPr>
      <w:r w:rsidRPr="001375B7">
        <w:rPr>
          <w:b/>
          <w:lang w:val="fr-CA"/>
        </w:rPr>
        <w:t>Le</w:t>
      </w:r>
      <w:r w:rsidR="00957A76" w:rsidRPr="001375B7">
        <w:rPr>
          <w:b/>
          <w:lang w:val="fr-CA"/>
        </w:rPr>
        <w:t xml:space="preserve"> </w:t>
      </w:r>
      <w:r w:rsidR="0058226F" w:rsidRPr="001375B7">
        <w:rPr>
          <w:b/>
          <w:lang w:val="fr-CA"/>
        </w:rPr>
        <w:t>1</w:t>
      </w:r>
      <w:r w:rsidR="00FC13B1" w:rsidRPr="001375B7">
        <w:rPr>
          <w:b/>
          <w:lang w:val="fr-CA"/>
        </w:rPr>
        <w:t>7</w:t>
      </w:r>
      <w:r w:rsidR="00825246" w:rsidRPr="001375B7">
        <w:rPr>
          <w:b/>
          <w:lang w:val="fr-CA"/>
        </w:rPr>
        <w:t xml:space="preserve"> </w:t>
      </w:r>
      <w:r w:rsidR="00B2235C" w:rsidRPr="001375B7">
        <w:rPr>
          <w:b/>
          <w:lang w:val="fr-CA"/>
        </w:rPr>
        <w:t>mai</w:t>
      </w:r>
      <w:r w:rsidR="00A151D1" w:rsidRPr="001375B7">
        <w:rPr>
          <w:b/>
          <w:lang w:val="fr-CA"/>
        </w:rPr>
        <w:t xml:space="preserve"> 20</w:t>
      </w:r>
      <w:r w:rsidR="00526754" w:rsidRPr="001375B7">
        <w:rPr>
          <w:b/>
          <w:lang w:val="fr-CA"/>
        </w:rPr>
        <w:t>2</w:t>
      </w:r>
      <w:r w:rsidR="0068416C" w:rsidRPr="001375B7">
        <w:rPr>
          <w:b/>
          <w:lang w:val="fr-CA"/>
        </w:rPr>
        <w:t>1</w:t>
      </w:r>
    </w:p>
    <w:p w:rsidR="006F2579" w:rsidRPr="001375B7" w:rsidRDefault="006F2579" w:rsidP="006F2579">
      <w:pPr>
        <w:widowControl w:val="0"/>
        <w:rPr>
          <w:b/>
          <w:lang w:val="fr-CA"/>
        </w:rPr>
      </w:pPr>
      <w:r w:rsidRPr="001375B7">
        <w:rPr>
          <w:b/>
          <w:lang w:val="fr-CA"/>
        </w:rPr>
        <w:t>Pour diffusion immédiate</w:t>
      </w:r>
    </w:p>
    <w:p w:rsidR="006F2579" w:rsidRPr="001375B7" w:rsidRDefault="006F2579" w:rsidP="006F2579">
      <w:pPr>
        <w:widowControl w:val="0"/>
        <w:rPr>
          <w:lang w:val="fr-CA"/>
        </w:rPr>
      </w:pPr>
    </w:p>
    <w:p w:rsidR="006F2579" w:rsidRPr="001375B7" w:rsidRDefault="006F2579" w:rsidP="006F2579">
      <w:pPr>
        <w:widowControl w:val="0"/>
        <w:rPr>
          <w:lang w:val="fr-CA"/>
        </w:rPr>
      </w:pPr>
      <w:r w:rsidRPr="001375B7">
        <w:rPr>
          <w:b/>
          <w:lang w:val="fr-CA"/>
        </w:rPr>
        <w:t>OTTAWA</w:t>
      </w:r>
      <w:r w:rsidRPr="001375B7">
        <w:rPr>
          <w:lang w:val="fr-CA"/>
        </w:rPr>
        <w:t xml:space="preserve"> – La Cour suprême du Canada annonce que jugement ser</w:t>
      </w:r>
      <w:r w:rsidR="004259F9" w:rsidRPr="001375B7">
        <w:rPr>
          <w:lang w:val="fr-CA"/>
        </w:rPr>
        <w:t>a</w:t>
      </w:r>
      <w:r w:rsidRPr="001375B7">
        <w:rPr>
          <w:lang w:val="fr-CA"/>
        </w:rPr>
        <w:t xml:space="preserve"> rendu dans l</w:t>
      </w:r>
      <w:r w:rsidR="008600ED" w:rsidRPr="001375B7">
        <w:rPr>
          <w:lang w:val="fr-CA"/>
        </w:rPr>
        <w:t>es</w:t>
      </w:r>
      <w:r w:rsidRPr="001375B7">
        <w:rPr>
          <w:lang w:val="fr-CA"/>
        </w:rPr>
        <w:t xml:space="preserve"> demande</w:t>
      </w:r>
      <w:r w:rsidR="008600ED" w:rsidRPr="001375B7">
        <w:rPr>
          <w:lang w:val="fr-CA"/>
        </w:rPr>
        <w:t>s</w:t>
      </w:r>
      <w:r w:rsidRPr="001375B7">
        <w:rPr>
          <w:lang w:val="fr-CA"/>
        </w:rPr>
        <w:t xml:space="preserve"> d</w:t>
      </w:r>
      <w:r w:rsidR="00001846" w:rsidRPr="001375B7">
        <w:rPr>
          <w:lang w:val="fr-CA"/>
        </w:rPr>
        <w:t>’autorisation suivante</w:t>
      </w:r>
      <w:r w:rsidR="008600ED" w:rsidRPr="001375B7">
        <w:rPr>
          <w:lang w:val="fr-CA"/>
        </w:rPr>
        <w:t>s</w:t>
      </w:r>
      <w:r w:rsidRPr="001375B7">
        <w:rPr>
          <w:lang w:val="fr-CA"/>
        </w:rPr>
        <w:t xml:space="preserve"> le </w:t>
      </w:r>
      <w:r w:rsidR="0068416C" w:rsidRPr="001375B7">
        <w:rPr>
          <w:lang w:val="fr-CA"/>
        </w:rPr>
        <w:t>jeudi</w:t>
      </w:r>
      <w:r w:rsidRPr="001375B7">
        <w:rPr>
          <w:lang w:val="fr-CA"/>
        </w:rPr>
        <w:t xml:space="preserve"> </w:t>
      </w:r>
      <w:r w:rsidR="00FC13B1" w:rsidRPr="001375B7">
        <w:rPr>
          <w:lang w:val="fr-CA"/>
        </w:rPr>
        <w:t>20</w:t>
      </w:r>
      <w:r w:rsidR="009E0BD3" w:rsidRPr="001375B7">
        <w:rPr>
          <w:lang w:val="fr-CA"/>
        </w:rPr>
        <w:t xml:space="preserve"> </w:t>
      </w:r>
      <w:r w:rsidR="00B2235C" w:rsidRPr="001375B7">
        <w:rPr>
          <w:lang w:val="fr-CA"/>
        </w:rPr>
        <w:t>mai</w:t>
      </w:r>
      <w:r w:rsidR="00694391" w:rsidRPr="001375B7">
        <w:rPr>
          <w:lang w:val="fr-CA"/>
        </w:rPr>
        <w:t xml:space="preserve"> 2</w:t>
      </w:r>
      <w:r w:rsidR="006648D1" w:rsidRPr="001375B7">
        <w:rPr>
          <w:lang w:val="fr-CA"/>
        </w:rPr>
        <w:t>0</w:t>
      </w:r>
      <w:r w:rsidR="00526754" w:rsidRPr="001375B7">
        <w:rPr>
          <w:lang w:val="fr-CA"/>
        </w:rPr>
        <w:t>2</w:t>
      </w:r>
      <w:r w:rsidR="0068416C" w:rsidRPr="001375B7">
        <w:rPr>
          <w:lang w:val="fr-CA"/>
        </w:rPr>
        <w:t>1</w:t>
      </w:r>
      <w:r w:rsidRPr="001375B7">
        <w:rPr>
          <w:lang w:val="fr-CA"/>
        </w:rPr>
        <w:t xml:space="preserve">, à 9 h 45 </w:t>
      </w:r>
      <w:r w:rsidR="000627A2" w:rsidRPr="001375B7">
        <w:rPr>
          <w:lang w:val="fr-CA"/>
        </w:rPr>
        <w:t>H</w:t>
      </w:r>
      <w:r w:rsidR="0098345D" w:rsidRPr="001375B7">
        <w:rPr>
          <w:lang w:val="fr-CA"/>
        </w:rPr>
        <w:t>A</w:t>
      </w:r>
      <w:r w:rsidRPr="001375B7">
        <w:rPr>
          <w:lang w:val="fr-CA"/>
        </w:rPr>
        <w:t>E. Cette liste est sujette à modification</w:t>
      </w:r>
      <w:r w:rsidR="00130ADB" w:rsidRPr="001375B7">
        <w:rPr>
          <w:lang w:val="fr-CA"/>
        </w:rPr>
        <w:t>s</w:t>
      </w:r>
      <w:r w:rsidRPr="001375B7">
        <w:rPr>
          <w:lang w:val="fr-CA"/>
        </w:rPr>
        <w:t>.</w:t>
      </w:r>
    </w:p>
    <w:p w:rsidR="0080556B" w:rsidRPr="001375B7" w:rsidRDefault="0080556B" w:rsidP="009B14F4">
      <w:pPr>
        <w:widowControl w:val="0"/>
        <w:jc w:val="both"/>
        <w:rPr>
          <w:sz w:val="20"/>
          <w:lang w:val="fr-CA"/>
        </w:rPr>
      </w:pPr>
    </w:p>
    <w:p w:rsidR="00867C61" w:rsidRPr="001375B7" w:rsidRDefault="00F04E23" w:rsidP="009B14F4">
      <w:pPr>
        <w:widowControl w:val="0"/>
        <w:jc w:val="both"/>
        <w:rPr>
          <w:sz w:val="20"/>
        </w:rPr>
      </w:pPr>
      <w:r>
        <w:rPr>
          <w:sz w:val="20"/>
        </w:rPr>
        <w:pict>
          <v:rect id="_x0000_i1025" style="width:2in;height:1pt" o:hrpct="0" o:hralign="center" o:hrstd="t" o:hrnoshade="t" o:hr="t" fillcolor="black [3213]" stroked="f"/>
        </w:pict>
      </w:r>
    </w:p>
    <w:p w:rsidR="004A6E51" w:rsidRPr="001375B7" w:rsidRDefault="004A6E51" w:rsidP="000E2E04">
      <w:pPr>
        <w:ind w:left="357" w:hanging="357"/>
        <w:contextualSpacing/>
        <w:rPr>
          <w:sz w:val="20"/>
          <w:lang w:val="fr-CA"/>
        </w:rPr>
      </w:pPr>
    </w:p>
    <w:p w:rsidR="00FC13B1" w:rsidRPr="001375B7" w:rsidRDefault="00FC13B1" w:rsidP="00067D24">
      <w:pPr>
        <w:pStyle w:val="ListParagraph"/>
        <w:numPr>
          <w:ilvl w:val="0"/>
          <w:numId w:val="26"/>
        </w:numPr>
        <w:ind w:left="357" w:hanging="357"/>
        <w:rPr>
          <w:sz w:val="20"/>
          <w:u w:val="single"/>
          <w:lang w:val="fr-CA"/>
        </w:rPr>
      </w:pPr>
      <w:r w:rsidRPr="001375B7">
        <w:rPr>
          <w:i/>
          <w:sz w:val="20"/>
          <w:lang w:val="fr-CA"/>
        </w:rPr>
        <w:t>KPMG Inc., en sa qualité de liquidateur de Dessau inc. suivant l’Ordonnance de la Cour supérieure portant le numéro 500-11-056442-193 c. Ville de Lorraine</w:t>
      </w:r>
      <w:r w:rsidRPr="001375B7">
        <w:rPr>
          <w:sz w:val="20"/>
          <w:lang w:val="fr-CA"/>
        </w:rPr>
        <w:t xml:space="preserve"> (Qc) (Civile) (Autorisation) (</w:t>
      </w:r>
      <w:hyperlink r:id="rId8" w:history="1">
        <w:r w:rsidRPr="001375B7">
          <w:rPr>
            <w:rStyle w:val="Hyperlink"/>
            <w:sz w:val="20"/>
            <w:szCs w:val="20"/>
            <w:lang w:val="fr-CA"/>
          </w:rPr>
          <w:t>39</w:t>
        </w:r>
        <w:r w:rsidR="000E6D46" w:rsidRPr="001375B7">
          <w:rPr>
            <w:rStyle w:val="Hyperlink"/>
            <w:sz w:val="20"/>
            <w:szCs w:val="20"/>
            <w:lang w:val="fr-CA"/>
          </w:rPr>
          <w:t>411</w:t>
        </w:r>
      </w:hyperlink>
      <w:r w:rsidRPr="001375B7">
        <w:rPr>
          <w:sz w:val="20"/>
          <w:lang w:val="fr-CA"/>
        </w:rPr>
        <w:t>)</w:t>
      </w:r>
    </w:p>
    <w:p w:rsidR="00FC13B1" w:rsidRPr="00F04E23" w:rsidRDefault="00FC13B1" w:rsidP="00067D24">
      <w:pPr>
        <w:ind w:left="357" w:hanging="357"/>
        <w:contextualSpacing/>
        <w:rPr>
          <w:sz w:val="20"/>
          <w:lang w:val="fr-CA"/>
        </w:rPr>
      </w:pPr>
      <w:bookmarkStart w:id="0" w:name="_GoBack"/>
      <w:bookmarkEnd w:id="0"/>
    </w:p>
    <w:p w:rsidR="00FC13B1" w:rsidRPr="001375B7" w:rsidRDefault="00FC13B1" w:rsidP="00067D24">
      <w:pPr>
        <w:pStyle w:val="ListParagraph"/>
        <w:numPr>
          <w:ilvl w:val="0"/>
          <w:numId w:val="26"/>
        </w:numPr>
        <w:tabs>
          <w:tab w:val="left" w:pos="360"/>
        </w:tabs>
        <w:ind w:left="357" w:hanging="357"/>
        <w:rPr>
          <w:i/>
          <w:sz w:val="20"/>
        </w:rPr>
      </w:pPr>
      <w:r w:rsidRPr="001375B7">
        <w:rPr>
          <w:i/>
          <w:sz w:val="20"/>
        </w:rPr>
        <w:t xml:space="preserve">Eugene Ndhlovu v. Her Majesty the Queen </w:t>
      </w:r>
      <w:r w:rsidRPr="001375B7">
        <w:rPr>
          <w:sz w:val="20"/>
        </w:rPr>
        <w:t>(Alta.) (Criminal) (By Leave) (</w:t>
      </w:r>
      <w:hyperlink r:id="rId9" w:history="1">
        <w:r w:rsidRPr="001375B7">
          <w:rPr>
            <w:rStyle w:val="Hyperlink"/>
            <w:sz w:val="20"/>
            <w:szCs w:val="20"/>
          </w:rPr>
          <w:t>393</w:t>
        </w:r>
        <w:r w:rsidR="000E6D46" w:rsidRPr="001375B7">
          <w:rPr>
            <w:rStyle w:val="Hyperlink"/>
            <w:sz w:val="20"/>
            <w:szCs w:val="20"/>
          </w:rPr>
          <w:t>60</w:t>
        </w:r>
      </w:hyperlink>
      <w:r w:rsidRPr="001375B7">
        <w:rPr>
          <w:sz w:val="20"/>
        </w:rPr>
        <w:t>)</w:t>
      </w:r>
    </w:p>
    <w:p w:rsidR="00FC13B1" w:rsidRPr="001375B7" w:rsidRDefault="00FC13B1" w:rsidP="00067D24">
      <w:pPr>
        <w:tabs>
          <w:tab w:val="left" w:pos="360"/>
        </w:tabs>
        <w:ind w:left="357" w:hanging="357"/>
        <w:rPr>
          <w:sz w:val="20"/>
        </w:rPr>
      </w:pPr>
    </w:p>
    <w:p w:rsidR="00FC13B1" w:rsidRPr="001375B7" w:rsidRDefault="00FC13B1" w:rsidP="00067D24">
      <w:pPr>
        <w:pStyle w:val="ListParagraph"/>
        <w:numPr>
          <w:ilvl w:val="0"/>
          <w:numId w:val="26"/>
        </w:numPr>
        <w:tabs>
          <w:tab w:val="left" w:pos="360"/>
        </w:tabs>
        <w:ind w:left="357" w:hanging="357"/>
        <w:rPr>
          <w:sz w:val="20"/>
        </w:rPr>
      </w:pPr>
      <w:r w:rsidRPr="001375B7">
        <w:rPr>
          <w:i/>
          <w:sz w:val="20"/>
        </w:rPr>
        <w:t xml:space="preserve">Lionel Ravvin v. Canada Bread Company Limited, et al. </w:t>
      </w:r>
      <w:r w:rsidRPr="001375B7">
        <w:rPr>
          <w:sz w:val="20"/>
        </w:rPr>
        <w:t>(Alta.) (Civil) (By Leave) (</w:t>
      </w:r>
      <w:hyperlink r:id="rId10" w:history="1">
        <w:r w:rsidRPr="001375B7">
          <w:rPr>
            <w:rStyle w:val="Hyperlink"/>
            <w:sz w:val="20"/>
            <w:szCs w:val="20"/>
          </w:rPr>
          <w:t>395</w:t>
        </w:r>
        <w:r w:rsidR="000E6D46" w:rsidRPr="001375B7">
          <w:rPr>
            <w:rStyle w:val="Hyperlink"/>
            <w:sz w:val="20"/>
            <w:szCs w:val="20"/>
          </w:rPr>
          <w:t>54</w:t>
        </w:r>
      </w:hyperlink>
      <w:r w:rsidRPr="001375B7">
        <w:rPr>
          <w:sz w:val="20"/>
        </w:rPr>
        <w:t>)</w:t>
      </w:r>
    </w:p>
    <w:p w:rsidR="0006092E" w:rsidRPr="001375B7" w:rsidRDefault="0006092E" w:rsidP="00067D24">
      <w:pPr>
        <w:ind w:left="357" w:hanging="357"/>
        <w:contextualSpacing/>
        <w:rPr>
          <w:sz w:val="20"/>
        </w:rPr>
      </w:pPr>
    </w:p>
    <w:p w:rsidR="0006092E" w:rsidRPr="001375B7" w:rsidRDefault="0006092E" w:rsidP="00067D24">
      <w:pPr>
        <w:pStyle w:val="ListParagraph"/>
        <w:numPr>
          <w:ilvl w:val="0"/>
          <w:numId w:val="26"/>
        </w:numPr>
        <w:ind w:left="357" w:hanging="357"/>
        <w:rPr>
          <w:i/>
          <w:sz w:val="20"/>
        </w:rPr>
      </w:pPr>
      <w:r w:rsidRPr="001375B7">
        <w:rPr>
          <w:i/>
          <w:sz w:val="20"/>
        </w:rPr>
        <w:t xml:space="preserve">Nova Chemicals Corporation v. Dow Chemical Company, et al. </w:t>
      </w:r>
      <w:r w:rsidRPr="001375B7">
        <w:rPr>
          <w:sz w:val="20"/>
        </w:rPr>
        <w:t>(F.C.) (Civil) (By Leave) (</w:t>
      </w:r>
      <w:hyperlink r:id="rId11" w:history="1">
        <w:r w:rsidRPr="001375B7">
          <w:rPr>
            <w:rStyle w:val="Hyperlink"/>
            <w:sz w:val="20"/>
            <w:szCs w:val="20"/>
          </w:rPr>
          <w:t>394</w:t>
        </w:r>
        <w:r w:rsidRPr="001375B7">
          <w:rPr>
            <w:rStyle w:val="Hyperlink"/>
            <w:sz w:val="20"/>
          </w:rPr>
          <w:t>39</w:t>
        </w:r>
      </w:hyperlink>
      <w:r w:rsidRPr="001375B7">
        <w:rPr>
          <w:sz w:val="20"/>
        </w:rPr>
        <w:t>)</w:t>
      </w:r>
    </w:p>
    <w:p w:rsidR="00FC13B1" w:rsidRPr="001375B7" w:rsidRDefault="00FC13B1" w:rsidP="00067D24">
      <w:pPr>
        <w:ind w:left="357" w:hanging="357"/>
        <w:contextualSpacing/>
        <w:rPr>
          <w:sz w:val="20"/>
        </w:rPr>
      </w:pPr>
    </w:p>
    <w:p w:rsidR="00FC13B1" w:rsidRPr="001375B7" w:rsidRDefault="00FC13B1" w:rsidP="00067D24">
      <w:pPr>
        <w:pStyle w:val="ListParagraph"/>
        <w:numPr>
          <w:ilvl w:val="0"/>
          <w:numId w:val="26"/>
        </w:numPr>
        <w:ind w:left="357" w:hanging="357"/>
        <w:rPr>
          <w:sz w:val="20"/>
          <w:lang w:val="fr-CA"/>
        </w:rPr>
      </w:pPr>
      <w:r w:rsidRPr="001375B7">
        <w:rPr>
          <w:i/>
          <w:color w:val="333333"/>
          <w:sz w:val="20"/>
          <w:lang w:val="fr-CA"/>
        </w:rPr>
        <w:t>Michel Labonté, personnellement et en sa qualité de tuteur ou représentant d’un enfant mineur, et al. c. Commission Scolaire de la Capitale</w:t>
      </w:r>
      <w:r w:rsidRPr="001375B7">
        <w:rPr>
          <w:color w:val="333333"/>
          <w:sz w:val="20"/>
          <w:lang w:val="fr-CA"/>
        </w:rPr>
        <w:t xml:space="preserve"> </w:t>
      </w:r>
      <w:r w:rsidRPr="001375B7">
        <w:rPr>
          <w:sz w:val="20"/>
          <w:lang w:val="fr-CA"/>
        </w:rPr>
        <w:t>(Qc) (Civile) (Autorisation) (</w:t>
      </w:r>
      <w:hyperlink r:id="rId12" w:history="1">
        <w:r w:rsidRPr="001375B7">
          <w:rPr>
            <w:rStyle w:val="Hyperlink"/>
            <w:sz w:val="20"/>
            <w:szCs w:val="20"/>
            <w:lang w:val="fr-CA"/>
          </w:rPr>
          <w:t>395</w:t>
        </w:r>
        <w:r w:rsidR="000E6D46" w:rsidRPr="001375B7">
          <w:rPr>
            <w:rStyle w:val="Hyperlink"/>
            <w:sz w:val="20"/>
            <w:szCs w:val="20"/>
            <w:lang w:val="fr-CA"/>
          </w:rPr>
          <w:t>45</w:t>
        </w:r>
      </w:hyperlink>
      <w:r w:rsidRPr="001375B7">
        <w:rPr>
          <w:sz w:val="20"/>
          <w:lang w:val="fr-CA"/>
        </w:rPr>
        <w:t>)</w:t>
      </w:r>
    </w:p>
    <w:p w:rsidR="00FC13B1" w:rsidRPr="001375B7" w:rsidRDefault="00FC13B1" w:rsidP="00067D24">
      <w:pPr>
        <w:ind w:left="357" w:hanging="357"/>
        <w:rPr>
          <w:sz w:val="20"/>
          <w:lang w:val="fr-CA"/>
        </w:rPr>
      </w:pPr>
    </w:p>
    <w:p w:rsidR="00FC13B1" w:rsidRPr="001375B7" w:rsidRDefault="00FC13B1" w:rsidP="00067D24">
      <w:pPr>
        <w:pStyle w:val="ListParagraph"/>
        <w:numPr>
          <w:ilvl w:val="0"/>
          <w:numId w:val="26"/>
        </w:numPr>
        <w:ind w:left="357" w:hanging="357"/>
        <w:rPr>
          <w:sz w:val="20"/>
          <w:lang w:val="fr-CA"/>
        </w:rPr>
      </w:pPr>
      <w:r w:rsidRPr="001375B7">
        <w:rPr>
          <w:i/>
          <w:color w:val="333333"/>
          <w:sz w:val="20"/>
          <w:lang w:val="fr-CA"/>
        </w:rPr>
        <w:t>Claude Pierre Bouvier v. Jo-Ann Marie Bouvier</w:t>
      </w:r>
      <w:r w:rsidRPr="001375B7">
        <w:rPr>
          <w:color w:val="333333"/>
          <w:sz w:val="20"/>
          <w:lang w:val="fr-CA"/>
        </w:rPr>
        <w:t xml:space="preserve"> </w:t>
      </w:r>
      <w:r w:rsidRPr="001375B7">
        <w:rPr>
          <w:sz w:val="20"/>
          <w:lang w:val="fr-CA"/>
        </w:rPr>
        <w:t>(Sask.) (Civil) (By Leave) (</w:t>
      </w:r>
      <w:hyperlink r:id="rId13" w:history="1">
        <w:r w:rsidRPr="001375B7">
          <w:rPr>
            <w:rStyle w:val="Hyperlink"/>
            <w:sz w:val="20"/>
            <w:szCs w:val="20"/>
            <w:lang w:val="fr-CA"/>
          </w:rPr>
          <w:t>395</w:t>
        </w:r>
        <w:r w:rsidR="000E6D46" w:rsidRPr="001375B7">
          <w:rPr>
            <w:rStyle w:val="Hyperlink"/>
            <w:sz w:val="20"/>
            <w:szCs w:val="20"/>
            <w:lang w:val="fr-CA"/>
          </w:rPr>
          <w:t>46</w:t>
        </w:r>
      </w:hyperlink>
      <w:r w:rsidRPr="001375B7">
        <w:rPr>
          <w:sz w:val="20"/>
          <w:lang w:val="fr-CA"/>
        </w:rPr>
        <w:t>)</w:t>
      </w:r>
    </w:p>
    <w:p w:rsidR="00067D24" w:rsidRPr="001375B7" w:rsidRDefault="00067D24" w:rsidP="00067D24">
      <w:pPr>
        <w:ind w:left="357" w:hanging="357"/>
        <w:contextualSpacing/>
        <w:rPr>
          <w:sz w:val="20"/>
          <w:lang w:val="fr-CA"/>
        </w:rPr>
      </w:pPr>
    </w:p>
    <w:p w:rsidR="00067D24" w:rsidRPr="001375B7" w:rsidRDefault="00067D24" w:rsidP="00067D24">
      <w:pPr>
        <w:pStyle w:val="ListParagraph"/>
        <w:numPr>
          <w:ilvl w:val="0"/>
          <w:numId w:val="26"/>
        </w:numPr>
        <w:tabs>
          <w:tab w:val="center" w:pos="4898"/>
        </w:tabs>
        <w:ind w:left="357" w:hanging="357"/>
        <w:rPr>
          <w:bCs/>
          <w:sz w:val="20"/>
        </w:rPr>
      </w:pPr>
      <w:r w:rsidRPr="001375B7">
        <w:rPr>
          <w:bCs/>
          <w:i/>
          <w:sz w:val="20"/>
        </w:rPr>
        <w:t>James Andrew Beaver v. Her Majesty the Queen</w:t>
      </w:r>
      <w:r w:rsidRPr="001375B7">
        <w:rPr>
          <w:bCs/>
          <w:sz w:val="20"/>
        </w:rPr>
        <w:t xml:space="preserve"> (Alta.) (Criminal) (By Leave) </w:t>
      </w:r>
      <w:r w:rsidRPr="001375B7">
        <w:rPr>
          <w:sz w:val="20"/>
        </w:rPr>
        <w:t>(</w:t>
      </w:r>
      <w:hyperlink r:id="rId14" w:history="1">
        <w:r w:rsidRPr="001375B7">
          <w:rPr>
            <w:rStyle w:val="Hyperlink"/>
            <w:sz w:val="20"/>
            <w:szCs w:val="20"/>
          </w:rPr>
          <w:t>39480</w:t>
        </w:r>
      </w:hyperlink>
      <w:r w:rsidRPr="001375B7">
        <w:rPr>
          <w:sz w:val="20"/>
        </w:rPr>
        <w:t>)</w:t>
      </w:r>
    </w:p>
    <w:p w:rsidR="00067D24" w:rsidRPr="001375B7" w:rsidRDefault="00067D24" w:rsidP="00067D24">
      <w:pPr>
        <w:tabs>
          <w:tab w:val="center" w:pos="4898"/>
        </w:tabs>
        <w:ind w:left="357" w:hanging="357"/>
        <w:rPr>
          <w:bCs/>
          <w:sz w:val="20"/>
        </w:rPr>
      </w:pPr>
    </w:p>
    <w:p w:rsidR="00067D24" w:rsidRPr="001375B7" w:rsidRDefault="00067D24" w:rsidP="00067D24">
      <w:pPr>
        <w:pStyle w:val="ListParagraph"/>
        <w:numPr>
          <w:ilvl w:val="0"/>
          <w:numId w:val="26"/>
        </w:numPr>
        <w:tabs>
          <w:tab w:val="center" w:pos="4898"/>
        </w:tabs>
        <w:ind w:left="357" w:hanging="357"/>
        <w:rPr>
          <w:bCs/>
          <w:sz w:val="20"/>
        </w:rPr>
      </w:pPr>
      <w:r w:rsidRPr="001375B7">
        <w:rPr>
          <w:bCs/>
          <w:i/>
          <w:sz w:val="20"/>
        </w:rPr>
        <w:t>Brian John Lambert v. Her Majesty the Queen</w:t>
      </w:r>
      <w:r w:rsidRPr="001375B7">
        <w:rPr>
          <w:bCs/>
          <w:sz w:val="20"/>
        </w:rPr>
        <w:t xml:space="preserve"> (Alta.) (Criminal) (By Leave) </w:t>
      </w:r>
      <w:r w:rsidRPr="001375B7">
        <w:rPr>
          <w:sz w:val="20"/>
        </w:rPr>
        <w:t>(</w:t>
      </w:r>
      <w:hyperlink r:id="rId15" w:history="1">
        <w:r w:rsidRPr="001375B7">
          <w:rPr>
            <w:rStyle w:val="Hyperlink"/>
            <w:sz w:val="20"/>
            <w:szCs w:val="20"/>
          </w:rPr>
          <w:t>39481</w:t>
        </w:r>
      </w:hyperlink>
      <w:r w:rsidRPr="001375B7">
        <w:rPr>
          <w:sz w:val="20"/>
        </w:rPr>
        <w:t>)</w:t>
      </w:r>
    </w:p>
    <w:p w:rsidR="00067D24" w:rsidRPr="00170A70" w:rsidRDefault="00067D24" w:rsidP="00067D24">
      <w:pPr>
        <w:tabs>
          <w:tab w:val="center" w:pos="4898"/>
        </w:tabs>
        <w:ind w:left="357" w:hanging="357"/>
        <w:rPr>
          <w:bCs/>
          <w:sz w:val="20"/>
        </w:rPr>
      </w:pPr>
    </w:p>
    <w:p w:rsidR="00067D24" w:rsidRPr="001375B7" w:rsidRDefault="00067D24" w:rsidP="00067D24">
      <w:pPr>
        <w:pStyle w:val="ListParagraph"/>
        <w:numPr>
          <w:ilvl w:val="0"/>
          <w:numId w:val="26"/>
        </w:numPr>
        <w:tabs>
          <w:tab w:val="center" w:pos="4898"/>
        </w:tabs>
        <w:ind w:left="357" w:hanging="357"/>
        <w:rPr>
          <w:bCs/>
          <w:sz w:val="20"/>
        </w:rPr>
      </w:pPr>
      <w:r w:rsidRPr="001375B7">
        <w:rPr>
          <w:bCs/>
          <w:i/>
          <w:sz w:val="20"/>
        </w:rPr>
        <w:t xml:space="preserve">E.W. v. Windsor-Essex Children’s Aid Society </w:t>
      </w:r>
      <w:r w:rsidRPr="001375B7">
        <w:rPr>
          <w:bCs/>
          <w:sz w:val="20"/>
        </w:rPr>
        <w:t xml:space="preserve">(Ont.) (Civil) (By Leave) </w:t>
      </w:r>
      <w:r w:rsidRPr="001375B7">
        <w:rPr>
          <w:sz w:val="20"/>
        </w:rPr>
        <w:t>(</w:t>
      </w:r>
      <w:hyperlink r:id="rId16" w:history="1">
        <w:r w:rsidRPr="001375B7">
          <w:rPr>
            <w:rStyle w:val="Hyperlink"/>
            <w:sz w:val="20"/>
            <w:szCs w:val="20"/>
          </w:rPr>
          <w:t>39521</w:t>
        </w:r>
      </w:hyperlink>
      <w:r w:rsidRPr="001375B7">
        <w:rPr>
          <w:sz w:val="20"/>
        </w:rPr>
        <w:t>)</w:t>
      </w:r>
    </w:p>
    <w:p w:rsidR="00FC13B1" w:rsidRPr="001375B7" w:rsidRDefault="00FC13B1" w:rsidP="00067D24">
      <w:pPr>
        <w:ind w:left="357" w:hanging="357"/>
        <w:contextualSpacing/>
        <w:rPr>
          <w:sz w:val="20"/>
        </w:rPr>
      </w:pPr>
    </w:p>
    <w:p w:rsidR="00FC13B1" w:rsidRPr="001375B7" w:rsidRDefault="00FC13B1" w:rsidP="00067D24">
      <w:pPr>
        <w:pStyle w:val="ListParagraph"/>
        <w:numPr>
          <w:ilvl w:val="0"/>
          <w:numId w:val="26"/>
        </w:numPr>
        <w:ind w:left="357" w:hanging="357"/>
        <w:rPr>
          <w:sz w:val="20"/>
        </w:rPr>
      </w:pPr>
      <w:r w:rsidRPr="001375B7">
        <w:rPr>
          <w:i/>
          <w:sz w:val="20"/>
          <w:lang w:val="fr-CA"/>
        </w:rPr>
        <w:t xml:space="preserve">Charles Bordeleau, </w:t>
      </w:r>
      <w:r w:rsidR="000E6D46" w:rsidRPr="001375B7">
        <w:rPr>
          <w:i/>
          <w:sz w:val="20"/>
          <w:lang w:val="fr-CA"/>
        </w:rPr>
        <w:t>et al.</w:t>
      </w:r>
      <w:r w:rsidRPr="001375B7">
        <w:rPr>
          <w:i/>
          <w:sz w:val="20"/>
          <w:lang w:val="fr-CA"/>
        </w:rPr>
        <w:t xml:space="preserve"> v. Matthew Skof </w:t>
      </w:r>
      <w:r w:rsidRPr="001375B7">
        <w:rPr>
          <w:sz w:val="20"/>
          <w:lang w:val="fr-CA"/>
        </w:rPr>
        <w:t xml:space="preserve">(Ont.) </w:t>
      </w:r>
      <w:r w:rsidRPr="001375B7">
        <w:rPr>
          <w:sz w:val="20"/>
        </w:rPr>
        <w:t>(Civil) (By Leave) (</w:t>
      </w:r>
      <w:hyperlink r:id="rId17" w:history="1">
        <w:r w:rsidRPr="001375B7">
          <w:rPr>
            <w:rStyle w:val="Hyperlink"/>
            <w:sz w:val="20"/>
            <w:szCs w:val="20"/>
          </w:rPr>
          <w:t>3953</w:t>
        </w:r>
        <w:r w:rsidR="000E6D46" w:rsidRPr="001375B7">
          <w:rPr>
            <w:rStyle w:val="Hyperlink"/>
            <w:sz w:val="20"/>
            <w:szCs w:val="20"/>
          </w:rPr>
          <w:t>4</w:t>
        </w:r>
      </w:hyperlink>
      <w:r w:rsidRPr="001375B7">
        <w:rPr>
          <w:sz w:val="20"/>
        </w:rPr>
        <w:t>)</w:t>
      </w:r>
    </w:p>
    <w:p w:rsidR="00FC13B1" w:rsidRPr="001375B7" w:rsidRDefault="00FC13B1" w:rsidP="000E2E04">
      <w:pPr>
        <w:ind w:left="357" w:hanging="357"/>
        <w:contextualSpacing/>
        <w:rPr>
          <w:sz w:val="20"/>
        </w:rPr>
      </w:pPr>
    </w:p>
    <w:p w:rsidR="0057402C" w:rsidRPr="001375B7" w:rsidRDefault="00F04E23" w:rsidP="009B14F4">
      <w:pPr>
        <w:widowControl w:val="0"/>
        <w:jc w:val="both"/>
        <w:rPr>
          <w:sz w:val="20"/>
        </w:rPr>
      </w:pPr>
      <w:r>
        <w:rPr>
          <w:sz w:val="20"/>
        </w:rPr>
        <w:pict>
          <v:rect id="_x0000_i1026" style="width:2in;height:1pt" o:hrpct="0" o:hralign="center" o:hrstd="t" o:hrnoshade="t" o:hr="t" fillcolor="black [3213]" stroked="f"/>
        </w:pict>
      </w:r>
    </w:p>
    <w:p w:rsidR="00FC13B1" w:rsidRPr="001375B7"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en-CA"/>
              </w:rPr>
            </w:pPr>
            <w:r w:rsidRPr="001375B7">
              <w:rPr>
                <w:rStyle w:val="SCCFileNumberChar"/>
                <w:sz w:val="20"/>
                <w:szCs w:val="20"/>
              </w:rPr>
              <w:t>39411</w:t>
            </w:r>
          </w:p>
        </w:tc>
        <w:tc>
          <w:tcPr>
            <w:tcW w:w="4457" w:type="pct"/>
            <w:gridSpan w:val="3"/>
          </w:tcPr>
          <w:p w:rsidR="00D57104" w:rsidRPr="001375B7" w:rsidRDefault="00D57104" w:rsidP="00D57104">
            <w:pPr>
              <w:pStyle w:val="SCCLsocParty"/>
              <w:jc w:val="both"/>
              <w:rPr>
                <w:b/>
                <w:sz w:val="20"/>
                <w:szCs w:val="20"/>
                <w:lang w:val="en-CA"/>
              </w:rPr>
            </w:pPr>
            <w:r w:rsidRPr="001375B7">
              <w:rPr>
                <w:b/>
                <w:sz w:val="20"/>
                <w:szCs w:val="20"/>
                <w:lang w:val="en-CA"/>
              </w:rPr>
              <w:t>KPMG inc., in its capacity as liquidator of Dessau inc. under Superior Court order No. 500-11-056442-193 v. Ville de Lorraine</w:t>
            </w:r>
          </w:p>
          <w:p w:rsidR="00D57104" w:rsidRPr="001375B7" w:rsidRDefault="00D57104" w:rsidP="00D57104">
            <w:pPr>
              <w:pStyle w:val="SCCLsocOtherPartySeparator"/>
              <w:rPr>
                <w:sz w:val="20"/>
                <w:szCs w:val="20"/>
                <w:lang w:val="en-CA"/>
              </w:rPr>
            </w:pPr>
            <w:r w:rsidRPr="001375B7">
              <w:rPr>
                <w:sz w:val="20"/>
                <w:szCs w:val="20"/>
                <w:lang w:val="en-CA"/>
              </w:rPr>
              <w:t>- and -</w:t>
            </w:r>
          </w:p>
          <w:p w:rsidR="00D57104" w:rsidRPr="001375B7" w:rsidRDefault="00D57104" w:rsidP="00D57104">
            <w:pPr>
              <w:pStyle w:val="SCCLsocParty"/>
              <w:jc w:val="both"/>
              <w:rPr>
                <w:b/>
                <w:sz w:val="20"/>
                <w:szCs w:val="20"/>
                <w:lang w:val="en-CA"/>
              </w:rPr>
            </w:pPr>
            <w:r w:rsidRPr="001375B7">
              <w:rPr>
                <w:b/>
                <w:sz w:val="20"/>
                <w:szCs w:val="20"/>
                <w:lang w:val="en-CA"/>
              </w:rPr>
              <w:t>AXA Insurance Inc., Intact Insurance Company, Asphalte Desjardins inc., Attorney General of Quebec, Innovex Produits Techniques inc.</w:t>
            </w:r>
          </w:p>
          <w:p w:rsidR="00D57104" w:rsidRPr="001375B7" w:rsidRDefault="00D57104" w:rsidP="00D57104">
            <w:pPr>
              <w:jc w:val="both"/>
              <w:rPr>
                <w:sz w:val="20"/>
                <w:lang w:val="en-CA"/>
              </w:rPr>
            </w:pPr>
            <w:r w:rsidRPr="001375B7">
              <w:rPr>
                <w:sz w:val="20"/>
                <w:lang w:val="en-CA"/>
              </w:rPr>
              <w:lastRenderedPageBreak/>
              <w:t>(Que.) (Civil) (By Leave)</w:t>
            </w:r>
          </w:p>
        </w:tc>
      </w:tr>
      <w:tr w:rsidR="00D57104" w:rsidRPr="001375B7" w:rsidTr="00D57104">
        <w:tc>
          <w:tcPr>
            <w:tcW w:w="5000" w:type="pct"/>
            <w:gridSpan w:val="4"/>
          </w:tcPr>
          <w:p w:rsidR="00D57104" w:rsidRPr="001375B7" w:rsidRDefault="00D57104" w:rsidP="00D57104">
            <w:pPr>
              <w:jc w:val="both"/>
              <w:rPr>
                <w:sz w:val="20"/>
                <w:lang w:val="en-CA"/>
              </w:rPr>
            </w:pPr>
            <w:proofErr w:type="gramStart"/>
            <w:r w:rsidRPr="001375B7">
              <w:rPr>
                <w:sz w:val="20"/>
                <w:lang w:val="en-CA"/>
              </w:rPr>
              <w:lastRenderedPageBreak/>
              <w:t xml:space="preserve">Contracts — Construction law — Municipal law — Liability — Loss of work — Obligation to minimize injury — Obligation of good faith — In light of general principle of good faith, extent to which obligation to minimize injury requires client to consider alternatives in collaboration with other contracting parties before unilaterally abandoning construction of work that cannot be completed as initially designed — Whether evidence that work cannot be completed as designed is sufficient to give rise to presumption of total loss in favour of client, such that client can claim damages corresponding to entire price paid without having to show its lack of utility — Extent of trial courts’ latitude in exercising their discretion with respect to compliance with principles of proportionality and cooperation among parties — </w:t>
            </w:r>
            <w:r w:rsidRPr="001375B7">
              <w:rPr>
                <w:i/>
                <w:sz w:val="20"/>
                <w:lang w:val="en-CA"/>
              </w:rPr>
              <w:t>Civil Code of Québec</w:t>
            </w:r>
            <w:r w:rsidRPr="001375B7">
              <w:rPr>
                <w:sz w:val="20"/>
                <w:lang w:val="en-CA"/>
              </w:rPr>
              <w:t>, CQLR, c. CCQ</w:t>
            </w:r>
            <w:r w:rsidRPr="001375B7">
              <w:rPr>
                <w:sz w:val="20"/>
                <w:lang w:val="en-CA"/>
              </w:rPr>
              <w:noBreakHyphen/>
              <w:t>1991, art. </w:t>
            </w:r>
            <w:proofErr w:type="gramEnd"/>
            <w:r w:rsidRPr="001375B7">
              <w:rPr>
                <w:sz w:val="20"/>
                <w:lang w:val="en-CA"/>
              </w:rPr>
              <w:t>1479.</w:t>
            </w:r>
          </w:p>
        </w:tc>
      </w:tr>
      <w:tr w:rsidR="00D57104" w:rsidRPr="001375B7" w:rsidTr="00D57104">
        <w:tc>
          <w:tcPr>
            <w:tcW w:w="5000" w:type="pct"/>
            <w:gridSpan w:val="4"/>
          </w:tcPr>
          <w:p w:rsidR="00D57104" w:rsidRPr="001375B7" w:rsidRDefault="00D57104" w:rsidP="00D57104">
            <w:pPr>
              <w:jc w:val="both"/>
              <w:rPr>
                <w:sz w:val="20"/>
                <w:lang w:val="en-CA"/>
              </w:rPr>
            </w:pPr>
          </w:p>
          <w:p w:rsidR="00D57104" w:rsidRPr="001375B7" w:rsidRDefault="00D57104" w:rsidP="00D57104">
            <w:pPr>
              <w:jc w:val="both"/>
              <w:rPr>
                <w:sz w:val="20"/>
                <w:lang w:val="en-CA"/>
              </w:rPr>
            </w:pPr>
            <w:r w:rsidRPr="001375B7">
              <w:rPr>
                <w:sz w:val="20"/>
                <w:lang w:val="en-CA"/>
              </w:rPr>
              <w:t xml:space="preserve">The respondent decided to build a sound abatement wall in order to lessen the impact of motor vehicle traffic on its population. The </w:t>
            </w:r>
            <w:proofErr w:type="gramStart"/>
            <w:r w:rsidRPr="001375B7">
              <w:rPr>
                <w:sz w:val="20"/>
                <w:lang w:val="en-CA"/>
              </w:rPr>
              <w:t>applicant’s services were retained by the respondent to prepare the plans, draw up calls for tenders, carry out a pre</w:t>
            </w:r>
            <w:r w:rsidRPr="001375B7">
              <w:rPr>
                <w:sz w:val="20"/>
                <w:lang w:val="en-CA"/>
              </w:rPr>
              <w:noBreakHyphen/>
              <w:t>project geotechnical study and oversee the work</w:t>
            </w:r>
            <w:proofErr w:type="gramEnd"/>
            <w:r w:rsidRPr="001375B7">
              <w:rPr>
                <w:sz w:val="20"/>
                <w:lang w:val="en-CA"/>
              </w:rPr>
              <w:t xml:space="preserve">. Construction began in 2008 but </w:t>
            </w:r>
            <w:proofErr w:type="gramStart"/>
            <w:r w:rsidRPr="001375B7">
              <w:rPr>
                <w:sz w:val="20"/>
                <w:lang w:val="en-CA"/>
              </w:rPr>
              <w:t>was stopped</w:t>
            </w:r>
            <w:proofErr w:type="gramEnd"/>
            <w:r w:rsidRPr="001375B7">
              <w:rPr>
                <w:sz w:val="20"/>
                <w:lang w:val="en-CA"/>
              </w:rPr>
              <w:t xml:space="preserve"> in 2009 following the collapse of part of the wall due to the presence of soft clay in the soil</w:t>
            </w:r>
            <w:r w:rsidRPr="001375B7">
              <w:rPr>
                <w:color w:val="000000"/>
                <w:sz w:val="20"/>
                <w:lang w:val="en-CA"/>
              </w:rPr>
              <w:t xml:space="preserve">. </w:t>
            </w:r>
            <w:proofErr w:type="gramStart"/>
            <w:r w:rsidRPr="001375B7">
              <w:rPr>
                <w:color w:val="000000"/>
                <w:sz w:val="20"/>
                <w:lang w:val="en-CA"/>
              </w:rPr>
              <w:t>Proceedings were instituted by the various parties to the construction project</w:t>
            </w:r>
            <w:proofErr w:type="gramEnd"/>
            <w:r w:rsidRPr="001375B7">
              <w:rPr>
                <w:color w:val="000000"/>
                <w:sz w:val="20"/>
                <w:lang w:val="en-CA"/>
              </w:rPr>
              <w:t xml:space="preserve">. The Superior Court allowed in part the action brought by Asphalte Desjardins inc. against Ville de Lorraine (“town”) </w:t>
            </w:r>
            <w:proofErr w:type="gramStart"/>
            <w:r w:rsidRPr="001375B7">
              <w:rPr>
                <w:color w:val="000000"/>
                <w:sz w:val="20"/>
                <w:lang w:val="en-CA"/>
              </w:rPr>
              <w:t>and also</w:t>
            </w:r>
            <w:proofErr w:type="gramEnd"/>
            <w:r w:rsidRPr="001375B7">
              <w:rPr>
                <w:color w:val="000000"/>
                <w:sz w:val="20"/>
                <w:lang w:val="en-CA"/>
              </w:rPr>
              <w:t xml:space="preserve"> allowed in part the town’s action against Asphalte Desjardins inc. and Dessau inc. It dismissed the town’s action against AXA Insurance Inc. and Intact Insurance Company. A majority of the Court of Appeal dismissed the town’s appeal against Asphalte Desjardins inc., AXA Insurance Inc. and Intact Insurance Company, and allowed in part its appeal against Dessau inc.</w:t>
            </w:r>
          </w:p>
          <w:p w:rsidR="00D57104" w:rsidRPr="001375B7" w:rsidRDefault="00D57104" w:rsidP="00D57104">
            <w:pPr>
              <w:jc w:val="both"/>
              <w:rPr>
                <w:sz w:val="20"/>
                <w:lang w:val="en-CA"/>
              </w:rPr>
            </w:pPr>
          </w:p>
        </w:tc>
      </w:tr>
      <w:tr w:rsidR="00D57104" w:rsidRPr="001375B7" w:rsidTr="00D57104">
        <w:tc>
          <w:tcPr>
            <w:tcW w:w="2427" w:type="pct"/>
            <w:gridSpan w:val="2"/>
          </w:tcPr>
          <w:p w:rsidR="00D57104" w:rsidRPr="001375B7" w:rsidRDefault="00D57104" w:rsidP="00D57104">
            <w:pPr>
              <w:jc w:val="both"/>
              <w:rPr>
                <w:sz w:val="20"/>
                <w:lang w:val="en-CA"/>
              </w:rPr>
            </w:pPr>
            <w:r w:rsidRPr="001375B7">
              <w:rPr>
                <w:sz w:val="20"/>
                <w:lang w:val="en-CA"/>
              </w:rPr>
              <w:t>January 12, 2018</w:t>
            </w:r>
          </w:p>
          <w:p w:rsidR="00D57104" w:rsidRPr="001375B7" w:rsidRDefault="00D57104" w:rsidP="00D57104">
            <w:pPr>
              <w:jc w:val="both"/>
              <w:rPr>
                <w:sz w:val="20"/>
                <w:lang w:val="en-CA"/>
              </w:rPr>
            </w:pPr>
            <w:r w:rsidRPr="001375B7">
              <w:rPr>
                <w:sz w:val="20"/>
                <w:lang w:val="en-CA"/>
              </w:rPr>
              <w:t>Quebec Superior Court</w:t>
            </w:r>
          </w:p>
          <w:p w:rsidR="00D57104" w:rsidRPr="001375B7" w:rsidRDefault="00D57104" w:rsidP="00D57104">
            <w:pPr>
              <w:jc w:val="both"/>
              <w:rPr>
                <w:sz w:val="20"/>
                <w:lang w:val="en-CA"/>
              </w:rPr>
            </w:pPr>
            <w:r w:rsidRPr="001375B7">
              <w:rPr>
                <w:sz w:val="20"/>
                <w:lang w:val="en-CA"/>
              </w:rPr>
              <w:t>(Turcotte J.)</w:t>
            </w:r>
          </w:p>
          <w:p w:rsidR="00D57104" w:rsidRPr="001375B7" w:rsidRDefault="00D57104" w:rsidP="00D57104">
            <w:pPr>
              <w:jc w:val="both"/>
              <w:rPr>
                <w:sz w:val="20"/>
                <w:lang w:val="en-CA"/>
              </w:rPr>
            </w:pPr>
            <w:r w:rsidRPr="001375B7">
              <w:rPr>
                <w:sz w:val="20"/>
                <w:lang w:val="en-CA"/>
              </w:rPr>
              <w:t>700</w:t>
            </w:r>
            <w:r w:rsidRPr="001375B7">
              <w:rPr>
                <w:sz w:val="20"/>
                <w:lang w:val="en-CA"/>
              </w:rPr>
              <w:noBreakHyphen/>
              <w:t>17</w:t>
            </w:r>
            <w:r w:rsidRPr="001375B7">
              <w:rPr>
                <w:sz w:val="20"/>
                <w:lang w:val="en-CA"/>
              </w:rPr>
              <w:noBreakHyphen/>
              <w:t>007100</w:t>
            </w:r>
            <w:r w:rsidRPr="001375B7">
              <w:rPr>
                <w:sz w:val="20"/>
                <w:lang w:val="en-CA"/>
              </w:rPr>
              <w:noBreakHyphen/>
              <w:t>109; 700</w:t>
            </w:r>
            <w:r w:rsidRPr="001375B7">
              <w:rPr>
                <w:sz w:val="20"/>
                <w:lang w:val="en-CA"/>
              </w:rPr>
              <w:noBreakHyphen/>
              <w:t>17</w:t>
            </w:r>
            <w:r w:rsidRPr="001375B7">
              <w:rPr>
                <w:sz w:val="20"/>
                <w:lang w:val="en-CA"/>
              </w:rPr>
              <w:noBreakHyphen/>
              <w:t>008286</w:t>
            </w:r>
            <w:r w:rsidRPr="001375B7">
              <w:rPr>
                <w:sz w:val="20"/>
                <w:lang w:val="en-CA"/>
              </w:rPr>
              <w:noBreakHyphen/>
              <w:t>113</w:t>
            </w:r>
          </w:p>
          <w:p w:rsidR="00D57104" w:rsidRPr="001375B7" w:rsidRDefault="00F04E23" w:rsidP="00D57104">
            <w:pPr>
              <w:jc w:val="both"/>
              <w:rPr>
                <w:sz w:val="20"/>
                <w:lang w:val="en-CA"/>
              </w:rPr>
            </w:pPr>
            <w:hyperlink r:id="rId18" w:history="1">
              <w:r w:rsidR="00D57104" w:rsidRPr="001375B7">
                <w:rPr>
                  <w:rStyle w:val="Hyperlink"/>
                  <w:sz w:val="20"/>
                  <w:lang w:val="en-CA"/>
                </w:rPr>
                <w:t>2018 QCCS 60</w:t>
              </w:r>
            </w:hyperlink>
          </w:p>
          <w:p w:rsidR="00D57104" w:rsidRPr="001375B7" w:rsidRDefault="00D57104" w:rsidP="00D57104">
            <w:pPr>
              <w:jc w:val="both"/>
              <w:rPr>
                <w:sz w:val="20"/>
                <w:lang w:val="en-CA"/>
              </w:rPr>
            </w:pPr>
          </w:p>
        </w:tc>
        <w:tc>
          <w:tcPr>
            <w:tcW w:w="243" w:type="pct"/>
          </w:tcPr>
          <w:p w:rsidR="00D57104" w:rsidRPr="001375B7" w:rsidRDefault="00D57104" w:rsidP="00D57104">
            <w:pPr>
              <w:jc w:val="both"/>
              <w:rPr>
                <w:sz w:val="20"/>
                <w:lang w:val="en-CA"/>
              </w:rPr>
            </w:pPr>
          </w:p>
        </w:tc>
        <w:tc>
          <w:tcPr>
            <w:tcW w:w="2330" w:type="pct"/>
          </w:tcPr>
          <w:p w:rsidR="00D57104" w:rsidRPr="001375B7" w:rsidRDefault="00D57104" w:rsidP="00D57104">
            <w:pPr>
              <w:jc w:val="both"/>
              <w:rPr>
                <w:sz w:val="20"/>
                <w:lang w:val="en-CA"/>
              </w:rPr>
            </w:pPr>
            <w:r w:rsidRPr="001375B7">
              <w:rPr>
                <w:sz w:val="20"/>
                <w:lang w:val="en-CA"/>
              </w:rPr>
              <w:t>Action of Asphalte Desjardins inc. against Ville de Lorraine allowed in part</w:t>
            </w:r>
          </w:p>
          <w:p w:rsidR="00D57104" w:rsidRPr="001375B7" w:rsidRDefault="00D57104" w:rsidP="00D57104">
            <w:pPr>
              <w:jc w:val="both"/>
              <w:rPr>
                <w:sz w:val="20"/>
                <w:lang w:val="en-CA"/>
              </w:rPr>
            </w:pPr>
          </w:p>
          <w:p w:rsidR="00D57104" w:rsidRPr="001375B7" w:rsidRDefault="00D57104" w:rsidP="00D57104">
            <w:pPr>
              <w:jc w:val="both"/>
              <w:rPr>
                <w:sz w:val="20"/>
                <w:lang w:val="en-CA"/>
              </w:rPr>
            </w:pPr>
            <w:r w:rsidRPr="001375B7">
              <w:rPr>
                <w:sz w:val="20"/>
                <w:lang w:val="en-CA"/>
              </w:rPr>
              <w:t xml:space="preserve">Action of Ville de Lorraine against Asphalte Desjardins inc. and Dessau inc. allowed in part; action of Ville de Lorraine against </w:t>
            </w:r>
            <w:r w:rsidRPr="001375B7">
              <w:rPr>
                <w:color w:val="000000"/>
                <w:sz w:val="20"/>
                <w:lang w:val="en-CA"/>
              </w:rPr>
              <w:t>AXA Insurance Inc.</w:t>
            </w:r>
            <w:r w:rsidRPr="001375B7">
              <w:rPr>
                <w:sz w:val="20"/>
                <w:lang w:val="en-CA"/>
              </w:rPr>
              <w:t xml:space="preserve"> and Intact Insurance Company dismissed</w:t>
            </w:r>
          </w:p>
          <w:p w:rsidR="00D57104" w:rsidRPr="001375B7" w:rsidRDefault="00D57104" w:rsidP="00D57104">
            <w:pPr>
              <w:jc w:val="both"/>
              <w:rPr>
                <w:sz w:val="20"/>
                <w:lang w:val="en-CA"/>
              </w:rPr>
            </w:pPr>
          </w:p>
        </w:tc>
      </w:tr>
      <w:tr w:rsidR="00D57104" w:rsidRPr="001375B7" w:rsidTr="00D57104">
        <w:tc>
          <w:tcPr>
            <w:tcW w:w="2427" w:type="pct"/>
            <w:gridSpan w:val="2"/>
          </w:tcPr>
          <w:p w:rsidR="00D57104" w:rsidRPr="001375B7" w:rsidRDefault="00D57104" w:rsidP="00D57104">
            <w:pPr>
              <w:jc w:val="both"/>
              <w:rPr>
                <w:sz w:val="20"/>
                <w:lang w:val="en-CA"/>
              </w:rPr>
            </w:pPr>
            <w:r w:rsidRPr="001375B7">
              <w:rPr>
                <w:sz w:val="20"/>
                <w:lang w:val="en-CA"/>
              </w:rPr>
              <w:t>August 31, 2020</w:t>
            </w:r>
          </w:p>
          <w:p w:rsidR="00D57104" w:rsidRPr="001375B7" w:rsidRDefault="00D57104" w:rsidP="00D57104">
            <w:pPr>
              <w:jc w:val="both"/>
              <w:rPr>
                <w:sz w:val="20"/>
                <w:lang w:val="en-CA"/>
              </w:rPr>
            </w:pPr>
            <w:r w:rsidRPr="001375B7">
              <w:rPr>
                <w:sz w:val="20"/>
                <w:lang w:val="en-CA"/>
              </w:rPr>
              <w:t>Quebec Court of Appeal (Montréal)</w:t>
            </w:r>
          </w:p>
          <w:p w:rsidR="00D57104" w:rsidRPr="001375B7" w:rsidRDefault="00D57104" w:rsidP="00D57104">
            <w:pPr>
              <w:jc w:val="both"/>
              <w:rPr>
                <w:sz w:val="20"/>
                <w:lang w:val="en-CA"/>
              </w:rPr>
            </w:pPr>
            <w:r w:rsidRPr="001375B7">
              <w:rPr>
                <w:sz w:val="20"/>
                <w:lang w:val="en-CA"/>
              </w:rPr>
              <w:t>(Bich, Marcotte [dissenting in part] and Hogue JJ.A.)</w:t>
            </w:r>
          </w:p>
          <w:p w:rsidR="00D57104" w:rsidRPr="001375B7" w:rsidRDefault="00D57104" w:rsidP="00D57104">
            <w:pPr>
              <w:jc w:val="both"/>
              <w:rPr>
                <w:sz w:val="20"/>
                <w:lang w:val="en-CA"/>
              </w:rPr>
            </w:pPr>
            <w:r w:rsidRPr="001375B7">
              <w:rPr>
                <w:sz w:val="20"/>
                <w:lang w:val="en-CA"/>
              </w:rPr>
              <w:t>500</w:t>
            </w:r>
            <w:r w:rsidRPr="001375B7">
              <w:rPr>
                <w:sz w:val="20"/>
                <w:lang w:val="en-CA"/>
              </w:rPr>
              <w:noBreakHyphen/>
              <w:t>09</w:t>
            </w:r>
            <w:r w:rsidRPr="001375B7">
              <w:rPr>
                <w:sz w:val="20"/>
                <w:lang w:val="en-CA"/>
              </w:rPr>
              <w:noBreakHyphen/>
              <w:t>027327</w:t>
            </w:r>
            <w:r w:rsidRPr="001375B7">
              <w:rPr>
                <w:sz w:val="20"/>
                <w:lang w:val="en-CA"/>
              </w:rPr>
              <w:noBreakHyphen/>
              <w:t xml:space="preserve">188 </w:t>
            </w:r>
          </w:p>
          <w:p w:rsidR="00D57104" w:rsidRPr="001375B7" w:rsidRDefault="00F04E23" w:rsidP="00D57104">
            <w:pPr>
              <w:jc w:val="both"/>
              <w:rPr>
                <w:sz w:val="20"/>
                <w:lang w:val="en-CA"/>
              </w:rPr>
            </w:pPr>
            <w:hyperlink r:id="rId19" w:history="1">
              <w:r w:rsidR="00D57104" w:rsidRPr="001375B7">
                <w:rPr>
                  <w:rStyle w:val="Hyperlink"/>
                  <w:sz w:val="20"/>
                  <w:lang w:val="en-CA"/>
                </w:rPr>
                <w:t>2020 QCCA 1086</w:t>
              </w:r>
            </w:hyperlink>
          </w:p>
          <w:p w:rsidR="00D57104" w:rsidRPr="001375B7" w:rsidRDefault="00D57104" w:rsidP="00D57104">
            <w:pPr>
              <w:jc w:val="both"/>
              <w:rPr>
                <w:sz w:val="20"/>
                <w:lang w:val="en-CA"/>
              </w:rPr>
            </w:pPr>
          </w:p>
        </w:tc>
        <w:tc>
          <w:tcPr>
            <w:tcW w:w="243" w:type="pct"/>
          </w:tcPr>
          <w:p w:rsidR="00D57104" w:rsidRPr="001375B7" w:rsidRDefault="00D57104" w:rsidP="00D57104">
            <w:pPr>
              <w:jc w:val="both"/>
              <w:rPr>
                <w:sz w:val="20"/>
                <w:lang w:val="en-CA"/>
              </w:rPr>
            </w:pPr>
          </w:p>
        </w:tc>
        <w:tc>
          <w:tcPr>
            <w:tcW w:w="2330" w:type="pct"/>
          </w:tcPr>
          <w:p w:rsidR="00D57104" w:rsidRPr="001375B7" w:rsidRDefault="00D57104" w:rsidP="00D57104">
            <w:pPr>
              <w:jc w:val="both"/>
              <w:rPr>
                <w:sz w:val="20"/>
                <w:lang w:val="en-CA"/>
              </w:rPr>
            </w:pPr>
            <w:r w:rsidRPr="001375B7">
              <w:rPr>
                <w:sz w:val="20"/>
                <w:lang w:val="en-CA"/>
              </w:rPr>
              <w:t xml:space="preserve">Appeal of Ville de Lorraine against Asphalte Desjardins inc., </w:t>
            </w:r>
            <w:r w:rsidRPr="001375B7">
              <w:rPr>
                <w:color w:val="000000"/>
                <w:sz w:val="20"/>
                <w:lang w:val="en-CA"/>
              </w:rPr>
              <w:t>AXA Insurance Inc.</w:t>
            </w:r>
            <w:r w:rsidRPr="001375B7">
              <w:rPr>
                <w:sz w:val="20"/>
                <w:lang w:val="en-CA"/>
              </w:rPr>
              <w:t xml:space="preserve"> and Intact Insurance Company dismissed; appeal of Ville de Lorraine against Dessau inc. allowed in part</w:t>
            </w:r>
          </w:p>
          <w:p w:rsidR="00D57104" w:rsidRPr="001375B7" w:rsidRDefault="00D57104" w:rsidP="00D57104">
            <w:pPr>
              <w:jc w:val="both"/>
              <w:rPr>
                <w:sz w:val="20"/>
                <w:lang w:val="en-CA"/>
              </w:rPr>
            </w:pPr>
          </w:p>
        </w:tc>
      </w:tr>
      <w:tr w:rsidR="00D57104" w:rsidRPr="001375B7" w:rsidTr="00D57104">
        <w:tc>
          <w:tcPr>
            <w:tcW w:w="2427" w:type="pct"/>
            <w:gridSpan w:val="2"/>
          </w:tcPr>
          <w:p w:rsidR="00D57104" w:rsidRPr="001375B7" w:rsidRDefault="00D57104" w:rsidP="00D57104">
            <w:pPr>
              <w:jc w:val="both"/>
              <w:rPr>
                <w:sz w:val="20"/>
                <w:lang w:val="en-CA"/>
              </w:rPr>
            </w:pPr>
            <w:r w:rsidRPr="001375B7">
              <w:rPr>
                <w:sz w:val="20"/>
                <w:lang w:val="en-CA"/>
              </w:rPr>
              <w:t>November 13, 2020</w:t>
            </w:r>
          </w:p>
          <w:p w:rsidR="00D57104" w:rsidRPr="001375B7" w:rsidRDefault="00D57104" w:rsidP="00D57104">
            <w:pPr>
              <w:jc w:val="both"/>
              <w:rPr>
                <w:sz w:val="20"/>
                <w:lang w:val="en-CA"/>
              </w:rPr>
            </w:pPr>
            <w:r w:rsidRPr="001375B7">
              <w:rPr>
                <w:sz w:val="20"/>
                <w:lang w:val="en-CA"/>
              </w:rPr>
              <w:t>Supreme Court of Canada</w:t>
            </w:r>
          </w:p>
        </w:tc>
        <w:tc>
          <w:tcPr>
            <w:tcW w:w="243" w:type="pct"/>
          </w:tcPr>
          <w:p w:rsidR="00D57104" w:rsidRPr="001375B7" w:rsidRDefault="00D57104" w:rsidP="00D57104">
            <w:pPr>
              <w:jc w:val="both"/>
              <w:rPr>
                <w:sz w:val="20"/>
                <w:lang w:val="en-CA"/>
              </w:rPr>
            </w:pPr>
          </w:p>
        </w:tc>
        <w:tc>
          <w:tcPr>
            <w:tcW w:w="2330" w:type="pct"/>
          </w:tcPr>
          <w:p w:rsidR="00D57104" w:rsidRPr="001375B7" w:rsidRDefault="00D57104" w:rsidP="00D57104">
            <w:pPr>
              <w:jc w:val="both"/>
              <w:rPr>
                <w:sz w:val="20"/>
                <w:lang w:val="en-CA"/>
              </w:rPr>
            </w:pPr>
            <w:r w:rsidRPr="001375B7">
              <w:rPr>
                <w:sz w:val="20"/>
                <w:lang w:val="en-CA"/>
              </w:rPr>
              <w:t>Application for leave to appeal filed</w:t>
            </w:r>
          </w:p>
        </w:tc>
      </w:tr>
    </w:tbl>
    <w:p w:rsidR="00D57104" w:rsidRPr="001375B7" w:rsidRDefault="00D57104" w:rsidP="00D57104">
      <w:pPr>
        <w:jc w:val="both"/>
        <w:rPr>
          <w:sz w:val="20"/>
          <w:lang w:val="en-CA"/>
        </w:rPr>
      </w:pPr>
    </w:p>
    <w:p w:rsidR="00D57104" w:rsidRPr="001375B7" w:rsidRDefault="00F04E23" w:rsidP="00D57104">
      <w:pPr>
        <w:jc w:val="both"/>
        <w:rPr>
          <w:sz w:val="20"/>
          <w:lang w:val="en-CA"/>
        </w:rPr>
      </w:pPr>
      <w:r>
        <w:rPr>
          <w:sz w:val="20"/>
        </w:rPr>
        <w:pict>
          <v:rect id="_x0000_i1027" style="width:2in;height:1pt" o:hrpct="0" o:hralign="center" o:hrstd="t" o:hrnoshade="t" o:hr="t" fillcolor="black [3213]" stroked="f"/>
        </w:pict>
      </w:r>
    </w:p>
    <w:p w:rsidR="00D57104" w:rsidRPr="001375B7" w:rsidRDefault="00D57104" w:rsidP="00D5710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39411</w:t>
            </w:r>
          </w:p>
        </w:tc>
        <w:tc>
          <w:tcPr>
            <w:tcW w:w="4457" w:type="pct"/>
            <w:gridSpan w:val="3"/>
          </w:tcPr>
          <w:p w:rsidR="00D57104" w:rsidRPr="001375B7" w:rsidRDefault="00D57104" w:rsidP="00D57104">
            <w:pPr>
              <w:pStyle w:val="SCCLsocParty"/>
              <w:jc w:val="both"/>
              <w:rPr>
                <w:b/>
                <w:sz w:val="20"/>
                <w:szCs w:val="20"/>
              </w:rPr>
            </w:pPr>
            <w:r w:rsidRPr="001375B7">
              <w:rPr>
                <w:b/>
                <w:sz w:val="20"/>
                <w:szCs w:val="20"/>
              </w:rPr>
              <w:t>KPMG Inc., en sa qualité de liquidateur de Dessau inc. suivant l'Ordonnance de la Cour supérieure portant le numéro 500-11-056442-193 c. Ville de Lorraine</w:t>
            </w:r>
          </w:p>
          <w:p w:rsidR="00D57104" w:rsidRPr="001375B7" w:rsidRDefault="00D57104" w:rsidP="00D57104">
            <w:pPr>
              <w:pStyle w:val="SCCLsocOtherPartySeparator"/>
              <w:rPr>
                <w:sz w:val="20"/>
                <w:szCs w:val="20"/>
              </w:rPr>
            </w:pPr>
            <w:r w:rsidRPr="001375B7">
              <w:rPr>
                <w:sz w:val="20"/>
                <w:szCs w:val="20"/>
              </w:rPr>
              <w:t>- et -</w:t>
            </w:r>
          </w:p>
          <w:p w:rsidR="00D57104" w:rsidRPr="001375B7" w:rsidRDefault="00D57104" w:rsidP="00D57104">
            <w:pPr>
              <w:pStyle w:val="SCCLsocParty"/>
              <w:jc w:val="both"/>
              <w:rPr>
                <w:b/>
                <w:sz w:val="20"/>
                <w:szCs w:val="20"/>
              </w:rPr>
            </w:pPr>
            <w:r w:rsidRPr="001375B7">
              <w:rPr>
                <w:b/>
                <w:sz w:val="20"/>
                <w:szCs w:val="20"/>
              </w:rPr>
              <w:t>Axa Assurances Inc., Intact Compagnie d'Assurance, Asphalte Desjardins Inc., Procureur général du Québec, Innovex Produits Techniques Inc.</w:t>
            </w:r>
          </w:p>
          <w:p w:rsidR="00D57104" w:rsidRPr="001375B7" w:rsidRDefault="00D57104" w:rsidP="00D57104">
            <w:pPr>
              <w:jc w:val="both"/>
              <w:rPr>
                <w:sz w:val="20"/>
              </w:rPr>
            </w:pPr>
            <w:r w:rsidRPr="001375B7">
              <w:rPr>
                <w:sz w:val="20"/>
              </w:rPr>
              <w:t>(Qc) (Civile) (Autorisation)</w:t>
            </w: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 xml:space="preserve">Contrats — Droit de la construction — Droit municipal — Responsabilité — Perte de l’ouvrage — Obligation de minimisation du préjudice — Obligation de bonne foi — </w:t>
            </w:r>
            <w:r w:rsidRPr="001375B7">
              <w:rPr>
                <w:sz w:val="20"/>
                <w:lang w:val="x-none"/>
              </w:rPr>
              <w:t xml:space="preserve">À la lumière du </w:t>
            </w:r>
            <w:proofErr w:type="spellStart"/>
            <w:r w:rsidRPr="001375B7">
              <w:rPr>
                <w:sz w:val="20"/>
                <w:lang w:val="x-none"/>
              </w:rPr>
              <w:t>principe</w:t>
            </w:r>
            <w:proofErr w:type="spellEnd"/>
            <w:r w:rsidRPr="001375B7">
              <w:rPr>
                <w:sz w:val="20"/>
                <w:lang w:val="x-none"/>
              </w:rPr>
              <w:t xml:space="preserve"> général de la bonne </w:t>
            </w:r>
            <w:proofErr w:type="spellStart"/>
            <w:r w:rsidRPr="001375B7">
              <w:rPr>
                <w:sz w:val="20"/>
                <w:lang w:val="x-none"/>
              </w:rPr>
              <w:t>foi</w:t>
            </w:r>
            <w:proofErr w:type="spellEnd"/>
            <w:r w:rsidRPr="001375B7">
              <w:rPr>
                <w:sz w:val="20"/>
                <w:lang w:val="x-none"/>
              </w:rPr>
              <w:t xml:space="preserve">, dans </w:t>
            </w:r>
            <w:proofErr w:type="spellStart"/>
            <w:r w:rsidRPr="001375B7">
              <w:rPr>
                <w:sz w:val="20"/>
                <w:lang w:val="x-none"/>
              </w:rPr>
              <w:t>quelle</w:t>
            </w:r>
            <w:proofErr w:type="spellEnd"/>
            <w:r w:rsidRPr="001375B7">
              <w:rPr>
                <w:sz w:val="20"/>
                <w:lang w:val="x-none"/>
              </w:rPr>
              <w:t xml:space="preserve"> </w:t>
            </w:r>
            <w:proofErr w:type="spellStart"/>
            <w:r w:rsidRPr="001375B7">
              <w:rPr>
                <w:sz w:val="20"/>
                <w:lang w:val="x-none"/>
              </w:rPr>
              <w:t>mesure</w:t>
            </w:r>
            <w:proofErr w:type="spellEnd"/>
            <w:r w:rsidRPr="001375B7">
              <w:rPr>
                <w:sz w:val="20"/>
                <w:lang w:val="x-none"/>
              </w:rPr>
              <w:t xml:space="preserve"> </w:t>
            </w:r>
            <w:proofErr w:type="spellStart"/>
            <w:r w:rsidRPr="001375B7">
              <w:rPr>
                <w:sz w:val="20"/>
                <w:lang w:val="x-none"/>
              </w:rPr>
              <w:t>l’obligation</w:t>
            </w:r>
            <w:proofErr w:type="spellEnd"/>
            <w:r w:rsidRPr="001375B7">
              <w:rPr>
                <w:sz w:val="20"/>
                <w:lang w:val="fr-CA"/>
              </w:rPr>
              <w:t xml:space="preserve"> </w:t>
            </w:r>
            <w:r w:rsidRPr="001375B7">
              <w:rPr>
                <w:sz w:val="20"/>
                <w:lang w:val="x-none"/>
              </w:rPr>
              <w:t xml:space="preserve">de </w:t>
            </w:r>
            <w:proofErr w:type="spellStart"/>
            <w:r w:rsidRPr="001375B7">
              <w:rPr>
                <w:sz w:val="20"/>
                <w:lang w:val="x-none"/>
              </w:rPr>
              <w:t>minimiser</w:t>
            </w:r>
            <w:proofErr w:type="spellEnd"/>
            <w:r w:rsidRPr="001375B7">
              <w:rPr>
                <w:sz w:val="20"/>
                <w:lang w:val="x-none"/>
              </w:rPr>
              <w:t xml:space="preserve"> le préjudice </w:t>
            </w:r>
            <w:proofErr w:type="spellStart"/>
            <w:r w:rsidRPr="001375B7">
              <w:rPr>
                <w:sz w:val="20"/>
                <w:lang w:val="x-none"/>
              </w:rPr>
              <w:t>requiert</w:t>
            </w:r>
            <w:proofErr w:type="spellEnd"/>
            <w:r w:rsidRPr="001375B7">
              <w:rPr>
                <w:sz w:val="20"/>
                <w:lang w:val="x-none"/>
              </w:rPr>
              <w:noBreakHyphen/>
              <w:t xml:space="preserve">elle du </w:t>
            </w:r>
            <w:proofErr w:type="spellStart"/>
            <w:r w:rsidRPr="001375B7">
              <w:rPr>
                <w:sz w:val="20"/>
                <w:lang w:val="x-none"/>
              </w:rPr>
              <w:t>donneur</w:t>
            </w:r>
            <w:proofErr w:type="spellEnd"/>
            <w:r w:rsidRPr="001375B7">
              <w:rPr>
                <w:sz w:val="20"/>
                <w:lang w:val="x-none"/>
              </w:rPr>
              <w:t xml:space="preserve"> </w:t>
            </w:r>
            <w:proofErr w:type="spellStart"/>
            <w:r w:rsidRPr="001375B7">
              <w:rPr>
                <w:sz w:val="20"/>
                <w:lang w:val="x-none"/>
              </w:rPr>
              <w:t>d’ouvrage</w:t>
            </w:r>
            <w:proofErr w:type="spellEnd"/>
            <w:r w:rsidRPr="001375B7">
              <w:rPr>
                <w:sz w:val="20"/>
                <w:lang w:val="x-none"/>
              </w:rPr>
              <w:t xml:space="preserve"> </w:t>
            </w:r>
            <w:proofErr w:type="spellStart"/>
            <w:r w:rsidRPr="001375B7">
              <w:rPr>
                <w:sz w:val="20"/>
                <w:lang w:val="x-none"/>
              </w:rPr>
              <w:t>qu’il</w:t>
            </w:r>
            <w:proofErr w:type="spellEnd"/>
            <w:r w:rsidRPr="001375B7">
              <w:rPr>
                <w:sz w:val="20"/>
                <w:lang w:val="x-none"/>
              </w:rPr>
              <w:t xml:space="preserve"> </w:t>
            </w:r>
            <w:proofErr w:type="spellStart"/>
            <w:r w:rsidRPr="001375B7">
              <w:rPr>
                <w:sz w:val="20"/>
                <w:lang w:val="x-none"/>
              </w:rPr>
              <w:t>considère</w:t>
            </w:r>
            <w:proofErr w:type="spellEnd"/>
            <w:r w:rsidRPr="001375B7">
              <w:rPr>
                <w:sz w:val="20"/>
                <w:lang w:val="x-none"/>
              </w:rPr>
              <w:t xml:space="preserve"> les</w:t>
            </w:r>
            <w:r w:rsidRPr="001375B7">
              <w:rPr>
                <w:sz w:val="20"/>
                <w:lang w:val="fr-CA"/>
              </w:rPr>
              <w:t xml:space="preserve"> </w:t>
            </w:r>
            <w:r w:rsidRPr="001375B7">
              <w:rPr>
                <w:sz w:val="20"/>
                <w:lang w:val="x-none"/>
              </w:rPr>
              <w:t xml:space="preserve">solutions de </w:t>
            </w:r>
            <w:proofErr w:type="spellStart"/>
            <w:r w:rsidRPr="001375B7">
              <w:rPr>
                <w:sz w:val="20"/>
                <w:lang w:val="x-none"/>
              </w:rPr>
              <w:t>remplacement</w:t>
            </w:r>
            <w:proofErr w:type="spellEnd"/>
            <w:r w:rsidRPr="001375B7">
              <w:rPr>
                <w:sz w:val="20"/>
                <w:lang w:val="x-none"/>
              </w:rPr>
              <w:t xml:space="preserve"> en collaboration avec ses </w:t>
            </w:r>
            <w:proofErr w:type="spellStart"/>
            <w:r w:rsidRPr="001375B7">
              <w:rPr>
                <w:sz w:val="20"/>
                <w:lang w:val="x-none"/>
              </w:rPr>
              <w:t>cocontractants</w:t>
            </w:r>
            <w:proofErr w:type="spellEnd"/>
            <w:r w:rsidRPr="001375B7">
              <w:rPr>
                <w:sz w:val="20"/>
                <w:lang w:val="x-none"/>
              </w:rPr>
              <w:t xml:space="preserve"> </w:t>
            </w:r>
            <w:proofErr w:type="spellStart"/>
            <w:r w:rsidRPr="001375B7">
              <w:rPr>
                <w:sz w:val="20"/>
                <w:lang w:val="x-none"/>
              </w:rPr>
              <w:t>avant</w:t>
            </w:r>
            <w:proofErr w:type="spellEnd"/>
            <w:r w:rsidRPr="001375B7">
              <w:rPr>
                <w:sz w:val="20"/>
                <w:lang w:val="fr-CA"/>
              </w:rPr>
              <w:t xml:space="preserve"> </w:t>
            </w:r>
            <w:proofErr w:type="spellStart"/>
            <w:r w:rsidRPr="001375B7">
              <w:rPr>
                <w:sz w:val="20"/>
                <w:lang w:val="x-none"/>
              </w:rPr>
              <w:t>d’abandonner</w:t>
            </w:r>
            <w:proofErr w:type="spellEnd"/>
            <w:r w:rsidRPr="001375B7">
              <w:rPr>
                <w:sz w:val="20"/>
                <w:lang w:val="x-none"/>
              </w:rPr>
              <w:t xml:space="preserve"> </w:t>
            </w:r>
            <w:proofErr w:type="spellStart"/>
            <w:r w:rsidRPr="001375B7">
              <w:rPr>
                <w:sz w:val="20"/>
                <w:lang w:val="x-none"/>
              </w:rPr>
              <w:t>unilatéralement</w:t>
            </w:r>
            <w:proofErr w:type="spellEnd"/>
            <w:r w:rsidRPr="001375B7">
              <w:rPr>
                <w:sz w:val="20"/>
                <w:lang w:val="x-none"/>
              </w:rPr>
              <w:t xml:space="preserve"> la construction d’un </w:t>
            </w:r>
            <w:proofErr w:type="spellStart"/>
            <w:r w:rsidRPr="001375B7">
              <w:rPr>
                <w:sz w:val="20"/>
                <w:lang w:val="x-none"/>
              </w:rPr>
              <w:t>ouvrage</w:t>
            </w:r>
            <w:proofErr w:type="spellEnd"/>
            <w:r w:rsidRPr="001375B7">
              <w:rPr>
                <w:sz w:val="20"/>
                <w:lang w:val="x-none"/>
              </w:rPr>
              <w:t xml:space="preserve"> qui ne </w:t>
            </w:r>
            <w:proofErr w:type="spellStart"/>
            <w:r w:rsidRPr="001375B7">
              <w:rPr>
                <w:sz w:val="20"/>
                <w:lang w:val="x-none"/>
              </w:rPr>
              <w:t>peut</w:t>
            </w:r>
            <w:proofErr w:type="spellEnd"/>
            <w:r w:rsidRPr="001375B7">
              <w:rPr>
                <w:sz w:val="20"/>
                <w:lang w:val="x-none"/>
              </w:rPr>
              <w:t xml:space="preserve"> être</w:t>
            </w:r>
            <w:r w:rsidRPr="001375B7">
              <w:rPr>
                <w:sz w:val="20"/>
                <w:lang w:val="fr-CA"/>
              </w:rPr>
              <w:t xml:space="preserve"> </w:t>
            </w:r>
            <w:proofErr w:type="spellStart"/>
            <w:r w:rsidRPr="001375B7">
              <w:rPr>
                <w:sz w:val="20"/>
                <w:lang w:val="x-none"/>
              </w:rPr>
              <w:t>complété</w:t>
            </w:r>
            <w:proofErr w:type="spellEnd"/>
            <w:r w:rsidRPr="001375B7">
              <w:rPr>
                <w:sz w:val="20"/>
                <w:lang w:val="x-none"/>
              </w:rPr>
              <w:t xml:space="preserve"> </w:t>
            </w:r>
            <w:proofErr w:type="spellStart"/>
            <w:r w:rsidRPr="001375B7">
              <w:rPr>
                <w:sz w:val="20"/>
                <w:lang w:val="x-none"/>
              </w:rPr>
              <w:t>tel</w:t>
            </w:r>
            <w:proofErr w:type="spellEnd"/>
            <w:r w:rsidRPr="001375B7">
              <w:rPr>
                <w:sz w:val="20"/>
                <w:lang w:val="x-none"/>
              </w:rPr>
              <w:t xml:space="preserve"> </w:t>
            </w:r>
            <w:proofErr w:type="spellStart"/>
            <w:r w:rsidRPr="001375B7">
              <w:rPr>
                <w:sz w:val="20"/>
                <w:lang w:val="x-none"/>
              </w:rPr>
              <w:t>qu’initialement</w:t>
            </w:r>
            <w:proofErr w:type="spellEnd"/>
            <w:r w:rsidRPr="001375B7">
              <w:rPr>
                <w:sz w:val="20"/>
                <w:lang w:val="x-none"/>
              </w:rPr>
              <w:t xml:space="preserve"> </w:t>
            </w:r>
            <w:proofErr w:type="spellStart"/>
            <w:r w:rsidRPr="001375B7">
              <w:rPr>
                <w:sz w:val="20"/>
                <w:lang w:val="x-none"/>
              </w:rPr>
              <w:t>conçu</w:t>
            </w:r>
            <w:proofErr w:type="spellEnd"/>
            <w:r w:rsidRPr="001375B7">
              <w:rPr>
                <w:sz w:val="20"/>
                <w:lang w:val="x-none"/>
              </w:rPr>
              <w:t>?</w:t>
            </w:r>
            <w:r w:rsidRPr="001375B7">
              <w:rPr>
                <w:sz w:val="20"/>
                <w:lang w:val="fr-CA"/>
              </w:rPr>
              <w:t xml:space="preserve"> — </w:t>
            </w:r>
            <w:r w:rsidRPr="001375B7">
              <w:rPr>
                <w:sz w:val="20"/>
                <w:lang w:val="x-none"/>
              </w:rPr>
              <w:t xml:space="preserve">La preuve </w:t>
            </w:r>
            <w:proofErr w:type="spellStart"/>
            <w:r w:rsidRPr="001375B7">
              <w:rPr>
                <w:sz w:val="20"/>
                <w:lang w:val="x-none"/>
              </w:rPr>
              <w:t>qu’un</w:t>
            </w:r>
            <w:proofErr w:type="spellEnd"/>
            <w:r w:rsidRPr="001375B7">
              <w:rPr>
                <w:sz w:val="20"/>
                <w:lang w:val="x-none"/>
              </w:rPr>
              <w:t xml:space="preserve"> </w:t>
            </w:r>
            <w:proofErr w:type="spellStart"/>
            <w:r w:rsidRPr="001375B7">
              <w:rPr>
                <w:sz w:val="20"/>
                <w:lang w:val="x-none"/>
              </w:rPr>
              <w:t>ouvrage</w:t>
            </w:r>
            <w:proofErr w:type="spellEnd"/>
            <w:r w:rsidRPr="001375B7">
              <w:rPr>
                <w:sz w:val="20"/>
                <w:lang w:val="x-none"/>
              </w:rPr>
              <w:t xml:space="preserve"> ne </w:t>
            </w:r>
            <w:proofErr w:type="spellStart"/>
            <w:r w:rsidRPr="001375B7">
              <w:rPr>
                <w:sz w:val="20"/>
                <w:lang w:val="x-none"/>
              </w:rPr>
              <w:t>peut</w:t>
            </w:r>
            <w:proofErr w:type="spellEnd"/>
            <w:r w:rsidRPr="001375B7">
              <w:rPr>
                <w:sz w:val="20"/>
                <w:lang w:val="x-none"/>
              </w:rPr>
              <w:t xml:space="preserve"> être </w:t>
            </w:r>
            <w:proofErr w:type="spellStart"/>
            <w:r w:rsidRPr="001375B7">
              <w:rPr>
                <w:sz w:val="20"/>
                <w:lang w:val="x-none"/>
              </w:rPr>
              <w:t>complété</w:t>
            </w:r>
            <w:proofErr w:type="spellEnd"/>
            <w:r w:rsidRPr="001375B7">
              <w:rPr>
                <w:sz w:val="20"/>
                <w:lang w:val="x-none"/>
              </w:rPr>
              <w:t xml:space="preserve"> </w:t>
            </w:r>
            <w:proofErr w:type="spellStart"/>
            <w:r w:rsidRPr="001375B7">
              <w:rPr>
                <w:sz w:val="20"/>
                <w:lang w:val="x-none"/>
              </w:rPr>
              <w:t>tel</w:t>
            </w:r>
            <w:proofErr w:type="spellEnd"/>
            <w:r w:rsidRPr="001375B7">
              <w:rPr>
                <w:sz w:val="20"/>
                <w:lang w:val="x-none"/>
              </w:rPr>
              <w:t xml:space="preserve"> que </w:t>
            </w:r>
            <w:proofErr w:type="spellStart"/>
            <w:r w:rsidRPr="001375B7">
              <w:rPr>
                <w:sz w:val="20"/>
                <w:lang w:val="x-none"/>
              </w:rPr>
              <w:t>conçu</w:t>
            </w:r>
            <w:proofErr w:type="spellEnd"/>
            <w:r w:rsidRPr="001375B7">
              <w:rPr>
                <w:sz w:val="20"/>
                <w:lang w:val="x-none"/>
              </w:rPr>
              <w:t xml:space="preserve"> est</w:t>
            </w:r>
            <w:r w:rsidRPr="001375B7">
              <w:rPr>
                <w:sz w:val="20"/>
                <w:lang w:val="x-none"/>
              </w:rPr>
              <w:noBreakHyphen/>
              <w:t xml:space="preserve">elle </w:t>
            </w:r>
            <w:proofErr w:type="spellStart"/>
            <w:r w:rsidRPr="001375B7">
              <w:rPr>
                <w:sz w:val="20"/>
                <w:lang w:val="x-none"/>
              </w:rPr>
              <w:t>suffisante</w:t>
            </w:r>
            <w:proofErr w:type="spellEnd"/>
            <w:r w:rsidRPr="001375B7">
              <w:rPr>
                <w:sz w:val="20"/>
                <w:lang w:val="fr-CA"/>
              </w:rPr>
              <w:t xml:space="preserve"> </w:t>
            </w:r>
            <w:r w:rsidRPr="001375B7">
              <w:rPr>
                <w:sz w:val="20"/>
                <w:lang w:val="x-none"/>
              </w:rPr>
              <w:t xml:space="preserve">pour faire </w:t>
            </w:r>
            <w:proofErr w:type="spellStart"/>
            <w:r w:rsidRPr="001375B7">
              <w:rPr>
                <w:sz w:val="20"/>
                <w:lang w:val="x-none"/>
              </w:rPr>
              <w:t>naître</w:t>
            </w:r>
            <w:proofErr w:type="spellEnd"/>
            <w:r w:rsidRPr="001375B7">
              <w:rPr>
                <w:sz w:val="20"/>
                <w:lang w:val="x-none"/>
              </w:rPr>
              <w:t xml:space="preserve"> </w:t>
            </w:r>
            <w:proofErr w:type="spellStart"/>
            <w:r w:rsidRPr="001375B7">
              <w:rPr>
                <w:sz w:val="20"/>
                <w:lang w:val="x-none"/>
              </w:rPr>
              <w:t>une</w:t>
            </w:r>
            <w:proofErr w:type="spellEnd"/>
            <w:r w:rsidRPr="001375B7">
              <w:rPr>
                <w:sz w:val="20"/>
                <w:lang w:val="x-none"/>
              </w:rPr>
              <w:t xml:space="preserve"> </w:t>
            </w:r>
            <w:proofErr w:type="spellStart"/>
            <w:r w:rsidRPr="001375B7">
              <w:rPr>
                <w:sz w:val="20"/>
                <w:lang w:val="x-none"/>
              </w:rPr>
              <w:t>présomption</w:t>
            </w:r>
            <w:proofErr w:type="spellEnd"/>
            <w:r w:rsidRPr="001375B7">
              <w:rPr>
                <w:sz w:val="20"/>
                <w:lang w:val="x-none"/>
              </w:rPr>
              <w:t xml:space="preserve"> de </w:t>
            </w:r>
            <w:proofErr w:type="spellStart"/>
            <w:r w:rsidRPr="001375B7">
              <w:rPr>
                <w:sz w:val="20"/>
                <w:lang w:val="x-none"/>
              </w:rPr>
              <w:t>perte</w:t>
            </w:r>
            <w:proofErr w:type="spellEnd"/>
            <w:r w:rsidRPr="001375B7">
              <w:rPr>
                <w:sz w:val="20"/>
                <w:lang w:val="x-none"/>
              </w:rPr>
              <w:t xml:space="preserve"> </w:t>
            </w:r>
            <w:proofErr w:type="spellStart"/>
            <w:r w:rsidRPr="001375B7">
              <w:rPr>
                <w:sz w:val="20"/>
                <w:lang w:val="x-none"/>
              </w:rPr>
              <w:t>totale</w:t>
            </w:r>
            <w:proofErr w:type="spellEnd"/>
            <w:r w:rsidRPr="001375B7">
              <w:rPr>
                <w:sz w:val="20"/>
                <w:lang w:val="x-none"/>
              </w:rPr>
              <w:t xml:space="preserve"> en faveur du </w:t>
            </w:r>
            <w:proofErr w:type="spellStart"/>
            <w:r w:rsidRPr="001375B7">
              <w:rPr>
                <w:sz w:val="20"/>
                <w:lang w:val="x-none"/>
              </w:rPr>
              <w:t>donneur</w:t>
            </w:r>
            <w:proofErr w:type="spellEnd"/>
            <w:r w:rsidRPr="001375B7">
              <w:rPr>
                <w:sz w:val="20"/>
                <w:lang w:val="x-none"/>
              </w:rPr>
              <w:t xml:space="preserve"> </w:t>
            </w:r>
            <w:proofErr w:type="spellStart"/>
            <w:r w:rsidRPr="001375B7">
              <w:rPr>
                <w:sz w:val="20"/>
                <w:lang w:val="x-none"/>
              </w:rPr>
              <w:t>d’ouvrage</w:t>
            </w:r>
            <w:proofErr w:type="spellEnd"/>
            <w:r w:rsidRPr="001375B7">
              <w:rPr>
                <w:sz w:val="20"/>
                <w:lang w:val="x-none"/>
              </w:rPr>
              <w:t>,</w:t>
            </w:r>
            <w:r w:rsidRPr="001375B7">
              <w:rPr>
                <w:sz w:val="20"/>
                <w:lang w:val="fr-CA"/>
              </w:rPr>
              <w:t xml:space="preserve"> </w:t>
            </w:r>
            <w:proofErr w:type="spellStart"/>
            <w:r w:rsidRPr="001375B7">
              <w:rPr>
                <w:sz w:val="20"/>
                <w:lang w:val="x-none"/>
              </w:rPr>
              <w:t>lui</w:t>
            </w:r>
            <w:proofErr w:type="spellEnd"/>
            <w:r w:rsidRPr="001375B7">
              <w:rPr>
                <w:sz w:val="20"/>
                <w:lang w:val="x-none"/>
              </w:rPr>
              <w:t xml:space="preserve"> </w:t>
            </w:r>
            <w:proofErr w:type="spellStart"/>
            <w:r w:rsidRPr="001375B7">
              <w:rPr>
                <w:sz w:val="20"/>
                <w:lang w:val="x-none"/>
              </w:rPr>
              <w:t>permettant</w:t>
            </w:r>
            <w:proofErr w:type="spellEnd"/>
            <w:r w:rsidRPr="001375B7">
              <w:rPr>
                <w:sz w:val="20"/>
                <w:lang w:val="x-none"/>
              </w:rPr>
              <w:t xml:space="preserve"> de </w:t>
            </w:r>
            <w:proofErr w:type="spellStart"/>
            <w:r w:rsidRPr="001375B7">
              <w:rPr>
                <w:sz w:val="20"/>
                <w:lang w:val="x-none"/>
              </w:rPr>
              <w:t>réclamer</w:t>
            </w:r>
            <w:proofErr w:type="spellEnd"/>
            <w:r w:rsidRPr="001375B7">
              <w:rPr>
                <w:sz w:val="20"/>
                <w:lang w:val="x-none"/>
              </w:rPr>
              <w:t xml:space="preserve"> des dommages</w:t>
            </w:r>
            <w:r w:rsidRPr="001375B7">
              <w:rPr>
                <w:sz w:val="20"/>
                <w:lang w:val="x-none"/>
              </w:rPr>
              <w:noBreakHyphen/>
              <w:t xml:space="preserve">intérêts </w:t>
            </w:r>
            <w:proofErr w:type="spellStart"/>
            <w:r w:rsidRPr="001375B7">
              <w:rPr>
                <w:sz w:val="20"/>
                <w:lang w:val="x-none"/>
              </w:rPr>
              <w:t>correspondant</w:t>
            </w:r>
            <w:proofErr w:type="spellEnd"/>
            <w:r w:rsidRPr="001375B7">
              <w:rPr>
                <w:sz w:val="20"/>
                <w:lang w:val="x-none"/>
              </w:rPr>
              <w:t xml:space="preserve"> à </w:t>
            </w:r>
            <w:proofErr w:type="spellStart"/>
            <w:r w:rsidRPr="001375B7">
              <w:rPr>
                <w:sz w:val="20"/>
                <w:lang w:val="x-none"/>
              </w:rPr>
              <w:t>l’intégralité</w:t>
            </w:r>
            <w:proofErr w:type="spellEnd"/>
            <w:r w:rsidRPr="001375B7">
              <w:rPr>
                <w:sz w:val="20"/>
                <w:lang w:val="x-none"/>
              </w:rPr>
              <w:t xml:space="preserve"> du</w:t>
            </w:r>
            <w:r w:rsidRPr="001375B7">
              <w:rPr>
                <w:sz w:val="20"/>
                <w:lang w:val="fr-CA"/>
              </w:rPr>
              <w:t xml:space="preserve"> </w:t>
            </w:r>
            <w:r w:rsidRPr="001375B7">
              <w:rPr>
                <w:sz w:val="20"/>
                <w:lang w:val="x-none"/>
              </w:rPr>
              <w:t xml:space="preserve">prix </w:t>
            </w:r>
            <w:proofErr w:type="spellStart"/>
            <w:r w:rsidRPr="001375B7">
              <w:rPr>
                <w:sz w:val="20"/>
                <w:lang w:val="x-none"/>
              </w:rPr>
              <w:t>payé</w:t>
            </w:r>
            <w:proofErr w:type="spellEnd"/>
            <w:r w:rsidRPr="001375B7">
              <w:rPr>
                <w:sz w:val="20"/>
                <w:lang w:val="x-none"/>
              </w:rPr>
              <w:t xml:space="preserve"> sans devoir </w:t>
            </w:r>
            <w:proofErr w:type="spellStart"/>
            <w:r w:rsidRPr="001375B7">
              <w:rPr>
                <w:sz w:val="20"/>
                <w:lang w:val="x-none"/>
              </w:rPr>
              <w:t>démontrer</w:t>
            </w:r>
            <w:proofErr w:type="spellEnd"/>
            <w:r w:rsidRPr="001375B7">
              <w:rPr>
                <w:sz w:val="20"/>
                <w:lang w:val="x-none"/>
              </w:rPr>
              <w:t xml:space="preserve"> son </w:t>
            </w:r>
            <w:proofErr w:type="spellStart"/>
            <w:r w:rsidRPr="001375B7">
              <w:rPr>
                <w:sz w:val="20"/>
                <w:lang w:val="x-none"/>
              </w:rPr>
              <w:t>inutilité</w:t>
            </w:r>
            <w:proofErr w:type="spellEnd"/>
            <w:r w:rsidRPr="001375B7">
              <w:rPr>
                <w:sz w:val="20"/>
                <w:lang w:val="x-none"/>
              </w:rPr>
              <w:t>?</w:t>
            </w:r>
            <w:r w:rsidRPr="001375B7">
              <w:rPr>
                <w:sz w:val="20"/>
                <w:lang w:val="fr-CA"/>
              </w:rPr>
              <w:t xml:space="preserve"> — </w:t>
            </w:r>
            <w:proofErr w:type="spellStart"/>
            <w:r w:rsidRPr="001375B7">
              <w:rPr>
                <w:sz w:val="20"/>
                <w:lang w:val="x-none"/>
              </w:rPr>
              <w:t>Quelle</w:t>
            </w:r>
            <w:proofErr w:type="spellEnd"/>
            <w:r w:rsidRPr="001375B7">
              <w:rPr>
                <w:sz w:val="20"/>
                <w:lang w:val="x-none"/>
              </w:rPr>
              <w:t xml:space="preserve"> est </w:t>
            </w:r>
            <w:proofErr w:type="spellStart"/>
            <w:r w:rsidRPr="001375B7">
              <w:rPr>
                <w:sz w:val="20"/>
                <w:lang w:val="x-none"/>
              </w:rPr>
              <w:t>l’étendue</w:t>
            </w:r>
            <w:proofErr w:type="spellEnd"/>
            <w:r w:rsidRPr="001375B7">
              <w:rPr>
                <w:sz w:val="20"/>
                <w:lang w:val="x-none"/>
              </w:rPr>
              <w:t xml:space="preserve"> de la marge </w:t>
            </w:r>
            <w:proofErr w:type="spellStart"/>
            <w:r w:rsidRPr="001375B7">
              <w:rPr>
                <w:sz w:val="20"/>
                <w:lang w:val="x-none"/>
              </w:rPr>
              <w:t>d’appréciation</w:t>
            </w:r>
            <w:proofErr w:type="spellEnd"/>
            <w:r w:rsidRPr="001375B7">
              <w:rPr>
                <w:sz w:val="20"/>
                <w:lang w:val="x-none"/>
              </w:rPr>
              <w:t xml:space="preserve"> des </w:t>
            </w:r>
            <w:proofErr w:type="spellStart"/>
            <w:r w:rsidRPr="001375B7">
              <w:rPr>
                <w:sz w:val="20"/>
                <w:lang w:val="x-none"/>
              </w:rPr>
              <w:t>tribunaux</w:t>
            </w:r>
            <w:proofErr w:type="spellEnd"/>
            <w:r w:rsidRPr="001375B7">
              <w:rPr>
                <w:sz w:val="20"/>
                <w:lang w:val="x-none"/>
              </w:rPr>
              <w:t xml:space="preserve"> de première instance</w:t>
            </w:r>
            <w:r w:rsidRPr="001375B7">
              <w:rPr>
                <w:sz w:val="20"/>
                <w:lang w:val="fr-CA"/>
              </w:rPr>
              <w:t xml:space="preserve"> </w:t>
            </w:r>
            <w:r w:rsidRPr="001375B7">
              <w:rPr>
                <w:sz w:val="20"/>
                <w:lang w:val="x-none"/>
              </w:rPr>
              <w:t xml:space="preserve">dans </w:t>
            </w:r>
            <w:proofErr w:type="spellStart"/>
            <w:r w:rsidRPr="001375B7">
              <w:rPr>
                <w:sz w:val="20"/>
                <w:lang w:val="x-none"/>
              </w:rPr>
              <w:t>l’exercice</w:t>
            </w:r>
            <w:proofErr w:type="spellEnd"/>
            <w:r w:rsidRPr="001375B7">
              <w:rPr>
                <w:sz w:val="20"/>
                <w:lang w:val="x-none"/>
              </w:rPr>
              <w:t xml:space="preserve"> de </w:t>
            </w:r>
            <w:proofErr w:type="spellStart"/>
            <w:r w:rsidRPr="001375B7">
              <w:rPr>
                <w:sz w:val="20"/>
                <w:lang w:val="x-none"/>
              </w:rPr>
              <w:t>leurs</w:t>
            </w:r>
            <w:proofErr w:type="spellEnd"/>
            <w:r w:rsidRPr="001375B7">
              <w:rPr>
                <w:sz w:val="20"/>
                <w:lang w:val="x-none"/>
              </w:rPr>
              <w:t xml:space="preserve"> </w:t>
            </w:r>
            <w:proofErr w:type="spellStart"/>
            <w:r w:rsidRPr="001375B7">
              <w:rPr>
                <w:sz w:val="20"/>
                <w:lang w:val="x-none"/>
              </w:rPr>
              <w:t>pouvoirs</w:t>
            </w:r>
            <w:proofErr w:type="spellEnd"/>
            <w:r w:rsidRPr="001375B7">
              <w:rPr>
                <w:sz w:val="20"/>
                <w:lang w:val="x-none"/>
              </w:rPr>
              <w:t xml:space="preserve"> </w:t>
            </w:r>
            <w:proofErr w:type="spellStart"/>
            <w:r w:rsidRPr="001375B7">
              <w:rPr>
                <w:sz w:val="20"/>
                <w:lang w:val="x-none"/>
              </w:rPr>
              <w:t>discrétionnaires</w:t>
            </w:r>
            <w:proofErr w:type="spellEnd"/>
            <w:r w:rsidRPr="001375B7">
              <w:rPr>
                <w:sz w:val="20"/>
                <w:lang w:val="x-none"/>
              </w:rPr>
              <w:t xml:space="preserve"> </w:t>
            </w:r>
            <w:proofErr w:type="spellStart"/>
            <w:r w:rsidRPr="001375B7">
              <w:rPr>
                <w:sz w:val="20"/>
                <w:lang w:val="x-none"/>
              </w:rPr>
              <w:t>visant</w:t>
            </w:r>
            <w:proofErr w:type="spellEnd"/>
            <w:r w:rsidRPr="001375B7">
              <w:rPr>
                <w:sz w:val="20"/>
                <w:lang w:val="x-none"/>
              </w:rPr>
              <w:t xml:space="preserve"> le respect des </w:t>
            </w:r>
            <w:proofErr w:type="spellStart"/>
            <w:r w:rsidRPr="001375B7">
              <w:rPr>
                <w:sz w:val="20"/>
                <w:lang w:val="x-none"/>
              </w:rPr>
              <w:t>principes</w:t>
            </w:r>
            <w:proofErr w:type="spellEnd"/>
            <w:r w:rsidRPr="001375B7">
              <w:rPr>
                <w:sz w:val="20"/>
                <w:lang w:val="x-none"/>
              </w:rPr>
              <w:t xml:space="preserve"> de</w:t>
            </w:r>
            <w:r w:rsidRPr="001375B7">
              <w:rPr>
                <w:sz w:val="20"/>
                <w:lang w:val="fr-CA"/>
              </w:rPr>
              <w:t xml:space="preserve"> </w:t>
            </w:r>
            <w:proofErr w:type="spellStart"/>
            <w:r w:rsidRPr="001375B7">
              <w:rPr>
                <w:sz w:val="20"/>
                <w:lang w:val="x-none"/>
              </w:rPr>
              <w:t>proportionnalité</w:t>
            </w:r>
            <w:proofErr w:type="spellEnd"/>
            <w:r w:rsidRPr="001375B7">
              <w:rPr>
                <w:sz w:val="20"/>
                <w:lang w:val="x-none"/>
              </w:rPr>
              <w:t xml:space="preserve"> et de coopération entre les parties?</w:t>
            </w:r>
            <w:r w:rsidRPr="001375B7">
              <w:rPr>
                <w:sz w:val="20"/>
                <w:lang w:val="fr-CA"/>
              </w:rPr>
              <w:t xml:space="preserve"> — </w:t>
            </w:r>
            <w:r w:rsidRPr="001375B7">
              <w:rPr>
                <w:i/>
                <w:sz w:val="20"/>
                <w:lang w:val="fr-CA"/>
              </w:rPr>
              <w:t>Code civil du Québec</w:t>
            </w:r>
            <w:r w:rsidRPr="001375B7">
              <w:rPr>
                <w:sz w:val="20"/>
                <w:lang w:val="fr-CA"/>
              </w:rPr>
              <w:t>, RLRQ c CCQ</w:t>
            </w:r>
            <w:r w:rsidRPr="001375B7">
              <w:rPr>
                <w:sz w:val="20"/>
                <w:lang w:val="fr-CA"/>
              </w:rPr>
              <w:noBreakHyphen/>
              <w:t>1991, art. 1479.</w:t>
            </w:r>
          </w:p>
        </w:tc>
      </w:tr>
      <w:tr w:rsidR="00D57104" w:rsidRPr="00170A70" w:rsidTr="00D57104">
        <w:tc>
          <w:tcPr>
            <w:tcW w:w="5000" w:type="pct"/>
            <w:gridSpan w:val="4"/>
          </w:tcPr>
          <w:p w:rsidR="00D57104" w:rsidRPr="001375B7" w:rsidRDefault="00D57104" w:rsidP="00D57104">
            <w:pPr>
              <w:jc w:val="both"/>
              <w:rPr>
                <w:sz w:val="20"/>
                <w:lang w:val="fr-CA"/>
              </w:rPr>
            </w:pPr>
          </w:p>
          <w:p w:rsidR="00D57104" w:rsidRPr="001375B7" w:rsidRDefault="00D57104" w:rsidP="00D57104">
            <w:pPr>
              <w:jc w:val="both"/>
              <w:rPr>
                <w:sz w:val="20"/>
                <w:lang w:val="fr-CA"/>
              </w:rPr>
            </w:pPr>
            <w:r w:rsidRPr="001375B7">
              <w:rPr>
                <w:sz w:val="20"/>
                <w:lang w:val="fr-CA"/>
              </w:rPr>
              <w:lastRenderedPageBreak/>
              <w:t>L’intimée décide de construire un mur anti</w:t>
            </w:r>
            <w:r w:rsidRPr="001375B7">
              <w:rPr>
                <w:sz w:val="20"/>
                <w:lang w:val="fr-CA"/>
              </w:rPr>
              <w:noBreakHyphen/>
              <w:t xml:space="preserve">bruit pour réduire les impacts de la circulation automobile sur sa population. Les services de la demanderesse sont retenus par l’intimée </w:t>
            </w:r>
            <w:r w:rsidRPr="001375B7">
              <w:rPr>
                <w:color w:val="000000"/>
                <w:sz w:val="20"/>
                <w:lang w:val="fr-CA"/>
              </w:rPr>
              <w:t>pour préparer les plans, rédiger des appels d’offres, réaliser une étude géotechnique d’avant-projet et surveiller les travaux. La construction débute en 2008, mais est arrêtée en 2009 à la suite de l’effondrement d’une partie du mur, causée par la présence d’argile molle dans le sol. Des poursuites sont intentées par les différentes parties au projet de construction. La Cour supérieure, d’une part, accueille en partie l’action d’Asphalte Desjardins inc. contre la Ville de Lorraine et, d’autre part, accueille en partie l’action de la Ville de Lorraine à l’encontre d’Asphalte Desjardins inc. et Dessau inc. et rejette l’action de la Ville de Lorraine à l’encontre d’Axa assurances inc. et d’Intact compagnie d’assurance inc. La Cour d’appel, à la majorité, rejette l’appel de la Ville de Lorraine contre Asphalte Desjardins inc., Axa assurances inc. et Intact compagnie d’assurance et accueille en partie l’appel de la Ville de Lorraine contre Dessau inc.</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lastRenderedPageBreak/>
              <w:t>Le 12 janvier 2018</w:t>
            </w:r>
          </w:p>
          <w:p w:rsidR="00D57104" w:rsidRPr="001375B7" w:rsidRDefault="00D57104" w:rsidP="00D57104">
            <w:pPr>
              <w:jc w:val="both"/>
              <w:rPr>
                <w:sz w:val="20"/>
                <w:lang w:val="fr-CA"/>
              </w:rPr>
            </w:pPr>
            <w:r w:rsidRPr="001375B7">
              <w:rPr>
                <w:sz w:val="20"/>
                <w:lang w:val="fr-CA"/>
              </w:rPr>
              <w:t>Cour supérieure du Québec</w:t>
            </w:r>
          </w:p>
          <w:p w:rsidR="00D57104" w:rsidRPr="001375B7" w:rsidRDefault="00D57104" w:rsidP="00D57104">
            <w:pPr>
              <w:jc w:val="both"/>
              <w:rPr>
                <w:sz w:val="20"/>
              </w:rPr>
            </w:pPr>
            <w:r w:rsidRPr="001375B7">
              <w:rPr>
                <w:sz w:val="20"/>
              </w:rPr>
              <w:t>(La juge Turcotte)</w:t>
            </w:r>
          </w:p>
          <w:p w:rsidR="00D57104" w:rsidRPr="001375B7" w:rsidRDefault="00D57104" w:rsidP="00D57104">
            <w:pPr>
              <w:jc w:val="both"/>
              <w:rPr>
                <w:sz w:val="20"/>
              </w:rPr>
            </w:pPr>
            <w:r w:rsidRPr="001375B7">
              <w:rPr>
                <w:sz w:val="20"/>
              </w:rPr>
              <w:t>700</w:t>
            </w:r>
            <w:r w:rsidRPr="001375B7">
              <w:rPr>
                <w:sz w:val="20"/>
              </w:rPr>
              <w:noBreakHyphen/>
              <w:t>17</w:t>
            </w:r>
            <w:r w:rsidRPr="001375B7">
              <w:rPr>
                <w:sz w:val="20"/>
              </w:rPr>
              <w:noBreakHyphen/>
              <w:t>007100</w:t>
            </w:r>
            <w:r w:rsidRPr="001375B7">
              <w:rPr>
                <w:sz w:val="20"/>
              </w:rPr>
              <w:noBreakHyphen/>
              <w:t>109; 700</w:t>
            </w:r>
            <w:r w:rsidRPr="001375B7">
              <w:rPr>
                <w:sz w:val="20"/>
              </w:rPr>
              <w:noBreakHyphen/>
              <w:t>17</w:t>
            </w:r>
            <w:r w:rsidRPr="001375B7">
              <w:rPr>
                <w:sz w:val="20"/>
              </w:rPr>
              <w:noBreakHyphen/>
              <w:t>008286</w:t>
            </w:r>
            <w:r w:rsidRPr="001375B7">
              <w:rPr>
                <w:sz w:val="20"/>
              </w:rPr>
              <w:noBreakHyphen/>
              <w:t>113</w:t>
            </w:r>
          </w:p>
          <w:p w:rsidR="00D57104" w:rsidRPr="001375B7" w:rsidRDefault="00F04E23" w:rsidP="00D57104">
            <w:pPr>
              <w:jc w:val="both"/>
              <w:rPr>
                <w:sz w:val="20"/>
              </w:rPr>
            </w:pPr>
            <w:hyperlink r:id="rId20" w:history="1">
              <w:r w:rsidR="00D57104" w:rsidRPr="001375B7">
                <w:rPr>
                  <w:rStyle w:val="Hyperlink"/>
                  <w:sz w:val="20"/>
                </w:rPr>
                <w:t>2018 QCCS 60</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lang w:val="fr-CA"/>
              </w:rPr>
            </w:pPr>
            <w:r w:rsidRPr="001375B7">
              <w:rPr>
                <w:sz w:val="20"/>
                <w:lang w:val="fr-CA"/>
              </w:rPr>
              <w:t>Action d’Asphalte Desjardins inc. contre la Ville de Lorraine accueillie en partie.</w:t>
            </w:r>
          </w:p>
          <w:p w:rsidR="00D57104" w:rsidRPr="001375B7" w:rsidRDefault="00D57104" w:rsidP="00D57104">
            <w:pPr>
              <w:jc w:val="both"/>
              <w:rPr>
                <w:sz w:val="20"/>
                <w:lang w:val="fr-CA"/>
              </w:rPr>
            </w:pPr>
          </w:p>
          <w:p w:rsidR="00D57104" w:rsidRPr="001375B7" w:rsidRDefault="00D57104" w:rsidP="00D57104">
            <w:pPr>
              <w:jc w:val="both"/>
              <w:rPr>
                <w:sz w:val="20"/>
                <w:lang w:val="fr-CA"/>
              </w:rPr>
            </w:pPr>
            <w:r w:rsidRPr="001375B7">
              <w:rPr>
                <w:sz w:val="20"/>
                <w:lang w:val="fr-CA"/>
              </w:rPr>
              <w:t>Action de la Ville de Lorraine contre Asphalte Desjardins inc. et Dessau inc. accueillie en partie; action de la Ville de Lorraine à l’encontre d’Axa assurances inc. et Intact compagnie d’assurance inc. rejetée.</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Le 31 août 2020</w:t>
            </w:r>
          </w:p>
          <w:p w:rsidR="00D57104" w:rsidRPr="001375B7" w:rsidRDefault="00D57104" w:rsidP="00D57104">
            <w:pPr>
              <w:jc w:val="both"/>
              <w:rPr>
                <w:sz w:val="20"/>
                <w:lang w:val="fr-CA"/>
              </w:rPr>
            </w:pPr>
            <w:r w:rsidRPr="001375B7">
              <w:rPr>
                <w:sz w:val="20"/>
                <w:lang w:val="fr-CA"/>
              </w:rPr>
              <w:t>Cour d’appel du Québec (Montréal)</w:t>
            </w:r>
          </w:p>
          <w:p w:rsidR="00D57104" w:rsidRPr="001375B7" w:rsidRDefault="00D57104" w:rsidP="00D57104">
            <w:pPr>
              <w:jc w:val="both"/>
              <w:rPr>
                <w:sz w:val="20"/>
                <w:lang w:val="fr-CA"/>
              </w:rPr>
            </w:pPr>
            <w:r w:rsidRPr="001375B7">
              <w:rPr>
                <w:sz w:val="20"/>
                <w:lang w:val="fr-CA"/>
              </w:rPr>
              <w:t>(Les juges Bich, Marcotte [dissidente en partie] et Hogue)</w:t>
            </w:r>
          </w:p>
          <w:p w:rsidR="00D57104" w:rsidRPr="001375B7" w:rsidRDefault="00D57104" w:rsidP="00D57104">
            <w:pPr>
              <w:jc w:val="both"/>
              <w:rPr>
                <w:sz w:val="20"/>
              </w:rPr>
            </w:pPr>
            <w:r w:rsidRPr="001375B7">
              <w:rPr>
                <w:sz w:val="20"/>
              </w:rPr>
              <w:t>500</w:t>
            </w:r>
            <w:r w:rsidRPr="001375B7">
              <w:rPr>
                <w:sz w:val="20"/>
              </w:rPr>
              <w:noBreakHyphen/>
              <w:t>09</w:t>
            </w:r>
            <w:r w:rsidRPr="001375B7">
              <w:rPr>
                <w:sz w:val="20"/>
              </w:rPr>
              <w:noBreakHyphen/>
              <w:t>027327</w:t>
            </w:r>
            <w:r w:rsidRPr="001375B7">
              <w:rPr>
                <w:sz w:val="20"/>
              </w:rPr>
              <w:noBreakHyphen/>
              <w:t xml:space="preserve">188 </w:t>
            </w:r>
          </w:p>
          <w:p w:rsidR="00D57104" w:rsidRPr="001375B7" w:rsidRDefault="00F04E23" w:rsidP="00D57104">
            <w:pPr>
              <w:jc w:val="both"/>
              <w:rPr>
                <w:sz w:val="20"/>
              </w:rPr>
            </w:pPr>
            <w:hyperlink r:id="rId21" w:history="1">
              <w:r w:rsidR="00D57104" w:rsidRPr="001375B7">
                <w:rPr>
                  <w:rStyle w:val="Hyperlink"/>
                  <w:sz w:val="20"/>
                </w:rPr>
                <w:t>2020 QCCA 1086</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lang w:val="fr-CA"/>
              </w:rPr>
            </w:pPr>
            <w:r w:rsidRPr="001375B7">
              <w:rPr>
                <w:sz w:val="20"/>
                <w:lang w:val="fr-CA"/>
              </w:rPr>
              <w:t>Appel de la Ville de Lorraine contre Asphalte Desjardins inc., Axa assurances inc. et Intact compagnie d’assurance rejeté; appel de la Ville de Lorraine contre Dessau inc. accueilli en partie.</w:t>
            </w:r>
          </w:p>
          <w:p w:rsidR="00D57104" w:rsidRPr="001375B7" w:rsidRDefault="00D57104" w:rsidP="00D57104">
            <w:pPr>
              <w:jc w:val="both"/>
              <w:rPr>
                <w:sz w:val="20"/>
                <w:lang w:val="fr-CA"/>
              </w:rPr>
            </w:pPr>
          </w:p>
        </w:tc>
      </w:tr>
      <w:tr w:rsidR="00D57104" w:rsidRPr="001375B7" w:rsidTr="00D57104">
        <w:tc>
          <w:tcPr>
            <w:tcW w:w="2427" w:type="pct"/>
            <w:gridSpan w:val="2"/>
          </w:tcPr>
          <w:p w:rsidR="00D57104" w:rsidRPr="001375B7" w:rsidRDefault="00D57104" w:rsidP="00D57104">
            <w:pPr>
              <w:jc w:val="both"/>
              <w:rPr>
                <w:sz w:val="20"/>
                <w:lang w:val="fr-CA"/>
              </w:rPr>
            </w:pPr>
            <w:r w:rsidRPr="001375B7">
              <w:rPr>
                <w:sz w:val="20"/>
                <w:lang w:val="fr-CA"/>
              </w:rPr>
              <w:t>Le 13 novembre 2020</w:t>
            </w:r>
          </w:p>
          <w:p w:rsidR="00D57104" w:rsidRPr="001375B7" w:rsidRDefault="00D57104" w:rsidP="00D57104">
            <w:pPr>
              <w:jc w:val="both"/>
              <w:rPr>
                <w:sz w:val="20"/>
                <w:lang w:val="fr-CA"/>
              </w:rPr>
            </w:pPr>
            <w:r w:rsidRPr="001375B7">
              <w:rPr>
                <w:sz w:val="20"/>
                <w:lang w:val="fr-CA"/>
              </w:rPr>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rPr>
            </w:pPr>
            <w:r w:rsidRPr="001375B7">
              <w:rPr>
                <w:sz w:val="20"/>
              </w:rPr>
              <w:t>Demande d’autorisation d’appel déposée</w:t>
            </w:r>
          </w:p>
          <w:p w:rsidR="00D57104" w:rsidRPr="001375B7" w:rsidRDefault="00D57104" w:rsidP="00D57104">
            <w:pPr>
              <w:jc w:val="both"/>
              <w:rPr>
                <w:sz w:val="20"/>
              </w:rPr>
            </w:pPr>
          </w:p>
        </w:tc>
      </w:tr>
    </w:tbl>
    <w:p w:rsidR="00D57104" w:rsidRPr="001375B7" w:rsidRDefault="00D57104" w:rsidP="00D57104">
      <w:pPr>
        <w:jc w:val="both"/>
        <w:rPr>
          <w:sz w:val="20"/>
        </w:rPr>
      </w:pPr>
    </w:p>
    <w:p w:rsidR="00806DCA" w:rsidRPr="001375B7" w:rsidRDefault="00F04E23" w:rsidP="00D57104">
      <w:pPr>
        <w:widowControl w:val="0"/>
        <w:jc w:val="both"/>
        <w:rPr>
          <w:sz w:val="20"/>
        </w:rPr>
      </w:pPr>
      <w:r>
        <w:rPr>
          <w:sz w:val="20"/>
        </w:rPr>
        <w:pict>
          <v:rect id="_x0000_i1028" style="width:2in;height:1pt" o:hrpct="0" o:hralign="center" o:hrstd="t" o:hrnoshade="t" o:hr="t" fillcolor="black [3213]" stroked="f"/>
        </w:pict>
      </w:r>
    </w:p>
    <w:p w:rsidR="00806DCA" w:rsidRPr="001375B7" w:rsidRDefault="00806DCA" w:rsidP="00D5710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39360</w:t>
            </w:r>
          </w:p>
        </w:tc>
        <w:tc>
          <w:tcPr>
            <w:tcW w:w="4457" w:type="pct"/>
            <w:gridSpan w:val="3"/>
          </w:tcPr>
          <w:p w:rsidR="00D57104" w:rsidRPr="001375B7" w:rsidRDefault="00D57104" w:rsidP="00D57104">
            <w:pPr>
              <w:pStyle w:val="SCCLsocParty"/>
              <w:jc w:val="both"/>
              <w:rPr>
                <w:b/>
                <w:sz w:val="20"/>
                <w:szCs w:val="20"/>
                <w:lang w:val="en-US"/>
              </w:rPr>
            </w:pPr>
            <w:r w:rsidRPr="001375B7">
              <w:rPr>
                <w:b/>
                <w:sz w:val="20"/>
                <w:szCs w:val="20"/>
                <w:lang w:val="en-US"/>
              </w:rPr>
              <w:t>Eugene Ndhlovu v. Her Majesty the Queen</w:t>
            </w:r>
          </w:p>
          <w:p w:rsidR="00D57104" w:rsidRPr="001375B7" w:rsidRDefault="00D57104" w:rsidP="00D57104">
            <w:pPr>
              <w:jc w:val="both"/>
              <w:rPr>
                <w:sz w:val="20"/>
              </w:rPr>
            </w:pPr>
            <w:r w:rsidRPr="001375B7">
              <w:rPr>
                <w:sz w:val="20"/>
              </w:rPr>
              <w:t>(Alta.) (Criminal) (By Leave)</w:t>
            </w:r>
          </w:p>
        </w:tc>
      </w:tr>
      <w:tr w:rsidR="00D57104" w:rsidRPr="001375B7" w:rsidTr="00D57104">
        <w:tc>
          <w:tcPr>
            <w:tcW w:w="5000" w:type="pct"/>
            <w:gridSpan w:val="4"/>
          </w:tcPr>
          <w:p w:rsidR="00D57104" w:rsidRPr="001375B7" w:rsidRDefault="00D57104" w:rsidP="00D57104">
            <w:pPr>
              <w:pStyle w:val="SCCBanSummary"/>
              <w:rPr>
                <w:sz w:val="20"/>
                <w:szCs w:val="20"/>
              </w:rPr>
            </w:pPr>
            <w:r w:rsidRPr="001375B7">
              <w:rPr>
                <w:sz w:val="20"/>
                <w:szCs w:val="20"/>
              </w:rPr>
              <w:t>(Publication ban in case)</w:t>
            </w:r>
          </w:p>
          <w:p w:rsidR="00D57104" w:rsidRPr="001375B7" w:rsidRDefault="00D57104" w:rsidP="00D57104">
            <w:pPr>
              <w:jc w:val="both"/>
              <w:rPr>
                <w:sz w:val="20"/>
              </w:rPr>
            </w:pPr>
          </w:p>
        </w:tc>
      </w:tr>
      <w:tr w:rsidR="00D57104" w:rsidRPr="001375B7" w:rsidTr="00D57104">
        <w:tc>
          <w:tcPr>
            <w:tcW w:w="5000" w:type="pct"/>
            <w:gridSpan w:val="4"/>
          </w:tcPr>
          <w:p w:rsidR="00D57104" w:rsidRPr="001375B7" w:rsidRDefault="00D57104" w:rsidP="00D57104">
            <w:pPr>
              <w:jc w:val="both"/>
              <w:rPr>
                <w:sz w:val="20"/>
              </w:rPr>
            </w:pPr>
            <w:r w:rsidRPr="001375B7">
              <w:rPr>
                <w:i/>
                <w:sz w:val="20"/>
              </w:rPr>
              <w:t xml:space="preserve">Charter of Rights </w:t>
            </w:r>
            <w:r w:rsidRPr="001375B7">
              <w:rPr>
                <w:sz w:val="20"/>
              </w:rPr>
              <w:t xml:space="preserve">— Right to life, liberty and security of the person — Whether ss. 490.012 and 490.013(2.1) of the </w:t>
            </w:r>
            <w:r w:rsidRPr="001375B7">
              <w:rPr>
                <w:i/>
                <w:sz w:val="20"/>
              </w:rPr>
              <w:t>Criminal Code</w:t>
            </w:r>
            <w:r w:rsidRPr="001375B7">
              <w:rPr>
                <w:sz w:val="20"/>
              </w:rPr>
              <w:t xml:space="preserve">, requiring mandatory lifetime registration pursuant to the </w:t>
            </w:r>
            <w:r w:rsidRPr="001375B7">
              <w:rPr>
                <w:i/>
                <w:sz w:val="20"/>
              </w:rPr>
              <w:t xml:space="preserve">Sex Offender Information Registration Act </w:t>
            </w:r>
            <w:r w:rsidRPr="001375B7">
              <w:rPr>
                <w:sz w:val="20"/>
              </w:rPr>
              <w:t>for offenders convicted of more than one designated offence,</w:t>
            </w:r>
            <w:r w:rsidRPr="001375B7">
              <w:rPr>
                <w:i/>
                <w:sz w:val="20"/>
              </w:rPr>
              <w:t xml:space="preserve"> </w:t>
            </w:r>
            <w:r w:rsidRPr="001375B7">
              <w:rPr>
                <w:sz w:val="20"/>
              </w:rPr>
              <w:t xml:space="preserve">violate s. 7 of the </w:t>
            </w:r>
            <w:r w:rsidRPr="001375B7">
              <w:rPr>
                <w:i/>
                <w:sz w:val="20"/>
              </w:rPr>
              <w:t>Charter</w:t>
            </w:r>
            <w:r w:rsidRPr="001375B7">
              <w:rPr>
                <w:sz w:val="20"/>
              </w:rPr>
              <w:t xml:space="preserve"> — If so, whether ss. 490.012 and 490.013(2.1) can be saved under s. 1 of the </w:t>
            </w:r>
            <w:r w:rsidRPr="001375B7">
              <w:rPr>
                <w:i/>
                <w:sz w:val="20"/>
              </w:rPr>
              <w:t>Charter</w:t>
            </w:r>
            <w:r w:rsidRPr="001375B7">
              <w:rPr>
                <w:sz w:val="20"/>
              </w:rPr>
              <w:t xml:space="preserve"> — Sections 490.012 and 490.013(2.1) of the </w:t>
            </w:r>
            <w:r w:rsidRPr="001375B7">
              <w:rPr>
                <w:i/>
                <w:sz w:val="20"/>
              </w:rPr>
              <w:t>Criminal Code</w:t>
            </w:r>
            <w:r w:rsidRPr="001375B7">
              <w:rPr>
                <w:sz w:val="20"/>
              </w:rPr>
              <w:t>, R.S.C. 1985, c. C</w:t>
            </w:r>
            <w:r w:rsidRPr="001375B7">
              <w:rPr>
                <w:sz w:val="20"/>
              </w:rPr>
              <w:noBreakHyphen/>
              <w:t xml:space="preserve">46 — Sections 1 and 7 of the </w:t>
            </w:r>
            <w:r w:rsidRPr="001375B7">
              <w:rPr>
                <w:i/>
                <w:sz w:val="20"/>
              </w:rPr>
              <w:t>Canadian Charter of Rights and Freedoms</w:t>
            </w:r>
            <w:r w:rsidRPr="001375B7">
              <w:rPr>
                <w:sz w:val="20"/>
              </w:rPr>
              <w:t>.</w:t>
            </w:r>
          </w:p>
          <w:p w:rsidR="00D57104" w:rsidRPr="001375B7" w:rsidRDefault="00D57104" w:rsidP="00D57104">
            <w:pPr>
              <w:jc w:val="both"/>
              <w:rPr>
                <w:sz w:val="20"/>
              </w:rPr>
            </w:pPr>
          </w:p>
        </w:tc>
      </w:tr>
      <w:tr w:rsidR="00D57104" w:rsidRPr="001375B7" w:rsidTr="00D57104">
        <w:tc>
          <w:tcPr>
            <w:tcW w:w="5000" w:type="pct"/>
            <w:gridSpan w:val="4"/>
          </w:tcPr>
          <w:p w:rsidR="00D57104" w:rsidRPr="001375B7" w:rsidRDefault="00D57104" w:rsidP="00D57104">
            <w:pPr>
              <w:widowControl w:val="0"/>
              <w:jc w:val="both"/>
              <w:rPr>
                <w:sz w:val="20"/>
                <w:lang w:eastAsia="en-CA"/>
              </w:rPr>
            </w:pPr>
            <w:r w:rsidRPr="001375B7">
              <w:rPr>
                <w:sz w:val="20"/>
                <w:lang w:eastAsia="en-CA"/>
              </w:rPr>
              <w:t xml:space="preserve">The applicant pled guilty to two charges of sexual assault, contrary to s. 271 of the </w:t>
            </w:r>
            <w:r w:rsidRPr="001375B7">
              <w:rPr>
                <w:i/>
                <w:sz w:val="20"/>
                <w:lang w:eastAsia="en-CA"/>
              </w:rPr>
              <w:t>Criminal Code</w:t>
            </w:r>
            <w:r w:rsidRPr="001375B7">
              <w:rPr>
                <w:sz w:val="20"/>
                <w:lang w:eastAsia="en-CA"/>
              </w:rPr>
              <w:t>, R.S.C. 1985, c. C</w:t>
            </w:r>
            <w:r w:rsidRPr="001375B7">
              <w:rPr>
                <w:sz w:val="20"/>
                <w:lang w:eastAsia="en-CA"/>
              </w:rPr>
              <w:noBreakHyphen/>
              <w:t xml:space="preserve">46. The assaults had been committed against two complainants during the course of a party. The sentencing judge found the applicant was at low risk to reoffend, and sentenced him to six months of imprisonment and three years of probation. The applicant challenged the constitutionality of ss. 490.012 and 490.013(2.1) of the </w:t>
            </w:r>
            <w:r w:rsidRPr="001375B7">
              <w:rPr>
                <w:i/>
                <w:sz w:val="20"/>
                <w:lang w:eastAsia="en-CA"/>
              </w:rPr>
              <w:t>Criminal Code</w:t>
            </w:r>
            <w:r w:rsidRPr="001375B7">
              <w:rPr>
                <w:sz w:val="20"/>
                <w:lang w:eastAsia="en-CA"/>
              </w:rPr>
              <w:t xml:space="preserve">, which require him to register and report for life under the </w:t>
            </w:r>
            <w:r w:rsidRPr="001375B7">
              <w:rPr>
                <w:i/>
                <w:sz w:val="20"/>
                <w:lang w:eastAsia="en-CA"/>
              </w:rPr>
              <w:t>Sex Offender Information Registration Act</w:t>
            </w:r>
            <w:r w:rsidRPr="001375B7">
              <w:rPr>
                <w:sz w:val="20"/>
                <w:lang w:eastAsia="en-CA"/>
              </w:rPr>
              <w:t xml:space="preserve">, S.C. 2004, c. 10, as a result of his convictions for more than one designated offence. The sentencing judge held that ss. 490.012 and 490.013(2.1) violate s. 7 of the </w:t>
            </w:r>
            <w:r w:rsidRPr="001375B7">
              <w:rPr>
                <w:i/>
                <w:sz w:val="20"/>
                <w:lang w:eastAsia="en-CA"/>
              </w:rPr>
              <w:t>Charter</w:t>
            </w:r>
            <w:r w:rsidRPr="001375B7">
              <w:rPr>
                <w:sz w:val="20"/>
                <w:lang w:eastAsia="en-CA"/>
              </w:rPr>
              <w:t xml:space="preserve"> and cannot be saved under s. 1, and declared the sections to be of no force or effect.</w:t>
            </w:r>
          </w:p>
          <w:p w:rsidR="00D57104" w:rsidRPr="001375B7" w:rsidRDefault="00D57104" w:rsidP="00D57104">
            <w:pPr>
              <w:widowControl w:val="0"/>
              <w:jc w:val="both"/>
              <w:rPr>
                <w:sz w:val="20"/>
                <w:lang w:eastAsia="en-CA"/>
              </w:rPr>
            </w:pPr>
          </w:p>
          <w:p w:rsidR="00D57104" w:rsidRPr="001375B7" w:rsidRDefault="00D57104" w:rsidP="00D57104">
            <w:pPr>
              <w:widowControl w:val="0"/>
              <w:jc w:val="both"/>
              <w:rPr>
                <w:sz w:val="20"/>
                <w:lang w:eastAsia="en-CA"/>
              </w:rPr>
            </w:pPr>
            <w:r w:rsidRPr="001375B7">
              <w:rPr>
                <w:sz w:val="20"/>
                <w:lang w:eastAsia="en-CA"/>
              </w:rPr>
              <w:t xml:space="preserve">The Crown appealed the sentencing judge’s declaration of unconstitutionality. The majority of the Court of Appeal for Alberta allowed the appeal, holding that the sentencing judge had erred in finding that the applicant had established a deprivation of his right to life, liberty or security of the person under s. 7 of the </w:t>
            </w:r>
            <w:r w:rsidRPr="001375B7">
              <w:rPr>
                <w:i/>
                <w:sz w:val="20"/>
                <w:lang w:eastAsia="en-CA"/>
              </w:rPr>
              <w:t>Charter</w:t>
            </w:r>
            <w:r w:rsidRPr="001375B7">
              <w:rPr>
                <w:sz w:val="20"/>
                <w:lang w:eastAsia="en-CA"/>
              </w:rPr>
              <w:t>. Khullar J.A., dissenting, would have dismissed the appeal and upheld the sentencing judge’s decision.</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lastRenderedPageBreak/>
              <w:t>October 24, 2016</w:t>
            </w:r>
          </w:p>
          <w:p w:rsidR="00D57104" w:rsidRPr="001375B7" w:rsidRDefault="00D57104" w:rsidP="00D57104">
            <w:pPr>
              <w:jc w:val="both"/>
              <w:rPr>
                <w:sz w:val="20"/>
              </w:rPr>
            </w:pPr>
            <w:r w:rsidRPr="001375B7">
              <w:rPr>
                <w:sz w:val="20"/>
              </w:rPr>
              <w:t>Court of Queen’s Bench of Alberta</w:t>
            </w:r>
          </w:p>
          <w:p w:rsidR="00D57104" w:rsidRPr="001375B7" w:rsidRDefault="00D57104" w:rsidP="00D57104">
            <w:pPr>
              <w:jc w:val="both"/>
              <w:rPr>
                <w:sz w:val="20"/>
              </w:rPr>
            </w:pPr>
            <w:r w:rsidRPr="001375B7">
              <w:rPr>
                <w:sz w:val="20"/>
              </w:rPr>
              <w:t>(Moen J.)</w:t>
            </w:r>
          </w:p>
          <w:p w:rsidR="00D57104" w:rsidRPr="001375B7" w:rsidRDefault="00F04E23" w:rsidP="00D57104">
            <w:pPr>
              <w:jc w:val="both"/>
              <w:rPr>
                <w:rStyle w:val="Hyperlink"/>
                <w:sz w:val="20"/>
              </w:rPr>
            </w:pPr>
            <w:hyperlink r:id="rId22" w:history="1">
              <w:r w:rsidR="00D57104" w:rsidRPr="001375B7">
                <w:rPr>
                  <w:rStyle w:val="Hyperlink"/>
                  <w:sz w:val="20"/>
                </w:rPr>
                <w:t>2016 ABQB 595</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 xml:space="preserve">Sections 490.012 and 490.013(2.1) of the </w:t>
            </w:r>
            <w:r w:rsidRPr="001375B7">
              <w:rPr>
                <w:i/>
                <w:sz w:val="20"/>
              </w:rPr>
              <w:t xml:space="preserve">Criminal Code </w:t>
            </w:r>
            <w:r w:rsidRPr="001375B7">
              <w:rPr>
                <w:sz w:val="20"/>
              </w:rPr>
              <w:t xml:space="preserve">infringe s. 7 of the </w:t>
            </w:r>
            <w:r w:rsidRPr="001375B7">
              <w:rPr>
                <w:i/>
                <w:sz w:val="20"/>
              </w:rPr>
              <w:t>Charter</w:t>
            </w:r>
            <w:r w:rsidRPr="001375B7">
              <w:rPr>
                <w:sz w:val="20"/>
              </w:rPr>
              <w:t>.</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April 9, 2018</w:t>
            </w:r>
          </w:p>
          <w:p w:rsidR="00D57104" w:rsidRPr="001375B7" w:rsidRDefault="00D57104" w:rsidP="00D57104">
            <w:pPr>
              <w:jc w:val="both"/>
              <w:rPr>
                <w:sz w:val="20"/>
              </w:rPr>
            </w:pPr>
            <w:r w:rsidRPr="001375B7">
              <w:rPr>
                <w:sz w:val="20"/>
              </w:rPr>
              <w:t>Court of Queen’s Bench of Alberta</w:t>
            </w:r>
          </w:p>
          <w:p w:rsidR="00D57104" w:rsidRPr="001375B7" w:rsidRDefault="00D57104" w:rsidP="00D57104">
            <w:pPr>
              <w:jc w:val="both"/>
              <w:rPr>
                <w:sz w:val="20"/>
              </w:rPr>
            </w:pPr>
            <w:r w:rsidRPr="001375B7">
              <w:rPr>
                <w:sz w:val="20"/>
              </w:rPr>
              <w:t>(Moen J.)</w:t>
            </w:r>
          </w:p>
          <w:p w:rsidR="00D57104" w:rsidRPr="001375B7" w:rsidRDefault="00F04E23" w:rsidP="00D57104">
            <w:pPr>
              <w:jc w:val="both"/>
              <w:rPr>
                <w:rStyle w:val="Hyperlink"/>
                <w:sz w:val="20"/>
              </w:rPr>
            </w:pPr>
            <w:hyperlink r:id="rId23" w:history="1">
              <w:r w:rsidR="00D57104" w:rsidRPr="001375B7">
                <w:rPr>
                  <w:rStyle w:val="Hyperlink"/>
                  <w:sz w:val="20"/>
                </w:rPr>
                <w:t>2018 ABQB 277</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 xml:space="preserve">The infringement to s. 7 is not justified under s. 1 of the </w:t>
            </w:r>
            <w:r w:rsidRPr="001375B7">
              <w:rPr>
                <w:i/>
                <w:sz w:val="20"/>
              </w:rPr>
              <w:t>Charter</w:t>
            </w:r>
            <w:r w:rsidRPr="001375B7">
              <w:rPr>
                <w:sz w:val="20"/>
              </w:rPr>
              <w:t xml:space="preserve">; ss. 490.012 and 490.013(2.1) of the </w:t>
            </w:r>
            <w:r w:rsidRPr="001375B7">
              <w:rPr>
                <w:i/>
                <w:sz w:val="20"/>
              </w:rPr>
              <w:t xml:space="preserve">Criminal Code </w:t>
            </w:r>
            <w:r w:rsidRPr="001375B7">
              <w:rPr>
                <w:sz w:val="20"/>
              </w:rPr>
              <w:t>are of no force or effect.</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September 3, 2020</w:t>
            </w:r>
          </w:p>
          <w:p w:rsidR="00D57104" w:rsidRPr="001375B7" w:rsidRDefault="00D57104" w:rsidP="00D57104">
            <w:pPr>
              <w:jc w:val="both"/>
              <w:rPr>
                <w:sz w:val="20"/>
              </w:rPr>
            </w:pPr>
            <w:r w:rsidRPr="001375B7">
              <w:rPr>
                <w:sz w:val="20"/>
              </w:rPr>
              <w:t>Court of Appeal of Alberta (Edmonton)</w:t>
            </w:r>
          </w:p>
          <w:p w:rsidR="00D57104" w:rsidRPr="001375B7" w:rsidRDefault="00D57104" w:rsidP="00D57104">
            <w:pPr>
              <w:jc w:val="both"/>
              <w:rPr>
                <w:sz w:val="20"/>
              </w:rPr>
            </w:pPr>
            <w:r w:rsidRPr="001375B7">
              <w:rPr>
                <w:sz w:val="20"/>
              </w:rPr>
              <w:t xml:space="preserve">(Slatter and Schutz JJ.A.; Khullar J.A. </w:t>
            </w:r>
          </w:p>
          <w:p w:rsidR="00D57104" w:rsidRPr="001375B7" w:rsidRDefault="00D57104" w:rsidP="00D57104">
            <w:pPr>
              <w:jc w:val="both"/>
              <w:rPr>
                <w:sz w:val="20"/>
              </w:rPr>
            </w:pPr>
            <w:r w:rsidRPr="001375B7">
              <w:rPr>
                <w:sz w:val="20"/>
              </w:rPr>
              <w:t>(dissenting))</w:t>
            </w:r>
          </w:p>
          <w:p w:rsidR="00D57104" w:rsidRPr="001375B7" w:rsidRDefault="00F04E23" w:rsidP="00D57104">
            <w:pPr>
              <w:jc w:val="both"/>
              <w:rPr>
                <w:sz w:val="20"/>
              </w:rPr>
            </w:pPr>
            <w:hyperlink r:id="rId24" w:history="1">
              <w:r w:rsidR="00D57104" w:rsidRPr="001375B7">
                <w:rPr>
                  <w:rStyle w:val="Hyperlink"/>
                  <w:sz w:val="20"/>
                </w:rPr>
                <w:t>2020 ABCA 307</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 xml:space="preserve">Crown appeal allowed; declaration that ss. 490.012 and 490.013(2.1) of the </w:t>
            </w:r>
            <w:r w:rsidRPr="001375B7">
              <w:rPr>
                <w:i/>
                <w:sz w:val="20"/>
              </w:rPr>
              <w:t>Criminal Code</w:t>
            </w:r>
            <w:r w:rsidRPr="001375B7">
              <w:rPr>
                <w:sz w:val="20"/>
              </w:rPr>
              <w:t xml:space="preserve"> are of no force or effect set aside. </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October 1, 2020</w:t>
            </w:r>
          </w:p>
          <w:p w:rsidR="00D57104" w:rsidRPr="001375B7" w:rsidRDefault="00D57104" w:rsidP="00D57104">
            <w:pPr>
              <w:jc w:val="both"/>
              <w:rPr>
                <w:sz w:val="20"/>
              </w:rPr>
            </w:pPr>
            <w:r w:rsidRPr="001375B7">
              <w:rPr>
                <w:sz w:val="20"/>
              </w:rPr>
              <w:t>Supreme Court of Canada</w:t>
            </w:r>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Notice of appeal as of right filed by the applicant.</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November 13, 2020</w:t>
            </w:r>
          </w:p>
          <w:p w:rsidR="00D57104" w:rsidRPr="001375B7" w:rsidRDefault="00D57104" w:rsidP="00D57104">
            <w:pPr>
              <w:jc w:val="both"/>
              <w:rPr>
                <w:rStyle w:val="Hyperlink"/>
                <w:color w:val="auto"/>
                <w:sz w:val="20"/>
                <w:u w:val="none"/>
              </w:rPr>
            </w:pPr>
            <w:r w:rsidRPr="001375B7">
              <w:rPr>
                <w:sz w:val="20"/>
              </w:rPr>
              <w:t>Supreme Court of Canada</w:t>
            </w:r>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Crown motion to quash the notice of appeal granted; applicant entitled to serve and file an application for leave to appeal within 60 days of the order.</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January 8, 2021</w:t>
            </w:r>
          </w:p>
          <w:p w:rsidR="00D57104" w:rsidRPr="001375B7" w:rsidRDefault="00D57104" w:rsidP="00D57104">
            <w:pPr>
              <w:jc w:val="both"/>
              <w:rPr>
                <w:sz w:val="20"/>
              </w:rPr>
            </w:pPr>
            <w:r w:rsidRPr="001375B7">
              <w:rPr>
                <w:sz w:val="20"/>
              </w:rPr>
              <w:t>Supreme Court of Canada</w:t>
            </w: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Application for leave to appeal filed.</w:t>
            </w:r>
          </w:p>
          <w:p w:rsidR="00D57104" w:rsidRPr="001375B7" w:rsidRDefault="00D57104" w:rsidP="00D57104">
            <w:pPr>
              <w:jc w:val="both"/>
              <w:rPr>
                <w:sz w:val="20"/>
              </w:rPr>
            </w:pPr>
          </w:p>
        </w:tc>
      </w:tr>
    </w:tbl>
    <w:p w:rsidR="00D57104" w:rsidRPr="001375B7" w:rsidRDefault="00D57104" w:rsidP="00D57104">
      <w:pPr>
        <w:jc w:val="both"/>
        <w:rPr>
          <w:sz w:val="20"/>
        </w:rPr>
      </w:pPr>
    </w:p>
    <w:p w:rsidR="00D57104" w:rsidRPr="001375B7" w:rsidRDefault="00F04E23" w:rsidP="00D57104">
      <w:pPr>
        <w:jc w:val="both"/>
        <w:rPr>
          <w:sz w:val="20"/>
        </w:rPr>
      </w:pPr>
      <w:r>
        <w:rPr>
          <w:sz w:val="20"/>
        </w:rPr>
        <w:pict>
          <v:rect id="_x0000_i1029" style="width:2in;height:1pt" o:hrpct="0" o:hralign="center" o:hrstd="t" o:hrnoshade="t" o:hr="t" fillcolor="black [3213]" stroked="f"/>
        </w:pict>
      </w:r>
    </w:p>
    <w:p w:rsidR="00D57104" w:rsidRPr="001375B7" w:rsidRDefault="00D57104" w:rsidP="00D571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fr-CA"/>
              </w:rPr>
            </w:pPr>
            <w:r w:rsidRPr="001375B7">
              <w:rPr>
                <w:rStyle w:val="SCCFileNumberChar"/>
                <w:sz w:val="20"/>
                <w:szCs w:val="20"/>
                <w:lang w:val="fr-CA"/>
              </w:rPr>
              <w:t>39360</w:t>
            </w:r>
          </w:p>
        </w:tc>
        <w:tc>
          <w:tcPr>
            <w:tcW w:w="4457" w:type="pct"/>
            <w:gridSpan w:val="3"/>
          </w:tcPr>
          <w:p w:rsidR="00D57104" w:rsidRPr="001375B7" w:rsidRDefault="00D57104" w:rsidP="00D57104">
            <w:pPr>
              <w:pStyle w:val="SCCLsocParty"/>
              <w:jc w:val="both"/>
              <w:rPr>
                <w:b/>
                <w:sz w:val="20"/>
                <w:szCs w:val="20"/>
              </w:rPr>
            </w:pPr>
            <w:r w:rsidRPr="001375B7">
              <w:rPr>
                <w:b/>
                <w:sz w:val="20"/>
                <w:szCs w:val="20"/>
              </w:rPr>
              <w:t>Eugene Ndhlovu c. Sa Majesté la Reine</w:t>
            </w:r>
          </w:p>
          <w:p w:rsidR="00D57104" w:rsidRPr="001375B7" w:rsidRDefault="00D57104" w:rsidP="00D57104">
            <w:pPr>
              <w:jc w:val="both"/>
              <w:rPr>
                <w:sz w:val="20"/>
                <w:lang w:val="fr-CA"/>
              </w:rPr>
            </w:pPr>
            <w:r w:rsidRPr="001375B7">
              <w:rPr>
                <w:sz w:val="20"/>
                <w:lang w:val="fr-CA"/>
              </w:rPr>
              <w:t>(Alb.) (Criminelle) (Sur autorisation)</w:t>
            </w:r>
          </w:p>
        </w:tc>
      </w:tr>
      <w:tr w:rsidR="00D57104" w:rsidRPr="00170A70" w:rsidTr="00D57104">
        <w:tc>
          <w:tcPr>
            <w:tcW w:w="5000" w:type="pct"/>
            <w:gridSpan w:val="4"/>
          </w:tcPr>
          <w:p w:rsidR="00D57104" w:rsidRPr="001375B7" w:rsidRDefault="00D57104" w:rsidP="00D57104">
            <w:pPr>
              <w:pStyle w:val="SCCBanSummary"/>
              <w:rPr>
                <w:sz w:val="20"/>
                <w:szCs w:val="20"/>
                <w:lang w:val="fr-CA"/>
              </w:rPr>
            </w:pPr>
            <w:r w:rsidRPr="001375B7">
              <w:rPr>
                <w:sz w:val="20"/>
                <w:szCs w:val="20"/>
                <w:lang w:val="fr-CA"/>
              </w:rPr>
              <w:t>(Ordonnance de non-publication dans le dossier)</w:t>
            </w:r>
          </w:p>
          <w:p w:rsidR="00D57104" w:rsidRPr="001375B7" w:rsidRDefault="00D57104" w:rsidP="00D57104">
            <w:pPr>
              <w:jc w:val="both"/>
              <w:rPr>
                <w:sz w:val="20"/>
                <w:lang w:val="fr-CA"/>
              </w:rPr>
            </w:pPr>
          </w:p>
        </w:tc>
      </w:tr>
      <w:tr w:rsidR="00D57104" w:rsidRPr="00170A70" w:rsidTr="00D57104">
        <w:tc>
          <w:tcPr>
            <w:tcW w:w="5000" w:type="pct"/>
            <w:gridSpan w:val="4"/>
          </w:tcPr>
          <w:p w:rsidR="00D57104" w:rsidRPr="001375B7" w:rsidRDefault="00D57104" w:rsidP="00D57104">
            <w:pPr>
              <w:jc w:val="both"/>
              <w:rPr>
                <w:sz w:val="20"/>
                <w:lang w:val="fr-CA"/>
              </w:rPr>
            </w:pPr>
            <w:r w:rsidRPr="001375B7">
              <w:rPr>
                <w:i/>
                <w:sz w:val="20"/>
                <w:lang w:val="fr-CA"/>
              </w:rPr>
              <w:t xml:space="preserve">Charte des droits </w:t>
            </w:r>
            <w:r w:rsidRPr="001375B7">
              <w:rPr>
                <w:sz w:val="20"/>
                <w:lang w:val="fr-CA"/>
              </w:rPr>
              <w:t xml:space="preserve">— Droit à la vie, à la liberté et à la sécurité de la personne — L’article 490.012 et le paragraphe 490.013(2.1) du </w:t>
            </w:r>
            <w:r w:rsidRPr="001375B7">
              <w:rPr>
                <w:i/>
                <w:sz w:val="20"/>
                <w:lang w:val="fr-CA"/>
              </w:rPr>
              <w:t>Code criminel</w:t>
            </w:r>
            <w:r w:rsidRPr="001375B7">
              <w:rPr>
                <w:sz w:val="20"/>
                <w:lang w:val="fr-CA"/>
              </w:rPr>
              <w:t xml:space="preserve">, prescrivant l’enregistrement à perpétuité obligatoire, en vertu de la </w:t>
            </w:r>
            <w:r w:rsidRPr="001375B7">
              <w:rPr>
                <w:i/>
                <w:sz w:val="20"/>
                <w:lang w:val="fr-CA"/>
              </w:rPr>
              <w:t>Loi sur l’enregistrement de renseignements sur les délinquants sexuels</w:t>
            </w:r>
            <w:r w:rsidRPr="001375B7">
              <w:rPr>
                <w:sz w:val="20"/>
                <w:lang w:val="fr-CA"/>
              </w:rPr>
              <w:t>,</w:t>
            </w:r>
            <w:r w:rsidRPr="001375B7">
              <w:rPr>
                <w:i/>
                <w:sz w:val="20"/>
                <w:lang w:val="fr-CA"/>
              </w:rPr>
              <w:t xml:space="preserve"> </w:t>
            </w:r>
            <w:r w:rsidRPr="001375B7">
              <w:rPr>
                <w:sz w:val="20"/>
                <w:lang w:val="fr-CA"/>
              </w:rPr>
              <w:t>à l’endroit des délinquants déclarés coupables de plus d’une infraction désignée,</w:t>
            </w:r>
            <w:r w:rsidRPr="001375B7">
              <w:rPr>
                <w:i/>
                <w:sz w:val="20"/>
                <w:lang w:val="fr-CA"/>
              </w:rPr>
              <w:t xml:space="preserve"> </w:t>
            </w:r>
            <w:r w:rsidRPr="001375B7">
              <w:rPr>
                <w:sz w:val="20"/>
                <w:lang w:val="fr-CA"/>
              </w:rPr>
              <w:t>violent</w:t>
            </w:r>
            <w:r w:rsidRPr="001375B7">
              <w:rPr>
                <w:sz w:val="20"/>
                <w:lang w:val="fr-CA"/>
              </w:rPr>
              <w:noBreakHyphen/>
              <w:t xml:space="preserve">ils l’art. 7 de la </w:t>
            </w:r>
            <w:r w:rsidRPr="001375B7">
              <w:rPr>
                <w:i/>
                <w:sz w:val="20"/>
                <w:lang w:val="fr-CA"/>
              </w:rPr>
              <w:t>Charte</w:t>
            </w:r>
            <w:r w:rsidRPr="001375B7">
              <w:rPr>
                <w:sz w:val="20"/>
                <w:lang w:val="fr-CA"/>
              </w:rPr>
              <w:t>? — Dans l’affirmative, l’art. 490.012 et le par. 490.013(2.1) peuvent</w:t>
            </w:r>
            <w:r w:rsidRPr="001375B7">
              <w:rPr>
                <w:sz w:val="20"/>
                <w:lang w:val="fr-CA"/>
              </w:rPr>
              <w:noBreakHyphen/>
              <w:t xml:space="preserve">ils être sauvegardés par application de l’article premier de la </w:t>
            </w:r>
            <w:r w:rsidRPr="001375B7">
              <w:rPr>
                <w:i/>
                <w:sz w:val="20"/>
                <w:lang w:val="fr-CA"/>
              </w:rPr>
              <w:t>Charte</w:t>
            </w:r>
            <w:r w:rsidRPr="001375B7">
              <w:rPr>
                <w:sz w:val="20"/>
                <w:lang w:val="fr-CA"/>
              </w:rPr>
              <w:t xml:space="preserve">? — Article 490.012 et paragraphe 490.013(2.1) du </w:t>
            </w:r>
            <w:r w:rsidRPr="001375B7">
              <w:rPr>
                <w:i/>
                <w:sz w:val="20"/>
                <w:lang w:val="fr-CA"/>
              </w:rPr>
              <w:t>Code criminel</w:t>
            </w:r>
            <w:r w:rsidRPr="001375B7">
              <w:rPr>
                <w:sz w:val="20"/>
                <w:lang w:val="fr-CA"/>
              </w:rPr>
              <w:t>, L.R.C. 1985, ch. C</w:t>
            </w:r>
            <w:r w:rsidRPr="001375B7">
              <w:rPr>
                <w:sz w:val="20"/>
                <w:lang w:val="fr-CA"/>
              </w:rPr>
              <w:noBreakHyphen/>
              <w:t xml:space="preserve">46 — Article premier et article 7 de la </w:t>
            </w:r>
            <w:r w:rsidRPr="001375B7">
              <w:rPr>
                <w:i/>
                <w:sz w:val="20"/>
                <w:lang w:val="fr-CA"/>
              </w:rPr>
              <w:t>Charte canadienne des droits et libertés</w:t>
            </w:r>
          </w:p>
          <w:p w:rsidR="00D57104" w:rsidRPr="001375B7" w:rsidRDefault="00D57104" w:rsidP="00D57104">
            <w:pPr>
              <w:jc w:val="both"/>
              <w:rPr>
                <w:sz w:val="20"/>
                <w:lang w:val="fr-CA"/>
              </w:rPr>
            </w:pPr>
          </w:p>
        </w:tc>
      </w:tr>
      <w:tr w:rsidR="00D57104" w:rsidRPr="00170A70" w:rsidTr="00D57104">
        <w:tc>
          <w:tcPr>
            <w:tcW w:w="5000" w:type="pct"/>
            <w:gridSpan w:val="4"/>
          </w:tcPr>
          <w:p w:rsidR="00D57104" w:rsidRPr="001375B7" w:rsidRDefault="00D57104" w:rsidP="00D57104">
            <w:pPr>
              <w:widowControl w:val="0"/>
              <w:jc w:val="both"/>
              <w:rPr>
                <w:sz w:val="20"/>
                <w:lang w:val="fr-CA" w:eastAsia="en-CA"/>
              </w:rPr>
            </w:pPr>
            <w:r w:rsidRPr="001375B7">
              <w:rPr>
                <w:sz w:val="20"/>
                <w:lang w:val="fr-CA" w:eastAsia="en-CA"/>
              </w:rPr>
              <w:t xml:space="preserve">Le demandeur a plaidé coupable à deux chefs d’accusation d’agression sexuelle, en contravention de l’art. 271 du </w:t>
            </w:r>
            <w:r w:rsidRPr="001375B7">
              <w:rPr>
                <w:i/>
                <w:sz w:val="20"/>
                <w:lang w:val="fr-CA" w:eastAsia="en-CA"/>
              </w:rPr>
              <w:t>Code criminel</w:t>
            </w:r>
            <w:r w:rsidRPr="001375B7">
              <w:rPr>
                <w:sz w:val="20"/>
                <w:lang w:val="fr-CA" w:eastAsia="en-CA"/>
              </w:rPr>
              <w:t>, L.R.C. 1985, ch. C</w:t>
            </w:r>
            <w:r w:rsidRPr="001375B7">
              <w:rPr>
                <w:sz w:val="20"/>
                <w:lang w:val="fr-CA" w:eastAsia="en-CA"/>
              </w:rPr>
              <w:noBreakHyphen/>
              <w:t xml:space="preserve">46. Les agressions ont été commises à l’encontre de deux plaignantes pendant une fête. La juge chargée de la détermination de la peine a conclu que le demandeur présentait un faible risque de récidive, et l’a condamné à une peine de six mois d’emprisonnement et à une période de probation de trois ans. Le demandeur a contesté la constitutionnalité de l’art. 490.012 et du par. 490.013(2.1) du </w:t>
            </w:r>
            <w:r w:rsidRPr="001375B7">
              <w:rPr>
                <w:i/>
                <w:sz w:val="20"/>
                <w:lang w:val="fr-CA" w:eastAsia="en-CA"/>
              </w:rPr>
              <w:t>Code criminel</w:t>
            </w:r>
            <w:r w:rsidRPr="001375B7">
              <w:rPr>
                <w:sz w:val="20"/>
                <w:lang w:val="fr-CA" w:eastAsia="en-CA"/>
              </w:rPr>
              <w:t xml:space="preserve">, aux termes desquels il doit s’enregistrer et comparaître au bureau d’inscription à perpétuité en vertu de la </w:t>
            </w:r>
            <w:r w:rsidRPr="001375B7">
              <w:rPr>
                <w:i/>
                <w:sz w:val="20"/>
                <w:lang w:val="fr-CA" w:eastAsia="en-CA"/>
              </w:rPr>
              <w:t>Loi sur l’enregistrement de renseignements sur les délinquants sexuels</w:t>
            </w:r>
            <w:r w:rsidRPr="001375B7">
              <w:rPr>
                <w:sz w:val="20"/>
                <w:lang w:val="fr-CA" w:eastAsia="en-CA"/>
              </w:rPr>
              <w:t xml:space="preserve">, L.C. 2004, ch. 10, en conséquence des déclarations de culpabilité prononcées à son égard pour </w:t>
            </w:r>
            <w:r w:rsidRPr="001375B7">
              <w:rPr>
                <w:sz w:val="20"/>
                <w:lang w:val="fr-CA"/>
              </w:rPr>
              <w:t>plus d’une infraction désignée</w:t>
            </w:r>
            <w:r w:rsidRPr="001375B7">
              <w:rPr>
                <w:sz w:val="20"/>
                <w:lang w:val="fr-CA" w:eastAsia="en-CA"/>
              </w:rPr>
              <w:t xml:space="preserve">. La juge chargée de la détermination de la </w:t>
            </w:r>
            <w:proofErr w:type="gramStart"/>
            <w:r w:rsidRPr="001375B7">
              <w:rPr>
                <w:sz w:val="20"/>
                <w:lang w:val="fr-CA" w:eastAsia="en-CA"/>
              </w:rPr>
              <w:t>peine a</w:t>
            </w:r>
            <w:proofErr w:type="gramEnd"/>
            <w:r w:rsidRPr="001375B7">
              <w:rPr>
                <w:sz w:val="20"/>
                <w:lang w:val="fr-CA" w:eastAsia="en-CA"/>
              </w:rPr>
              <w:t xml:space="preserve"> conclu que l’art. 490.012 et le par. 490.013(2.1) violent l’art. 7 de la </w:t>
            </w:r>
            <w:r w:rsidRPr="001375B7">
              <w:rPr>
                <w:i/>
                <w:sz w:val="20"/>
                <w:lang w:val="fr-CA" w:eastAsia="en-CA"/>
              </w:rPr>
              <w:t>Charte</w:t>
            </w:r>
            <w:r w:rsidRPr="001375B7">
              <w:rPr>
                <w:sz w:val="20"/>
                <w:lang w:val="fr-CA" w:eastAsia="en-CA"/>
              </w:rPr>
              <w:t xml:space="preserve"> et ne peuvent être sauvegardés par application de l’article premier, et a déclaré que ces dispositions étaient inopérantes.</w:t>
            </w:r>
          </w:p>
          <w:p w:rsidR="00D57104" w:rsidRPr="001375B7" w:rsidRDefault="00D57104" w:rsidP="00D57104">
            <w:pPr>
              <w:widowControl w:val="0"/>
              <w:jc w:val="both"/>
              <w:rPr>
                <w:sz w:val="20"/>
                <w:lang w:val="fr-CA" w:eastAsia="en-CA"/>
              </w:rPr>
            </w:pPr>
          </w:p>
          <w:p w:rsidR="00D57104" w:rsidRPr="001375B7" w:rsidRDefault="00D57104" w:rsidP="00D57104">
            <w:pPr>
              <w:widowControl w:val="0"/>
              <w:jc w:val="both"/>
              <w:rPr>
                <w:sz w:val="20"/>
                <w:lang w:val="fr-CA" w:eastAsia="en-CA"/>
              </w:rPr>
            </w:pPr>
            <w:r w:rsidRPr="001375B7">
              <w:rPr>
                <w:sz w:val="20"/>
                <w:lang w:val="fr-CA" w:eastAsia="en-CA"/>
              </w:rPr>
              <w:t xml:space="preserve">Le ministère public a fait appel de la déclaration d’inconstitutionnalité prononcée par la juge chargée de la détermination de la peine. Les juges majoritaires de la Cour d’appel de l’Alberta ont accueilli l’appel, statuant que la juge chargée de la détermination de la peine a commis une erreur en concluant que le demandeur avait établi qu’il y avait eu atteinte à son droit à la vie, à la liberté et à la sécurité de la personne en vertu de l’art. 7 de la </w:t>
            </w:r>
            <w:r w:rsidRPr="001375B7">
              <w:rPr>
                <w:i/>
                <w:sz w:val="20"/>
                <w:lang w:val="fr-CA" w:eastAsia="en-CA"/>
              </w:rPr>
              <w:t>Charte</w:t>
            </w:r>
            <w:r w:rsidRPr="001375B7">
              <w:rPr>
                <w:sz w:val="20"/>
                <w:lang w:val="fr-CA" w:eastAsia="en-CA"/>
              </w:rPr>
              <w:t xml:space="preserve">. La juge </w:t>
            </w:r>
            <w:r w:rsidRPr="001375B7">
              <w:rPr>
                <w:sz w:val="20"/>
                <w:lang w:val="fr-CA" w:eastAsia="en-CA"/>
              </w:rPr>
              <w:lastRenderedPageBreak/>
              <w:t>Khullar, dissidente, aurait rejeté l’appel et confirmé la décision de la juge chargée de la détermination de la peine.</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lastRenderedPageBreak/>
              <w:t>24 octobre 2016</w:t>
            </w:r>
          </w:p>
          <w:p w:rsidR="00D57104" w:rsidRPr="001375B7" w:rsidRDefault="00D57104" w:rsidP="00D57104">
            <w:pPr>
              <w:jc w:val="both"/>
              <w:rPr>
                <w:sz w:val="20"/>
                <w:lang w:val="fr-CA"/>
              </w:rPr>
            </w:pPr>
            <w:r w:rsidRPr="001375B7">
              <w:rPr>
                <w:sz w:val="20"/>
                <w:lang w:val="fr-CA"/>
              </w:rPr>
              <w:t>Cour du Banc de la Reine de l’Alberta</w:t>
            </w:r>
          </w:p>
          <w:p w:rsidR="00D57104" w:rsidRPr="001375B7" w:rsidRDefault="00D57104" w:rsidP="00D57104">
            <w:pPr>
              <w:jc w:val="both"/>
              <w:rPr>
                <w:sz w:val="20"/>
                <w:lang w:val="fr-CA"/>
              </w:rPr>
            </w:pPr>
            <w:r w:rsidRPr="001375B7">
              <w:rPr>
                <w:sz w:val="20"/>
                <w:lang w:val="fr-CA"/>
              </w:rPr>
              <w:t>(juge Moen)</w:t>
            </w:r>
          </w:p>
          <w:p w:rsidR="00D57104" w:rsidRPr="001375B7" w:rsidRDefault="00F04E23" w:rsidP="00D57104">
            <w:pPr>
              <w:jc w:val="both"/>
              <w:rPr>
                <w:rStyle w:val="Hyperlink"/>
                <w:sz w:val="20"/>
                <w:lang w:val="fr-CA"/>
              </w:rPr>
            </w:pPr>
            <w:hyperlink r:id="rId25" w:history="1">
              <w:r w:rsidR="00D57104" w:rsidRPr="001375B7">
                <w:rPr>
                  <w:rStyle w:val="Hyperlink"/>
                  <w:sz w:val="20"/>
                  <w:lang w:val="fr-CA"/>
                </w:rPr>
                <w:t>2016 ABQB 595</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 xml:space="preserve">L’article 490.012 et le paragraphe 490.013(2.1) du </w:t>
            </w:r>
            <w:r w:rsidRPr="001375B7">
              <w:rPr>
                <w:i/>
                <w:sz w:val="20"/>
                <w:lang w:val="fr-CA"/>
              </w:rPr>
              <w:t xml:space="preserve">Code criminel </w:t>
            </w:r>
            <w:r w:rsidRPr="001375B7">
              <w:rPr>
                <w:sz w:val="20"/>
                <w:lang w:val="fr-CA"/>
              </w:rPr>
              <w:t xml:space="preserve">violent l’art. 7 de la </w:t>
            </w:r>
            <w:r w:rsidRPr="001375B7">
              <w:rPr>
                <w:i/>
                <w:sz w:val="20"/>
                <w:lang w:val="fr-CA"/>
              </w:rPr>
              <w:t>Charte</w:t>
            </w:r>
            <w:r w:rsidRPr="001375B7">
              <w:rPr>
                <w:sz w:val="20"/>
                <w:lang w:val="fr-CA"/>
              </w:rPr>
              <w:t>.</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9 avril 2018</w:t>
            </w:r>
          </w:p>
          <w:p w:rsidR="00D57104" w:rsidRPr="001375B7" w:rsidRDefault="00D57104" w:rsidP="00D57104">
            <w:pPr>
              <w:jc w:val="both"/>
              <w:rPr>
                <w:sz w:val="20"/>
                <w:lang w:val="fr-CA"/>
              </w:rPr>
            </w:pPr>
            <w:r w:rsidRPr="001375B7">
              <w:rPr>
                <w:sz w:val="20"/>
                <w:lang w:val="fr-CA"/>
              </w:rPr>
              <w:t>Cour du Banc de la Reine de l’Alberta</w:t>
            </w:r>
          </w:p>
          <w:p w:rsidR="00D57104" w:rsidRPr="001375B7" w:rsidRDefault="00D57104" w:rsidP="00D57104">
            <w:pPr>
              <w:jc w:val="both"/>
              <w:rPr>
                <w:sz w:val="20"/>
                <w:lang w:val="fr-CA"/>
              </w:rPr>
            </w:pPr>
            <w:r w:rsidRPr="001375B7">
              <w:rPr>
                <w:sz w:val="20"/>
                <w:lang w:val="fr-CA"/>
              </w:rPr>
              <w:t>(juge Moen)</w:t>
            </w:r>
          </w:p>
          <w:p w:rsidR="00D57104" w:rsidRPr="001375B7" w:rsidRDefault="00F04E23" w:rsidP="00D57104">
            <w:pPr>
              <w:jc w:val="both"/>
              <w:rPr>
                <w:rStyle w:val="Hyperlink"/>
                <w:sz w:val="20"/>
                <w:lang w:val="fr-CA"/>
              </w:rPr>
            </w:pPr>
            <w:hyperlink r:id="rId26" w:history="1">
              <w:r w:rsidR="00D57104" w:rsidRPr="001375B7">
                <w:rPr>
                  <w:rStyle w:val="Hyperlink"/>
                  <w:sz w:val="20"/>
                  <w:lang w:val="fr-CA"/>
                </w:rPr>
                <w:t>2018 ABQB 277</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 xml:space="preserve">La violation de l’art. 7 n’est pas justifiée aux termes de l’article premier de la </w:t>
            </w:r>
            <w:r w:rsidRPr="001375B7">
              <w:rPr>
                <w:i/>
                <w:sz w:val="20"/>
                <w:lang w:val="fr-CA"/>
              </w:rPr>
              <w:t>Charte</w:t>
            </w:r>
            <w:r w:rsidRPr="001375B7">
              <w:rPr>
                <w:sz w:val="20"/>
                <w:lang w:val="fr-CA"/>
              </w:rPr>
              <w:t xml:space="preserve">; l’art. 490.012 et le par. 490.013(2.1) du </w:t>
            </w:r>
            <w:r w:rsidRPr="001375B7">
              <w:rPr>
                <w:i/>
                <w:sz w:val="20"/>
                <w:lang w:val="fr-CA"/>
              </w:rPr>
              <w:t xml:space="preserve">Code criminel </w:t>
            </w:r>
            <w:r w:rsidRPr="001375B7">
              <w:rPr>
                <w:sz w:val="20"/>
                <w:lang w:val="fr-CA"/>
              </w:rPr>
              <w:t>sont inopérants.</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3 septembre 2020</w:t>
            </w:r>
          </w:p>
          <w:p w:rsidR="00D57104" w:rsidRPr="001375B7" w:rsidRDefault="00D57104" w:rsidP="00D57104">
            <w:pPr>
              <w:jc w:val="both"/>
              <w:rPr>
                <w:sz w:val="20"/>
                <w:lang w:val="fr-CA"/>
              </w:rPr>
            </w:pPr>
            <w:r w:rsidRPr="001375B7">
              <w:rPr>
                <w:sz w:val="20"/>
                <w:lang w:val="fr-CA"/>
              </w:rPr>
              <w:t>Cour d’appel de l’Alberta (Edmonton)</w:t>
            </w:r>
          </w:p>
          <w:p w:rsidR="00D57104" w:rsidRPr="001375B7" w:rsidRDefault="00D57104" w:rsidP="00D57104">
            <w:pPr>
              <w:jc w:val="both"/>
              <w:rPr>
                <w:sz w:val="20"/>
                <w:lang w:val="fr-CA"/>
              </w:rPr>
            </w:pPr>
            <w:r w:rsidRPr="001375B7">
              <w:rPr>
                <w:sz w:val="20"/>
                <w:lang w:val="fr-CA"/>
              </w:rPr>
              <w:t xml:space="preserve">(juges Slatter et Schutz; juge Khullar </w:t>
            </w:r>
          </w:p>
          <w:p w:rsidR="00D57104" w:rsidRPr="001375B7" w:rsidRDefault="00D57104" w:rsidP="00D57104">
            <w:pPr>
              <w:jc w:val="both"/>
              <w:rPr>
                <w:sz w:val="20"/>
                <w:lang w:val="fr-CA"/>
              </w:rPr>
            </w:pPr>
            <w:r w:rsidRPr="001375B7">
              <w:rPr>
                <w:sz w:val="20"/>
                <w:lang w:val="fr-CA"/>
              </w:rPr>
              <w:t>(dissidente))</w:t>
            </w:r>
          </w:p>
          <w:p w:rsidR="00D57104" w:rsidRPr="001375B7" w:rsidRDefault="00F04E23" w:rsidP="00D57104">
            <w:pPr>
              <w:jc w:val="both"/>
              <w:rPr>
                <w:sz w:val="20"/>
                <w:lang w:val="fr-CA"/>
              </w:rPr>
            </w:pPr>
            <w:hyperlink r:id="rId27" w:history="1">
              <w:r w:rsidR="00D57104" w:rsidRPr="001375B7">
                <w:rPr>
                  <w:rStyle w:val="Hyperlink"/>
                  <w:sz w:val="20"/>
                  <w:lang w:val="fr-CA"/>
                </w:rPr>
                <w:t>2020 ABCA 307</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 xml:space="preserve">L’appel du ministère public est accueilli; la déclaration portant que l’art. 490.012 et le par. 490.013(2.1) du </w:t>
            </w:r>
            <w:r w:rsidRPr="001375B7">
              <w:rPr>
                <w:i/>
                <w:sz w:val="20"/>
                <w:lang w:val="fr-CA"/>
              </w:rPr>
              <w:t xml:space="preserve">Code criminel </w:t>
            </w:r>
            <w:r w:rsidRPr="001375B7">
              <w:rPr>
                <w:sz w:val="20"/>
                <w:lang w:val="fr-CA"/>
              </w:rPr>
              <w:t xml:space="preserve">sont inopérants est annulée. </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1</w:t>
            </w:r>
            <w:r w:rsidRPr="001375B7">
              <w:rPr>
                <w:sz w:val="20"/>
                <w:vertAlign w:val="superscript"/>
                <w:lang w:val="fr-CA"/>
              </w:rPr>
              <w:t>er</w:t>
            </w:r>
            <w:r w:rsidRPr="001375B7">
              <w:rPr>
                <w:sz w:val="20"/>
                <w:lang w:val="fr-CA"/>
              </w:rPr>
              <w:t xml:space="preserve"> octobre 2020</w:t>
            </w:r>
          </w:p>
          <w:p w:rsidR="00D57104" w:rsidRPr="001375B7" w:rsidRDefault="00D57104" w:rsidP="00D57104">
            <w:pPr>
              <w:jc w:val="both"/>
              <w:rPr>
                <w:sz w:val="20"/>
                <w:lang w:val="fr-CA"/>
              </w:rPr>
            </w:pPr>
            <w:r w:rsidRPr="001375B7">
              <w:rPr>
                <w:sz w:val="20"/>
                <w:lang w:val="fr-CA"/>
              </w:rPr>
              <w:t>Cour suprême du Canada</w:t>
            </w:r>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L’avis d’appel de plein droit est présenté par le demandeur.</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13 novembre 2020</w:t>
            </w:r>
          </w:p>
          <w:p w:rsidR="00D57104" w:rsidRPr="001375B7" w:rsidRDefault="00D57104" w:rsidP="00D57104">
            <w:pPr>
              <w:jc w:val="both"/>
              <w:rPr>
                <w:sz w:val="20"/>
                <w:lang w:val="fr-CA"/>
              </w:rPr>
            </w:pPr>
            <w:r w:rsidRPr="001375B7">
              <w:rPr>
                <w:sz w:val="20"/>
                <w:lang w:val="fr-CA"/>
              </w:rPr>
              <w:t>Cour suprême du Canada</w:t>
            </w:r>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 requête en annulation de l’avis d’appel présentée par le ministre public est accueillie; le demandeur a droit de signifier et de déposer une demande d’autorisation d’appel dans les 60 jours de l’ordonnance.</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8 janvier 2021</w:t>
            </w:r>
          </w:p>
          <w:p w:rsidR="00D57104" w:rsidRPr="001375B7" w:rsidRDefault="00D57104" w:rsidP="00D57104">
            <w:pPr>
              <w:jc w:val="both"/>
              <w:rPr>
                <w:sz w:val="20"/>
                <w:lang w:val="fr-CA"/>
              </w:rPr>
            </w:pPr>
            <w:r w:rsidRPr="001375B7">
              <w:rPr>
                <w:sz w:val="20"/>
                <w:lang w:val="fr-CA"/>
              </w:rPr>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 demande d’autorisation d’appel est présentée.</w:t>
            </w:r>
          </w:p>
          <w:p w:rsidR="00D57104" w:rsidRPr="001375B7" w:rsidRDefault="00D57104" w:rsidP="00D57104">
            <w:pPr>
              <w:jc w:val="both"/>
              <w:rPr>
                <w:sz w:val="20"/>
                <w:lang w:val="fr-CA"/>
              </w:rPr>
            </w:pPr>
          </w:p>
        </w:tc>
      </w:tr>
    </w:tbl>
    <w:p w:rsidR="00D57104" w:rsidRPr="001375B7" w:rsidRDefault="00D57104" w:rsidP="00D57104">
      <w:pPr>
        <w:jc w:val="both"/>
        <w:rPr>
          <w:sz w:val="20"/>
          <w:lang w:val="fr-CA"/>
        </w:rPr>
      </w:pPr>
    </w:p>
    <w:p w:rsidR="00806DCA" w:rsidRPr="001375B7" w:rsidRDefault="00F04E23" w:rsidP="00D57104">
      <w:pPr>
        <w:widowControl w:val="0"/>
        <w:jc w:val="both"/>
        <w:rPr>
          <w:sz w:val="20"/>
          <w:lang w:val="fr-CA"/>
        </w:rPr>
      </w:pPr>
      <w:r>
        <w:rPr>
          <w:sz w:val="20"/>
        </w:rPr>
        <w:pict>
          <v:rect id="_x0000_i1030" style="width:2in;height:1pt" o:hrpct="0" o:hralign="center" o:hrstd="t" o:hrnoshade="t" o:hr="t" fillcolor="black [3213]" stroked="f"/>
        </w:pict>
      </w:r>
    </w:p>
    <w:p w:rsidR="00FC13B1" w:rsidRPr="001375B7" w:rsidRDefault="00FC13B1" w:rsidP="00D5710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39554</w:t>
            </w:r>
          </w:p>
        </w:tc>
        <w:tc>
          <w:tcPr>
            <w:tcW w:w="4457" w:type="pct"/>
            <w:gridSpan w:val="3"/>
          </w:tcPr>
          <w:p w:rsidR="00D57104" w:rsidRPr="001375B7" w:rsidRDefault="00D57104" w:rsidP="00D57104">
            <w:pPr>
              <w:pStyle w:val="SCCLsocParty"/>
              <w:jc w:val="both"/>
              <w:rPr>
                <w:b/>
                <w:sz w:val="20"/>
                <w:szCs w:val="20"/>
                <w:lang w:val="en-US"/>
              </w:rPr>
            </w:pPr>
            <w:r w:rsidRPr="001375B7">
              <w:rPr>
                <w:b/>
                <w:sz w:val="20"/>
                <w:szCs w:val="20"/>
                <w:lang w:val="en-US"/>
              </w:rPr>
              <w:t>Lionel Ravvin v. Canada Bread Company Limited, George Weston Limited, Giant Tiger Stores Limited, Kimberley Marie Pfaff, Loblaw Companies Limited, Sobeys Inc., Wal-Mart Canada Corp., Weston Foods (Canada) Inc.</w:t>
            </w:r>
          </w:p>
          <w:p w:rsidR="00D57104" w:rsidRPr="001375B7" w:rsidRDefault="00D57104" w:rsidP="00D57104">
            <w:pPr>
              <w:jc w:val="both"/>
              <w:rPr>
                <w:sz w:val="20"/>
              </w:rPr>
            </w:pPr>
            <w:r w:rsidRPr="001375B7">
              <w:rPr>
                <w:sz w:val="20"/>
              </w:rPr>
              <w:t>(Alta.) (Civil) (By Leave)</w:t>
            </w:r>
          </w:p>
        </w:tc>
      </w:tr>
      <w:tr w:rsidR="00D57104" w:rsidRPr="001375B7" w:rsidTr="00D57104">
        <w:tc>
          <w:tcPr>
            <w:tcW w:w="5000" w:type="pct"/>
            <w:gridSpan w:val="4"/>
          </w:tcPr>
          <w:p w:rsidR="00D57104" w:rsidRPr="001375B7" w:rsidRDefault="00D57104" w:rsidP="00D57104">
            <w:pPr>
              <w:jc w:val="both"/>
              <w:rPr>
                <w:sz w:val="20"/>
              </w:rPr>
            </w:pPr>
            <w:r w:rsidRPr="001375B7">
              <w:rPr>
                <w:sz w:val="20"/>
              </w:rPr>
              <w:t xml:space="preserve">Civil procedure — Class actions — Applications for stays of actions in Alberta granted in favour of Ontario action proceeding on national basis prior to consideration of merits of certification of proposed Alberta action — May a court in British Columbia, Alberta, or Saskatchewan, faced with a proposed class proceeding in which parallel or potentially overlapping actions have been commenced in other jurisdictions, adjudicate the multijurisdictional priority issues in advance of the hearing to determine the remainder of the certification criteria? — </w:t>
            </w:r>
            <w:r w:rsidRPr="001375B7">
              <w:rPr>
                <w:i/>
                <w:sz w:val="20"/>
              </w:rPr>
              <w:t>Class Proceedings Act</w:t>
            </w:r>
            <w:r w:rsidRPr="001375B7">
              <w:rPr>
                <w:sz w:val="20"/>
              </w:rPr>
              <w:t>, S.A. 2003, c. C</w:t>
            </w:r>
            <w:r w:rsidRPr="001375B7">
              <w:rPr>
                <w:sz w:val="20"/>
              </w:rPr>
              <w:noBreakHyphen/>
              <w:t xml:space="preserve">16.5, s. 5 (as amended by </w:t>
            </w:r>
            <w:r w:rsidRPr="001375B7">
              <w:rPr>
                <w:i/>
                <w:sz w:val="20"/>
              </w:rPr>
              <w:t>Class Proceedings Amendment Act, 2010</w:t>
            </w:r>
            <w:r w:rsidRPr="001375B7">
              <w:rPr>
                <w:sz w:val="20"/>
              </w:rPr>
              <w:t>, S.A. 2010, c. 15).</w:t>
            </w:r>
          </w:p>
        </w:tc>
      </w:tr>
      <w:tr w:rsidR="00D57104" w:rsidRPr="001375B7" w:rsidTr="00D57104">
        <w:tc>
          <w:tcPr>
            <w:tcW w:w="5000" w:type="pct"/>
            <w:gridSpan w:val="4"/>
          </w:tcPr>
          <w:p w:rsidR="00D57104" w:rsidRPr="001375B7" w:rsidRDefault="00D57104" w:rsidP="00D57104">
            <w:pPr>
              <w:jc w:val="both"/>
              <w:rPr>
                <w:sz w:val="20"/>
              </w:rPr>
            </w:pPr>
          </w:p>
        </w:tc>
      </w:tr>
      <w:tr w:rsidR="00D57104" w:rsidRPr="001375B7" w:rsidTr="00D57104">
        <w:tc>
          <w:tcPr>
            <w:tcW w:w="5000" w:type="pct"/>
            <w:gridSpan w:val="4"/>
          </w:tcPr>
          <w:p w:rsidR="00D57104" w:rsidRPr="001375B7" w:rsidRDefault="00D57104" w:rsidP="00D57104">
            <w:pPr>
              <w:jc w:val="both"/>
              <w:rPr>
                <w:sz w:val="20"/>
              </w:rPr>
            </w:pPr>
            <w:r w:rsidRPr="001375B7">
              <w:rPr>
                <w:sz w:val="20"/>
              </w:rPr>
              <w:t>Proposed class proceedings were filed across the country related to an alleged price</w:t>
            </w:r>
            <w:r w:rsidRPr="001375B7">
              <w:rPr>
                <w:sz w:val="20"/>
              </w:rPr>
              <w:noBreakHyphen/>
              <w:t>fixing conspiracy in the packaged bread market. The alleged perpetrators include the respondent corporations. Two of the proposed class proceedings were filed in Alberta by the applicant, Mr. Ravvin, and by the respondent, Ms. Pfaff. Ms. Pfaff is represented by counsel who is part of a consortium of law firms that have agreed to coordinate the claims for a national class and who have carriage of a proposed national class proceeding currently before the Ontario Superior Court of Justice. Mr. Ravvin’s counsel is not part of the consortium. The respondents sought a stay of both proposed class proceedings filed in Alberta, as being duplicative of the facts and matters advanced in the action in Ontario. Mr. Ravvin opposed the application to stay his action, arguing that his certification application ought to proceed before the stay application. The case management judge granted a stay of both Alberta actions. The Court of Appeal dismissed the appeal. It was satisfied that the case management judge had a sufficient understanding of the nature and particulars of the proposed class proceeding to grant the stays.</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lastRenderedPageBreak/>
              <w:t xml:space="preserve">April 8, 2019 </w:t>
            </w:r>
          </w:p>
          <w:p w:rsidR="00D57104" w:rsidRPr="001375B7" w:rsidRDefault="00D57104" w:rsidP="00D57104">
            <w:pPr>
              <w:jc w:val="both"/>
              <w:rPr>
                <w:sz w:val="20"/>
              </w:rPr>
            </w:pPr>
            <w:r w:rsidRPr="001375B7">
              <w:rPr>
                <w:sz w:val="20"/>
              </w:rPr>
              <w:t>Court of Queen’s Bench of Alberta</w:t>
            </w:r>
          </w:p>
          <w:p w:rsidR="00D57104" w:rsidRPr="001375B7" w:rsidRDefault="00D57104" w:rsidP="00D57104">
            <w:pPr>
              <w:jc w:val="both"/>
              <w:rPr>
                <w:sz w:val="20"/>
              </w:rPr>
            </w:pPr>
            <w:r w:rsidRPr="001375B7">
              <w:rPr>
                <w:sz w:val="20"/>
              </w:rPr>
              <w:t>(Rooke, A.C.J.)</w:t>
            </w:r>
          </w:p>
          <w:p w:rsidR="00D57104" w:rsidRPr="001375B7" w:rsidRDefault="00D57104" w:rsidP="00D57104">
            <w:pPr>
              <w:jc w:val="both"/>
              <w:rPr>
                <w:sz w:val="20"/>
              </w:rPr>
            </w:pPr>
            <w:r w:rsidRPr="001375B7">
              <w:rPr>
                <w:sz w:val="20"/>
              </w:rPr>
              <w:t>(Unpublished oral decision)</w:t>
            </w:r>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 xml:space="preserve">Class actions commenced in Alberta stayed </w:t>
            </w:r>
          </w:p>
        </w:tc>
      </w:tr>
      <w:tr w:rsidR="00D57104" w:rsidRPr="001375B7" w:rsidTr="00D57104">
        <w:tc>
          <w:tcPr>
            <w:tcW w:w="2427" w:type="pct"/>
            <w:gridSpan w:val="2"/>
          </w:tcPr>
          <w:p w:rsidR="00D57104" w:rsidRPr="001375B7" w:rsidRDefault="00D57104" w:rsidP="00D57104">
            <w:pPr>
              <w:jc w:val="both"/>
              <w:rPr>
                <w:sz w:val="20"/>
              </w:rPr>
            </w:pPr>
            <w:r w:rsidRPr="001375B7">
              <w:rPr>
                <w:sz w:val="20"/>
              </w:rPr>
              <w:t>September 5, 2019</w:t>
            </w:r>
          </w:p>
          <w:p w:rsidR="00D57104" w:rsidRPr="001375B7" w:rsidRDefault="00D57104" w:rsidP="00D57104">
            <w:pPr>
              <w:jc w:val="both"/>
              <w:rPr>
                <w:sz w:val="20"/>
              </w:rPr>
            </w:pPr>
            <w:r w:rsidRPr="001375B7">
              <w:rPr>
                <w:sz w:val="20"/>
              </w:rPr>
              <w:t>Court of Queen’s Bench of Alberta</w:t>
            </w:r>
          </w:p>
          <w:p w:rsidR="00D57104" w:rsidRPr="001375B7" w:rsidRDefault="00D57104" w:rsidP="00D57104">
            <w:pPr>
              <w:jc w:val="both"/>
              <w:rPr>
                <w:sz w:val="20"/>
              </w:rPr>
            </w:pPr>
            <w:r w:rsidRPr="001375B7">
              <w:rPr>
                <w:sz w:val="20"/>
              </w:rPr>
              <w:t>(Rooke, A.C.J.)</w:t>
            </w:r>
          </w:p>
          <w:p w:rsidR="00D57104" w:rsidRPr="001375B7" w:rsidRDefault="00F04E23" w:rsidP="00D57104">
            <w:pPr>
              <w:jc w:val="both"/>
              <w:rPr>
                <w:sz w:val="20"/>
              </w:rPr>
            </w:pPr>
            <w:hyperlink r:id="rId28" w:history="1">
              <w:r w:rsidR="00D57104" w:rsidRPr="001375B7">
                <w:rPr>
                  <w:rStyle w:val="Hyperlink"/>
                  <w:sz w:val="20"/>
                </w:rPr>
                <w:t>2019 ABQB 686</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Supplementary reasons for decision to stay class actions issued</w:t>
            </w:r>
          </w:p>
        </w:tc>
      </w:tr>
      <w:tr w:rsidR="00D57104" w:rsidRPr="001375B7" w:rsidTr="00D57104">
        <w:tc>
          <w:tcPr>
            <w:tcW w:w="2427" w:type="pct"/>
            <w:gridSpan w:val="2"/>
          </w:tcPr>
          <w:p w:rsidR="00D57104" w:rsidRPr="001375B7" w:rsidRDefault="00D57104" w:rsidP="00D57104">
            <w:pPr>
              <w:jc w:val="both"/>
              <w:rPr>
                <w:sz w:val="20"/>
              </w:rPr>
            </w:pPr>
            <w:r w:rsidRPr="001375B7">
              <w:rPr>
                <w:sz w:val="20"/>
              </w:rPr>
              <w:t>November 27, 2020</w:t>
            </w:r>
          </w:p>
          <w:p w:rsidR="00D57104" w:rsidRPr="001375B7" w:rsidRDefault="00D57104" w:rsidP="00D57104">
            <w:pPr>
              <w:jc w:val="both"/>
              <w:rPr>
                <w:sz w:val="20"/>
              </w:rPr>
            </w:pPr>
            <w:r w:rsidRPr="001375B7">
              <w:rPr>
                <w:sz w:val="20"/>
              </w:rPr>
              <w:t>Court of Appeal of Alberta (Calgary)</w:t>
            </w:r>
          </w:p>
          <w:p w:rsidR="00D57104" w:rsidRPr="001375B7" w:rsidRDefault="00D57104" w:rsidP="00D57104">
            <w:pPr>
              <w:jc w:val="both"/>
              <w:rPr>
                <w:sz w:val="20"/>
              </w:rPr>
            </w:pPr>
            <w:r w:rsidRPr="001375B7">
              <w:rPr>
                <w:sz w:val="20"/>
              </w:rPr>
              <w:t>(Veldhuis, Crighton, and Antonio JJ.A.)</w:t>
            </w:r>
          </w:p>
          <w:p w:rsidR="00D57104" w:rsidRPr="001375B7" w:rsidRDefault="00F04E23" w:rsidP="00D57104">
            <w:pPr>
              <w:jc w:val="both"/>
              <w:rPr>
                <w:sz w:val="20"/>
              </w:rPr>
            </w:pPr>
            <w:hyperlink r:id="rId29" w:history="1">
              <w:r w:rsidR="00D57104" w:rsidRPr="001375B7">
                <w:rPr>
                  <w:rStyle w:val="Hyperlink"/>
                  <w:sz w:val="20"/>
                </w:rPr>
                <w:t>2020 ABCA 424</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rPr>
            </w:pPr>
            <w:r w:rsidRPr="001375B7">
              <w:rPr>
                <w:sz w:val="20"/>
              </w:rPr>
              <w:t>Appeal dismissed</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January 25, 2021</w:t>
            </w:r>
          </w:p>
          <w:p w:rsidR="00D57104" w:rsidRPr="001375B7" w:rsidRDefault="00D57104" w:rsidP="00D57104">
            <w:pPr>
              <w:jc w:val="both"/>
              <w:rPr>
                <w:sz w:val="20"/>
              </w:rPr>
            </w:pPr>
            <w:r w:rsidRPr="001375B7">
              <w:rPr>
                <w:sz w:val="20"/>
              </w:rPr>
              <w:t>Supreme Court of Canada</w:t>
            </w: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Application for leave to appeal filed</w:t>
            </w:r>
          </w:p>
          <w:p w:rsidR="00D57104" w:rsidRPr="001375B7" w:rsidRDefault="00D57104" w:rsidP="00D57104">
            <w:pPr>
              <w:jc w:val="both"/>
              <w:rPr>
                <w:sz w:val="20"/>
              </w:rPr>
            </w:pPr>
          </w:p>
        </w:tc>
      </w:tr>
    </w:tbl>
    <w:p w:rsidR="00D57104" w:rsidRPr="001375B7" w:rsidRDefault="00D57104" w:rsidP="00D57104">
      <w:pPr>
        <w:jc w:val="both"/>
        <w:rPr>
          <w:sz w:val="20"/>
        </w:rPr>
      </w:pPr>
    </w:p>
    <w:p w:rsidR="00D57104" w:rsidRPr="001375B7" w:rsidRDefault="00F04E23" w:rsidP="00D57104">
      <w:pPr>
        <w:jc w:val="both"/>
        <w:rPr>
          <w:sz w:val="20"/>
        </w:rPr>
      </w:pPr>
      <w:r>
        <w:rPr>
          <w:sz w:val="20"/>
        </w:rPr>
        <w:pict>
          <v:rect id="_x0000_i1031" style="width:2in;height:1pt" o:hrpct="0" o:hralign="center" o:hrstd="t" o:hrnoshade="t" o:hr="t" fillcolor="black [3213]" stroked="f"/>
        </w:pict>
      </w:r>
    </w:p>
    <w:p w:rsidR="00D57104" w:rsidRPr="001375B7" w:rsidRDefault="00D57104" w:rsidP="00D571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fr-CA"/>
              </w:rPr>
            </w:pPr>
            <w:r w:rsidRPr="001375B7">
              <w:rPr>
                <w:rStyle w:val="SCCFileNumberChar"/>
                <w:sz w:val="20"/>
                <w:szCs w:val="20"/>
                <w:lang w:val="fr-CA"/>
              </w:rPr>
              <w:t>39554</w:t>
            </w:r>
          </w:p>
        </w:tc>
        <w:tc>
          <w:tcPr>
            <w:tcW w:w="4457" w:type="pct"/>
            <w:gridSpan w:val="3"/>
          </w:tcPr>
          <w:p w:rsidR="00D57104" w:rsidRPr="001375B7" w:rsidRDefault="00D57104" w:rsidP="00D57104">
            <w:pPr>
              <w:pStyle w:val="SCCLsocParty"/>
              <w:jc w:val="both"/>
              <w:rPr>
                <w:b/>
                <w:sz w:val="20"/>
                <w:szCs w:val="20"/>
                <w:lang w:val="en-US"/>
              </w:rPr>
            </w:pPr>
            <w:r w:rsidRPr="001375B7">
              <w:rPr>
                <w:b/>
                <w:sz w:val="20"/>
                <w:szCs w:val="20"/>
                <w:lang w:val="en-US"/>
              </w:rPr>
              <w:t>Lionel Ravvin c. Canada Bread Company Limited, George Weston Limited, Giant Tiger Stores Limited, Kimberley Marie Pfaff, Loblaw Companies Limited, Sobeys Inc., Wal-Mart Canada Corp., Weston Foods (Canada) Inc.</w:t>
            </w:r>
          </w:p>
          <w:p w:rsidR="00D57104" w:rsidRPr="001375B7" w:rsidRDefault="00D57104" w:rsidP="00D57104">
            <w:pPr>
              <w:jc w:val="both"/>
              <w:rPr>
                <w:sz w:val="20"/>
                <w:lang w:val="fr-CA"/>
              </w:rPr>
            </w:pPr>
            <w:r w:rsidRPr="001375B7">
              <w:rPr>
                <w:sz w:val="20"/>
                <w:lang w:val="fr-CA"/>
              </w:rPr>
              <w:t>(Alb.) (Civile) (Sur autorisation)</w:t>
            </w: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Procédure civile — Recours collectifs — On a fait droit aux demandes de sursis d’actions en Alberta au profit d’une action intentée en Ontario à l’échelle nationale avant d’examiner le bien</w:t>
            </w:r>
            <w:r w:rsidRPr="001375B7">
              <w:rPr>
                <w:sz w:val="20"/>
                <w:lang w:val="fr-CA"/>
              </w:rPr>
              <w:noBreakHyphen/>
              <w:t>fondé de la certification de l’action projetée en Alberta — Un tribunal en Colombie</w:t>
            </w:r>
            <w:r w:rsidRPr="001375B7">
              <w:rPr>
                <w:sz w:val="20"/>
                <w:lang w:val="fr-CA"/>
              </w:rPr>
              <w:noBreakHyphen/>
              <w:t>Britannique, en Alberta ou en Saskatchewan saisi d’un recours collectif projeté, dans le cadre duquel des actions parallèles ou se chevauchant potentiellement ont été intentées dans d’autres provinces, peut</w:t>
            </w:r>
            <w:r w:rsidRPr="001375B7">
              <w:rPr>
                <w:sz w:val="20"/>
                <w:lang w:val="fr-CA"/>
              </w:rPr>
              <w:noBreakHyphen/>
              <w:t xml:space="preserve">il se prononcer sur les questions multijuridictionnelles prioritaires avant l’audience visant à déterminer les autres critères de certification? — </w:t>
            </w:r>
            <w:r w:rsidRPr="001375B7">
              <w:rPr>
                <w:i/>
                <w:sz w:val="20"/>
                <w:lang w:val="fr-CA"/>
              </w:rPr>
              <w:t>Class Proceedings Act</w:t>
            </w:r>
            <w:r w:rsidRPr="001375B7">
              <w:rPr>
                <w:sz w:val="20"/>
                <w:lang w:val="fr-CA"/>
              </w:rPr>
              <w:t>, S.A. 2003, c. C</w:t>
            </w:r>
            <w:r w:rsidRPr="001375B7">
              <w:rPr>
                <w:sz w:val="20"/>
                <w:lang w:val="fr-CA"/>
              </w:rPr>
              <w:noBreakHyphen/>
              <w:t xml:space="preserve">16.5, art. 5 (modifiée par la </w:t>
            </w:r>
            <w:r w:rsidRPr="001375B7">
              <w:rPr>
                <w:i/>
                <w:sz w:val="20"/>
                <w:lang w:val="fr-CA"/>
              </w:rPr>
              <w:t>Class Proceedings Amendment Act, 2010</w:t>
            </w:r>
            <w:r w:rsidRPr="001375B7">
              <w:rPr>
                <w:sz w:val="20"/>
                <w:lang w:val="fr-CA"/>
              </w:rPr>
              <w:t>, S.A. 2010, c. 15)</w:t>
            </w:r>
          </w:p>
        </w:tc>
      </w:tr>
      <w:tr w:rsidR="00D57104" w:rsidRPr="00170A70" w:rsidTr="00D57104">
        <w:tc>
          <w:tcPr>
            <w:tcW w:w="5000" w:type="pct"/>
            <w:gridSpan w:val="4"/>
          </w:tcPr>
          <w:p w:rsidR="00D57104" w:rsidRPr="001375B7" w:rsidRDefault="00D57104" w:rsidP="00D57104">
            <w:pPr>
              <w:jc w:val="both"/>
              <w:rPr>
                <w:sz w:val="20"/>
                <w:lang w:val="fr-CA"/>
              </w:rPr>
            </w:pP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Des projets de recours collectifs ont été déposés d’un bout à l’autre du pays à l’égard d’allégations d’un complot de fixation des prix touchant le marché du pain emballé. Les sociétés intimées figurent parmi les auteurs présumés de ce complot. Deux des recours collectifs projetés ont été déposés en Alberta par le demandeur, M. Ravvin, et par l’intimée, Mme Pfaff. Cette dernière est représentée par un avocat qui fait partie d’un consortium de cabinets d’avocats qui se sont mis d’accord pour coordonner les réclamations afin de former un groupe national, et qui ont la charge d’un recours collectif projeté dont est présentement saisie la Cour supérieure de justice de l’Ontario. L’avocat de M. Ravvin ne fait pas partie de ce consortium. Les intimées ont demandé le sursis des deux recours collectifs projetés qui ont été déposés en Alberta, puisque les questions en litige et les faits chevauchent ceux de l’action intentée en Ontario. M. Ravvin a contesté la demande de sursis de son action, soutenant que sa demande de certification devrait être entendue avant la demande de sursis. Le juge chargé de la gestion de l’instance a accueilli la demande de sursis des deux actions intentées en Alberta. La Cour d’appel a rejeté l’appel. Elle s’est dite convaincue que le juge chargé de la gestion de l’instance avait une connaissance suffisante de la nature et des détails du recours collectif projeté pour pouvoir faire droit à la demande de sursis des actions.</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 xml:space="preserve">8 avril 2019 </w:t>
            </w:r>
          </w:p>
          <w:p w:rsidR="00D57104" w:rsidRPr="001375B7" w:rsidRDefault="00D57104" w:rsidP="00D57104">
            <w:pPr>
              <w:jc w:val="both"/>
              <w:rPr>
                <w:sz w:val="20"/>
                <w:lang w:val="fr-CA"/>
              </w:rPr>
            </w:pPr>
            <w:r w:rsidRPr="001375B7">
              <w:rPr>
                <w:sz w:val="20"/>
                <w:lang w:val="fr-CA"/>
              </w:rPr>
              <w:t>Cour du Banc de la Reine de l’Alberta</w:t>
            </w:r>
          </w:p>
          <w:p w:rsidR="00D57104" w:rsidRPr="001375B7" w:rsidRDefault="00D57104" w:rsidP="00D57104">
            <w:pPr>
              <w:jc w:val="both"/>
              <w:rPr>
                <w:sz w:val="20"/>
                <w:lang w:val="fr-CA"/>
              </w:rPr>
            </w:pPr>
            <w:r w:rsidRPr="001375B7">
              <w:rPr>
                <w:sz w:val="20"/>
                <w:lang w:val="fr-CA"/>
              </w:rPr>
              <w:t>(juge en chef adjoint Rooke)</w:t>
            </w:r>
          </w:p>
          <w:p w:rsidR="00D57104" w:rsidRPr="001375B7" w:rsidRDefault="00D57104" w:rsidP="00D57104">
            <w:pPr>
              <w:jc w:val="both"/>
              <w:rPr>
                <w:sz w:val="20"/>
                <w:lang w:val="fr-CA"/>
              </w:rPr>
            </w:pPr>
            <w:r w:rsidRPr="001375B7">
              <w:rPr>
                <w:sz w:val="20"/>
                <w:lang w:val="fr-CA"/>
              </w:rPr>
              <w:t>(décision rendue oralement non publiée)</w:t>
            </w:r>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Il est sursis aux recours collectifs intentés en Alberta.</w:t>
            </w: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5 septembre 2019</w:t>
            </w:r>
          </w:p>
          <w:p w:rsidR="00D57104" w:rsidRPr="001375B7" w:rsidRDefault="00D57104" w:rsidP="00D57104">
            <w:pPr>
              <w:jc w:val="both"/>
              <w:rPr>
                <w:sz w:val="20"/>
                <w:lang w:val="fr-CA"/>
              </w:rPr>
            </w:pPr>
            <w:r w:rsidRPr="001375B7">
              <w:rPr>
                <w:sz w:val="20"/>
                <w:lang w:val="fr-CA"/>
              </w:rPr>
              <w:t>Cour du Banc de la Reine de l’Alberta</w:t>
            </w:r>
          </w:p>
          <w:p w:rsidR="00D57104" w:rsidRPr="001375B7" w:rsidRDefault="00D57104" w:rsidP="00D57104">
            <w:pPr>
              <w:jc w:val="both"/>
              <w:rPr>
                <w:sz w:val="20"/>
                <w:lang w:val="fr-CA"/>
              </w:rPr>
            </w:pPr>
            <w:r w:rsidRPr="001375B7">
              <w:rPr>
                <w:sz w:val="20"/>
                <w:lang w:val="fr-CA"/>
              </w:rPr>
              <w:t xml:space="preserve"> (juge en chef adjoint Rooke)</w:t>
            </w:r>
          </w:p>
          <w:p w:rsidR="00D57104" w:rsidRPr="001375B7" w:rsidRDefault="00F04E23" w:rsidP="00D57104">
            <w:pPr>
              <w:jc w:val="both"/>
              <w:rPr>
                <w:sz w:val="20"/>
                <w:lang w:val="fr-CA"/>
              </w:rPr>
            </w:pPr>
            <w:hyperlink r:id="rId30" w:history="1">
              <w:r w:rsidR="00D57104" w:rsidRPr="001375B7">
                <w:rPr>
                  <w:rStyle w:val="Hyperlink"/>
                  <w:sz w:val="20"/>
                  <w:lang w:val="fr-CA"/>
                </w:rPr>
                <w:t>2019 ABQB 686</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Des motifs de jugement supplémentaires à l’égard de la décision de surseoir aux recours collectifs sont rendus.</w:t>
            </w:r>
          </w:p>
        </w:tc>
      </w:tr>
      <w:tr w:rsidR="00D57104" w:rsidRPr="001375B7" w:rsidTr="00D57104">
        <w:tc>
          <w:tcPr>
            <w:tcW w:w="2427" w:type="pct"/>
            <w:gridSpan w:val="2"/>
          </w:tcPr>
          <w:p w:rsidR="00D57104" w:rsidRPr="001375B7" w:rsidRDefault="00D57104" w:rsidP="00D57104">
            <w:pPr>
              <w:jc w:val="both"/>
              <w:rPr>
                <w:sz w:val="20"/>
                <w:lang w:val="fr-CA"/>
              </w:rPr>
            </w:pPr>
            <w:r w:rsidRPr="001375B7">
              <w:rPr>
                <w:sz w:val="20"/>
                <w:lang w:val="fr-CA"/>
              </w:rPr>
              <w:t>27 novembre 2020</w:t>
            </w:r>
          </w:p>
          <w:p w:rsidR="00D57104" w:rsidRPr="001375B7" w:rsidRDefault="00D57104" w:rsidP="00D57104">
            <w:pPr>
              <w:jc w:val="both"/>
              <w:rPr>
                <w:sz w:val="20"/>
                <w:lang w:val="fr-CA"/>
              </w:rPr>
            </w:pPr>
            <w:r w:rsidRPr="001375B7">
              <w:rPr>
                <w:sz w:val="20"/>
                <w:lang w:val="fr-CA"/>
              </w:rPr>
              <w:t>Cour d’appel de l’Alberta (Calgary)</w:t>
            </w:r>
          </w:p>
          <w:p w:rsidR="00D57104" w:rsidRPr="001375B7" w:rsidRDefault="00D57104" w:rsidP="00D57104">
            <w:pPr>
              <w:jc w:val="both"/>
              <w:rPr>
                <w:sz w:val="20"/>
                <w:lang w:val="fr-CA"/>
              </w:rPr>
            </w:pPr>
            <w:r w:rsidRPr="001375B7">
              <w:rPr>
                <w:sz w:val="20"/>
                <w:lang w:val="fr-CA"/>
              </w:rPr>
              <w:t>(juges Veldhuis, Crighton et Antonio)</w:t>
            </w:r>
          </w:p>
          <w:p w:rsidR="00D57104" w:rsidRPr="001375B7" w:rsidRDefault="00F04E23" w:rsidP="00D57104">
            <w:pPr>
              <w:jc w:val="both"/>
              <w:rPr>
                <w:sz w:val="20"/>
                <w:lang w:val="fr-CA"/>
              </w:rPr>
            </w:pPr>
            <w:hyperlink r:id="rId31" w:history="1">
              <w:r w:rsidR="00D57104" w:rsidRPr="001375B7">
                <w:rPr>
                  <w:rStyle w:val="Hyperlink"/>
                  <w:sz w:val="20"/>
                  <w:lang w:val="fr-CA"/>
                </w:rPr>
                <w:t>2020 ABCA 424</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L’appel est rejeté.</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25 janvier 2021</w:t>
            </w:r>
          </w:p>
          <w:p w:rsidR="00D57104" w:rsidRPr="001375B7" w:rsidRDefault="00D57104" w:rsidP="00D57104">
            <w:pPr>
              <w:jc w:val="both"/>
              <w:rPr>
                <w:sz w:val="20"/>
                <w:lang w:val="fr-CA"/>
              </w:rPr>
            </w:pPr>
            <w:r w:rsidRPr="001375B7">
              <w:rPr>
                <w:sz w:val="20"/>
                <w:lang w:val="fr-CA"/>
              </w:rPr>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 demande d’autorisation d’appel est présentée.</w:t>
            </w:r>
          </w:p>
          <w:p w:rsidR="00D57104" w:rsidRPr="001375B7" w:rsidRDefault="00D57104" w:rsidP="00D57104">
            <w:pPr>
              <w:jc w:val="both"/>
              <w:rPr>
                <w:sz w:val="20"/>
                <w:lang w:val="fr-CA"/>
              </w:rPr>
            </w:pPr>
          </w:p>
        </w:tc>
      </w:tr>
    </w:tbl>
    <w:p w:rsidR="00D57104" w:rsidRPr="001375B7" w:rsidRDefault="00D57104" w:rsidP="00D57104">
      <w:pPr>
        <w:jc w:val="both"/>
        <w:rPr>
          <w:sz w:val="20"/>
          <w:lang w:val="fr-CA"/>
        </w:rPr>
      </w:pPr>
    </w:p>
    <w:p w:rsidR="00FC13B1" w:rsidRPr="001375B7" w:rsidRDefault="00F04E23" w:rsidP="00D57104">
      <w:pPr>
        <w:widowControl w:val="0"/>
        <w:jc w:val="both"/>
        <w:rPr>
          <w:sz w:val="20"/>
          <w:lang w:val="fr-CA"/>
        </w:rPr>
      </w:pPr>
      <w:r>
        <w:rPr>
          <w:sz w:val="20"/>
        </w:rPr>
        <w:pict>
          <v:rect id="_x0000_i1032" style="width:2in;height:1pt" o:hrpct="0" o:hralign="center" o:hrstd="t" o:hrnoshade="t" o:hr="t" fillcolor="black [3213]" stroked="f"/>
        </w:pict>
      </w:r>
    </w:p>
    <w:p w:rsidR="00FC13B1" w:rsidRPr="001375B7" w:rsidRDefault="00FC13B1" w:rsidP="00D5710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39439</w:t>
            </w:r>
          </w:p>
        </w:tc>
        <w:tc>
          <w:tcPr>
            <w:tcW w:w="4457" w:type="pct"/>
            <w:gridSpan w:val="3"/>
          </w:tcPr>
          <w:p w:rsidR="00D57104" w:rsidRPr="001375B7" w:rsidRDefault="00D57104" w:rsidP="00D57104">
            <w:pPr>
              <w:pStyle w:val="SCCLsocParty"/>
              <w:jc w:val="both"/>
              <w:rPr>
                <w:b/>
                <w:sz w:val="20"/>
                <w:szCs w:val="20"/>
                <w:lang w:val="en-US"/>
              </w:rPr>
            </w:pPr>
            <w:r w:rsidRPr="001375B7">
              <w:rPr>
                <w:b/>
                <w:sz w:val="20"/>
                <w:szCs w:val="20"/>
                <w:lang w:val="en-US"/>
              </w:rPr>
              <w:t>Nova Chemicals Corporation v. Dow Chemical Company, Dow Global Technologies Inc., Dow Chemical Canada ULC</w:t>
            </w:r>
          </w:p>
          <w:p w:rsidR="00D57104" w:rsidRPr="001375B7" w:rsidRDefault="00D57104" w:rsidP="00D57104">
            <w:pPr>
              <w:jc w:val="both"/>
              <w:rPr>
                <w:sz w:val="20"/>
              </w:rPr>
            </w:pPr>
            <w:r w:rsidRPr="001375B7">
              <w:rPr>
                <w:sz w:val="20"/>
              </w:rPr>
              <w:t>(F.C.) (Civil) (By Leave)</w:t>
            </w:r>
          </w:p>
        </w:tc>
      </w:tr>
      <w:tr w:rsidR="00D57104" w:rsidRPr="001375B7" w:rsidTr="00D57104">
        <w:tc>
          <w:tcPr>
            <w:tcW w:w="5000" w:type="pct"/>
            <w:gridSpan w:val="4"/>
          </w:tcPr>
          <w:p w:rsidR="00D57104" w:rsidRPr="001375B7" w:rsidRDefault="00D57104" w:rsidP="00D57104">
            <w:pPr>
              <w:pStyle w:val="SCCBanSummary"/>
              <w:rPr>
                <w:sz w:val="20"/>
                <w:szCs w:val="20"/>
              </w:rPr>
            </w:pPr>
            <w:r w:rsidRPr="001375B7">
              <w:rPr>
                <w:sz w:val="20"/>
                <w:szCs w:val="20"/>
              </w:rPr>
              <w:t>(Sealing order)</w:t>
            </w:r>
          </w:p>
          <w:p w:rsidR="00D57104" w:rsidRPr="001375B7" w:rsidRDefault="00D57104" w:rsidP="00D57104">
            <w:pPr>
              <w:jc w:val="both"/>
              <w:rPr>
                <w:sz w:val="20"/>
              </w:rPr>
            </w:pPr>
          </w:p>
          <w:p w:rsidR="00D57104" w:rsidRPr="001375B7" w:rsidRDefault="00D57104" w:rsidP="00D57104">
            <w:pPr>
              <w:jc w:val="both"/>
              <w:rPr>
                <w:sz w:val="20"/>
              </w:rPr>
            </w:pPr>
            <w:r w:rsidRPr="001375B7">
              <w:rPr>
                <w:sz w:val="20"/>
              </w:rPr>
              <w:t>Intellectual property — Patents — Medicines — Damages — Respondent seeking remedy of accounting of profits following determination applicant had infringed respondent’s patent — What is the proper conceptual approach to determining how to calculate a disgorgement of profits in the patent context? — Are “springboard profits” on products sold after patent expiry available at law?</w:t>
            </w:r>
          </w:p>
        </w:tc>
      </w:tr>
      <w:tr w:rsidR="00D57104" w:rsidRPr="001375B7" w:rsidTr="00D57104">
        <w:tc>
          <w:tcPr>
            <w:tcW w:w="5000" w:type="pct"/>
            <w:gridSpan w:val="4"/>
          </w:tcPr>
          <w:p w:rsidR="00D57104" w:rsidRPr="001375B7" w:rsidRDefault="00D57104" w:rsidP="00D57104">
            <w:pPr>
              <w:jc w:val="both"/>
              <w:rPr>
                <w:sz w:val="20"/>
              </w:rPr>
            </w:pPr>
          </w:p>
        </w:tc>
      </w:tr>
      <w:tr w:rsidR="00D57104" w:rsidRPr="001375B7" w:rsidTr="00D57104">
        <w:tc>
          <w:tcPr>
            <w:tcW w:w="5000" w:type="pct"/>
            <w:gridSpan w:val="4"/>
          </w:tcPr>
          <w:p w:rsidR="00D57104" w:rsidRPr="001375B7" w:rsidRDefault="00D57104" w:rsidP="00D57104">
            <w:pPr>
              <w:jc w:val="both"/>
              <w:rPr>
                <w:sz w:val="20"/>
              </w:rPr>
            </w:pPr>
            <w:r w:rsidRPr="001375B7">
              <w:rPr>
                <w:sz w:val="20"/>
              </w:rPr>
              <w:t xml:space="preserve">In 2014, the Federal Court, in the liability phase of the trial, held that the respondents’ (collectively “Dow”) 705 Patent for fabricated products made from ethylene polymer blends was found to be valid and infringed by a product manufactured by Nova Chemicals Corporation (“Nova”). The 705 Patent issued in 2006 and expired on April 19, 2014. Dow was held to be entitled to damages under the </w:t>
            </w:r>
            <w:r w:rsidRPr="001375B7">
              <w:rPr>
                <w:i/>
                <w:sz w:val="20"/>
              </w:rPr>
              <w:t>Patent Act</w:t>
            </w:r>
            <w:r w:rsidRPr="001375B7">
              <w:rPr>
                <w:sz w:val="20"/>
              </w:rPr>
              <w:t>, R.S.C. 1985, c. P</w:t>
            </w:r>
            <w:r w:rsidRPr="001375B7">
              <w:rPr>
                <w:sz w:val="20"/>
              </w:rPr>
              <w:noBreakHyphen/>
              <w:t>4, and had to elect either an accounting of Nova’s profits or damages sustained by reason of Nova’s infringement under s. 55(1) of the Act. The quantum of that award was to be assessed by reference. Dow elected an accounting of profits. The reference judge was required to determine the manner in which damages payable to Dow pursuant to ss. 55(1) and 55(2) of the Act should be calculated. The principles articulated by the reference judge allowed for the calculation of the accounting of profits to be disgorged by Nova and made payable to Dow. That decision was upheld on appeal.</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April 19, 2017</w:t>
            </w:r>
          </w:p>
          <w:p w:rsidR="00D57104" w:rsidRPr="001375B7" w:rsidRDefault="00D57104" w:rsidP="00D57104">
            <w:pPr>
              <w:jc w:val="both"/>
              <w:rPr>
                <w:sz w:val="20"/>
              </w:rPr>
            </w:pPr>
            <w:r w:rsidRPr="001375B7">
              <w:rPr>
                <w:sz w:val="20"/>
              </w:rPr>
              <w:t>Federal Court</w:t>
            </w:r>
          </w:p>
          <w:p w:rsidR="00D57104" w:rsidRPr="001375B7" w:rsidRDefault="00D57104" w:rsidP="00D57104">
            <w:pPr>
              <w:jc w:val="both"/>
              <w:rPr>
                <w:sz w:val="20"/>
              </w:rPr>
            </w:pPr>
            <w:r w:rsidRPr="001375B7">
              <w:rPr>
                <w:sz w:val="20"/>
              </w:rPr>
              <w:t>(Fothergill J.)</w:t>
            </w:r>
          </w:p>
          <w:p w:rsidR="00D57104" w:rsidRPr="001375B7" w:rsidRDefault="00F04E23" w:rsidP="00D57104">
            <w:pPr>
              <w:jc w:val="both"/>
              <w:rPr>
                <w:sz w:val="20"/>
              </w:rPr>
            </w:pPr>
            <w:hyperlink r:id="rId32" w:history="1">
              <w:r w:rsidR="00D57104" w:rsidRPr="001375B7">
                <w:rPr>
                  <w:rStyle w:val="Hyperlink"/>
                  <w:sz w:val="20"/>
                </w:rPr>
                <w:t>2017 FC 350</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Order assessing damages to be paid by applicant to respondent pursuant to an accounting of profits</w:t>
            </w:r>
          </w:p>
          <w:p w:rsidR="00D57104" w:rsidRPr="001375B7" w:rsidRDefault="00D57104" w:rsidP="00D57104">
            <w:pPr>
              <w:jc w:val="both"/>
              <w:rPr>
                <w:sz w:val="20"/>
              </w:rPr>
            </w:pP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September 15, 2020</w:t>
            </w:r>
          </w:p>
          <w:p w:rsidR="00D57104" w:rsidRPr="001375B7" w:rsidRDefault="00D57104" w:rsidP="00D57104">
            <w:pPr>
              <w:jc w:val="both"/>
              <w:rPr>
                <w:sz w:val="20"/>
              </w:rPr>
            </w:pPr>
            <w:r w:rsidRPr="001375B7">
              <w:rPr>
                <w:sz w:val="20"/>
              </w:rPr>
              <w:t>Federal Court of Appeal</w:t>
            </w:r>
          </w:p>
          <w:p w:rsidR="00D57104" w:rsidRPr="001375B7" w:rsidRDefault="00D57104" w:rsidP="00D57104">
            <w:pPr>
              <w:jc w:val="both"/>
              <w:rPr>
                <w:sz w:val="20"/>
              </w:rPr>
            </w:pPr>
            <w:r w:rsidRPr="001375B7">
              <w:rPr>
                <w:sz w:val="20"/>
              </w:rPr>
              <w:t>(Stratas, Near and Woods [dissenting] JJ.A.)</w:t>
            </w:r>
          </w:p>
          <w:p w:rsidR="00D57104" w:rsidRPr="001375B7" w:rsidRDefault="00F04E23" w:rsidP="00D57104">
            <w:pPr>
              <w:jc w:val="both"/>
              <w:rPr>
                <w:sz w:val="20"/>
              </w:rPr>
            </w:pPr>
            <w:hyperlink r:id="rId33" w:history="1">
              <w:r w:rsidR="00D57104" w:rsidRPr="001375B7">
                <w:rPr>
                  <w:rStyle w:val="Hyperlink"/>
                  <w:sz w:val="20"/>
                </w:rPr>
                <w:t>2020 FCA 141</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Applicant’s appeal dismissed; Respondents’ cross</w:t>
            </w:r>
            <w:r w:rsidRPr="001375B7">
              <w:rPr>
                <w:sz w:val="20"/>
              </w:rPr>
              <w:noBreakHyphen/>
              <w:t>appeal dismissed</w:t>
            </w:r>
          </w:p>
          <w:p w:rsidR="00D57104" w:rsidRPr="001375B7" w:rsidRDefault="00D57104" w:rsidP="00D57104">
            <w:pPr>
              <w:jc w:val="both"/>
              <w:rPr>
                <w:sz w:val="20"/>
              </w:rPr>
            </w:pP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November 13, 2020</w:t>
            </w:r>
          </w:p>
          <w:p w:rsidR="00D57104" w:rsidRPr="001375B7" w:rsidRDefault="00D57104" w:rsidP="00D57104">
            <w:pPr>
              <w:jc w:val="both"/>
              <w:rPr>
                <w:sz w:val="20"/>
              </w:rPr>
            </w:pPr>
            <w:r w:rsidRPr="001375B7">
              <w:rPr>
                <w:sz w:val="20"/>
              </w:rPr>
              <w:t>Supreme Court of Canada</w:t>
            </w: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Application for leave to appeal filed</w:t>
            </w:r>
          </w:p>
          <w:p w:rsidR="00D57104" w:rsidRPr="001375B7" w:rsidRDefault="00D57104" w:rsidP="00D57104">
            <w:pPr>
              <w:jc w:val="both"/>
              <w:rPr>
                <w:sz w:val="20"/>
              </w:rPr>
            </w:pPr>
          </w:p>
        </w:tc>
      </w:tr>
    </w:tbl>
    <w:p w:rsidR="00D57104" w:rsidRPr="001375B7" w:rsidRDefault="00D57104" w:rsidP="00D57104">
      <w:pPr>
        <w:jc w:val="both"/>
        <w:rPr>
          <w:sz w:val="20"/>
        </w:rPr>
      </w:pPr>
    </w:p>
    <w:p w:rsidR="00D57104" w:rsidRPr="001375B7" w:rsidRDefault="00F04E23" w:rsidP="00D57104">
      <w:pPr>
        <w:jc w:val="both"/>
        <w:rPr>
          <w:sz w:val="20"/>
        </w:rPr>
      </w:pPr>
      <w:r>
        <w:rPr>
          <w:sz w:val="20"/>
        </w:rPr>
        <w:pict>
          <v:rect id="_x0000_i1033" style="width:2in;height:1pt" o:hrpct="0" o:hralign="center" o:hrstd="t" o:hrnoshade="t" o:hr="t" fillcolor="black [3213]" stroked="f"/>
        </w:pict>
      </w:r>
    </w:p>
    <w:p w:rsidR="00D57104" w:rsidRPr="001375B7" w:rsidRDefault="00D57104" w:rsidP="00D571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fr-CA"/>
              </w:rPr>
            </w:pPr>
            <w:r w:rsidRPr="001375B7">
              <w:rPr>
                <w:rStyle w:val="SCCFileNumberChar"/>
                <w:sz w:val="20"/>
                <w:szCs w:val="20"/>
                <w:lang w:val="fr-CA"/>
              </w:rPr>
              <w:t>39439</w:t>
            </w:r>
          </w:p>
        </w:tc>
        <w:tc>
          <w:tcPr>
            <w:tcW w:w="4457" w:type="pct"/>
            <w:gridSpan w:val="3"/>
          </w:tcPr>
          <w:p w:rsidR="00D57104" w:rsidRPr="001375B7" w:rsidRDefault="00D57104" w:rsidP="00D57104">
            <w:pPr>
              <w:pStyle w:val="SCCLsocParty"/>
              <w:jc w:val="both"/>
              <w:rPr>
                <w:b/>
                <w:sz w:val="20"/>
                <w:szCs w:val="20"/>
                <w:lang w:val="en-US"/>
              </w:rPr>
            </w:pPr>
            <w:r w:rsidRPr="001375B7">
              <w:rPr>
                <w:b/>
                <w:sz w:val="20"/>
                <w:szCs w:val="20"/>
                <w:lang w:val="en-US"/>
              </w:rPr>
              <w:t>Nova Chemicals Corporation c. Dow Chemical Company, Dow Global Technologies Inc., Dow Chemical Canada ULC</w:t>
            </w:r>
          </w:p>
          <w:p w:rsidR="00D57104" w:rsidRPr="001375B7" w:rsidRDefault="00D57104" w:rsidP="00D57104">
            <w:pPr>
              <w:jc w:val="both"/>
              <w:rPr>
                <w:sz w:val="20"/>
                <w:lang w:val="fr-CA"/>
              </w:rPr>
            </w:pPr>
            <w:r w:rsidRPr="001375B7">
              <w:rPr>
                <w:sz w:val="20"/>
                <w:lang w:val="fr-CA"/>
              </w:rPr>
              <w:t>(C.F.) (Civile) (Autorisation)</w:t>
            </w:r>
          </w:p>
        </w:tc>
      </w:tr>
      <w:tr w:rsidR="00D57104" w:rsidRPr="00170A70" w:rsidTr="00D57104">
        <w:tc>
          <w:tcPr>
            <w:tcW w:w="5000" w:type="pct"/>
            <w:gridSpan w:val="4"/>
          </w:tcPr>
          <w:p w:rsidR="00D57104" w:rsidRPr="001375B7" w:rsidRDefault="00D57104" w:rsidP="00D57104">
            <w:pPr>
              <w:pStyle w:val="SCCBanSummary"/>
              <w:rPr>
                <w:sz w:val="20"/>
                <w:szCs w:val="20"/>
                <w:lang w:val="fr-CA"/>
              </w:rPr>
            </w:pPr>
            <w:r w:rsidRPr="001375B7">
              <w:rPr>
                <w:sz w:val="20"/>
                <w:szCs w:val="20"/>
                <w:lang w:val="fr-CA"/>
              </w:rPr>
              <w:t>(Ordonnance de mise sous scellés)</w:t>
            </w:r>
          </w:p>
          <w:p w:rsidR="00D57104" w:rsidRPr="001375B7" w:rsidRDefault="00D57104" w:rsidP="00D57104">
            <w:pPr>
              <w:jc w:val="both"/>
              <w:rPr>
                <w:sz w:val="20"/>
                <w:lang w:val="fr-CA"/>
              </w:rPr>
            </w:pPr>
          </w:p>
          <w:p w:rsidR="00D57104" w:rsidRPr="001375B7" w:rsidRDefault="00D57104" w:rsidP="00D57104">
            <w:pPr>
              <w:jc w:val="both"/>
              <w:rPr>
                <w:sz w:val="20"/>
                <w:lang w:val="fr-CA"/>
              </w:rPr>
            </w:pPr>
            <w:r w:rsidRPr="001375B7">
              <w:rPr>
                <w:sz w:val="20"/>
                <w:lang w:val="fr-CA"/>
              </w:rPr>
              <w:t>Propriété intellectuelle — Brevets — Médicaments — Dommages</w:t>
            </w:r>
            <w:r w:rsidRPr="001375B7">
              <w:rPr>
                <w:sz w:val="20"/>
                <w:lang w:val="fr-CA"/>
              </w:rPr>
              <w:noBreakHyphen/>
              <w:t>intérêts — L’intimée sollicite la remise des profits à la suite d’un jugement portant que la demanderesse avait contrefait le brevet de l’intimée — Quelle est l’approche conceptuelle appropriée pour déterminer comment calculer la restitution des profits dans le contexte des brevets? — Le droit permet</w:t>
            </w:r>
            <w:r w:rsidRPr="001375B7">
              <w:rPr>
                <w:sz w:val="20"/>
                <w:lang w:val="fr-CA"/>
              </w:rPr>
              <w:noBreakHyphen/>
              <w:t>il les « bénéfices de rebond » sur les produits vendus après l’expiration d’un brevet?</w:t>
            </w:r>
          </w:p>
        </w:tc>
      </w:tr>
      <w:tr w:rsidR="00D57104" w:rsidRPr="00170A70" w:rsidTr="00D57104">
        <w:tc>
          <w:tcPr>
            <w:tcW w:w="5000" w:type="pct"/>
            <w:gridSpan w:val="4"/>
          </w:tcPr>
          <w:p w:rsidR="00D57104" w:rsidRPr="001375B7" w:rsidRDefault="00D57104" w:rsidP="00D57104">
            <w:pPr>
              <w:jc w:val="both"/>
              <w:rPr>
                <w:sz w:val="20"/>
                <w:lang w:val="fr-CA"/>
              </w:rPr>
            </w:pPr>
          </w:p>
        </w:tc>
      </w:tr>
      <w:tr w:rsidR="00D57104" w:rsidRPr="001375B7" w:rsidTr="00D57104">
        <w:tc>
          <w:tcPr>
            <w:tcW w:w="5000" w:type="pct"/>
            <w:gridSpan w:val="4"/>
          </w:tcPr>
          <w:p w:rsidR="00D57104" w:rsidRPr="001375B7" w:rsidRDefault="00D57104" w:rsidP="00D57104">
            <w:pPr>
              <w:jc w:val="both"/>
              <w:rPr>
                <w:sz w:val="20"/>
                <w:lang w:val="fr-CA"/>
              </w:rPr>
            </w:pPr>
            <w:r w:rsidRPr="001375B7">
              <w:rPr>
                <w:sz w:val="20"/>
                <w:lang w:val="fr-CA"/>
              </w:rPr>
              <w:t xml:space="preserve">En 2014, la Cour fédérale, dans la phase du procès ayant pour objet l’examen de la responsabilité, a statué que le brevet 705 des intimées (collectivement « Dow ») portant sur les articles produits à partir de mélanges de polymères éthyléniques avait été jugé valide et qu’il avait été contrefait par un produit fabriqué par Nova Chemicals Corporation (« Nova »). Le brevet 705 avait été émis en 2006 et est arrivé à échéance le 19 avril 2014. Le tribunal a statué que Dow avait droit à des dommages-intérêts en vertu de la </w:t>
            </w:r>
            <w:r w:rsidRPr="001375B7">
              <w:rPr>
                <w:i/>
                <w:sz w:val="20"/>
                <w:lang w:val="fr-CA"/>
              </w:rPr>
              <w:t>Loi sur les brevets</w:t>
            </w:r>
            <w:r w:rsidRPr="001375B7">
              <w:rPr>
                <w:sz w:val="20"/>
                <w:lang w:val="fr-CA"/>
              </w:rPr>
              <w:t>, L.R.C. 1985, ch. P</w:t>
            </w:r>
            <w:r w:rsidRPr="001375B7">
              <w:rPr>
                <w:sz w:val="20"/>
                <w:lang w:val="fr-CA"/>
              </w:rPr>
              <w:noBreakHyphen/>
              <w:t>4, et devait choisir entre la restitution des profits de Nova ou les dommages</w:t>
            </w:r>
            <w:r w:rsidRPr="001375B7">
              <w:rPr>
                <w:sz w:val="20"/>
                <w:lang w:val="fr-CA"/>
              </w:rPr>
              <w:noBreakHyphen/>
              <w:t>intérêts liés à la contrefaçon par Nova du brevet 705 en vertu du par. 55(1) de la Loi. Le montant de cet octroi devait être évalué par un renvoi. Dow a choisi la remise des profits. Le juge chargé du renvoi devait déterminer méthode de calcul des dommages-intérêts payables à Dow en vertu des par. 55(1) et 55(2) de la Loi. Les principes formulés par le juge chargé du renvoi ont permis de calculer la remise des profits à restituer par Nova et payables à Dow. Cette décision a été confirmée en appel.</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19 avril 2017</w:t>
            </w:r>
          </w:p>
          <w:p w:rsidR="00D57104" w:rsidRPr="001375B7" w:rsidRDefault="00D57104" w:rsidP="00D57104">
            <w:pPr>
              <w:jc w:val="both"/>
              <w:rPr>
                <w:sz w:val="20"/>
                <w:lang w:val="fr-CA"/>
              </w:rPr>
            </w:pPr>
            <w:r w:rsidRPr="001375B7">
              <w:rPr>
                <w:sz w:val="20"/>
                <w:lang w:val="fr-CA"/>
              </w:rPr>
              <w:t>Cour fédérale</w:t>
            </w:r>
          </w:p>
          <w:p w:rsidR="00D57104" w:rsidRPr="001375B7" w:rsidRDefault="00D57104" w:rsidP="00D57104">
            <w:pPr>
              <w:jc w:val="both"/>
              <w:rPr>
                <w:sz w:val="20"/>
                <w:lang w:val="fr-CA"/>
              </w:rPr>
            </w:pPr>
            <w:r w:rsidRPr="001375B7">
              <w:rPr>
                <w:sz w:val="20"/>
                <w:lang w:val="fr-CA"/>
              </w:rPr>
              <w:t>(Juge Fothergill)</w:t>
            </w:r>
          </w:p>
          <w:p w:rsidR="00D57104" w:rsidRPr="001375B7" w:rsidRDefault="00F04E23" w:rsidP="00D57104">
            <w:pPr>
              <w:jc w:val="both"/>
              <w:rPr>
                <w:sz w:val="20"/>
                <w:lang w:val="fr-CA"/>
              </w:rPr>
            </w:pPr>
            <w:hyperlink r:id="rId34" w:history="1">
              <w:r w:rsidR="00D57104" w:rsidRPr="001375B7">
                <w:rPr>
                  <w:rStyle w:val="Hyperlink"/>
                  <w:sz w:val="20"/>
                  <w:lang w:val="fr-CA"/>
                </w:rPr>
                <w:t>2017 CF 350</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Ordonnance évaluant les dommages-intérêts que la demanderesse doit payer à l’intimée en vertu d’une remise des profits</w:t>
            </w:r>
          </w:p>
          <w:p w:rsidR="00D57104" w:rsidRPr="001375B7" w:rsidRDefault="00D57104" w:rsidP="00D57104">
            <w:pPr>
              <w:jc w:val="both"/>
              <w:rPr>
                <w:sz w:val="20"/>
                <w:lang w:val="fr-CA"/>
              </w:rPr>
            </w:pP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15 septembre 2020</w:t>
            </w:r>
          </w:p>
          <w:p w:rsidR="00D57104" w:rsidRPr="001375B7" w:rsidRDefault="00D57104" w:rsidP="00D57104">
            <w:pPr>
              <w:jc w:val="both"/>
              <w:rPr>
                <w:sz w:val="20"/>
                <w:lang w:val="fr-CA"/>
              </w:rPr>
            </w:pPr>
            <w:r w:rsidRPr="001375B7">
              <w:rPr>
                <w:sz w:val="20"/>
                <w:lang w:val="fr-CA"/>
              </w:rPr>
              <w:t>Cour d’appel fédérale</w:t>
            </w:r>
          </w:p>
          <w:p w:rsidR="00D57104" w:rsidRPr="001375B7" w:rsidRDefault="00D57104" w:rsidP="00D57104">
            <w:pPr>
              <w:jc w:val="both"/>
              <w:rPr>
                <w:sz w:val="20"/>
                <w:lang w:val="fr-CA"/>
              </w:rPr>
            </w:pPr>
            <w:r w:rsidRPr="001375B7">
              <w:rPr>
                <w:sz w:val="20"/>
                <w:lang w:val="fr-CA"/>
              </w:rPr>
              <w:t>(Juges Stratas, Near et Woods [dissidente])</w:t>
            </w:r>
          </w:p>
          <w:p w:rsidR="00D57104" w:rsidRPr="001375B7" w:rsidRDefault="00F04E23" w:rsidP="00D57104">
            <w:pPr>
              <w:jc w:val="both"/>
              <w:rPr>
                <w:sz w:val="20"/>
                <w:lang w:val="fr-CA"/>
              </w:rPr>
            </w:pPr>
            <w:hyperlink r:id="rId35" w:history="1">
              <w:r w:rsidR="00D57104" w:rsidRPr="001375B7">
                <w:rPr>
                  <w:rStyle w:val="Hyperlink"/>
                  <w:sz w:val="20"/>
                  <w:lang w:val="fr-CA"/>
                </w:rPr>
                <w:t>2020 FCA 141</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Rejet de l’appel de la demanderesse; rejet de l’appel incident des intimées</w:t>
            </w:r>
          </w:p>
          <w:p w:rsidR="00D57104" w:rsidRPr="001375B7" w:rsidRDefault="00D57104" w:rsidP="00D57104">
            <w:pPr>
              <w:jc w:val="both"/>
              <w:rPr>
                <w:sz w:val="20"/>
                <w:lang w:val="fr-CA"/>
              </w:rPr>
            </w:pP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13 novembre 2020</w:t>
            </w:r>
          </w:p>
          <w:p w:rsidR="00D57104" w:rsidRPr="001375B7" w:rsidRDefault="00D57104" w:rsidP="00D57104">
            <w:pPr>
              <w:jc w:val="both"/>
              <w:rPr>
                <w:sz w:val="20"/>
                <w:lang w:val="fr-CA"/>
              </w:rPr>
            </w:pPr>
            <w:r w:rsidRPr="001375B7">
              <w:rPr>
                <w:sz w:val="20"/>
                <w:lang w:val="fr-CA"/>
              </w:rPr>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Dépôt de la demande d’autorisation d’appel</w:t>
            </w:r>
          </w:p>
          <w:p w:rsidR="00D57104" w:rsidRPr="001375B7" w:rsidRDefault="00D57104" w:rsidP="00D57104">
            <w:pPr>
              <w:jc w:val="both"/>
              <w:rPr>
                <w:sz w:val="20"/>
                <w:lang w:val="fr-CA"/>
              </w:rPr>
            </w:pPr>
          </w:p>
        </w:tc>
      </w:tr>
    </w:tbl>
    <w:p w:rsidR="00D57104" w:rsidRPr="001375B7" w:rsidRDefault="00D57104" w:rsidP="00D57104">
      <w:pPr>
        <w:jc w:val="both"/>
        <w:rPr>
          <w:sz w:val="20"/>
          <w:lang w:val="fr-CA"/>
        </w:rPr>
      </w:pPr>
    </w:p>
    <w:p w:rsidR="00FC13B1" w:rsidRPr="001375B7" w:rsidRDefault="00F04E23" w:rsidP="00D57104">
      <w:pPr>
        <w:widowControl w:val="0"/>
        <w:jc w:val="both"/>
        <w:rPr>
          <w:sz w:val="20"/>
          <w:lang w:val="fr-CA"/>
        </w:rPr>
      </w:pPr>
      <w:r>
        <w:rPr>
          <w:sz w:val="20"/>
        </w:rPr>
        <w:pict>
          <v:rect id="_x0000_i1034" style="width:2in;height:1pt" o:hrpct="0" o:hralign="center" o:hrstd="t" o:hrnoshade="t" o:hr="t" fillcolor="black [3213]" stroked="f"/>
        </w:pict>
      </w:r>
    </w:p>
    <w:p w:rsidR="00FC13B1" w:rsidRPr="001375B7" w:rsidRDefault="00FC13B1" w:rsidP="00D5710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en-CA"/>
              </w:rPr>
            </w:pPr>
            <w:r w:rsidRPr="001375B7">
              <w:rPr>
                <w:rStyle w:val="SCCFileNumberChar"/>
                <w:sz w:val="20"/>
                <w:szCs w:val="20"/>
              </w:rPr>
              <w:t>39545</w:t>
            </w:r>
          </w:p>
        </w:tc>
        <w:tc>
          <w:tcPr>
            <w:tcW w:w="4457" w:type="pct"/>
            <w:gridSpan w:val="3"/>
          </w:tcPr>
          <w:p w:rsidR="00D57104" w:rsidRPr="001375B7" w:rsidRDefault="00D57104" w:rsidP="00D57104">
            <w:pPr>
              <w:pStyle w:val="SCCLsocParty"/>
              <w:jc w:val="both"/>
              <w:rPr>
                <w:b/>
                <w:sz w:val="20"/>
                <w:szCs w:val="20"/>
                <w:lang w:val="en-CA"/>
              </w:rPr>
            </w:pPr>
            <w:r w:rsidRPr="001375B7">
              <w:rPr>
                <w:b/>
                <w:sz w:val="20"/>
                <w:szCs w:val="20"/>
                <w:lang w:val="en-CA"/>
              </w:rPr>
              <w:t>Michel Labonté, personally and in his capacity as tutor or representative of a minor child, and Annie Otis, personally and in her capacity as tutor or representative of a minor child v. Commission scolaire de la Capitale</w:t>
            </w:r>
          </w:p>
          <w:p w:rsidR="00D57104" w:rsidRPr="001375B7" w:rsidRDefault="00D57104" w:rsidP="00D57104">
            <w:pPr>
              <w:jc w:val="both"/>
              <w:rPr>
                <w:sz w:val="20"/>
                <w:lang w:val="en-CA"/>
              </w:rPr>
            </w:pPr>
            <w:r w:rsidRPr="001375B7">
              <w:rPr>
                <w:sz w:val="20"/>
                <w:lang w:val="en-CA"/>
              </w:rPr>
              <w:t>(Que.) (Civil) (By Leave)</w:t>
            </w:r>
          </w:p>
        </w:tc>
      </w:tr>
      <w:tr w:rsidR="00D57104" w:rsidRPr="001375B7" w:rsidTr="00D57104">
        <w:tc>
          <w:tcPr>
            <w:tcW w:w="5000" w:type="pct"/>
            <w:gridSpan w:val="4"/>
          </w:tcPr>
          <w:p w:rsidR="00D57104" w:rsidRPr="001375B7" w:rsidRDefault="00D57104" w:rsidP="00D57104">
            <w:pPr>
              <w:jc w:val="both"/>
              <w:rPr>
                <w:sz w:val="20"/>
                <w:lang w:val="en-CA"/>
              </w:rPr>
            </w:pPr>
            <w:r w:rsidRPr="001375B7">
              <w:rPr>
                <w:sz w:val="20"/>
                <w:lang w:val="en-CA"/>
              </w:rPr>
              <w:t>(PUBLICATION BAN ON PARTY)</w:t>
            </w:r>
          </w:p>
          <w:p w:rsidR="00D57104" w:rsidRPr="001375B7" w:rsidRDefault="00D57104" w:rsidP="00D57104">
            <w:pPr>
              <w:jc w:val="both"/>
              <w:rPr>
                <w:sz w:val="20"/>
                <w:lang w:val="en-CA"/>
              </w:rPr>
            </w:pPr>
          </w:p>
          <w:p w:rsidR="00D57104" w:rsidRPr="001375B7" w:rsidRDefault="00D57104" w:rsidP="00D57104">
            <w:pPr>
              <w:jc w:val="both"/>
              <w:rPr>
                <w:sz w:val="20"/>
                <w:lang w:val="en-CA"/>
              </w:rPr>
            </w:pPr>
            <w:proofErr w:type="gramStart"/>
            <w:r w:rsidRPr="001375B7">
              <w:rPr>
                <w:sz w:val="20"/>
                <w:lang w:val="en-CA"/>
              </w:rPr>
              <w:t>Civil liability — Unlawful intentional fault — Human rights — Discrimination — Prohibited grounds — Mental or physical disability — Evaluation of child’s needs at school — Regular class versus specialized class — School board alleged to have deprived child diagnosed with autism spectrum disorder of adapted educational services — School board also accused of discrimination in refusing to transfer child to specialized class — Lower courts concluding that there no fault or injury — Court of Appeal addressing issue of discrimination and concluding that there no evidence of discriminatory treatment — Whether application for leave to appeal raising issue of public importance.</w:t>
            </w:r>
            <w:proofErr w:type="gramEnd"/>
          </w:p>
        </w:tc>
      </w:tr>
      <w:tr w:rsidR="00D57104" w:rsidRPr="001375B7" w:rsidTr="00D57104">
        <w:tc>
          <w:tcPr>
            <w:tcW w:w="5000" w:type="pct"/>
            <w:gridSpan w:val="4"/>
          </w:tcPr>
          <w:p w:rsidR="00D57104" w:rsidRPr="001375B7" w:rsidRDefault="00D57104" w:rsidP="00D57104">
            <w:pPr>
              <w:jc w:val="both"/>
              <w:rPr>
                <w:sz w:val="20"/>
                <w:lang w:val="en-CA"/>
              </w:rPr>
            </w:pPr>
          </w:p>
        </w:tc>
      </w:tr>
      <w:tr w:rsidR="00D57104" w:rsidRPr="001375B7" w:rsidTr="00D57104">
        <w:tc>
          <w:tcPr>
            <w:tcW w:w="5000" w:type="pct"/>
            <w:gridSpan w:val="4"/>
          </w:tcPr>
          <w:p w:rsidR="00D57104" w:rsidRPr="001375B7" w:rsidRDefault="00D57104" w:rsidP="00D57104">
            <w:pPr>
              <w:jc w:val="both"/>
              <w:rPr>
                <w:sz w:val="20"/>
                <w:lang w:val="en-CA"/>
              </w:rPr>
            </w:pPr>
            <w:r w:rsidRPr="001375B7">
              <w:rPr>
                <w:sz w:val="20"/>
                <w:lang w:val="en-CA"/>
              </w:rPr>
              <w:t xml:space="preserve">The applicants are the parents of X, who has autism spectrum disorder. They alleged that the respondent, the Commission scolaire de la Capitale, had committed a fault in depriving X of adapted educational services, including access to a specialized class beginning in Grade 2. They claimed compensatory and punitive damages, and argued that the Commission scolaire’s treatment of X was discriminatory. The Superior Court dismissed the parents’ action. It found that the Commission scolaire had not committed a fault and that the parents had not established injury. It noted that the Commission scolaire had evaluated X’s ability and needs before he was integrated into the classroom and throughout his time in regular classes. The Court of Appeal dismissed the parents’ appeal. In its view, the parents had not identified a palpable and overriding error that would allow it to review the trial court’s conclusions. </w:t>
            </w:r>
            <w:proofErr w:type="gramStart"/>
            <w:r w:rsidRPr="001375B7">
              <w:rPr>
                <w:sz w:val="20"/>
                <w:lang w:val="en-CA"/>
              </w:rPr>
              <w:t>In its analysis of the issue of discriminatory treatment of X, the Court of Appeal held that not allowing X to have access to a specialized class, given that there were other children with greater needs and given the number of available spaces, whereas, moreover, X was developing well in the regular program and had received other accommodations, could not be considered discriminatory.</w:t>
            </w:r>
            <w:proofErr w:type="gramEnd"/>
          </w:p>
          <w:p w:rsidR="00D57104" w:rsidRPr="001375B7" w:rsidRDefault="00D57104" w:rsidP="00D57104">
            <w:pPr>
              <w:jc w:val="both"/>
              <w:rPr>
                <w:sz w:val="20"/>
                <w:lang w:val="en-CA"/>
              </w:rPr>
            </w:pPr>
          </w:p>
        </w:tc>
      </w:tr>
      <w:tr w:rsidR="00D57104" w:rsidRPr="001375B7" w:rsidTr="00D57104">
        <w:tc>
          <w:tcPr>
            <w:tcW w:w="2427" w:type="pct"/>
            <w:gridSpan w:val="2"/>
          </w:tcPr>
          <w:p w:rsidR="00D57104" w:rsidRPr="001375B7" w:rsidRDefault="00D57104" w:rsidP="00D57104">
            <w:pPr>
              <w:jc w:val="both"/>
              <w:rPr>
                <w:sz w:val="20"/>
                <w:lang w:val="en-CA"/>
              </w:rPr>
            </w:pPr>
            <w:r w:rsidRPr="001375B7">
              <w:rPr>
                <w:sz w:val="20"/>
                <w:lang w:val="en-CA"/>
              </w:rPr>
              <w:t>January 29, 2019</w:t>
            </w:r>
          </w:p>
          <w:p w:rsidR="00D57104" w:rsidRPr="001375B7" w:rsidRDefault="00D57104" w:rsidP="00D57104">
            <w:pPr>
              <w:jc w:val="both"/>
              <w:rPr>
                <w:sz w:val="20"/>
                <w:lang w:val="en-CA"/>
              </w:rPr>
            </w:pPr>
            <w:r w:rsidRPr="001375B7">
              <w:rPr>
                <w:sz w:val="20"/>
                <w:lang w:val="en-CA"/>
              </w:rPr>
              <w:t>Quebec Superior Court</w:t>
            </w:r>
          </w:p>
          <w:p w:rsidR="00D57104" w:rsidRPr="001375B7" w:rsidRDefault="00D57104" w:rsidP="00D57104">
            <w:pPr>
              <w:jc w:val="both"/>
              <w:rPr>
                <w:sz w:val="20"/>
                <w:lang w:val="en-CA"/>
              </w:rPr>
            </w:pPr>
            <w:r w:rsidRPr="001375B7">
              <w:rPr>
                <w:sz w:val="20"/>
                <w:lang w:val="en-CA"/>
              </w:rPr>
              <w:lastRenderedPageBreak/>
              <w:t>(Paradis J.)</w:t>
            </w:r>
          </w:p>
          <w:p w:rsidR="00D57104" w:rsidRPr="001375B7" w:rsidRDefault="00F04E23" w:rsidP="00D57104">
            <w:pPr>
              <w:jc w:val="both"/>
              <w:rPr>
                <w:sz w:val="20"/>
                <w:lang w:val="en-CA"/>
              </w:rPr>
            </w:pPr>
            <w:hyperlink r:id="rId36" w:history="1">
              <w:r w:rsidR="00D57104" w:rsidRPr="001375B7">
                <w:rPr>
                  <w:rStyle w:val="Hyperlink"/>
                  <w:sz w:val="20"/>
                  <w:lang w:val="en-CA"/>
                </w:rPr>
                <w:t>2019 QCCS 222</w:t>
              </w:r>
            </w:hyperlink>
          </w:p>
          <w:p w:rsidR="00D57104" w:rsidRPr="001375B7" w:rsidRDefault="00D57104" w:rsidP="00D57104">
            <w:pPr>
              <w:jc w:val="both"/>
              <w:rPr>
                <w:sz w:val="20"/>
                <w:lang w:val="en-CA"/>
              </w:rPr>
            </w:pPr>
          </w:p>
        </w:tc>
        <w:tc>
          <w:tcPr>
            <w:tcW w:w="243" w:type="pct"/>
          </w:tcPr>
          <w:p w:rsidR="00D57104" w:rsidRPr="001375B7" w:rsidRDefault="00D57104" w:rsidP="00D57104">
            <w:pPr>
              <w:jc w:val="both"/>
              <w:rPr>
                <w:sz w:val="20"/>
                <w:lang w:val="en-CA"/>
              </w:rPr>
            </w:pPr>
          </w:p>
        </w:tc>
        <w:tc>
          <w:tcPr>
            <w:tcW w:w="2330" w:type="pct"/>
          </w:tcPr>
          <w:p w:rsidR="00D57104" w:rsidRPr="001375B7" w:rsidRDefault="00D57104" w:rsidP="00D57104">
            <w:pPr>
              <w:jc w:val="both"/>
              <w:rPr>
                <w:sz w:val="20"/>
                <w:lang w:val="en-CA"/>
              </w:rPr>
            </w:pPr>
            <w:r w:rsidRPr="001375B7">
              <w:rPr>
                <w:sz w:val="20"/>
                <w:lang w:val="en-CA"/>
              </w:rPr>
              <w:t>Action for damages dismissed</w:t>
            </w:r>
          </w:p>
          <w:p w:rsidR="00D57104" w:rsidRPr="001375B7" w:rsidRDefault="00D57104" w:rsidP="00D57104">
            <w:pPr>
              <w:jc w:val="both"/>
              <w:rPr>
                <w:sz w:val="20"/>
                <w:lang w:val="en-CA"/>
              </w:rPr>
            </w:pPr>
          </w:p>
        </w:tc>
      </w:tr>
      <w:tr w:rsidR="00D57104" w:rsidRPr="001375B7" w:rsidTr="00D57104">
        <w:tc>
          <w:tcPr>
            <w:tcW w:w="2427" w:type="pct"/>
            <w:gridSpan w:val="2"/>
          </w:tcPr>
          <w:p w:rsidR="00D57104" w:rsidRPr="001375B7" w:rsidRDefault="00D57104" w:rsidP="00D57104">
            <w:pPr>
              <w:jc w:val="both"/>
              <w:rPr>
                <w:sz w:val="20"/>
                <w:lang w:val="en-CA"/>
              </w:rPr>
            </w:pPr>
            <w:r w:rsidRPr="001375B7">
              <w:rPr>
                <w:sz w:val="20"/>
                <w:lang w:val="en-CA"/>
              </w:rPr>
              <w:t>November 27, 2020</w:t>
            </w:r>
          </w:p>
          <w:p w:rsidR="00D57104" w:rsidRPr="001375B7" w:rsidRDefault="00D57104" w:rsidP="00D57104">
            <w:pPr>
              <w:jc w:val="both"/>
              <w:rPr>
                <w:sz w:val="20"/>
                <w:lang w:val="en-CA"/>
              </w:rPr>
            </w:pPr>
            <w:r w:rsidRPr="001375B7">
              <w:rPr>
                <w:sz w:val="20"/>
                <w:lang w:val="en-CA"/>
              </w:rPr>
              <w:t>Quebec Court of Appeal (Québec)</w:t>
            </w:r>
          </w:p>
          <w:p w:rsidR="00D57104" w:rsidRPr="001375B7" w:rsidRDefault="00D57104" w:rsidP="00D57104">
            <w:pPr>
              <w:jc w:val="both"/>
              <w:rPr>
                <w:sz w:val="20"/>
                <w:lang w:val="en-CA"/>
              </w:rPr>
            </w:pPr>
            <w:r w:rsidRPr="001375B7">
              <w:rPr>
                <w:sz w:val="20"/>
                <w:lang w:val="en-CA"/>
              </w:rPr>
              <w:t>(Lévesque, Cotnam and Beaupré JJ.A.)</w:t>
            </w:r>
          </w:p>
          <w:p w:rsidR="00D57104" w:rsidRPr="001375B7" w:rsidRDefault="00D57104" w:rsidP="00D57104">
            <w:pPr>
              <w:jc w:val="both"/>
              <w:rPr>
                <w:sz w:val="20"/>
                <w:lang w:val="en-CA"/>
              </w:rPr>
            </w:pPr>
            <w:r w:rsidRPr="001375B7">
              <w:rPr>
                <w:sz w:val="20"/>
                <w:lang w:val="en-CA"/>
              </w:rPr>
              <w:t>File No. 200</w:t>
            </w:r>
            <w:r w:rsidRPr="001375B7">
              <w:rPr>
                <w:sz w:val="20"/>
                <w:lang w:val="en-CA"/>
              </w:rPr>
              <w:noBreakHyphen/>
              <w:t>09</w:t>
            </w:r>
            <w:r w:rsidRPr="001375B7">
              <w:rPr>
                <w:sz w:val="20"/>
                <w:lang w:val="en-CA"/>
              </w:rPr>
              <w:noBreakHyphen/>
              <w:t>009958</w:t>
            </w:r>
            <w:r w:rsidRPr="001375B7">
              <w:rPr>
                <w:sz w:val="20"/>
                <w:lang w:val="en-CA"/>
              </w:rPr>
              <w:noBreakHyphen/>
              <w:t>197</w:t>
            </w:r>
          </w:p>
          <w:p w:rsidR="00D57104" w:rsidRPr="001375B7" w:rsidRDefault="00F04E23" w:rsidP="00D57104">
            <w:pPr>
              <w:jc w:val="both"/>
              <w:rPr>
                <w:sz w:val="20"/>
                <w:lang w:val="en-CA"/>
              </w:rPr>
            </w:pPr>
            <w:hyperlink r:id="rId37" w:history="1">
              <w:r w:rsidR="00D57104" w:rsidRPr="001375B7">
                <w:rPr>
                  <w:rStyle w:val="Hyperlink"/>
                  <w:sz w:val="20"/>
                  <w:lang w:val="en-CA"/>
                </w:rPr>
                <w:t>2020 QCCA 1589</w:t>
              </w:r>
            </w:hyperlink>
          </w:p>
          <w:p w:rsidR="00D57104" w:rsidRPr="001375B7" w:rsidRDefault="00D57104" w:rsidP="00D57104">
            <w:pPr>
              <w:jc w:val="both"/>
              <w:rPr>
                <w:sz w:val="20"/>
                <w:lang w:val="en-CA"/>
              </w:rPr>
            </w:pPr>
          </w:p>
        </w:tc>
        <w:tc>
          <w:tcPr>
            <w:tcW w:w="243" w:type="pct"/>
          </w:tcPr>
          <w:p w:rsidR="00D57104" w:rsidRPr="001375B7" w:rsidRDefault="00D57104" w:rsidP="00D57104">
            <w:pPr>
              <w:jc w:val="both"/>
              <w:rPr>
                <w:sz w:val="20"/>
                <w:lang w:val="en-CA"/>
              </w:rPr>
            </w:pPr>
          </w:p>
        </w:tc>
        <w:tc>
          <w:tcPr>
            <w:tcW w:w="2330" w:type="pct"/>
          </w:tcPr>
          <w:p w:rsidR="00D57104" w:rsidRPr="001375B7" w:rsidRDefault="00D57104" w:rsidP="00D57104">
            <w:pPr>
              <w:jc w:val="both"/>
              <w:rPr>
                <w:sz w:val="20"/>
                <w:lang w:val="en-CA"/>
              </w:rPr>
            </w:pPr>
            <w:r w:rsidRPr="001375B7">
              <w:rPr>
                <w:sz w:val="20"/>
                <w:lang w:val="en-CA"/>
              </w:rPr>
              <w:t>Appeal dismissed</w:t>
            </w:r>
          </w:p>
          <w:p w:rsidR="00D57104" w:rsidRPr="001375B7" w:rsidRDefault="00D57104" w:rsidP="00D57104">
            <w:pPr>
              <w:jc w:val="both"/>
              <w:rPr>
                <w:sz w:val="20"/>
                <w:lang w:val="en-CA"/>
              </w:rPr>
            </w:pPr>
          </w:p>
        </w:tc>
      </w:tr>
      <w:tr w:rsidR="00D57104" w:rsidRPr="001375B7" w:rsidTr="00D57104">
        <w:tc>
          <w:tcPr>
            <w:tcW w:w="2427" w:type="pct"/>
            <w:gridSpan w:val="2"/>
          </w:tcPr>
          <w:p w:rsidR="00D57104" w:rsidRPr="001375B7" w:rsidRDefault="00D57104" w:rsidP="00D57104">
            <w:pPr>
              <w:jc w:val="both"/>
              <w:rPr>
                <w:sz w:val="20"/>
                <w:lang w:val="en-CA"/>
              </w:rPr>
            </w:pPr>
            <w:r w:rsidRPr="001375B7">
              <w:rPr>
                <w:sz w:val="20"/>
                <w:lang w:val="en-CA"/>
              </w:rPr>
              <w:t>January 26, 2021</w:t>
            </w:r>
          </w:p>
          <w:p w:rsidR="00D57104" w:rsidRPr="001375B7" w:rsidRDefault="00D57104" w:rsidP="00D57104">
            <w:pPr>
              <w:jc w:val="both"/>
              <w:rPr>
                <w:sz w:val="20"/>
                <w:lang w:val="en-CA"/>
              </w:rPr>
            </w:pPr>
            <w:r w:rsidRPr="001375B7">
              <w:rPr>
                <w:sz w:val="20"/>
                <w:lang w:val="en-CA"/>
              </w:rPr>
              <w:t>Supreme Court of Canada</w:t>
            </w:r>
          </w:p>
        </w:tc>
        <w:tc>
          <w:tcPr>
            <w:tcW w:w="243" w:type="pct"/>
          </w:tcPr>
          <w:p w:rsidR="00D57104" w:rsidRPr="001375B7" w:rsidRDefault="00D57104" w:rsidP="00D57104">
            <w:pPr>
              <w:jc w:val="both"/>
              <w:rPr>
                <w:sz w:val="20"/>
                <w:lang w:val="en-CA"/>
              </w:rPr>
            </w:pPr>
          </w:p>
        </w:tc>
        <w:tc>
          <w:tcPr>
            <w:tcW w:w="2330" w:type="pct"/>
          </w:tcPr>
          <w:p w:rsidR="00D57104" w:rsidRPr="001375B7" w:rsidRDefault="00D57104" w:rsidP="00D57104">
            <w:pPr>
              <w:jc w:val="both"/>
              <w:rPr>
                <w:sz w:val="20"/>
                <w:lang w:val="en-CA"/>
              </w:rPr>
            </w:pPr>
            <w:r w:rsidRPr="001375B7">
              <w:rPr>
                <w:sz w:val="20"/>
                <w:lang w:val="en-CA"/>
              </w:rPr>
              <w:t>Application for leave to appeal filed</w:t>
            </w:r>
          </w:p>
        </w:tc>
      </w:tr>
    </w:tbl>
    <w:p w:rsidR="00D57104" w:rsidRPr="001375B7" w:rsidRDefault="00D57104" w:rsidP="00D57104">
      <w:pPr>
        <w:jc w:val="both"/>
        <w:rPr>
          <w:sz w:val="20"/>
          <w:lang w:val="en-CA"/>
        </w:rPr>
      </w:pPr>
    </w:p>
    <w:p w:rsidR="00D57104" w:rsidRPr="001375B7" w:rsidRDefault="00F04E23" w:rsidP="00D57104">
      <w:pPr>
        <w:jc w:val="both"/>
        <w:rPr>
          <w:sz w:val="20"/>
          <w:lang w:val="en-CA"/>
        </w:rPr>
      </w:pPr>
      <w:r>
        <w:rPr>
          <w:sz w:val="20"/>
        </w:rPr>
        <w:pict>
          <v:rect id="_x0000_i1035" style="width:2in;height:1pt" o:hrpct="0" o:hralign="center" o:hrstd="t" o:hrnoshade="t" o:hr="t" fillcolor="black [3213]" stroked="f"/>
        </w:pict>
      </w:r>
    </w:p>
    <w:p w:rsidR="00D57104" w:rsidRPr="001375B7" w:rsidRDefault="00D57104" w:rsidP="00D5710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39545</w:t>
            </w:r>
          </w:p>
        </w:tc>
        <w:tc>
          <w:tcPr>
            <w:tcW w:w="4457" w:type="pct"/>
            <w:gridSpan w:val="3"/>
          </w:tcPr>
          <w:p w:rsidR="00D57104" w:rsidRPr="001375B7" w:rsidRDefault="00D57104" w:rsidP="00D57104">
            <w:pPr>
              <w:pStyle w:val="SCCLsocParty"/>
              <w:jc w:val="both"/>
              <w:rPr>
                <w:b/>
                <w:sz w:val="20"/>
                <w:szCs w:val="20"/>
              </w:rPr>
            </w:pPr>
            <w:r w:rsidRPr="001375B7">
              <w:rPr>
                <w:b/>
                <w:sz w:val="20"/>
                <w:szCs w:val="20"/>
              </w:rPr>
              <w:t>Michel Labonté, personnellement et en sa qualité de tuteur ou représentant d’un enfant mineur, et Annie Otis, personnellement et en sa qualité de tutrice ou représentante d’un enfant mineur c. Commission scolaire de la Capitale</w:t>
            </w:r>
          </w:p>
          <w:p w:rsidR="00D57104" w:rsidRPr="001375B7" w:rsidRDefault="00D57104" w:rsidP="00D57104">
            <w:pPr>
              <w:jc w:val="both"/>
              <w:rPr>
                <w:sz w:val="20"/>
              </w:rPr>
            </w:pPr>
            <w:r w:rsidRPr="001375B7">
              <w:rPr>
                <w:sz w:val="20"/>
              </w:rPr>
              <w:t>(Qc) (Civile) (Autorisation)</w:t>
            </w: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(ORDONNANCE DE NON-PUBLICATION VISANT UNE PARTIE)</w:t>
            </w:r>
          </w:p>
          <w:p w:rsidR="00D57104" w:rsidRPr="001375B7" w:rsidRDefault="00D57104" w:rsidP="00D57104">
            <w:pPr>
              <w:jc w:val="both"/>
              <w:rPr>
                <w:sz w:val="20"/>
                <w:lang w:val="fr-CA"/>
              </w:rPr>
            </w:pPr>
          </w:p>
          <w:p w:rsidR="00D57104" w:rsidRPr="001375B7" w:rsidRDefault="00D57104" w:rsidP="00D57104">
            <w:pPr>
              <w:jc w:val="both"/>
              <w:rPr>
                <w:sz w:val="20"/>
                <w:lang w:val="fr-CA"/>
              </w:rPr>
            </w:pPr>
            <w:r w:rsidRPr="001375B7">
              <w:rPr>
                <w:sz w:val="20"/>
                <w:lang w:val="fr-CA"/>
              </w:rPr>
              <w:t>Responsabilité civile — Faute illicite et intentionnelle — Droits de la personne – Discrimination — Motifs de distinction illicite — Déficience mentale ou physique — Évaluation des besoins de l’enfant en milieu scolaire — Classe régulière versus classe spécialisée — Commission scolaire reprochée d’avoir privé enfant diagnostiqué du spectre de l’autisme de services éducatifs adaptés — Commission scolaire aussi reprochée d’avoir fait preuve de discrimination en refusant transfert de l’enfant à une classe spécialisée — Tribunaux inférieurs concluant à l’absence de faute et de préjudice — Cour d’appel traitant de la question de discrimination et concluant à l’absence de preuve de traitement discriminatoire — La demande d’autorisation d’appel soulève</w:t>
            </w:r>
            <w:r w:rsidRPr="001375B7">
              <w:rPr>
                <w:sz w:val="20"/>
                <w:lang w:val="fr-CA"/>
              </w:rPr>
              <w:noBreakHyphen/>
              <w:t>t</w:t>
            </w:r>
            <w:r w:rsidRPr="001375B7">
              <w:rPr>
                <w:sz w:val="20"/>
                <w:lang w:val="fr-CA"/>
              </w:rPr>
              <w:noBreakHyphen/>
              <w:t>elle une question d’importance pour le public?</w:t>
            </w:r>
          </w:p>
        </w:tc>
      </w:tr>
      <w:tr w:rsidR="00D57104" w:rsidRPr="00170A70" w:rsidTr="00D57104">
        <w:tc>
          <w:tcPr>
            <w:tcW w:w="5000" w:type="pct"/>
            <w:gridSpan w:val="4"/>
          </w:tcPr>
          <w:p w:rsidR="00D57104" w:rsidRPr="001375B7" w:rsidRDefault="00D57104" w:rsidP="00D57104">
            <w:pPr>
              <w:jc w:val="both"/>
              <w:rPr>
                <w:sz w:val="20"/>
                <w:lang w:val="fr-CA"/>
              </w:rPr>
            </w:pP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Les demandeurs sont les parents de X, qui est atteint de trouble du spectre de l’autisme. Ils allèguent que l’intimée, la Commission scolaire de la Capitale, a commis une faute en privant X des services éducatifs adaptés, dont l’accès à une classe spécialisée à partir de la seconde année du primaire. Ils réclament des dommages</w:t>
            </w:r>
            <w:r w:rsidRPr="001375B7">
              <w:rPr>
                <w:sz w:val="20"/>
                <w:lang w:val="fr-CA"/>
              </w:rPr>
              <w:noBreakHyphen/>
              <w:t>intérêts compensatoires et punitifs, et considèrent que le traitement de X par la Commission scolaire a été discriminatoire. La Cour supérieure a rejeté l’action des parents. Elle a conclu que la Commission scolaire n’a pas commis de faute, et que les parents n’ont pas fait la preuve de préjudice. Elle a retenu que la Commission scolaire a procédé à l’évaluation des capacités et des besoins de X avant son intégration dans le milieu scolaire et tout au long de son parcours en classe régulière. La Cour d’appel a rejeté l’appel des parents. Elle a conclu que les parents n’ont pas identifié d’erreur manifeste et déterminante lui permettant de revenir sur les conclusions du tribunal d’instance. Procédant à sa propre analyse du traitement discriminatoire de X, la Cour d’appel a retenu que le fait de ne pas permettre l’accès à X à une classe spécialisée, vu les besoins supérieurs d’autres enfants et le nombre de places disponibles, alors qu’au surplus X se développait bien dans le programme régulier et qu’il bénéficiait d’autres accommodements, ne pouvait être considéré comme discriminatoire.</w:t>
            </w:r>
          </w:p>
          <w:p w:rsidR="00D57104" w:rsidRPr="001375B7" w:rsidRDefault="00D57104" w:rsidP="00D57104">
            <w:pPr>
              <w:jc w:val="both"/>
              <w:rPr>
                <w:sz w:val="20"/>
                <w:lang w:val="fr-CA"/>
              </w:rPr>
            </w:pPr>
          </w:p>
        </w:tc>
      </w:tr>
      <w:tr w:rsidR="00D57104" w:rsidRPr="001375B7" w:rsidTr="00D57104">
        <w:tc>
          <w:tcPr>
            <w:tcW w:w="2427" w:type="pct"/>
            <w:gridSpan w:val="2"/>
          </w:tcPr>
          <w:p w:rsidR="00D57104" w:rsidRPr="001375B7" w:rsidRDefault="00D57104" w:rsidP="00D57104">
            <w:pPr>
              <w:jc w:val="both"/>
              <w:rPr>
                <w:sz w:val="20"/>
                <w:lang w:val="fr-CA"/>
              </w:rPr>
            </w:pPr>
            <w:r w:rsidRPr="001375B7">
              <w:rPr>
                <w:sz w:val="20"/>
                <w:lang w:val="fr-CA"/>
              </w:rPr>
              <w:t>Le 29 janvier 2019</w:t>
            </w:r>
          </w:p>
          <w:p w:rsidR="00D57104" w:rsidRPr="001375B7" w:rsidRDefault="00D57104" w:rsidP="00D57104">
            <w:pPr>
              <w:jc w:val="both"/>
              <w:rPr>
                <w:sz w:val="20"/>
                <w:lang w:val="fr-CA"/>
              </w:rPr>
            </w:pPr>
            <w:r w:rsidRPr="001375B7">
              <w:rPr>
                <w:sz w:val="20"/>
                <w:lang w:val="fr-CA"/>
              </w:rPr>
              <w:t>Cour supérieure du Québec</w:t>
            </w:r>
          </w:p>
          <w:p w:rsidR="00D57104" w:rsidRPr="001375B7" w:rsidRDefault="00D57104" w:rsidP="00D57104">
            <w:pPr>
              <w:jc w:val="both"/>
              <w:rPr>
                <w:sz w:val="20"/>
              </w:rPr>
            </w:pPr>
            <w:r w:rsidRPr="001375B7">
              <w:rPr>
                <w:sz w:val="20"/>
              </w:rPr>
              <w:t>(le juge Paradis)</w:t>
            </w:r>
          </w:p>
          <w:p w:rsidR="00D57104" w:rsidRPr="001375B7" w:rsidRDefault="00F04E23" w:rsidP="00D57104">
            <w:pPr>
              <w:jc w:val="both"/>
              <w:rPr>
                <w:sz w:val="20"/>
              </w:rPr>
            </w:pPr>
            <w:hyperlink r:id="rId38" w:history="1">
              <w:r w:rsidR="00D57104" w:rsidRPr="001375B7">
                <w:rPr>
                  <w:rStyle w:val="Hyperlink"/>
                  <w:sz w:val="20"/>
                </w:rPr>
                <w:t>2019 QCCS 222</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Action en dommages</w:t>
            </w:r>
            <w:r w:rsidRPr="001375B7">
              <w:rPr>
                <w:sz w:val="20"/>
              </w:rPr>
              <w:noBreakHyphen/>
              <w:t>intérêts rejetée</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lang w:val="fr-CA"/>
              </w:rPr>
            </w:pPr>
            <w:r w:rsidRPr="001375B7">
              <w:rPr>
                <w:sz w:val="20"/>
                <w:lang w:val="fr-CA"/>
              </w:rPr>
              <w:t>Le 27 novembre 2020</w:t>
            </w:r>
          </w:p>
          <w:p w:rsidR="00D57104" w:rsidRPr="001375B7" w:rsidRDefault="00D57104" w:rsidP="00D57104">
            <w:pPr>
              <w:jc w:val="both"/>
              <w:rPr>
                <w:sz w:val="20"/>
                <w:lang w:val="fr-CA"/>
              </w:rPr>
            </w:pPr>
            <w:r w:rsidRPr="001375B7">
              <w:rPr>
                <w:sz w:val="20"/>
                <w:lang w:val="fr-CA"/>
              </w:rPr>
              <w:t>Cour d’appel du Québec (Québec)</w:t>
            </w:r>
          </w:p>
          <w:p w:rsidR="00D57104" w:rsidRPr="001375B7" w:rsidRDefault="00D57104" w:rsidP="00D57104">
            <w:pPr>
              <w:jc w:val="both"/>
              <w:rPr>
                <w:sz w:val="20"/>
                <w:lang w:val="fr-CA"/>
              </w:rPr>
            </w:pPr>
            <w:r w:rsidRPr="001375B7">
              <w:rPr>
                <w:sz w:val="20"/>
                <w:lang w:val="fr-CA"/>
              </w:rPr>
              <w:t>(les juges Lévesque, Cotnam et Beaupré)</w:t>
            </w:r>
          </w:p>
          <w:p w:rsidR="00D57104" w:rsidRPr="001375B7" w:rsidRDefault="00D57104" w:rsidP="00D57104">
            <w:pPr>
              <w:jc w:val="both"/>
              <w:rPr>
                <w:sz w:val="20"/>
              </w:rPr>
            </w:pPr>
            <w:r w:rsidRPr="001375B7">
              <w:rPr>
                <w:sz w:val="20"/>
              </w:rPr>
              <w:t>No. dossier 200</w:t>
            </w:r>
            <w:r w:rsidRPr="001375B7">
              <w:rPr>
                <w:sz w:val="20"/>
              </w:rPr>
              <w:noBreakHyphen/>
              <w:t>09</w:t>
            </w:r>
            <w:r w:rsidRPr="001375B7">
              <w:rPr>
                <w:sz w:val="20"/>
              </w:rPr>
              <w:noBreakHyphen/>
              <w:t>009958</w:t>
            </w:r>
            <w:r w:rsidRPr="001375B7">
              <w:rPr>
                <w:sz w:val="20"/>
              </w:rPr>
              <w:noBreakHyphen/>
              <w:t>197</w:t>
            </w:r>
          </w:p>
          <w:p w:rsidR="00D57104" w:rsidRPr="001375B7" w:rsidRDefault="00F04E23" w:rsidP="00D57104">
            <w:pPr>
              <w:jc w:val="both"/>
              <w:rPr>
                <w:sz w:val="20"/>
              </w:rPr>
            </w:pPr>
            <w:hyperlink r:id="rId39" w:history="1">
              <w:r w:rsidR="00D57104" w:rsidRPr="001375B7">
                <w:rPr>
                  <w:rStyle w:val="Hyperlink"/>
                  <w:sz w:val="20"/>
                </w:rPr>
                <w:t>2020 QCCA 1589</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Appel rejeté</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lang w:val="fr-CA"/>
              </w:rPr>
            </w:pPr>
            <w:r w:rsidRPr="001375B7">
              <w:rPr>
                <w:sz w:val="20"/>
                <w:lang w:val="fr-CA"/>
              </w:rPr>
              <w:t>Le 26 janvier 2021</w:t>
            </w:r>
          </w:p>
          <w:p w:rsidR="00D57104" w:rsidRPr="001375B7" w:rsidRDefault="00D57104" w:rsidP="00D57104">
            <w:pPr>
              <w:jc w:val="both"/>
              <w:rPr>
                <w:sz w:val="20"/>
                <w:lang w:val="fr-CA"/>
              </w:rPr>
            </w:pPr>
            <w:r w:rsidRPr="001375B7">
              <w:rPr>
                <w:sz w:val="20"/>
                <w:lang w:val="fr-CA"/>
              </w:rPr>
              <w:lastRenderedPageBreak/>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rPr>
            </w:pPr>
            <w:r w:rsidRPr="001375B7">
              <w:rPr>
                <w:sz w:val="20"/>
              </w:rPr>
              <w:t>Demande d’autorisation d’appel déposée</w:t>
            </w:r>
          </w:p>
        </w:tc>
      </w:tr>
    </w:tbl>
    <w:p w:rsidR="00D57104" w:rsidRPr="001375B7" w:rsidRDefault="00D57104" w:rsidP="00D57104">
      <w:pPr>
        <w:jc w:val="both"/>
        <w:rPr>
          <w:sz w:val="20"/>
        </w:rPr>
      </w:pPr>
    </w:p>
    <w:p w:rsidR="00FC13B1" w:rsidRPr="001375B7" w:rsidRDefault="00F04E23" w:rsidP="00D57104">
      <w:pPr>
        <w:widowControl w:val="0"/>
        <w:jc w:val="both"/>
        <w:rPr>
          <w:sz w:val="20"/>
          <w:lang w:val="fr-CA"/>
        </w:rPr>
      </w:pPr>
      <w:r>
        <w:rPr>
          <w:sz w:val="20"/>
        </w:rPr>
        <w:pict>
          <v:rect id="_x0000_i1036" style="width:2in;height:1pt" o:hrpct="0" o:hralign="center" o:hrstd="t" o:hrnoshade="t" o:hr="t" fillcolor="black [3213]" stroked="f"/>
        </w:pict>
      </w:r>
    </w:p>
    <w:p w:rsidR="00FC13B1" w:rsidRPr="001375B7" w:rsidRDefault="00FC13B1" w:rsidP="00D5710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39546</w:t>
            </w:r>
          </w:p>
        </w:tc>
        <w:tc>
          <w:tcPr>
            <w:tcW w:w="4457" w:type="pct"/>
            <w:gridSpan w:val="3"/>
          </w:tcPr>
          <w:p w:rsidR="00D57104" w:rsidRPr="001375B7" w:rsidRDefault="00D57104" w:rsidP="00D57104">
            <w:pPr>
              <w:pStyle w:val="SCCLsocParty"/>
              <w:jc w:val="both"/>
              <w:rPr>
                <w:b/>
                <w:sz w:val="20"/>
                <w:szCs w:val="20"/>
              </w:rPr>
            </w:pPr>
            <w:r w:rsidRPr="001375B7">
              <w:rPr>
                <w:b/>
                <w:sz w:val="20"/>
                <w:szCs w:val="20"/>
              </w:rPr>
              <w:t>Claude Pierre Bouvier v. Jo-Ann Marie Bouvier</w:t>
            </w:r>
          </w:p>
          <w:p w:rsidR="00D57104" w:rsidRPr="001375B7" w:rsidRDefault="00D57104" w:rsidP="00D57104">
            <w:pPr>
              <w:jc w:val="both"/>
              <w:rPr>
                <w:sz w:val="20"/>
              </w:rPr>
            </w:pPr>
            <w:r w:rsidRPr="001375B7">
              <w:rPr>
                <w:sz w:val="20"/>
              </w:rPr>
              <w:t>(Sask.) (Civil) (By Leave)</w:t>
            </w:r>
          </w:p>
        </w:tc>
      </w:tr>
      <w:tr w:rsidR="00D57104" w:rsidRPr="001375B7" w:rsidTr="00D57104">
        <w:tc>
          <w:tcPr>
            <w:tcW w:w="5000" w:type="pct"/>
            <w:gridSpan w:val="4"/>
          </w:tcPr>
          <w:p w:rsidR="00D57104" w:rsidRPr="001375B7" w:rsidRDefault="00D57104" w:rsidP="00D57104">
            <w:pPr>
              <w:jc w:val="both"/>
              <w:rPr>
                <w:sz w:val="20"/>
              </w:rPr>
            </w:pPr>
            <w:r w:rsidRPr="001375B7">
              <w:rPr>
                <w:sz w:val="20"/>
              </w:rPr>
              <w:t xml:space="preserve">Family law – Family assets – Division - Disclosure – Wife obtaining uncontested order for unequal division of family home and family property after husband failing to respond to wife’s pleadings and failing to make financial disclosure – Whether Court of Appeal erred in law by determining that the Chambers Judge had appropriately departed from the presumption of an equal division of the family property and family home under </w:t>
            </w:r>
            <w:r w:rsidRPr="001375B7">
              <w:rPr>
                <w:i/>
                <w:sz w:val="20"/>
              </w:rPr>
              <w:t>The Family Property Act</w:t>
            </w:r>
            <w:r w:rsidRPr="001375B7">
              <w:rPr>
                <w:sz w:val="20"/>
              </w:rPr>
              <w:t>, S.S. 1997, c. F-6.3, in granting judgment for the unequal division of the family property and family home in an uncontested proceeding on the basis of the wife’s affidavit evidence alone.</w:t>
            </w:r>
          </w:p>
        </w:tc>
      </w:tr>
      <w:tr w:rsidR="00D57104" w:rsidRPr="001375B7" w:rsidTr="00D57104">
        <w:tc>
          <w:tcPr>
            <w:tcW w:w="5000" w:type="pct"/>
            <w:gridSpan w:val="4"/>
          </w:tcPr>
          <w:p w:rsidR="00D57104" w:rsidRPr="001375B7" w:rsidRDefault="00D57104" w:rsidP="00D57104">
            <w:pPr>
              <w:jc w:val="both"/>
              <w:rPr>
                <w:sz w:val="20"/>
              </w:rPr>
            </w:pPr>
          </w:p>
        </w:tc>
      </w:tr>
      <w:tr w:rsidR="00D57104" w:rsidRPr="001375B7" w:rsidTr="00D57104">
        <w:tc>
          <w:tcPr>
            <w:tcW w:w="5000" w:type="pct"/>
            <w:gridSpan w:val="4"/>
          </w:tcPr>
          <w:p w:rsidR="00D57104" w:rsidRPr="001375B7" w:rsidRDefault="00D57104" w:rsidP="00D57104">
            <w:pPr>
              <w:jc w:val="both"/>
              <w:rPr>
                <w:sz w:val="20"/>
              </w:rPr>
            </w:pPr>
            <w:r w:rsidRPr="001375B7">
              <w:rPr>
                <w:sz w:val="20"/>
              </w:rPr>
              <w:t>The parties married in 1982 and separated in June 2011. Ms. Bouvier was granted an unequal distribution of the family home and family property after Mr. Bouvier failed to respond to her pleadings and to make financial disclosure. Mr. Bouvier filed a notice of appeal which had the effect of staying execution of that judgment. The Court of Appeal dismissed Mr. Bouvier’s subsequent appeal.</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June 26, 2017</w:t>
            </w:r>
          </w:p>
          <w:p w:rsidR="00D57104" w:rsidRPr="001375B7" w:rsidRDefault="00D57104" w:rsidP="00D57104">
            <w:pPr>
              <w:jc w:val="both"/>
              <w:rPr>
                <w:sz w:val="20"/>
              </w:rPr>
            </w:pPr>
            <w:r w:rsidRPr="001375B7">
              <w:rPr>
                <w:sz w:val="20"/>
              </w:rPr>
              <w:t>Court of Queen’s Bench of Saskatchewan</w:t>
            </w:r>
          </w:p>
          <w:p w:rsidR="00D57104" w:rsidRPr="001375B7" w:rsidRDefault="00D57104" w:rsidP="00D57104">
            <w:pPr>
              <w:jc w:val="both"/>
              <w:rPr>
                <w:sz w:val="20"/>
              </w:rPr>
            </w:pPr>
            <w:r w:rsidRPr="001375B7">
              <w:rPr>
                <w:sz w:val="20"/>
              </w:rPr>
              <w:t>(Keene J.)</w:t>
            </w:r>
          </w:p>
          <w:p w:rsidR="00D57104" w:rsidRPr="001375B7" w:rsidRDefault="00D57104" w:rsidP="00D57104">
            <w:pPr>
              <w:jc w:val="both"/>
              <w:rPr>
                <w:sz w:val="20"/>
              </w:rPr>
            </w:pPr>
            <w:r w:rsidRPr="001375B7">
              <w:rPr>
                <w:sz w:val="20"/>
              </w:rPr>
              <w:t>Unreported</w:t>
            </w:r>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Order dissolving marriage and vesting properties owned by parties on unequal basis as requested  by wife</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November 26, 2020</w:t>
            </w:r>
          </w:p>
          <w:p w:rsidR="00D57104" w:rsidRPr="001375B7" w:rsidRDefault="00D57104" w:rsidP="00D57104">
            <w:pPr>
              <w:jc w:val="both"/>
              <w:rPr>
                <w:sz w:val="20"/>
              </w:rPr>
            </w:pPr>
            <w:r w:rsidRPr="001375B7">
              <w:rPr>
                <w:sz w:val="20"/>
              </w:rPr>
              <w:t>Court of Appeal for Saskatchewan</w:t>
            </w:r>
          </w:p>
          <w:p w:rsidR="00D57104" w:rsidRPr="001375B7" w:rsidRDefault="00D57104" w:rsidP="00D57104">
            <w:pPr>
              <w:jc w:val="both"/>
              <w:rPr>
                <w:sz w:val="20"/>
              </w:rPr>
            </w:pPr>
            <w:r w:rsidRPr="001375B7">
              <w:rPr>
                <w:sz w:val="20"/>
              </w:rPr>
              <w:t xml:space="preserve">(Whitmore, Tholl and Kalmakoff JJ.A.) </w:t>
            </w:r>
          </w:p>
          <w:p w:rsidR="00D57104" w:rsidRPr="001375B7" w:rsidRDefault="00F04E23" w:rsidP="00D57104">
            <w:pPr>
              <w:jc w:val="both"/>
              <w:rPr>
                <w:sz w:val="20"/>
              </w:rPr>
            </w:pPr>
            <w:hyperlink r:id="rId40" w:history="1">
              <w:r w:rsidR="00D57104" w:rsidRPr="001375B7">
                <w:rPr>
                  <w:rStyle w:val="Hyperlink"/>
                  <w:sz w:val="20"/>
                </w:rPr>
                <w:t>2020 SKCA 133</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Husband’s appeal dismissed</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January 25, 2021</w:t>
            </w:r>
          </w:p>
          <w:p w:rsidR="00D57104" w:rsidRPr="001375B7" w:rsidRDefault="00D57104" w:rsidP="00D57104">
            <w:pPr>
              <w:jc w:val="both"/>
              <w:rPr>
                <w:sz w:val="20"/>
              </w:rPr>
            </w:pPr>
            <w:r w:rsidRPr="001375B7">
              <w:rPr>
                <w:sz w:val="20"/>
              </w:rPr>
              <w:t>Supreme Court of Canada</w:t>
            </w: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Application for leave to appeal filed</w:t>
            </w:r>
          </w:p>
          <w:p w:rsidR="00D57104" w:rsidRPr="001375B7" w:rsidRDefault="00D57104" w:rsidP="00D57104">
            <w:pPr>
              <w:jc w:val="both"/>
              <w:rPr>
                <w:sz w:val="20"/>
              </w:rPr>
            </w:pPr>
          </w:p>
        </w:tc>
      </w:tr>
    </w:tbl>
    <w:p w:rsidR="00D57104" w:rsidRPr="001375B7" w:rsidRDefault="00D57104" w:rsidP="00D57104">
      <w:pPr>
        <w:jc w:val="both"/>
        <w:rPr>
          <w:sz w:val="20"/>
        </w:rPr>
      </w:pPr>
    </w:p>
    <w:p w:rsidR="00D57104" w:rsidRPr="001375B7" w:rsidRDefault="00F04E23" w:rsidP="00D57104">
      <w:pPr>
        <w:jc w:val="both"/>
        <w:rPr>
          <w:sz w:val="20"/>
        </w:rPr>
      </w:pPr>
      <w:r>
        <w:rPr>
          <w:sz w:val="20"/>
        </w:rPr>
        <w:pict>
          <v:rect id="_x0000_i1037" style="width:2in;height:1pt" o:hrpct="0" o:hralign="center" o:hrstd="t" o:hrnoshade="t" o:hr="t" fillcolor="black [3213]" stroked="f"/>
        </w:pict>
      </w:r>
    </w:p>
    <w:p w:rsidR="00D57104" w:rsidRPr="001375B7" w:rsidRDefault="00D57104" w:rsidP="00D571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fr-CA"/>
              </w:rPr>
            </w:pPr>
            <w:r w:rsidRPr="001375B7">
              <w:rPr>
                <w:rStyle w:val="SCCFileNumberChar"/>
                <w:sz w:val="20"/>
                <w:szCs w:val="20"/>
                <w:lang w:val="fr-CA"/>
              </w:rPr>
              <w:t>39546</w:t>
            </w:r>
          </w:p>
        </w:tc>
        <w:tc>
          <w:tcPr>
            <w:tcW w:w="4457" w:type="pct"/>
            <w:gridSpan w:val="3"/>
          </w:tcPr>
          <w:p w:rsidR="00D57104" w:rsidRPr="001375B7" w:rsidRDefault="00D57104" w:rsidP="00D57104">
            <w:pPr>
              <w:pStyle w:val="SCCLsocParty"/>
              <w:jc w:val="both"/>
              <w:rPr>
                <w:b/>
                <w:sz w:val="20"/>
                <w:szCs w:val="20"/>
              </w:rPr>
            </w:pPr>
            <w:r w:rsidRPr="001375B7">
              <w:rPr>
                <w:b/>
                <w:sz w:val="20"/>
                <w:szCs w:val="20"/>
              </w:rPr>
              <w:t>Claude Pierre Bouvier c. Jo-Ann Marie Bouvier</w:t>
            </w:r>
          </w:p>
          <w:p w:rsidR="00D57104" w:rsidRPr="001375B7" w:rsidRDefault="00D57104" w:rsidP="00D57104">
            <w:pPr>
              <w:jc w:val="both"/>
              <w:rPr>
                <w:sz w:val="20"/>
                <w:lang w:val="fr-CA"/>
              </w:rPr>
            </w:pPr>
            <w:r w:rsidRPr="001375B7">
              <w:rPr>
                <w:sz w:val="20"/>
                <w:lang w:val="fr-CA"/>
              </w:rPr>
              <w:t>(Sask.) (Civile) (Sur autorisation)</w:t>
            </w: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Droit de la famille — Biens familiaux — Partage — Communication de la preuve — L’épouse obtient une ordonnance non contestée de partage inégal de la maison familiale et des biens familiaux après que l’époux a omis de répondre aux actes de procédure de l’épouse et de communiquer les renseignements financiers — La Cour d’appel a</w:t>
            </w:r>
            <w:r w:rsidRPr="001375B7">
              <w:rPr>
                <w:sz w:val="20"/>
                <w:lang w:val="fr-CA"/>
              </w:rPr>
              <w:noBreakHyphen/>
              <w:t>t</w:t>
            </w:r>
            <w:r w:rsidRPr="001375B7">
              <w:rPr>
                <w:sz w:val="20"/>
                <w:lang w:val="fr-CA"/>
              </w:rPr>
              <w:noBreakHyphen/>
              <w:t xml:space="preserve">elle commis une erreur de droit en concluant que le juge siégeant en cabinet avait dûment fait abstraction de la présomption de partage égal des biens familiaux et de la maison familiale en vertu de la loi intitulée </w:t>
            </w:r>
            <w:r w:rsidRPr="001375B7">
              <w:rPr>
                <w:i/>
                <w:sz w:val="20"/>
                <w:lang w:val="fr-CA"/>
              </w:rPr>
              <w:t>The Family Property Act</w:t>
            </w:r>
            <w:r w:rsidRPr="001375B7">
              <w:rPr>
                <w:sz w:val="20"/>
                <w:lang w:val="fr-CA"/>
              </w:rPr>
              <w:t>, S.S. 1997, c. F</w:t>
            </w:r>
            <w:r w:rsidRPr="001375B7">
              <w:rPr>
                <w:sz w:val="20"/>
                <w:lang w:val="fr-CA"/>
              </w:rPr>
              <w:noBreakHyphen/>
              <w:t>6.3, en accordant le partage inégal de ceux</w:t>
            </w:r>
            <w:r w:rsidRPr="001375B7">
              <w:rPr>
                <w:sz w:val="20"/>
                <w:lang w:val="fr-CA"/>
              </w:rPr>
              <w:noBreakHyphen/>
              <w:t>ci dans le cadre d’une instance non contestée, en se fondant uniquement sur la preuve par affidavit présentée par l’épouse?</w:t>
            </w:r>
          </w:p>
        </w:tc>
      </w:tr>
      <w:tr w:rsidR="00D57104" w:rsidRPr="00170A70" w:rsidTr="00D57104">
        <w:tc>
          <w:tcPr>
            <w:tcW w:w="5000" w:type="pct"/>
            <w:gridSpan w:val="4"/>
          </w:tcPr>
          <w:p w:rsidR="00D57104" w:rsidRPr="001375B7" w:rsidRDefault="00D57104" w:rsidP="00D57104">
            <w:pPr>
              <w:jc w:val="both"/>
              <w:rPr>
                <w:sz w:val="20"/>
                <w:lang w:val="fr-CA"/>
              </w:rPr>
            </w:pP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Les parties se sont mariées en 1982 et se sont séparées en juin 2011. Mme Bouvier s’est vu accorder une répartition inégale de la maison familiale et des biens familiaux après que M. Bouvier a omis de répondre aux actes de procédure qu’elle a présentés et de communiquer les renseignements financiers. M. Bouvier a déposé un avis d’appel qui a eu pour effet de suspendre l’exécution de ce jugement. La Cour d’appel a rejeté l’appel subséquent de M. Bouvier.</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26 juin 2017</w:t>
            </w:r>
          </w:p>
          <w:p w:rsidR="00D57104" w:rsidRPr="001375B7" w:rsidRDefault="00D57104" w:rsidP="00D57104">
            <w:pPr>
              <w:jc w:val="both"/>
              <w:rPr>
                <w:sz w:val="20"/>
                <w:lang w:val="fr-CA"/>
              </w:rPr>
            </w:pPr>
            <w:r w:rsidRPr="001375B7">
              <w:rPr>
                <w:sz w:val="20"/>
                <w:lang w:val="fr-CA"/>
              </w:rPr>
              <w:t>Cour du Banc de la Reine de la Saskatchewan</w:t>
            </w:r>
          </w:p>
          <w:p w:rsidR="00D57104" w:rsidRPr="001375B7" w:rsidRDefault="00D57104" w:rsidP="00D57104">
            <w:pPr>
              <w:jc w:val="both"/>
              <w:rPr>
                <w:sz w:val="20"/>
                <w:lang w:val="fr-CA"/>
              </w:rPr>
            </w:pPr>
            <w:r w:rsidRPr="001375B7">
              <w:rPr>
                <w:sz w:val="20"/>
                <w:lang w:val="fr-CA"/>
              </w:rPr>
              <w:t>(juge Keene)</w:t>
            </w:r>
          </w:p>
          <w:p w:rsidR="00D57104" w:rsidRPr="001375B7" w:rsidRDefault="00D57104" w:rsidP="00D57104">
            <w:pPr>
              <w:jc w:val="both"/>
              <w:rPr>
                <w:sz w:val="20"/>
                <w:lang w:val="fr-CA"/>
              </w:rPr>
            </w:pPr>
            <w:r w:rsidRPr="001375B7">
              <w:rPr>
                <w:sz w:val="20"/>
                <w:lang w:val="fr-CA"/>
              </w:rPr>
              <w:t>Non publié</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Une ordonnance portant dissolution du mariage et dévolution des biens appartenant aux parties de façon inégale, tel qu’il a été demandé par l’épouse, est rendue.</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26 novembre 2020</w:t>
            </w:r>
          </w:p>
          <w:p w:rsidR="00D57104" w:rsidRPr="001375B7" w:rsidRDefault="00D57104" w:rsidP="00D57104">
            <w:pPr>
              <w:jc w:val="both"/>
              <w:rPr>
                <w:sz w:val="20"/>
                <w:lang w:val="fr-CA"/>
              </w:rPr>
            </w:pPr>
            <w:r w:rsidRPr="001375B7">
              <w:rPr>
                <w:sz w:val="20"/>
                <w:lang w:val="fr-CA"/>
              </w:rPr>
              <w:lastRenderedPageBreak/>
              <w:t>Cour d’appel de la Saskatchewan</w:t>
            </w:r>
          </w:p>
          <w:p w:rsidR="00D57104" w:rsidRPr="001375B7" w:rsidRDefault="00D57104" w:rsidP="00D57104">
            <w:pPr>
              <w:jc w:val="both"/>
              <w:rPr>
                <w:sz w:val="20"/>
              </w:rPr>
            </w:pPr>
            <w:r w:rsidRPr="001375B7">
              <w:rPr>
                <w:sz w:val="20"/>
              </w:rPr>
              <w:t xml:space="preserve">(juges Whitmore, Tholl et Kalmakoff) </w:t>
            </w:r>
          </w:p>
          <w:p w:rsidR="00D57104" w:rsidRPr="001375B7" w:rsidRDefault="00F04E23" w:rsidP="00D57104">
            <w:pPr>
              <w:jc w:val="both"/>
              <w:rPr>
                <w:sz w:val="20"/>
                <w:lang w:val="fr-CA"/>
              </w:rPr>
            </w:pPr>
            <w:hyperlink r:id="rId41" w:history="1">
              <w:r w:rsidR="00D57104" w:rsidRPr="001375B7">
                <w:rPr>
                  <w:rStyle w:val="Hyperlink"/>
                  <w:sz w:val="20"/>
                  <w:lang w:val="fr-CA"/>
                </w:rPr>
                <w:t>2020 SKCA 133</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L’appel de l’époux est rejeté.</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lastRenderedPageBreak/>
              <w:t>25 janvier 2021</w:t>
            </w:r>
          </w:p>
          <w:p w:rsidR="00D57104" w:rsidRPr="001375B7" w:rsidRDefault="00D57104" w:rsidP="00D57104">
            <w:pPr>
              <w:jc w:val="both"/>
              <w:rPr>
                <w:sz w:val="20"/>
                <w:lang w:val="fr-CA"/>
              </w:rPr>
            </w:pPr>
            <w:r w:rsidRPr="001375B7">
              <w:rPr>
                <w:sz w:val="20"/>
                <w:lang w:val="fr-CA"/>
              </w:rPr>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 demande d’autorisation d’appel est présentée.</w:t>
            </w:r>
          </w:p>
          <w:p w:rsidR="00D57104" w:rsidRPr="001375B7" w:rsidRDefault="00D57104" w:rsidP="00D57104">
            <w:pPr>
              <w:jc w:val="both"/>
              <w:rPr>
                <w:sz w:val="20"/>
                <w:lang w:val="fr-CA"/>
              </w:rPr>
            </w:pPr>
          </w:p>
        </w:tc>
      </w:tr>
    </w:tbl>
    <w:p w:rsidR="00D57104" w:rsidRPr="001375B7" w:rsidRDefault="00D57104" w:rsidP="00067D24">
      <w:pPr>
        <w:jc w:val="both"/>
        <w:rPr>
          <w:sz w:val="20"/>
          <w:lang w:val="fr-CA"/>
        </w:rPr>
      </w:pPr>
    </w:p>
    <w:p w:rsidR="00FC13B1" w:rsidRPr="001375B7" w:rsidRDefault="00F04E23" w:rsidP="00067D24">
      <w:pPr>
        <w:widowControl w:val="0"/>
        <w:jc w:val="both"/>
        <w:rPr>
          <w:sz w:val="20"/>
          <w:lang w:val="fr-CA"/>
        </w:rPr>
      </w:pPr>
      <w:r>
        <w:rPr>
          <w:sz w:val="20"/>
        </w:rPr>
        <w:pict>
          <v:rect id="_x0000_i1038" style="width:2in;height:1pt" o:hrpct="0" o:hralign="center" o:hrstd="t" o:hrnoshade="t" o:hr="t" fillcolor="black [3213]" stroked="f"/>
        </w:pict>
      </w:r>
    </w:p>
    <w:p w:rsidR="00FC13B1" w:rsidRPr="001375B7" w:rsidRDefault="00FC13B1" w:rsidP="00067D2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7D24" w:rsidRPr="001375B7" w:rsidTr="00E95A6A">
        <w:tc>
          <w:tcPr>
            <w:tcW w:w="543" w:type="pct"/>
          </w:tcPr>
          <w:p w:rsidR="00067D24" w:rsidRPr="001375B7" w:rsidRDefault="00067D24" w:rsidP="00067D24">
            <w:pPr>
              <w:jc w:val="both"/>
              <w:rPr>
                <w:sz w:val="20"/>
              </w:rPr>
            </w:pPr>
            <w:r w:rsidRPr="001375B7">
              <w:rPr>
                <w:rStyle w:val="SCCFileNumberChar"/>
                <w:sz w:val="20"/>
                <w:szCs w:val="20"/>
              </w:rPr>
              <w:t>39480</w:t>
            </w:r>
          </w:p>
        </w:tc>
        <w:tc>
          <w:tcPr>
            <w:tcW w:w="4457" w:type="pct"/>
            <w:gridSpan w:val="3"/>
          </w:tcPr>
          <w:p w:rsidR="00067D24" w:rsidRPr="001375B7" w:rsidRDefault="00067D24" w:rsidP="00067D24">
            <w:pPr>
              <w:pStyle w:val="SCCLsocParty"/>
              <w:jc w:val="both"/>
              <w:rPr>
                <w:b/>
                <w:sz w:val="20"/>
                <w:szCs w:val="20"/>
                <w:lang w:val="en-US"/>
              </w:rPr>
            </w:pPr>
            <w:r w:rsidRPr="001375B7">
              <w:rPr>
                <w:b/>
                <w:sz w:val="20"/>
                <w:szCs w:val="20"/>
                <w:lang w:val="en-US"/>
              </w:rPr>
              <w:t>James Andrew Beaver v. Her Majesty the Queen</w:t>
            </w:r>
          </w:p>
          <w:p w:rsidR="00067D24" w:rsidRPr="001375B7" w:rsidRDefault="00067D24" w:rsidP="00067D24">
            <w:pPr>
              <w:jc w:val="both"/>
              <w:rPr>
                <w:sz w:val="20"/>
              </w:rPr>
            </w:pPr>
            <w:r w:rsidRPr="001375B7">
              <w:rPr>
                <w:sz w:val="20"/>
              </w:rPr>
              <w:t>(Alta.) (Criminal) (By Leave)</w:t>
            </w:r>
          </w:p>
        </w:tc>
      </w:tr>
      <w:tr w:rsidR="00067D24" w:rsidRPr="001375B7" w:rsidTr="00E95A6A">
        <w:tc>
          <w:tcPr>
            <w:tcW w:w="5000" w:type="pct"/>
            <w:gridSpan w:val="4"/>
          </w:tcPr>
          <w:p w:rsidR="00067D24" w:rsidRPr="001375B7" w:rsidRDefault="00067D24" w:rsidP="00067D24">
            <w:pPr>
              <w:jc w:val="both"/>
              <w:rPr>
                <w:sz w:val="20"/>
              </w:rPr>
            </w:pPr>
            <w:r w:rsidRPr="001375B7">
              <w:rPr>
                <w:sz w:val="20"/>
              </w:rPr>
              <w:t xml:space="preserve">Criminal law — </w:t>
            </w:r>
            <w:r w:rsidRPr="001375B7">
              <w:rPr>
                <w:i/>
                <w:sz w:val="20"/>
              </w:rPr>
              <w:t>Charter of Rights</w:t>
            </w:r>
            <w:r w:rsidRPr="001375B7">
              <w:rPr>
                <w:sz w:val="20"/>
              </w:rPr>
              <w:t xml:space="preserve"> — Evidence — Admissibility — Reasonable and probable grounds for arrest — Whether a “fresh start” can insulate evidence from previous</w:t>
            </w:r>
            <w:r w:rsidRPr="001375B7">
              <w:rPr>
                <w:i/>
                <w:sz w:val="20"/>
              </w:rPr>
              <w:t xml:space="preserve"> </w:t>
            </w:r>
            <w:r w:rsidRPr="001375B7">
              <w:rPr>
                <w:sz w:val="20"/>
              </w:rPr>
              <w:t xml:space="preserve">violations of ss. 7, 8 and 9 of the </w:t>
            </w:r>
            <w:r w:rsidRPr="001375B7">
              <w:rPr>
                <w:i/>
                <w:sz w:val="20"/>
              </w:rPr>
              <w:t xml:space="preserve">Charter </w:t>
            </w:r>
            <w:r w:rsidRPr="001375B7">
              <w:rPr>
                <w:sz w:val="20"/>
              </w:rPr>
              <w:t>— Whether judicial scrutiny of reasonable and probable grounds should be more stringent in circumstances where an individual was initially unlawfully detained and police have no notes regarding the grounds for arrest or the information relied upon — Whether police must impart particular information to a detained person about their legal jeopardy to permit them to make a meaningful choice about whether or not to speak to police.</w:t>
            </w:r>
          </w:p>
        </w:tc>
      </w:tr>
      <w:tr w:rsidR="00067D24" w:rsidRPr="001375B7" w:rsidTr="00E95A6A">
        <w:tc>
          <w:tcPr>
            <w:tcW w:w="5000" w:type="pct"/>
            <w:gridSpan w:val="4"/>
          </w:tcPr>
          <w:p w:rsidR="00067D24" w:rsidRPr="001375B7" w:rsidRDefault="00067D24" w:rsidP="00067D24">
            <w:pPr>
              <w:jc w:val="both"/>
              <w:rPr>
                <w:sz w:val="20"/>
              </w:rPr>
            </w:pPr>
          </w:p>
        </w:tc>
      </w:tr>
      <w:tr w:rsidR="00067D24" w:rsidRPr="001375B7" w:rsidTr="00E95A6A">
        <w:tc>
          <w:tcPr>
            <w:tcW w:w="5000" w:type="pct"/>
            <w:gridSpan w:val="4"/>
          </w:tcPr>
          <w:p w:rsidR="00067D24" w:rsidRPr="001375B7" w:rsidRDefault="00067D24" w:rsidP="00067D24">
            <w:pPr>
              <w:jc w:val="both"/>
              <w:rPr>
                <w:sz w:val="20"/>
                <w:lang w:eastAsia="en-CA"/>
              </w:rPr>
            </w:pPr>
            <w:r w:rsidRPr="001375B7">
              <w:rPr>
                <w:sz w:val="20"/>
                <w:lang w:eastAsia="en-CA"/>
              </w:rPr>
              <w:t>The applicant and his co</w:t>
            </w:r>
            <w:r w:rsidRPr="001375B7">
              <w:rPr>
                <w:sz w:val="20"/>
                <w:lang w:eastAsia="en-CA"/>
              </w:rPr>
              <w:noBreakHyphen/>
              <w:t>accused were convicted of manslaughter in relation to the death of their roommate. After being initially detained by officers at the scene under a non</w:t>
            </w:r>
            <w:r w:rsidRPr="001375B7">
              <w:rPr>
                <w:sz w:val="20"/>
                <w:lang w:eastAsia="en-CA"/>
              </w:rPr>
              <w:noBreakHyphen/>
              <w:t>existent act, they were arrested by detectives for murder two hours later at the police station. Following a lengthy interview, the co</w:t>
            </w:r>
            <w:r w:rsidRPr="001375B7">
              <w:rPr>
                <w:sz w:val="20"/>
                <w:lang w:eastAsia="en-CA"/>
              </w:rPr>
              <w:noBreakHyphen/>
              <w:t>accused confessed to their involvement in the death of the roommate; when confronted with the confession, the applicant admitted his participation as well. At trial, the applicant sought a stay of proceedings or, alternatively, the exclusion of all evidence which derived from alleged violations of his rights protected by ss. 7, 9, 10(</w:t>
            </w:r>
            <w:r w:rsidRPr="001375B7">
              <w:rPr>
                <w:i/>
                <w:sz w:val="20"/>
                <w:lang w:eastAsia="en-CA"/>
              </w:rPr>
              <w:t>a</w:t>
            </w:r>
            <w:r w:rsidRPr="001375B7">
              <w:rPr>
                <w:sz w:val="20"/>
                <w:lang w:eastAsia="en-CA"/>
              </w:rPr>
              <w:t>) and 10(</w:t>
            </w:r>
            <w:r w:rsidRPr="001375B7">
              <w:rPr>
                <w:i/>
                <w:sz w:val="20"/>
                <w:lang w:eastAsia="en-CA"/>
              </w:rPr>
              <w:t>b</w:t>
            </w:r>
            <w:r w:rsidRPr="001375B7">
              <w:rPr>
                <w:sz w:val="20"/>
                <w:lang w:eastAsia="en-CA"/>
              </w:rPr>
              <w:t xml:space="preserve">) of the </w:t>
            </w:r>
            <w:r w:rsidRPr="001375B7">
              <w:rPr>
                <w:i/>
                <w:sz w:val="20"/>
                <w:lang w:eastAsia="en-CA"/>
              </w:rPr>
              <w:t>Canadian</w:t>
            </w:r>
            <w:r w:rsidRPr="001375B7">
              <w:rPr>
                <w:sz w:val="20"/>
                <w:lang w:eastAsia="en-CA"/>
              </w:rPr>
              <w:t xml:space="preserve"> </w:t>
            </w:r>
            <w:r w:rsidRPr="001375B7">
              <w:rPr>
                <w:i/>
                <w:sz w:val="20"/>
                <w:lang w:eastAsia="en-CA"/>
              </w:rPr>
              <w:t>Charter of Rights and Freedoms</w:t>
            </w:r>
            <w:r w:rsidRPr="001375B7">
              <w:rPr>
                <w:sz w:val="20"/>
                <w:lang w:eastAsia="en-CA"/>
              </w:rPr>
              <w:t xml:space="preserve">. The applicant also alleged that the detective who arrested him at the station did not have reasonable and probable grounds to do so. The Crown conceded that the applicant’s </w:t>
            </w:r>
            <w:r w:rsidRPr="001375B7">
              <w:rPr>
                <w:i/>
                <w:sz w:val="20"/>
                <w:lang w:eastAsia="en-CA"/>
              </w:rPr>
              <w:t>Charter</w:t>
            </w:r>
            <w:r w:rsidRPr="001375B7">
              <w:rPr>
                <w:sz w:val="20"/>
                <w:lang w:eastAsia="en-CA"/>
              </w:rPr>
              <w:t xml:space="preserve"> rights had been breached when he was detained under a non</w:t>
            </w:r>
            <w:r w:rsidRPr="001375B7">
              <w:rPr>
                <w:sz w:val="20"/>
                <w:lang w:eastAsia="en-CA"/>
              </w:rPr>
              <w:noBreakHyphen/>
              <w:t xml:space="preserve">existent law, but argued that the arrest at the station constituted a “fresh start” which insulated his confession from the previous breaches. </w:t>
            </w:r>
          </w:p>
          <w:p w:rsidR="00067D24" w:rsidRPr="001375B7" w:rsidRDefault="00067D24" w:rsidP="00067D24">
            <w:pPr>
              <w:jc w:val="both"/>
              <w:rPr>
                <w:sz w:val="20"/>
                <w:lang w:eastAsia="en-CA"/>
              </w:rPr>
            </w:pPr>
          </w:p>
          <w:p w:rsidR="00067D24" w:rsidRPr="001375B7" w:rsidRDefault="00067D24" w:rsidP="00067D24">
            <w:pPr>
              <w:jc w:val="both"/>
              <w:rPr>
                <w:sz w:val="20"/>
                <w:lang w:eastAsia="en-CA"/>
              </w:rPr>
            </w:pPr>
            <w:r w:rsidRPr="001375B7">
              <w:rPr>
                <w:sz w:val="20"/>
                <w:lang w:eastAsia="en-CA"/>
              </w:rPr>
              <w:t>The trial judge dismissed the</w:t>
            </w:r>
            <w:r w:rsidRPr="001375B7">
              <w:rPr>
                <w:i/>
                <w:sz w:val="20"/>
                <w:lang w:eastAsia="en-CA"/>
              </w:rPr>
              <w:t xml:space="preserve"> </w:t>
            </w:r>
            <w:r w:rsidRPr="001375B7">
              <w:rPr>
                <w:sz w:val="20"/>
                <w:lang w:eastAsia="en-CA"/>
              </w:rPr>
              <w:t xml:space="preserve">application, finding that the police had reasonable and probable grounds to arrest the applicant for murder at the police station, and that the arrest constituted a “fresh start” which cured the previous breaches. He concluded that the applicant’s subsequent confession had not been tainted by the breaches. Nevertheless, the trial judge conducted a s. 24(2) analysis as set out in </w:t>
            </w:r>
            <w:r w:rsidRPr="001375B7">
              <w:rPr>
                <w:i/>
                <w:sz w:val="20"/>
                <w:lang w:eastAsia="en-CA"/>
              </w:rPr>
              <w:t>R. v. Grant</w:t>
            </w:r>
            <w:r w:rsidRPr="001375B7">
              <w:rPr>
                <w:sz w:val="20"/>
                <w:lang w:eastAsia="en-CA"/>
              </w:rPr>
              <w:t>, 2009 SCC 32, and concluded that the confession would have been admitted, in any event. The Court of Appeal unanimously dismissed the applicant’s appeal.</w:t>
            </w:r>
          </w:p>
          <w:p w:rsidR="00067D24" w:rsidRPr="001375B7" w:rsidRDefault="00067D24" w:rsidP="00067D24">
            <w:pPr>
              <w:jc w:val="both"/>
              <w:rPr>
                <w:sz w:val="20"/>
                <w:lang w:eastAsia="en-CA"/>
              </w:rPr>
            </w:pPr>
          </w:p>
        </w:tc>
      </w:tr>
      <w:tr w:rsidR="00067D24" w:rsidRPr="001375B7" w:rsidTr="00E95A6A">
        <w:tc>
          <w:tcPr>
            <w:tcW w:w="2427" w:type="pct"/>
            <w:gridSpan w:val="2"/>
          </w:tcPr>
          <w:p w:rsidR="00067D24" w:rsidRPr="001375B7" w:rsidRDefault="00067D24" w:rsidP="00067D24">
            <w:pPr>
              <w:jc w:val="both"/>
              <w:rPr>
                <w:sz w:val="20"/>
              </w:rPr>
            </w:pPr>
            <w:r w:rsidRPr="001375B7">
              <w:rPr>
                <w:sz w:val="20"/>
              </w:rPr>
              <w:t>February 21, 2019</w:t>
            </w:r>
          </w:p>
          <w:p w:rsidR="00067D24" w:rsidRPr="001375B7" w:rsidRDefault="00067D24" w:rsidP="00067D24">
            <w:pPr>
              <w:jc w:val="both"/>
              <w:rPr>
                <w:sz w:val="20"/>
              </w:rPr>
            </w:pPr>
            <w:r w:rsidRPr="001375B7">
              <w:rPr>
                <w:sz w:val="20"/>
              </w:rPr>
              <w:t>Court of Queen’s Bench of Alberta</w:t>
            </w:r>
          </w:p>
          <w:p w:rsidR="00067D24" w:rsidRPr="001375B7" w:rsidRDefault="00067D24" w:rsidP="00067D24">
            <w:pPr>
              <w:jc w:val="both"/>
              <w:rPr>
                <w:sz w:val="20"/>
              </w:rPr>
            </w:pPr>
            <w:r w:rsidRPr="001375B7">
              <w:rPr>
                <w:sz w:val="20"/>
              </w:rPr>
              <w:t>(Yamauchi J.)</w:t>
            </w:r>
          </w:p>
          <w:p w:rsidR="00067D24" w:rsidRPr="001375B7" w:rsidRDefault="00F04E23" w:rsidP="00067D24">
            <w:pPr>
              <w:jc w:val="both"/>
              <w:rPr>
                <w:sz w:val="20"/>
              </w:rPr>
            </w:pPr>
            <w:hyperlink r:id="rId42" w:history="1">
              <w:r w:rsidR="00067D24" w:rsidRPr="001375B7">
                <w:rPr>
                  <w:rStyle w:val="Hyperlink"/>
                  <w:sz w:val="20"/>
                </w:rPr>
                <w:t>2019 ABQB 125</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i/>
                <w:sz w:val="20"/>
              </w:rPr>
            </w:pPr>
            <w:r w:rsidRPr="001375B7">
              <w:rPr>
                <w:sz w:val="20"/>
              </w:rPr>
              <w:t xml:space="preserve">Applicant’s </w:t>
            </w:r>
            <w:r w:rsidRPr="001375B7">
              <w:rPr>
                <w:i/>
                <w:sz w:val="20"/>
              </w:rPr>
              <w:t>Charter</w:t>
            </w:r>
            <w:r w:rsidRPr="001375B7">
              <w:rPr>
                <w:sz w:val="20"/>
              </w:rPr>
              <w:t xml:space="preserve"> application dismissed.</w:t>
            </w:r>
          </w:p>
          <w:p w:rsidR="00067D24" w:rsidRPr="001375B7" w:rsidRDefault="00067D24" w:rsidP="00067D24">
            <w:pPr>
              <w:jc w:val="both"/>
              <w:rPr>
                <w:sz w:val="20"/>
              </w:rPr>
            </w:pPr>
          </w:p>
        </w:tc>
      </w:tr>
      <w:tr w:rsidR="00067D24" w:rsidRPr="001375B7" w:rsidTr="00E95A6A">
        <w:tc>
          <w:tcPr>
            <w:tcW w:w="2427" w:type="pct"/>
            <w:gridSpan w:val="2"/>
          </w:tcPr>
          <w:p w:rsidR="00067D24" w:rsidRPr="001375B7" w:rsidRDefault="00067D24" w:rsidP="00067D24">
            <w:pPr>
              <w:jc w:val="both"/>
              <w:rPr>
                <w:sz w:val="20"/>
              </w:rPr>
            </w:pPr>
            <w:r w:rsidRPr="001375B7">
              <w:rPr>
                <w:sz w:val="20"/>
              </w:rPr>
              <w:t>May 14, 2020</w:t>
            </w:r>
          </w:p>
          <w:p w:rsidR="00067D24" w:rsidRPr="001375B7" w:rsidRDefault="00067D24" w:rsidP="00067D24">
            <w:pPr>
              <w:jc w:val="both"/>
              <w:rPr>
                <w:sz w:val="20"/>
              </w:rPr>
            </w:pPr>
            <w:r w:rsidRPr="001375B7">
              <w:rPr>
                <w:sz w:val="20"/>
              </w:rPr>
              <w:t>Court of Appeal of Alberta (Calgary)</w:t>
            </w:r>
          </w:p>
          <w:p w:rsidR="00067D24" w:rsidRPr="001375B7" w:rsidRDefault="00067D24" w:rsidP="00067D24">
            <w:pPr>
              <w:jc w:val="both"/>
              <w:rPr>
                <w:sz w:val="20"/>
              </w:rPr>
            </w:pPr>
            <w:r w:rsidRPr="001375B7">
              <w:rPr>
                <w:sz w:val="20"/>
              </w:rPr>
              <w:t>(O'Ferrall, Wakeling and Feehan JJ.A.)</w:t>
            </w:r>
          </w:p>
          <w:p w:rsidR="00067D24" w:rsidRPr="001375B7" w:rsidRDefault="00F04E23" w:rsidP="00067D24">
            <w:pPr>
              <w:jc w:val="both"/>
              <w:rPr>
                <w:sz w:val="20"/>
              </w:rPr>
            </w:pPr>
            <w:hyperlink r:id="rId43" w:history="1">
              <w:r w:rsidR="00067D24" w:rsidRPr="001375B7">
                <w:rPr>
                  <w:rStyle w:val="Hyperlink"/>
                  <w:sz w:val="20"/>
                </w:rPr>
                <w:t>2020 ABCA 203</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sz w:val="20"/>
              </w:rPr>
            </w:pPr>
            <w:r w:rsidRPr="001375B7">
              <w:rPr>
                <w:sz w:val="20"/>
              </w:rPr>
              <w:t>Applicant’s appeal dismissed.</w:t>
            </w:r>
          </w:p>
        </w:tc>
      </w:tr>
      <w:tr w:rsidR="00067D24" w:rsidRPr="001375B7" w:rsidTr="00E95A6A">
        <w:tc>
          <w:tcPr>
            <w:tcW w:w="2427" w:type="pct"/>
            <w:gridSpan w:val="2"/>
          </w:tcPr>
          <w:p w:rsidR="00067D24" w:rsidRPr="001375B7" w:rsidRDefault="00067D24" w:rsidP="00067D24">
            <w:pPr>
              <w:jc w:val="both"/>
              <w:rPr>
                <w:sz w:val="20"/>
              </w:rPr>
            </w:pPr>
            <w:r w:rsidRPr="001375B7">
              <w:rPr>
                <w:sz w:val="20"/>
              </w:rPr>
              <w:t>December 17, 2020</w:t>
            </w:r>
          </w:p>
          <w:p w:rsidR="00067D24" w:rsidRPr="001375B7" w:rsidRDefault="00067D24" w:rsidP="00067D24">
            <w:pPr>
              <w:jc w:val="both"/>
              <w:rPr>
                <w:sz w:val="20"/>
              </w:rPr>
            </w:pPr>
            <w:r w:rsidRPr="001375B7">
              <w:rPr>
                <w:sz w:val="20"/>
              </w:rPr>
              <w:t>Supreme Court of Canada</w:t>
            </w: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sz w:val="20"/>
              </w:rPr>
            </w:pPr>
            <w:r w:rsidRPr="001375B7">
              <w:rPr>
                <w:sz w:val="20"/>
              </w:rPr>
              <w:t>Application for leave to appeal filed.</w:t>
            </w:r>
          </w:p>
          <w:p w:rsidR="00067D24" w:rsidRPr="001375B7" w:rsidRDefault="00067D24" w:rsidP="00067D24">
            <w:pPr>
              <w:jc w:val="both"/>
              <w:rPr>
                <w:sz w:val="20"/>
              </w:rPr>
            </w:pPr>
          </w:p>
        </w:tc>
      </w:tr>
    </w:tbl>
    <w:p w:rsidR="00067D24" w:rsidRPr="001375B7" w:rsidRDefault="00067D24" w:rsidP="00067D24">
      <w:pPr>
        <w:jc w:val="both"/>
        <w:rPr>
          <w:sz w:val="20"/>
        </w:rPr>
      </w:pPr>
    </w:p>
    <w:p w:rsidR="00067D24" w:rsidRPr="001375B7" w:rsidRDefault="00F04E23" w:rsidP="00067D24">
      <w:pPr>
        <w:jc w:val="both"/>
        <w:rPr>
          <w:sz w:val="20"/>
        </w:rPr>
      </w:pPr>
      <w:r>
        <w:rPr>
          <w:sz w:val="20"/>
        </w:rPr>
        <w:pict>
          <v:rect id="_x0000_i1039" style="width:2in;height:1pt" o:hrpct="0" o:hralign="center" o:hrstd="t" o:hrnoshade="t" o:hr="t" fillcolor="black [3213]" stroked="f"/>
        </w:pict>
      </w:r>
    </w:p>
    <w:p w:rsidR="00067D24" w:rsidRPr="001375B7" w:rsidRDefault="00067D24" w:rsidP="00067D2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7D24" w:rsidRPr="001375B7" w:rsidTr="00E95A6A">
        <w:tc>
          <w:tcPr>
            <w:tcW w:w="543" w:type="pct"/>
          </w:tcPr>
          <w:p w:rsidR="00067D24" w:rsidRPr="001375B7" w:rsidRDefault="00067D24" w:rsidP="00067D24">
            <w:pPr>
              <w:jc w:val="both"/>
              <w:rPr>
                <w:sz w:val="20"/>
              </w:rPr>
            </w:pPr>
            <w:r w:rsidRPr="001375B7">
              <w:rPr>
                <w:rStyle w:val="SCCFileNumberChar"/>
                <w:sz w:val="20"/>
                <w:szCs w:val="20"/>
              </w:rPr>
              <w:t>39480</w:t>
            </w:r>
          </w:p>
        </w:tc>
        <w:tc>
          <w:tcPr>
            <w:tcW w:w="4457" w:type="pct"/>
            <w:gridSpan w:val="3"/>
          </w:tcPr>
          <w:p w:rsidR="00067D24" w:rsidRPr="001375B7" w:rsidRDefault="00067D24" w:rsidP="00067D24">
            <w:pPr>
              <w:pStyle w:val="SCCLsocParty"/>
              <w:jc w:val="both"/>
              <w:rPr>
                <w:b/>
                <w:sz w:val="20"/>
                <w:szCs w:val="20"/>
              </w:rPr>
            </w:pPr>
            <w:r w:rsidRPr="001375B7">
              <w:rPr>
                <w:b/>
                <w:sz w:val="20"/>
                <w:szCs w:val="20"/>
              </w:rPr>
              <w:t>James Andrew Beaver c. Sa Majesté la Reine</w:t>
            </w:r>
          </w:p>
          <w:p w:rsidR="00067D24" w:rsidRPr="001375B7" w:rsidRDefault="00067D24" w:rsidP="00067D24">
            <w:pPr>
              <w:jc w:val="both"/>
              <w:rPr>
                <w:sz w:val="20"/>
              </w:rPr>
            </w:pPr>
            <w:r w:rsidRPr="001375B7">
              <w:rPr>
                <w:sz w:val="20"/>
              </w:rPr>
              <w:t>(Alb.) (Criminelle) (Autorisation)</w:t>
            </w:r>
          </w:p>
        </w:tc>
      </w:tr>
      <w:tr w:rsidR="00067D24" w:rsidRPr="00170A70" w:rsidTr="00E95A6A">
        <w:tc>
          <w:tcPr>
            <w:tcW w:w="5000" w:type="pct"/>
            <w:gridSpan w:val="4"/>
          </w:tcPr>
          <w:p w:rsidR="00067D24" w:rsidRPr="001375B7" w:rsidRDefault="00067D24" w:rsidP="00067D24">
            <w:pPr>
              <w:jc w:val="both"/>
              <w:rPr>
                <w:sz w:val="20"/>
                <w:lang w:val="fr-CA"/>
              </w:rPr>
            </w:pPr>
            <w:r w:rsidRPr="001375B7">
              <w:rPr>
                <w:sz w:val="20"/>
                <w:lang w:val="fr-CA"/>
              </w:rPr>
              <w:t>Droit criminel —</w:t>
            </w:r>
            <w:r w:rsidRPr="001375B7">
              <w:rPr>
                <w:i/>
                <w:sz w:val="20"/>
                <w:lang w:val="fr-CA"/>
              </w:rPr>
              <w:t xml:space="preserve"> Charte des droits </w:t>
            </w:r>
            <w:r w:rsidRPr="001375B7">
              <w:rPr>
                <w:sz w:val="20"/>
                <w:lang w:val="fr-CA"/>
              </w:rPr>
              <w:t>— Preuve — Admissibilité — Motifs raisonnables et probables de procéder à une arrestation — Un « nouveau départ » peut</w:t>
            </w:r>
            <w:r w:rsidRPr="001375B7">
              <w:rPr>
                <w:sz w:val="20"/>
                <w:lang w:val="fr-CA"/>
              </w:rPr>
              <w:noBreakHyphen/>
              <w:t xml:space="preserve">il permettre d’isoler la preuve de violations antérieures des </w:t>
            </w:r>
            <w:proofErr w:type="gramStart"/>
            <w:r w:rsidRPr="001375B7">
              <w:rPr>
                <w:sz w:val="20"/>
                <w:lang w:val="fr-CA"/>
              </w:rPr>
              <w:t>art</w:t>
            </w:r>
            <w:proofErr w:type="gramEnd"/>
            <w:r w:rsidRPr="001375B7">
              <w:rPr>
                <w:sz w:val="20"/>
                <w:lang w:val="fr-CA"/>
              </w:rPr>
              <w:t xml:space="preserve">. 7, 8 et </w:t>
            </w:r>
            <w:r w:rsidRPr="001375B7">
              <w:rPr>
                <w:sz w:val="20"/>
                <w:lang w:val="fr-CA"/>
              </w:rPr>
              <w:lastRenderedPageBreak/>
              <w:t xml:space="preserve">9 de la </w:t>
            </w:r>
            <w:r w:rsidRPr="001375B7">
              <w:rPr>
                <w:i/>
                <w:sz w:val="20"/>
                <w:lang w:val="fr-CA"/>
              </w:rPr>
              <w:t>Charte</w:t>
            </w:r>
            <w:r w:rsidRPr="001375B7">
              <w:rPr>
                <w:sz w:val="20"/>
                <w:lang w:val="fr-CA"/>
              </w:rPr>
              <w:t>? — Le contrôle judiciaire des motifs raisonnables et probables devrait</w:t>
            </w:r>
            <w:r w:rsidRPr="001375B7">
              <w:rPr>
                <w:sz w:val="20"/>
                <w:lang w:val="fr-CA"/>
              </w:rPr>
              <w:noBreakHyphen/>
              <w:t>il être plus rigoureux dans les circonstances où une personne a initialement été détenue de manière illicite et où la police ne dispose pas de notes concernant les motifs de l’arrestation ou les renseignements justifiant l’arrestation? — La police doit</w:t>
            </w:r>
            <w:r w:rsidRPr="001375B7">
              <w:rPr>
                <w:sz w:val="20"/>
                <w:lang w:val="fr-CA"/>
              </w:rPr>
              <w:noBreakHyphen/>
              <w:t>elle faire connaître un renseignement précis à une personne détenue sur le risque qu’elle court, sur le plan juridique, pour lui permettre de faire un choix réel quant à savoir si elle doit parler à la police ou non?</w:t>
            </w:r>
          </w:p>
        </w:tc>
      </w:tr>
      <w:tr w:rsidR="00067D24" w:rsidRPr="00170A70" w:rsidTr="00E95A6A">
        <w:tc>
          <w:tcPr>
            <w:tcW w:w="5000" w:type="pct"/>
            <w:gridSpan w:val="4"/>
          </w:tcPr>
          <w:p w:rsidR="00067D24" w:rsidRPr="001375B7" w:rsidRDefault="00067D24" w:rsidP="00067D24">
            <w:pPr>
              <w:jc w:val="both"/>
              <w:rPr>
                <w:sz w:val="20"/>
                <w:lang w:val="fr-CA"/>
              </w:rPr>
            </w:pPr>
          </w:p>
        </w:tc>
      </w:tr>
      <w:tr w:rsidR="00067D24" w:rsidRPr="00170A70" w:rsidTr="00E95A6A">
        <w:tc>
          <w:tcPr>
            <w:tcW w:w="5000" w:type="pct"/>
            <w:gridSpan w:val="4"/>
          </w:tcPr>
          <w:p w:rsidR="00067D24" w:rsidRPr="001375B7" w:rsidRDefault="00067D24" w:rsidP="00067D24">
            <w:pPr>
              <w:jc w:val="both"/>
              <w:rPr>
                <w:sz w:val="20"/>
                <w:lang w:val="fr-CA" w:eastAsia="en-CA"/>
              </w:rPr>
            </w:pPr>
            <w:r w:rsidRPr="001375B7">
              <w:rPr>
                <w:sz w:val="20"/>
                <w:lang w:val="fr-CA" w:eastAsia="en-CA"/>
              </w:rPr>
              <w:t xml:space="preserve">Le demandeur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coaccusé a avoué son implication dans le décès du colocataire; lorsqu’il a été exposé aux aveux, le demandeur a également avoué son implication. Lors du procès, le demandeur a sollicité une suspension de l’instance ou, de manière subsidiaire, l’exclusion de tous les éléments de preuve qui provenaient des violations alléguées de ses droits protégés par </w:t>
            </w:r>
            <w:proofErr w:type="gramStart"/>
            <w:r w:rsidRPr="001375B7">
              <w:rPr>
                <w:sz w:val="20"/>
                <w:lang w:val="fr-CA" w:eastAsia="en-CA"/>
              </w:rPr>
              <w:t>les art</w:t>
            </w:r>
            <w:proofErr w:type="gramEnd"/>
            <w:r w:rsidRPr="001375B7">
              <w:rPr>
                <w:sz w:val="20"/>
                <w:lang w:val="fr-CA" w:eastAsia="en-CA"/>
              </w:rPr>
              <w:t>. 7 et 9, et les al. 10</w:t>
            </w:r>
            <w:r w:rsidRPr="001375B7">
              <w:rPr>
                <w:i/>
                <w:sz w:val="20"/>
                <w:lang w:val="fr-CA" w:eastAsia="en-CA"/>
              </w:rPr>
              <w:t>a</w:t>
            </w:r>
            <w:r w:rsidRPr="001375B7">
              <w:rPr>
                <w:sz w:val="20"/>
                <w:lang w:val="fr-CA" w:eastAsia="en-CA"/>
              </w:rPr>
              <w:t>) et 10</w:t>
            </w:r>
            <w:r w:rsidRPr="001375B7">
              <w:rPr>
                <w:i/>
                <w:sz w:val="20"/>
                <w:lang w:val="fr-CA" w:eastAsia="en-CA"/>
              </w:rPr>
              <w:t>b</w:t>
            </w:r>
            <w:r w:rsidRPr="001375B7">
              <w:rPr>
                <w:sz w:val="20"/>
                <w:lang w:val="fr-CA" w:eastAsia="en-CA"/>
              </w:rPr>
              <w:t xml:space="preserve">) de la </w:t>
            </w:r>
            <w:r w:rsidRPr="001375B7">
              <w:rPr>
                <w:i/>
                <w:sz w:val="20"/>
                <w:lang w:val="fr-CA" w:eastAsia="en-CA"/>
              </w:rPr>
              <w:t>Charte canadienne des droits et libertés</w:t>
            </w:r>
            <w:r w:rsidRPr="001375B7">
              <w:rPr>
                <w:sz w:val="20"/>
                <w:lang w:val="fr-CA" w:eastAsia="en-CA"/>
              </w:rPr>
              <w:t xml:space="preserve">. Le demandeur a aussi fait valoir que le détective qui l’a arrêté au poste de police n’avait pas de motifs raisonnables et probables de procéder à l’arrestation. La Couronne a reconnu que les droits du demandeur fondés sur la </w:t>
            </w:r>
            <w:r w:rsidRPr="001375B7">
              <w:rPr>
                <w:i/>
                <w:sz w:val="20"/>
                <w:lang w:val="fr-CA" w:eastAsia="en-CA"/>
              </w:rPr>
              <w:t>Charte</w:t>
            </w:r>
            <w:r w:rsidRPr="001375B7">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067D24" w:rsidRPr="001375B7" w:rsidRDefault="00067D24" w:rsidP="00067D24">
            <w:pPr>
              <w:jc w:val="both"/>
              <w:rPr>
                <w:sz w:val="20"/>
                <w:lang w:val="fr-CA" w:eastAsia="en-CA"/>
              </w:rPr>
            </w:pPr>
          </w:p>
          <w:p w:rsidR="00067D24" w:rsidRPr="001375B7" w:rsidRDefault="00067D24" w:rsidP="00067D24">
            <w:pPr>
              <w:jc w:val="both"/>
              <w:rPr>
                <w:sz w:val="20"/>
                <w:lang w:val="fr-CA" w:eastAsia="en-CA"/>
              </w:rPr>
            </w:pPr>
            <w:r w:rsidRPr="001375B7">
              <w:rPr>
                <w:sz w:val="20"/>
                <w:lang w:val="fr-CA" w:eastAsia="en-CA"/>
              </w:rPr>
              <w:t>Le juge du procès a rejeté la demande, concluant que la police avait des motifs raisonnables et probables de procéder à l’arrestation du demandeur au poste de police pour le meurtre, et que l’arrestation constituait un « nouveau départ » qui a permis de remédier aux violations antérieures. Il a conclu que l’aveu subséquent du demandeur n’avait pas été entaché par les violations. Néanmoins, le juge de première instance a mené l’analyse selon le par. 24(2) telle qu’elle est établie dans l’arrêt</w:t>
            </w:r>
            <w:r w:rsidRPr="001375B7">
              <w:rPr>
                <w:i/>
                <w:sz w:val="20"/>
                <w:lang w:val="fr-CA" w:eastAsia="en-CA"/>
              </w:rPr>
              <w:t xml:space="preserve"> R. c. Grant</w:t>
            </w:r>
            <w:r w:rsidRPr="001375B7">
              <w:rPr>
                <w:sz w:val="20"/>
                <w:lang w:val="fr-CA" w:eastAsia="en-CA"/>
              </w:rPr>
              <w:t>, 2009 CSC 32, et a conclu que l’aveu aurait été admis en preuve quoi qu’il en soit. La Cour d’appel a unanimement rejeté l’appel interjeté par le demandeur.</w:t>
            </w:r>
          </w:p>
          <w:p w:rsidR="00067D24" w:rsidRPr="001375B7" w:rsidRDefault="00067D24" w:rsidP="00067D24">
            <w:pPr>
              <w:jc w:val="both"/>
              <w:rPr>
                <w:sz w:val="20"/>
                <w:lang w:val="fr-CA" w:eastAsia="en-CA"/>
              </w:rPr>
            </w:pPr>
          </w:p>
        </w:tc>
      </w:tr>
      <w:tr w:rsidR="00067D24" w:rsidRPr="00170A70" w:rsidTr="00E95A6A">
        <w:tc>
          <w:tcPr>
            <w:tcW w:w="2427" w:type="pct"/>
            <w:gridSpan w:val="2"/>
          </w:tcPr>
          <w:p w:rsidR="00067D24" w:rsidRPr="001375B7" w:rsidRDefault="00067D24" w:rsidP="00067D24">
            <w:pPr>
              <w:jc w:val="both"/>
              <w:rPr>
                <w:sz w:val="20"/>
                <w:lang w:val="fr-CA"/>
              </w:rPr>
            </w:pPr>
            <w:r w:rsidRPr="001375B7">
              <w:rPr>
                <w:sz w:val="20"/>
                <w:lang w:val="fr-CA"/>
              </w:rPr>
              <w:t>21 février 2019</w:t>
            </w:r>
          </w:p>
          <w:p w:rsidR="00067D24" w:rsidRPr="001375B7" w:rsidRDefault="00067D24" w:rsidP="00067D24">
            <w:pPr>
              <w:jc w:val="both"/>
              <w:rPr>
                <w:sz w:val="20"/>
                <w:lang w:val="fr-CA"/>
              </w:rPr>
            </w:pPr>
            <w:r w:rsidRPr="001375B7">
              <w:rPr>
                <w:sz w:val="20"/>
                <w:lang w:val="fr-CA"/>
              </w:rPr>
              <w:t>Cour du banc de la reine de l’Alberta</w:t>
            </w:r>
          </w:p>
          <w:p w:rsidR="00067D24" w:rsidRPr="001375B7" w:rsidRDefault="00067D24" w:rsidP="00067D24">
            <w:pPr>
              <w:jc w:val="both"/>
              <w:rPr>
                <w:sz w:val="20"/>
              </w:rPr>
            </w:pPr>
            <w:r w:rsidRPr="001375B7">
              <w:rPr>
                <w:sz w:val="20"/>
              </w:rPr>
              <w:t>(juge Yamauchi)</w:t>
            </w:r>
          </w:p>
          <w:p w:rsidR="00067D24" w:rsidRPr="001375B7" w:rsidRDefault="00F04E23" w:rsidP="00067D24">
            <w:pPr>
              <w:jc w:val="both"/>
              <w:rPr>
                <w:sz w:val="20"/>
              </w:rPr>
            </w:pPr>
            <w:hyperlink r:id="rId44" w:history="1">
              <w:r w:rsidR="00067D24" w:rsidRPr="001375B7">
                <w:rPr>
                  <w:rStyle w:val="Hyperlink"/>
                  <w:sz w:val="20"/>
                </w:rPr>
                <w:t>2019 ABQB 125</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i/>
                <w:sz w:val="20"/>
                <w:lang w:val="fr-CA"/>
              </w:rPr>
            </w:pPr>
            <w:r w:rsidRPr="001375B7">
              <w:rPr>
                <w:sz w:val="20"/>
                <w:lang w:val="fr-CA"/>
              </w:rPr>
              <w:t xml:space="preserve">Rejet de la demande présentée par le demandeur fondée sur la </w:t>
            </w:r>
            <w:r w:rsidRPr="001375B7">
              <w:rPr>
                <w:i/>
                <w:sz w:val="20"/>
                <w:lang w:val="fr-CA"/>
              </w:rPr>
              <w:t>Charte</w:t>
            </w:r>
            <w:r w:rsidRPr="001375B7">
              <w:rPr>
                <w:sz w:val="20"/>
                <w:lang w:val="fr-CA"/>
              </w:rPr>
              <w:t>.</w:t>
            </w:r>
          </w:p>
          <w:p w:rsidR="00067D24" w:rsidRPr="001375B7" w:rsidRDefault="00067D24" w:rsidP="00067D24">
            <w:pPr>
              <w:jc w:val="both"/>
              <w:rPr>
                <w:sz w:val="20"/>
                <w:lang w:val="fr-CA"/>
              </w:rPr>
            </w:pPr>
          </w:p>
        </w:tc>
      </w:tr>
      <w:tr w:rsidR="00067D24" w:rsidRPr="00170A70" w:rsidTr="00E95A6A">
        <w:tc>
          <w:tcPr>
            <w:tcW w:w="2427" w:type="pct"/>
            <w:gridSpan w:val="2"/>
          </w:tcPr>
          <w:p w:rsidR="00067D24" w:rsidRPr="001375B7" w:rsidRDefault="00067D24" w:rsidP="00067D24">
            <w:pPr>
              <w:jc w:val="both"/>
              <w:rPr>
                <w:sz w:val="20"/>
                <w:lang w:val="fr-CA"/>
              </w:rPr>
            </w:pPr>
            <w:r w:rsidRPr="001375B7">
              <w:rPr>
                <w:sz w:val="20"/>
                <w:lang w:val="fr-CA"/>
              </w:rPr>
              <w:t>14 mai 2020</w:t>
            </w:r>
          </w:p>
          <w:p w:rsidR="00067D24" w:rsidRPr="001375B7" w:rsidRDefault="00067D24" w:rsidP="00067D24">
            <w:pPr>
              <w:jc w:val="both"/>
              <w:rPr>
                <w:sz w:val="20"/>
                <w:lang w:val="fr-CA"/>
              </w:rPr>
            </w:pPr>
            <w:r w:rsidRPr="001375B7">
              <w:rPr>
                <w:sz w:val="20"/>
                <w:lang w:val="fr-CA"/>
              </w:rPr>
              <w:t>Cour d’appel de l’Alberta (Calgary)</w:t>
            </w:r>
          </w:p>
          <w:p w:rsidR="00067D24" w:rsidRPr="001375B7" w:rsidRDefault="00067D24" w:rsidP="00067D24">
            <w:pPr>
              <w:jc w:val="both"/>
              <w:rPr>
                <w:sz w:val="20"/>
              </w:rPr>
            </w:pPr>
            <w:r w:rsidRPr="001375B7">
              <w:rPr>
                <w:sz w:val="20"/>
              </w:rPr>
              <w:t>(juges O’Ferrall, Wakeling et Feehan)</w:t>
            </w:r>
          </w:p>
          <w:p w:rsidR="00067D24" w:rsidRPr="001375B7" w:rsidRDefault="00F04E23" w:rsidP="00067D24">
            <w:pPr>
              <w:jc w:val="both"/>
              <w:rPr>
                <w:sz w:val="20"/>
              </w:rPr>
            </w:pPr>
            <w:hyperlink r:id="rId45" w:history="1">
              <w:r w:rsidR="00067D24" w:rsidRPr="001375B7">
                <w:rPr>
                  <w:rStyle w:val="Hyperlink"/>
                  <w:sz w:val="20"/>
                </w:rPr>
                <w:t>2020 ABCA 203</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sz w:val="20"/>
                <w:lang w:val="fr-CA"/>
              </w:rPr>
            </w:pPr>
            <w:r w:rsidRPr="001375B7">
              <w:rPr>
                <w:sz w:val="20"/>
                <w:lang w:val="fr-CA"/>
              </w:rPr>
              <w:t>Rejet de l’appel interjeté par le demandeur.</w:t>
            </w:r>
          </w:p>
        </w:tc>
      </w:tr>
      <w:tr w:rsidR="00067D24" w:rsidRPr="00170A70" w:rsidTr="00E95A6A">
        <w:tc>
          <w:tcPr>
            <w:tcW w:w="2427" w:type="pct"/>
            <w:gridSpan w:val="2"/>
          </w:tcPr>
          <w:p w:rsidR="00067D24" w:rsidRPr="001375B7" w:rsidRDefault="00067D24" w:rsidP="00067D24">
            <w:pPr>
              <w:jc w:val="both"/>
              <w:rPr>
                <w:sz w:val="20"/>
                <w:lang w:val="fr-CA"/>
              </w:rPr>
            </w:pPr>
            <w:r w:rsidRPr="001375B7">
              <w:rPr>
                <w:sz w:val="20"/>
                <w:lang w:val="fr-CA"/>
              </w:rPr>
              <w:t>17 décembre 2020</w:t>
            </w:r>
          </w:p>
          <w:p w:rsidR="00067D24" w:rsidRPr="001375B7" w:rsidRDefault="00067D24" w:rsidP="00067D24">
            <w:pPr>
              <w:jc w:val="both"/>
              <w:rPr>
                <w:sz w:val="20"/>
                <w:lang w:val="fr-CA"/>
              </w:rPr>
            </w:pPr>
            <w:r w:rsidRPr="001375B7">
              <w:rPr>
                <w:sz w:val="20"/>
                <w:lang w:val="fr-CA"/>
              </w:rPr>
              <w:t>Cour suprême du Canada</w:t>
            </w:r>
          </w:p>
        </w:tc>
        <w:tc>
          <w:tcPr>
            <w:tcW w:w="243" w:type="pct"/>
          </w:tcPr>
          <w:p w:rsidR="00067D24" w:rsidRPr="001375B7" w:rsidRDefault="00067D24" w:rsidP="00067D24">
            <w:pPr>
              <w:jc w:val="both"/>
              <w:rPr>
                <w:sz w:val="20"/>
                <w:lang w:val="fr-CA"/>
              </w:rPr>
            </w:pPr>
          </w:p>
        </w:tc>
        <w:tc>
          <w:tcPr>
            <w:tcW w:w="2330" w:type="pct"/>
          </w:tcPr>
          <w:p w:rsidR="00067D24" w:rsidRPr="001375B7" w:rsidRDefault="00067D24" w:rsidP="00067D24">
            <w:pPr>
              <w:jc w:val="both"/>
              <w:rPr>
                <w:sz w:val="20"/>
                <w:lang w:val="fr-CA"/>
              </w:rPr>
            </w:pPr>
            <w:r w:rsidRPr="001375B7">
              <w:rPr>
                <w:sz w:val="20"/>
                <w:lang w:val="fr-CA"/>
              </w:rPr>
              <w:t>Dépôt de la demande d’autorisation d’appel.</w:t>
            </w:r>
          </w:p>
          <w:p w:rsidR="00067D24" w:rsidRPr="001375B7" w:rsidRDefault="00067D24" w:rsidP="00067D24">
            <w:pPr>
              <w:jc w:val="both"/>
              <w:rPr>
                <w:sz w:val="20"/>
                <w:lang w:val="fr-CA"/>
              </w:rPr>
            </w:pPr>
          </w:p>
        </w:tc>
      </w:tr>
    </w:tbl>
    <w:p w:rsidR="00067D24" w:rsidRPr="001375B7" w:rsidRDefault="00067D24" w:rsidP="00067D24">
      <w:pPr>
        <w:jc w:val="both"/>
        <w:rPr>
          <w:sz w:val="20"/>
          <w:lang w:val="fr-CA"/>
        </w:rPr>
      </w:pPr>
    </w:p>
    <w:p w:rsidR="00067D24" w:rsidRPr="001375B7" w:rsidRDefault="00F04E23" w:rsidP="00067D24">
      <w:pPr>
        <w:widowControl w:val="0"/>
        <w:jc w:val="both"/>
        <w:rPr>
          <w:sz w:val="20"/>
          <w:lang w:val="fr-CA"/>
        </w:rPr>
      </w:pPr>
      <w:r>
        <w:rPr>
          <w:sz w:val="20"/>
        </w:rPr>
        <w:pict>
          <v:rect id="_x0000_i1040" style="width:2in;height:1pt" o:hrpct="0" o:hralign="center" o:hrstd="t" o:hrnoshade="t" o:hr="t" fillcolor="black [3213]" stroked="f"/>
        </w:pict>
      </w:r>
    </w:p>
    <w:p w:rsidR="00067D24" w:rsidRPr="001375B7" w:rsidRDefault="00067D24" w:rsidP="00067D2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7D24" w:rsidRPr="001375B7" w:rsidTr="00E95A6A">
        <w:tc>
          <w:tcPr>
            <w:tcW w:w="543" w:type="pct"/>
          </w:tcPr>
          <w:p w:rsidR="00067D24" w:rsidRPr="001375B7" w:rsidRDefault="00067D24" w:rsidP="00067D24">
            <w:pPr>
              <w:jc w:val="both"/>
              <w:rPr>
                <w:sz w:val="20"/>
              </w:rPr>
            </w:pPr>
            <w:r w:rsidRPr="001375B7">
              <w:rPr>
                <w:rStyle w:val="SCCFileNumberChar"/>
                <w:sz w:val="20"/>
                <w:szCs w:val="20"/>
              </w:rPr>
              <w:t>39481</w:t>
            </w:r>
          </w:p>
        </w:tc>
        <w:tc>
          <w:tcPr>
            <w:tcW w:w="4457" w:type="pct"/>
            <w:gridSpan w:val="3"/>
          </w:tcPr>
          <w:p w:rsidR="00067D24" w:rsidRPr="001375B7" w:rsidRDefault="00067D24" w:rsidP="00067D24">
            <w:pPr>
              <w:pStyle w:val="SCCLsocParty"/>
              <w:jc w:val="both"/>
              <w:rPr>
                <w:b/>
                <w:sz w:val="20"/>
                <w:szCs w:val="20"/>
                <w:lang w:val="en-US"/>
              </w:rPr>
            </w:pPr>
            <w:r w:rsidRPr="001375B7">
              <w:rPr>
                <w:b/>
                <w:sz w:val="20"/>
                <w:szCs w:val="20"/>
                <w:lang w:val="en-US"/>
              </w:rPr>
              <w:t>Brian John Lambert v. Her Majesty the Queen</w:t>
            </w:r>
          </w:p>
          <w:p w:rsidR="00067D24" w:rsidRPr="001375B7" w:rsidRDefault="00067D24" w:rsidP="00067D24">
            <w:pPr>
              <w:jc w:val="both"/>
              <w:rPr>
                <w:sz w:val="20"/>
              </w:rPr>
            </w:pPr>
            <w:r w:rsidRPr="001375B7">
              <w:rPr>
                <w:sz w:val="20"/>
              </w:rPr>
              <w:t>(Alta.) (Criminal) (By Leave)</w:t>
            </w:r>
          </w:p>
        </w:tc>
      </w:tr>
      <w:tr w:rsidR="00067D24" w:rsidRPr="001375B7" w:rsidTr="00E95A6A">
        <w:tc>
          <w:tcPr>
            <w:tcW w:w="5000" w:type="pct"/>
            <w:gridSpan w:val="4"/>
          </w:tcPr>
          <w:p w:rsidR="00067D24" w:rsidRPr="001375B7" w:rsidRDefault="00067D24" w:rsidP="00067D24">
            <w:pPr>
              <w:jc w:val="both"/>
              <w:rPr>
                <w:sz w:val="20"/>
              </w:rPr>
            </w:pPr>
            <w:r w:rsidRPr="001375B7">
              <w:rPr>
                <w:sz w:val="20"/>
              </w:rPr>
              <w:t xml:space="preserve">Criminal law — </w:t>
            </w:r>
            <w:r w:rsidRPr="001375B7">
              <w:rPr>
                <w:i/>
                <w:sz w:val="20"/>
              </w:rPr>
              <w:t>Charter of Rights</w:t>
            </w:r>
            <w:r w:rsidRPr="001375B7">
              <w:rPr>
                <w:sz w:val="20"/>
              </w:rPr>
              <w:t xml:space="preserve"> — Evidence — Admissibility — Reasonable and probable grounds for arrest — Whether a “fresh start” can insulate evidence from previous</w:t>
            </w:r>
            <w:r w:rsidRPr="001375B7">
              <w:rPr>
                <w:i/>
                <w:sz w:val="20"/>
              </w:rPr>
              <w:t xml:space="preserve"> </w:t>
            </w:r>
            <w:r w:rsidRPr="001375B7">
              <w:rPr>
                <w:sz w:val="20"/>
              </w:rPr>
              <w:t xml:space="preserve">violations of ss. 7, 8 and 9 of the </w:t>
            </w:r>
            <w:r w:rsidRPr="001375B7">
              <w:rPr>
                <w:i/>
                <w:sz w:val="20"/>
              </w:rPr>
              <w:t xml:space="preserve">Charter </w:t>
            </w:r>
            <w:r w:rsidRPr="001375B7">
              <w:rPr>
                <w:sz w:val="20"/>
              </w:rPr>
              <w:t>— Whether judicial scrutiny of reasonable and probable grounds should be more stringent in circumstances where an individual was initially unlawfully detained and police have no notes regarding the grounds for arrest or the information relied upon.</w:t>
            </w:r>
          </w:p>
        </w:tc>
      </w:tr>
      <w:tr w:rsidR="00067D24" w:rsidRPr="001375B7" w:rsidTr="00E95A6A">
        <w:tc>
          <w:tcPr>
            <w:tcW w:w="5000" w:type="pct"/>
            <w:gridSpan w:val="4"/>
          </w:tcPr>
          <w:p w:rsidR="00067D24" w:rsidRPr="001375B7" w:rsidRDefault="00067D24" w:rsidP="00067D24">
            <w:pPr>
              <w:jc w:val="both"/>
              <w:rPr>
                <w:sz w:val="20"/>
              </w:rPr>
            </w:pPr>
          </w:p>
        </w:tc>
      </w:tr>
      <w:tr w:rsidR="00067D24" w:rsidRPr="001375B7" w:rsidTr="00E95A6A">
        <w:tc>
          <w:tcPr>
            <w:tcW w:w="5000" w:type="pct"/>
            <w:gridSpan w:val="4"/>
          </w:tcPr>
          <w:p w:rsidR="00067D24" w:rsidRPr="001375B7" w:rsidRDefault="00067D24" w:rsidP="00067D24">
            <w:pPr>
              <w:jc w:val="both"/>
              <w:rPr>
                <w:sz w:val="20"/>
                <w:lang w:eastAsia="en-CA"/>
              </w:rPr>
            </w:pPr>
            <w:r w:rsidRPr="001375B7">
              <w:rPr>
                <w:sz w:val="20"/>
                <w:lang w:eastAsia="en-CA"/>
              </w:rPr>
              <w:t>The applicant and his co</w:t>
            </w:r>
            <w:r w:rsidRPr="001375B7">
              <w:rPr>
                <w:sz w:val="20"/>
                <w:lang w:eastAsia="en-CA"/>
              </w:rPr>
              <w:noBreakHyphen/>
              <w:t>accused were convicted of manslaughter in relation to the death of their roommate. After being initially detained by officers at the scene under a non</w:t>
            </w:r>
            <w:r w:rsidRPr="001375B7">
              <w:rPr>
                <w:sz w:val="20"/>
                <w:lang w:eastAsia="en-CA"/>
              </w:rPr>
              <w:noBreakHyphen/>
              <w:t>existent act, they were arrested by detectives for murder two hours later at the police station. Following a lengthy interview, the applicant confessed to their involvement in the death of the roommate; when confronted with the confession, the co</w:t>
            </w:r>
            <w:r w:rsidRPr="001375B7">
              <w:rPr>
                <w:sz w:val="20"/>
                <w:lang w:eastAsia="en-CA"/>
              </w:rPr>
              <w:noBreakHyphen/>
              <w:t>accused admitted his participation as well. At trial, the applicant sought the exclusion of all evidence which derived from alleged violations of his rights protected by ss. 7, 8, 9 and 10(</w:t>
            </w:r>
            <w:r w:rsidRPr="001375B7">
              <w:rPr>
                <w:i/>
                <w:sz w:val="20"/>
                <w:lang w:eastAsia="en-CA"/>
              </w:rPr>
              <w:t>b</w:t>
            </w:r>
            <w:r w:rsidRPr="001375B7">
              <w:rPr>
                <w:sz w:val="20"/>
                <w:lang w:eastAsia="en-CA"/>
              </w:rPr>
              <w:t xml:space="preserve">) of the </w:t>
            </w:r>
            <w:r w:rsidRPr="001375B7">
              <w:rPr>
                <w:i/>
                <w:sz w:val="20"/>
                <w:lang w:eastAsia="en-CA"/>
              </w:rPr>
              <w:t>Canadian</w:t>
            </w:r>
            <w:r w:rsidRPr="001375B7">
              <w:rPr>
                <w:sz w:val="20"/>
                <w:lang w:eastAsia="en-CA"/>
              </w:rPr>
              <w:t xml:space="preserve"> </w:t>
            </w:r>
            <w:r w:rsidRPr="001375B7">
              <w:rPr>
                <w:i/>
                <w:sz w:val="20"/>
                <w:lang w:eastAsia="en-CA"/>
              </w:rPr>
              <w:t>Charter of Rights and Freedoms</w:t>
            </w:r>
            <w:r w:rsidRPr="001375B7">
              <w:rPr>
                <w:sz w:val="20"/>
                <w:lang w:eastAsia="en-CA"/>
              </w:rPr>
              <w:t xml:space="preserve">. The applicant also alleged that the detective who arrested him at the station did not have reasonable and probable grounds to do so. The Crown </w:t>
            </w:r>
            <w:r w:rsidRPr="001375B7">
              <w:rPr>
                <w:sz w:val="20"/>
                <w:lang w:eastAsia="en-CA"/>
              </w:rPr>
              <w:lastRenderedPageBreak/>
              <w:t xml:space="preserve">conceded that the applicant’s </w:t>
            </w:r>
            <w:r w:rsidRPr="001375B7">
              <w:rPr>
                <w:i/>
                <w:sz w:val="20"/>
                <w:lang w:eastAsia="en-CA"/>
              </w:rPr>
              <w:t>Charter</w:t>
            </w:r>
            <w:r w:rsidRPr="001375B7">
              <w:rPr>
                <w:sz w:val="20"/>
                <w:lang w:eastAsia="en-CA"/>
              </w:rPr>
              <w:t xml:space="preserve"> rights had been breached when he was detained under a non-existent law, but argued that the arrest at the station constituted a “fresh start” which insulated his confession from the previous breaches. </w:t>
            </w:r>
          </w:p>
          <w:p w:rsidR="00067D24" w:rsidRPr="001375B7" w:rsidRDefault="00067D24" w:rsidP="00067D24">
            <w:pPr>
              <w:jc w:val="both"/>
              <w:rPr>
                <w:sz w:val="20"/>
                <w:lang w:eastAsia="en-CA"/>
              </w:rPr>
            </w:pPr>
          </w:p>
          <w:p w:rsidR="00067D24" w:rsidRPr="001375B7" w:rsidRDefault="00067D24" w:rsidP="00067D24">
            <w:pPr>
              <w:jc w:val="both"/>
              <w:rPr>
                <w:sz w:val="20"/>
                <w:lang w:eastAsia="en-CA"/>
              </w:rPr>
            </w:pPr>
            <w:r w:rsidRPr="001375B7">
              <w:rPr>
                <w:sz w:val="20"/>
                <w:lang w:eastAsia="en-CA"/>
              </w:rPr>
              <w:t>The trial judge dismissed the</w:t>
            </w:r>
            <w:r w:rsidRPr="001375B7">
              <w:rPr>
                <w:i/>
                <w:sz w:val="20"/>
                <w:lang w:eastAsia="en-CA"/>
              </w:rPr>
              <w:t xml:space="preserve"> </w:t>
            </w:r>
            <w:r w:rsidRPr="001375B7">
              <w:rPr>
                <w:sz w:val="20"/>
                <w:lang w:eastAsia="en-CA"/>
              </w:rPr>
              <w:t xml:space="preserve">application, finding that the police had reasonable and probable grounds to arrest the applicant for murder at the police station, and that the arrest constituted a “fresh start” which cured the previous breaches. He concluded that the applicant’s subsequent confession had not been tainted by the breaches. Nevertheless, the trial judge conducted a s. 24(2) analysis as set out in </w:t>
            </w:r>
            <w:r w:rsidRPr="001375B7">
              <w:rPr>
                <w:i/>
                <w:sz w:val="20"/>
                <w:lang w:eastAsia="en-CA"/>
              </w:rPr>
              <w:t>R. v. Grant</w:t>
            </w:r>
            <w:r w:rsidRPr="001375B7">
              <w:rPr>
                <w:sz w:val="20"/>
                <w:lang w:eastAsia="en-CA"/>
              </w:rPr>
              <w:t>, 2009 SCC 32, and concluded that the confession would have been admitted, in any event. The Court of Appeal unanimously dismissed the applicant’s appeal.</w:t>
            </w:r>
          </w:p>
          <w:p w:rsidR="00067D24" w:rsidRPr="001375B7" w:rsidRDefault="00067D24" w:rsidP="00067D24">
            <w:pPr>
              <w:jc w:val="both"/>
              <w:rPr>
                <w:sz w:val="20"/>
              </w:rPr>
            </w:pPr>
          </w:p>
        </w:tc>
      </w:tr>
      <w:tr w:rsidR="00067D24" w:rsidRPr="001375B7" w:rsidTr="00E95A6A">
        <w:tc>
          <w:tcPr>
            <w:tcW w:w="2427" w:type="pct"/>
            <w:gridSpan w:val="2"/>
          </w:tcPr>
          <w:p w:rsidR="00067D24" w:rsidRPr="001375B7" w:rsidRDefault="00067D24" w:rsidP="00067D24">
            <w:pPr>
              <w:jc w:val="both"/>
              <w:rPr>
                <w:sz w:val="20"/>
              </w:rPr>
            </w:pPr>
            <w:r w:rsidRPr="001375B7">
              <w:rPr>
                <w:sz w:val="20"/>
              </w:rPr>
              <w:lastRenderedPageBreak/>
              <w:t>February 21, 2019</w:t>
            </w:r>
          </w:p>
          <w:p w:rsidR="00067D24" w:rsidRPr="001375B7" w:rsidRDefault="00067D24" w:rsidP="00067D24">
            <w:pPr>
              <w:jc w:val="both"/>
              <w:rPr>
                <w:sz w:val="20"/>
              </w:rPr>
            </w:pPr>
            <w:r w:rsidRPr="001375B7">
              <w:rPr>
                <w:sz w:val="20"/>
              </w:rPr>
              <w:t>Court of Queen’s Bench of Alberta</w:t>
            </w:r>
          </w:p>
          <w:p w:rsidR="00067D24" w:rsidRPr="001375B7" w:rsidRDefault="00067D24" w:rsidP="00067D24">
            <w:pPr>
              <w:jc w:val="both"/>
              <w:rPr>
                <w:sz w:val="20"/>
              </w:rPr>
            </w:pPr>
            <w:r w:rsidRPr="001375B7">
              <w:rPr>
                <w:sz w:val="20"/>
              </w:rPr>
              <w:t>(Yamauchi J.)</w:t>
            </w:r>
          </w:p>
          <w:p w:rsidR="00067D24" w:rsidRPr="001375B7" w:rsidRDefault="00F04E23" w:rsidP="00067D24">
            <w:pPr>
              <w:jc w:val="both"/>
              <w:rPr>
                <w:sz w:val="20"/>
              </w:rPr>
            </w:pPr>
            <w:hyperlink r:id="rId46" w:history="1">
              <w:r w:rsidR="00067D24" w:rsidRPr="001375B7">
                <w:rPr>
                  <w:rStyle w:val="Hyperlink"/>
                  <w:sz w:val="20"/>
                </w:rPr>
                <w:t>2019 ABQB 125</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i/>
                <w:sz w:val="20"/>
              </w:rPr>
            </w:pPr>
            <w:r w:rsidRPr="001375B7">
              <w:rPr>
                <w:sz w:val="20"/>
              </w:rPr>
              <w:t xml:space="preserve">Applicant’s </w:t>
            </w:r>
            <w:r w:rsidRPr="001375B7">
              <w:rPr>
                <w:i/>
                <w:sz w:val="20"/>
              </w:rPr>
              <w:t>Charter</w:t>
            </w:r>
            <w:r w:rsidRPr="001375B7">
              <w:rPr>
                <w:sz w:val="20"/>
              </w:rPr>
              <w:t xml:space="preserve"> application dismissed.</w:t>
            </w:r>
          </w:p>
          <w:p w:rsidR="00067D24" w:rsidRPr="001375B7" w:rsidRDefault="00067D24" w:rsidP="00067D24">
            <w:pPr>
              <w:jc w:val="both"/>
              <w:rPr>
                <w:sz w:val="20"/>
              </w:rPr>
            </w:pPr>
          </w:p>
        </w:tc>
      </w:tr>
      <w:tr w:rsidR="00067D24" w:rsidRPr="001375B7" w:rsidTr="00E95A6A">
        <w:tc>
          <w:tcPr>
            <w:tcW w:w="2427" w:type="pct"/>
            <w:gridSpan w:val="2"/>
          </w:tcPr>
          <w:p w:rsidR="00067D24" w:rsidRPr="001375B7" w:rsidRDefault="00067D24" w:rsidP="00067D24">
            <w:pPr>
              <w:jc w:val="both"/>
              <w:rPr>
                <w:sz w:val="20"/>
              </w:rPr>
            </w:pPr>
            <w:r w:rsidRPr="001375B7">
              <w:rPr>
                <w:sz w:val="20"/>
              </w:rPr>
              <w:t>May 14, 2020</w:t>
            </w:r>
          </w:p>
          <w:p w:rsidR="00067D24" w:rsidRPr="001375B7" w:rsidRDefault="00067D24" w:rsidP="00067D24">
            <w:pPr>
              <w:jc w:val="both"/>
              <w:rPr>
                <w:sz w:val="20"/>
              </w:rPr>
            </w:pPr>
            <w:r w:rsidRPr="001375B7">
              <w:rPr>
                <w:sz w:val="20"/>
              </w:rPr>
              <w:t>Court of Appeal of Alberta (Calgary)</w:t>
            </w:r>
          </w:p>
          <w:p w:rsidR="00067D24" w:rsidRPr="001375B7" w:rsidRDefault="00067D24" w:rsidP="00067D24">
            <w:pPr>
              <w:jc w:val="both"/>
              <w:rPr>
                <w:sz w:val="20"/>
              </w:rPr>
            </w:pPr>
            <w:r w:rsidRPr="001375B7">
              <w:rPr>
                <w:sz w:val="20"/>
              </w:rPr>
              <w:t>(O'Ferrall, Wakeling and Feehan JJ.A.)</w:t>
            </w:r>
          </w:p>
          <w:p w:rsidR="00067D24" w:rsidRPr="001375B7" w:rsidRDefault="00F04E23" w:rsidP="00067D24">
            <w:pPr>
              <w:jc w:val="both"/>
              <w:rPr>
                <w:sz w:val="20"/>
              </w:rPr>
            </w:pPr>
            <w:hyperlink r:id="rId47" w:history="1">
              <w:r w:rsidR="00067D24" w:rsidRPr="001375B7">
                <w:rPr>
                  <w:rStyle w:val="Hyperlink"/>
                  <w:sz w:val="20"/>
                </w:rPr>
                <w:t>2020 ABCA 203</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sz w:val="20"/>
              </w:rPr>
            </w:pPr>
            <w:r w:rsidRPr="001375B7">
              <w:rPr>
                <w:sz w:val="20"/>
              </w:rPr>
              <w:t>Applicant’s appeal dismissed.</w:t>
            </w:r>
          </w:p>
        </w:tc>
      </w:tr>
      <w:tr w:rsidR="00067D24" w:rsidRPr="001375B7" w:rsidTr="00E95A6A">
        <w:tc>
          <w:tcPr>
            <w:tcW w:w="2427" w:type="pct"/>
            <w:gridSpan w:val="2"/>
          </w:tcPr>
          <w:p w:rsidR="00067D24" w:rsidRPr="001375B7" w:rsidRDefault="00067D24" w:rsidP="00067D24">
            <w:pPr>
              <w:jc w:val="both"/>
              <w:rPr>
                <w:sz w:val="20"/>
              </w:rPr>
            </w:pPr>
            <w:r w:rsidRPr="001375B7">
              <w:rPr>
                <w:sz w:val="20"/>
              </w:rPr>
              <w:t>December 17, 2020</w:t>
            </w:r>
          </w:p>
          <w:p w:rsidR="00067D24" w:rsidRPr="001375B7" w:rsidRDefault="00067D24" w:rsidP="00067D24">
            <w:pPr>
              <w:jc w:val="both"/>
              <w:rPr>
                <w:sz w:val="20"/>
              </w:rPr>
            </w:pPr>
            <w:r w:rsidRPr="001375B7">
              <w:rPr>
                <w:sz w:val="20"/>
              </w:rPr>
              <w:t>Supreme Court of Canada</w:t>
            </w: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sz w:val="20"/>
              </w:rPr>
            </w:pPr>
            <w:r w:rsidRPr="001375B7">
              <w:rPr>
                <w:sz w:val="20"/>
              </w:rPr>
              <w:t>Application for leave to appeal filed.</w:t>
            </w:r>
          </w:p>
          <w:p w:rsidR="00067D24" w:rsidRPr="001375B7" w:rsidRDefault="00067D24" w:rsidP="00067D24">
            <w:pPr>
              <w:jc w:val="both"/>
              <w:rPr>
                <w:sz w:val="20"/>
              </w:rPr>
            </w:pPr>
          </w:p>
        </w:tc>
      </w:tr>
    </w:tbl>
    <w:p w:rsidR="00067D24" w:rsidRPr="001375B7" w:rsidRDefault="00067D24" w:rsidP="00067D24">
      <w:pPr>
        <w:jc w:val="both"/>
        <w:rPr>
          <w:sz w:val="20"/>
        </w:rPr>
      </w:pPr>
    </w:p>
    <w:p w:rsidR="00067D24" w:rsidRPr="001375B7" w:rsidRDefault="00F04E23" w:rsidP="00067D24">
      <w:pPr>
        <w:jc w:val="both"/>
        <w:rPr>
          <w:sz w:val="20"/>
        </w:rPr>
      </w:pPr>
      <w:r>
        <w:rPr>
          <w:sz w:val="20"/>
        </w:rPr>
        <w:pict>
          <v:rect id="_x0000_i1041" style="width:2in;height:1pt" o:hrpct="0" o:hralign="center" o:hrstd="t" o:hrnoshade="t" o:hr="t" fillcolor="black [3213]" stroked="f"/>
        </w:pict>
      </w:r>
    </w:p>
    <w:p w:rsidR="00067D24" w:rsidRPr="001375B7" w:rsidRDefault="00067D24" w:rsidP="00067D2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7D24" w:rsidRPr="001375B7" w:rsidTr="00E95A6A">
        <w:tc>
          <w:tcPr>
            <w:tcW w:w="543" w:type="pct"/>
          </w:tcPr>
          <w:p w:rsidR="00067D24" w:rsidRPr="001375B7" w:rsidRDefault="00067D24" w:rsidP="00067D24">
            <w:pPr>
              <w:jc w:val="both"/>
              <w:rPr>
                <w:sz w:val="20"/>
              </w:rPr>
            </w:pPr>
            <w:r w:rsidRPr="001375B7">
              <w:rPr>
                <w:rStyle w:val="SCCFileNumberChar"/>
                <w:sz w:val="20"/>
                <w:szCs w:val="20"/>
              </w:rPr>
              <w:t>39481</w:t>
            </w:r>
          </w:p>
        </w:tc>
        <w:tc>
          <w:tcPr>
            <w:tcW w:w="4457" w:type="pct"/>
            <w:gridSpan w:val="3"/>
          </w:tcPr>
          <w:p w:rsidR="00067D24" w:rsidRPr="001375B7" w:rsidRDefault="00067D24" w:rsidP="00067D24">
            <w:pPr>
              <w:pStyle w:val="SCCLsocParty"/>
              <w:jc w:val="both"/>
              <w:rPr>
                <w:b/>
                <w:sz w:val="20"/>
                <w:szCs w:val="20"/>
              </w:rPr>
            </w:pPr>
            <w:r w:rsidRPr="001375B7">
              <w:rPr>
                <w:b/>
                <w:sz w:val="20"/>
                <w:szCs w:val="20"/>
              </w:rPr>
              <w:t>Brian John Lambert c. Sa Majesté la Reine</w:t>
            </w:r>
          </w:p>
          <w:p w:rsidR="00067D24" w:rsidRPr="001375B7" w:rsidRDefault="00067D24" w:rsidP="00067D24">
            <w:pPr>
              <w:jc w:val="both"/>
              <w:rPr>
                <w:sz w:val="20"/>
              </w:rPr>
            </w:pPr>
            <w:r w:rsidRPr="001375B7">
              <w:rPr>
                <w:sz w:val="20"/>
              </w:rPr>
              <w:t>(Alb.) (Criminelle) (Autorisation)</w:t>
            </w:r>
          </w:p>
        </w:tc>
      </w:tr>
      <w:tr w:rsidR="00067D24" w:rsidRPr="00170A70" w:rsidTr="00E95A6A">
        <w:tc>
          <w:tcPr>
            <w:tcW w:w="5000" w:type="pct"/>
            <w:gridSpan w:val="4"/>
          </w:tcPr>
          <w:p w:rsidR="00067D24" w:rsidRPr="001375B7" w:rsidRDefault="00067D24" w:rsidP="00067D24">
            <w:pPr>
              <w:jc w:val="both"/>
              <w:rPr>
                <w:sz w:val="20"/>
                <w:lang w:val="fr-CA"/>
              </w:rPr>
            </w:pPr>
            <w:r w:rsidRPr="001375B7">
              <w:rPr>
                <w:sz w:val="20"/>
                <w:lang w:val="fr-CA"/>
              </w:rPr>
              <w:t>Droit criminel —</w:t>
            </w:r>
            <w:r w:rsidRPr="001375B7">
              <w:rPr>
                <w:i/>
                <w:sz w:val="20"/>
                <w:lang w:val="fr-CA"/>
              </w:rPr>
              <w:t xml:space="preserve"> Charte des droits </w:t>
            </w:r>
            <w:r w:rsidRPr="001375B7">
              <w:rPr>
                <w:sz w:val="20"/>
                <w:lang w:val="fr-CA"/>
              </w:rPr>
              <w:t>— Preuve — Admissibilité — Motifs raisonnables et probables de procéder à une arrestation — Un « nouveau départ » peut</w:t>
            </w:r>
            <w:r w:rsidRPr="001375B7">
              <w:rPr>
                <w:sz w:val="20"/>
                <w:lang w:val="fr-CA"/>
              </w:rPr>
              <w:noBreakHyphen/>
              <w:t xml:space="preserve">il permettre d’isoler la preuve de violations antérieures des </w:t>
            </w:r>
            <w:proofErr w:type="gramStart"/>
            <w:r w:rsidRPr="001375B7">
              <w:rPr>
                <w:sz w:val="20"/>
                <w:lang w:val="fr-CA"/>
              </w:rPr>
              <w:t>art</w:t>
            </w:r>
            <w:proofErr w:type="gramEnd"/>
            <w:r w:rsidRPr="001375B7">
              <w:rPr>
                <w:sz w:val="20"/>
                <w:lang w:val="fr-CA"/>
              </w:rPr>
              <w:t xml:space="preserve">. 7, 8 et 9 de la </w:t>
            </w:r>
            <w:r w:rsidRPr="001375B7">
              <w:rPr>
                <w:i/>
                <w:sz w:val="20"/>
                <w:lang w:val="fr-CA"/>
              </w:rPr>
              <w:t>Charte</w:t>
            </w:r>
            <w:r w:rsidRPr="001375B7">
              <w:rPr>
                <w:sz w:val="20"/>
                <w:lang w:val="fr-CA"/>
              </w:rPr>
              <w:t xml:space="preserve">? — Le contrôle judiciaire de motifs raisonnables et probables devrait-il être plus rigoureux dans les circonstances où une personne a initialement été détenue de manière illicite et où la police ne dispose pas de notes concernant les motifs de l’arrestation ou les renseignements justifiant l’arrestation? </w:t>
            </w:r>
          </w:p>
        </w:tc>
      </w:tr>
      <w:tr w:rsidR="00067D24" w:rsidRPr="00170A70" w:rsidTr="00E95A6A">
        <w:tc>
          <w:tcPr>
            <w:tcW w:w="5000" w:type="pct"/>
            <w:gridSpan w:val="4"/>
          </w:tcPr>
          <w:p w:rsidR="00067D24" w:rsidRPr="001375B7" w:rsidRDefault="00067D24" w:rsidP="00067D24">
            <w:pPr>
              <w:jc w:val="both"/>
              <w:rPr>
                <w:sz w:val="20"/>
                <w:lang w:val="fr-CA"/>
              </w:rPr>
            </w:pPr>
          </w:p>
        </w:tc>
      </w:tr>
      <w:tr w:rsidR="00067D24" w:rsidRPr="00170A70" w:rsidTr="00E95A6A">
        <w:tc>
          <w:tcPr>
            <w:tcW w:w="5000" w:type="pct"/>
            <w:gridSpan w:val="4"/>
          </w:tcPr>
          <w:p w:rsidR="00067D24" w:rsidRPr="001375B7" w:rsidRDefault="00067D24" w:rsidP="00067D24">
            <w:pPr>
              <w:jc w:val="both"/>
              <w:rPr>
                <w:sz w:val="20"/>
                <w:lang w:val="fr-CA" w:eastAsia="en-CA"/>
              </w:rPr>
            </w:pPr>
            <w:r w:rsidRPr="001375B7">
              <w:rPr>
                <w:sz w:val="20"/>
                <w:lang w:val="fr-CA" w:eastAsia="en-CA"/>
              </w:rPr>
              <w:t xml:space="preserve">Le demandeur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demandeur a avoué son implication dans le décès du colocataire; lorsqu’il a été exposé aux aveux, le coaccusé a également avoué son implication. Lors du procès, le demandeur a sollicité l’exclusion de tous les éléments de preuve qui provenait de violations alléguées de ses droits protégés par </w:t>
            </w:r>
            <w:proofErr w:type="gramStart"/>
            <w:r w:rsidRPr="001375B7">
              <w:rPr>
                <w:sz w:val="20"/>
                <w:lang w:val="fr-CA" w:eastAsia="en-CA"/>
              </w:rPr>
              <w:t>les art</w:t>
            </w:r>
            <w:proofErr w:type="gramEnd"/>
            <w:r w:rsidRPr="001375B7">
              <w:rPr>
                <w:sz w:val="20"/>
                <w:lang w:val="fr-CA" w:eastAsia="en-CA"/>
              </w:rPr>
              <w:t>. 7 et 9, et les al. 10</w:t>
            </w:r>
            <w:r w:rsidRPr="001375B7">
              <w:rPr>
                <w:i/>
                <w:sz w:val="20"/>
                <w:lang w:val="fr-CA" w:eastAsia="en-CA"/>
              </w:rPr>
              <w:t>a</w:t>
            </w:r>
            <w:r w:rsidRPr="001375B7">
              <w:rPr>
                <w:sz w:val="20"/>
                <w:lang w:val="fr-CA" w:eastAsia="en-CA"/>
              </w:rPr>
              <w:t>) et 10</w:t>
            </w:r>
            <w:r w:rsidRPr="001375B7">
              <w:rPr>
                <w:i/>
                <w:sz w:val="20"/>
                <w:lang w:val="fr-CA" w:eastAsia="en-CA"/>
              </w:rPr>
              <w:t>b</w:t>
            </w:r>
            <w:r w:rsidRPr="001375B7">
              <w:rPr>
                <w:sz w:val="20"/>
                <w:lang w:val="fr-CA" w:eastAsia="en-CA"/>
              </w:rPr>
              <w:t xml:space="preserve">) de la </w:t>
            </w:r>
            <w:r w:rsidRPr="001375B7">
              <w:rPr>
                <w:i/>
                <w:sz w:val="20"/>
                <w:lang w:val="fr-CA" w:eastAsia="en-CA"/>
              </w:rPr>
              <w:t>Charte canadienne des droits et libertés</w:t>
            </w:r>
            <w:r w:rsidRPr="001375B7">
              <w:rPr>
                <w:sz w:val="20"/>
                <w:lang w:val="fr-CA" w:eastAsia="en-CA"/>
              </w:rPr>
              <w:t xml:space="preserve">. Le demandeur a aussi fait valoir que le détective qui l’a arrêté au poste de police n’avait pas de motifs raisonnables et probables de procéder à l’arrestation. La Couronne a reconnu que les droits du demandeur fondés sur la </w:t>
            </w:r>
            <w:r w:rsidRPr="001375B7">
              <w:rPr>
                <w:i/>
                <w:sz w:val="20"/>
                <w:lang w:val="fr-CA" w:eastAsia="en-CA"/>
              </w:rPr>
              <w:t>Charte</w:t>
            </w:r>
            <w:r w:rsidRPr="001375B7">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067D24" w:rsidRPr="001375B7" w:rsidRDefault="00067D24" w:rsidP="00067D24">
            <w:pPr>
              <w:jc w:val="both"/>
              <w:rPr>
                <w:sz w:val="20"/>
                <w:lang w:val="fr-CA" w:eastAsia="en-CA"/>
              </w:rPr>
            </w:pPr>
          </w:p>
          <w:p w:rsidR="00067D24" w:rsidRPr="001375B7" w:rsidRDefault="00067D24" w:rsidP="00067D24">
            <w:pPr>
              <w:jc w:val="both"/>
              <w:rPr>
                <w:sz w:val="20"/>
                <w:lang w:val="fr-CA" w:eastAsia="en-CA"/>
              </w:rPr>
            </w:pPr>
            <w:r w:rsidRPr="001375B7">
              <w:rPr>
                <w:sz w:val="20"/>
                <w:lang w:val="fr-CA" w:eastAsia="en-CA"/>
              </w:rPr>
              <w:t>Le juge du procès a rejeté la demande, concluant que la police avait des motifs raisonnables et probables de procéder à l’arrestation du demandeur au poste de police pour le meurtre, et que l’arrestation constituait un « nouveau départ » qui a permis de remédier aux violations antérieures. Il a conclu que l’aveu subséquent du demandeur n’avait pas été entaché par les violations. Néanmoins, le juge de première instance a mené l’analyse selon le par. 24(2) telle qu’elle est établie dans l’arrêt</w:t>
            </w:r>
            <w:r w:rsidRPr="001375B7">
              <w:rPr>
                <w:i/>
                <w:sz w:val="20"/>
                <w:lang w:val="fr-CA" w:eastAsia="en-CA"/>
              </w:rPr>
              <w:t xml:space="preserve"> R. c. Grant</w:t>
            </w:r>
            <w:r w:rsidRPr="001375B7">
              <w:rPr>
                <w:sz w:val="20"/>
                <w:lang w:val="fr-CA" w:eastAsia="en-CA"/>
              </w:rPr>
              <w:t>, 2009 CSC 32, et a conclu que l’aveu aurait été admis en preuve quoi qu’il en soit. La Cour d’appel a unanimement rejeté l’appel interjeté par le demandeur.</w:t>
            </w:r>
          </w:p>
          <w:p w:rsidR="00067D24" w:rsidRPr="001375B7" w:rsidRDefault="00067D24" w:rsidP="00067D24">
            <w:pPr>
              <w:jc w:val="both"/>
              <w:rPr>
                <w:sz w:val="20"/>
                <w:lang w:val="fr-CA"/>
              </w:rPr>
            </w:pPr>
          </w:p>
        </w:tc>
      </w:tr>
      <w:tr w:rsidR="00067D24" w:rsidRPr="00170A70" w:rsidTr="009036B8">
        <w:tc>
          <w:tcPr>
            <w:tcW w:w="2427" w:type="pct"/>
            <w:gridSpan w:val="2"/>
          </w:tcPr>
          <w:p w:rsidR="00067D24" w:rsidRPr="001375B7" w:rsidRDefault="00067D24" w:rsidP="00067D24">
            <w:pPr>
              <w:jc w:val="both"/>
              <w:rPr>
                <w:sz w:val="20"/>
                <w:lang w:val="fr-CA"/>
              </w:rPr>
            </w:pPr>
            <w:r w:rsidRPr="001375B7">
              <w:rPr>
                <w:sz w:val="20"/>
                <w:lang w:val="fr-CA"/>
              </w:rPr>
              <w:t>21 février 2019</w:t>
            </w:r>
          </w:p>
          <w:p w:rsidR="00067D24" w:rsidRPr="001375B7" w:rsidRDefault="00067D24" w:rsidP="00067D24">
            <w:pPr>
              <w:jc w:val="both"/>
              <w:rPr>
                <w:sz w:val="20"/>
                <w:lang w:val="fr-CA"/>
              </w:rPr>
            </w:pPr>
            <w:r w:rsidRPr="001375B7">
              <w:rPr>
                <w:sz w:val="20"/>
                <w:lang w:val="fr-CA"/>
              </w:rPr>
              <w:t>Cour du banc de la reine de l’Alberta</w:t>
            </w:r>
          </w:p>
          <w:p w:rsidR="00067D24" w:rsidRPr="001375B7" w:rsidRDefault="00067D24" w:rsidP="00067D24">
            <w:pPr>
              <w:jc w:val="both"/>
              <w:rPr>
                <w:sz w:val="20"/>
              </w:rPr>
            </w:pPr>
            <w:r w:rsidRPr="001375B7">
              <w:rPr>
                <w:sz w:val="20"/>
              </w:rPr>
              <w:t>(juge Yamauchi)</w:t>
            </w:r>
          </w:p>
          <w:p w:rsidR="00067D24" w:rsidRPr="001375B7" w:rsidRDefault="00F04E23" w:rsidP="00067D24">
            <w:pPr>
              <w:jc w:val="both"/>
              <w:rPr>
                <w:sz w:val="20"/>
              </w:rPr>
            </w:pPr>
            <w:hyperlink r:id="rId48" w:history="1">
              <w:r w:rsidR="00067D24" w:rsidRPr="001375B7">
                <w:rPr>
                  <w:rStyle w:val="Hyperlink"/>
                  <w:sz w:val="20"/>
                </w:rPr>
                <w:t>2019 ABQB 125</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p w:rsidR="00067D24" w:rsidRPr="001375B7" w:rsidRDefault="00067D24" w:rsidP="00067D24">
            <w:pPr>
              <w:tabs>
                <w:tab w:val="left" w:pos="421"/>
              </w:tabs>
              <w:jc w:val="both"/>
              <w:rPr>
                <w:sz w:val="20"/>
              </w:rPr>
            </w:pPr>
          </w:p>
        </w:tc>
        <w:tc>
          <w:tcPr>
            <w:tcW w:w="2330" w:type="pct"/>
          </w:tcPr>
          <w:p w:rsidR="00067D24" w:rsidRPr="001375B7" w:rsidRDefault="00067D24" w:rsidP="00067D24">
            <w:pPr>
              <w:jc w:val="both"/>
              <w:rPr>
                <w:i/>
                <w:sz w:val="20"/>
                <w:lang w:val="fr-CA"/>
              </w:rPr>
            </w:pPr>
            <w:r w:rsidRPr="001375B7">
              <w:rPr>
                <w:sz w:val="20"/>
                <w:lang w:val="fr-CA"/>
              </w:rPr>
              <w:t xml:space="preserve">Rejet de la demande présentée par le demandeur fondée sur la </w:t>
            </w:r>
            <w:r w:rsidRPr="001375B7">
              <w:rPr>
                <w:i/>
                <w:sz w:val="20"/>
                <w:lang w:val="fr-CA"/>
              </w:rPr>
              <w:t>Charte</w:t>
            </w:r>
            <w:r w:rsidRPr="001375B7">
              <w:rPr>
                <w:sz w:val="20"/>
                <w:lang w:val="fr-CA"/>
              </w:rPr>
              <w:t>.</w:t>
            </w:r>
          </w:p>
          <w:p w:rsidR="00067D24" w:rsidRPr="001375B7" w:rsidRDefault="00067D24" w:rsidP="00067D24">
            <w:pPr>
              <w:jc w:val="both"/>
              <w:rPr>
                <w:sz w:val="20"/>
                <w:lang w:val="fr-CA"/>
              </w:rPr>
            </w:pPr>
          </w:p>
        </w:tc>
      </w:tr>
      <w:tr w:rsidR="00067D24" w:rsidRPr="00170A70" w:rsidTr="009036B8">
        <w:tc>
          <w:tcPr>
            <w:tcW w:w="2427" w:type="pct"/>
            <w:gridSpan w:val="2"/>
          </w:tcPr>
          <w:p w:rsidR="00067D24" w:rsidRPr="001375B7" w:rsidRDefault="00067D24" w:rsidP="00067D24">
            <w:pPr>
              <w:jc w:val="both"/>
              <w:rPr>
                <w:sz w:val="20"/>
                <w:lang w:val="fr-CA"/>
              </w:rPr>
            </w:pPr>
            <w:r w:rsidRPr="001375B7">
              <w:rPr>
                <w:sz w:val="20"/>
                <w:lang w:val="fr-CA"/>
              </w:rPr>
              <w:t>14 mai 2020</w:t>
            </w:r>
          </w:p>
          <w:p w:rsidR="00067D24" w:rsidRPr="001375B7" w:rsidRDefault="00067D24" w:rsidP="00067D24">
            <w:pPr>
              <w:jc w:val="both"/>
              <w:rPr>
                <w:sz w:val="20"/>
                <w:lang w:val="fr-CA"/>
              </w:rPr>
            </w:pPr>
            <w:r w:rsidRPr="001375B7">
              <w:rPr>
                <w:sz w:val="20"/>
                <w:lang w:val="fr-CA"/>
              </w:rPr>
              <w:t>Cour d’appel de l’Alberta (Calgary)</w:t>
            </w:r>
          </w:p>
          <w:p w:rsidR="00067D24" w:rsidRPr="001375B7" w:rsidRDefault="00067D24" w:rsidP="00067D24">
            <w:pPr>
              <w:jc w:val="both"/>
              <w:rPr>
                <w:sz w:val="20"/>
              </w:rPr>
            </w:pPr>
            <w:r w:rsidRPr="001375B7">
              <w:rPr>
                <w:sz w:val="20"/>
              </w:rPr>
              <w:t>(juges O’Ferrall, Wakeling et Feehan)</w:t>
            </w:r>
          </w:p>
          <w:p w:rsidR="00067D24" w:rsidRPr="001375B7" w:rsidRDefault="00F04E23" w:rsidP="00067D24">
            <w:pPr>
              <w:jc w:val="both"/>
              <w:rPr>
                <w:sz w:val="20"/>
              </w:rPr>
            </w:pPr>
            <w:hyperlink r:id="rId49" w:history="1">
              <w:r w:rsidR="00067D24" w:rsidRPr="001375B7">
                <w:rPr>
                  <w:rStyle w:val="Hyperlink"/>
                  <w:sz w:val="20"/>
                </w:rPr>
                <w:t>2020 ABCA 203</w:t>
              </w:r>
            </w:hyperlink>
          </w:p>
          <w:p w:rsidR="00067D24" w:rsidRPr="001375B7" w:rsidRDefault="00067D24" w:rsidP="00067D24">
            <w:pPr>
              <w:jc w:val="both"/>
              <w:rPr>
                <w:sz w:val="20"/>
              </w:rPr>
            </w:pPr>
          </w:p>
        </w:tc>
        <w:tc>
          <w:tcPr>
            <w:tcW w:w="243" w:type="pct"/>
          </w:tcPr>
          <w:p w:rsidR="00067D24" w:rsidRPr="001375B7" w:rsidRDefault="00067D24" w:rsidP="00067D24">
            <w:pPr>
              <w:jc w:val="both"/>
              <w:rPr>
                <w:sz w:val="20"/>
              </w:rPr>
            </w:pPr>
          </w:p>
        </w:tc>
        <w:tc>
          <w:tcPr>
            <w:tcW w:w="2330" w:type="pct"/>
          </w:tcPr>
          <w:p w:rsidR="00067D24" w:rsidRPr="001375B7" w:rsidRDefault="00067D24" w:rsidP="00067D24">
            <w:pPr>
              <w:jc w:val="both"/>
              <w:rPr>
                <w:sz w:val="20"/>
                <w:lang w:val="fr-CA"/>
              </w:rPr>
            </w:pPr>
            <w:r w:rsidRPr="001375B7">
              <w:rPr>
                <w:sz w:val="20"/>
                <w:lang w:val="fr-CA"/>
              </w:rPr>
              <w:t>Rejet de l’appel interjeté par le demandeur.</w:t>
            </w:r>
          </w:p>
        </w:tc>
      </w:tr>
      <w:tr w:rsidR="00067D24" w:rsidRPr="00170A70" w:rsidTr="009036B8">
        <w:tc>
          <w:tcPr>
            <w:tcW w:w="2427" w:type="pct"/>
            <w:gridSpan w:val="2"/>
          </w:tcPr>
          <w:p w:rsidR="00067D24" w:rsidRPr="001375B7" w:rsidRDefault="00067D24" w:rsidP="00067D24">
            <w:pPr>
              <w:jc w:val="both"/>
              <w:rPr>
                <w:sz w:val="20"/>
                <w:lang w:val="fr-CA"/>
              </w:rPr>
            </w:pPr>
            <w:r w:rsidRPr="001375B7">
              <w:rPr>
                <w:sz w:val="20"/>
                <w:lang w:val="fr-CA"/>
              </w:rPr>
              <w:t>17 décembre 2020</w:t>
            </w:r>
          </w:p>
          <w:p w:rsidR="00067D24" w:rsidRPr="001375B7" w:rsidRDefault="00067D24" w:rsidP="00067D24">
            <w:pPr>
              <w:jc w:val="both"/>
              <w:rPr>
                <w:sz w:val="20"/>
                <w:lang w:val="fr-CA"/>
              </w:rPr>
            </w:pPr>
            <w:r w:rsidRPr="001375B7">
              <w:rPr>
                <w:sz w:val="20"/>
                <w:lang w:val="fr-CA"/>
              </w:rPr>
              <w:t>Cour suprême du Canada</w:t>
            </w:r>
          </w:p>
        </w:tc>
        <w:tc>
          <w:tcPr>
            <w:tcW w:w="243" w:type="pct"/>
          </w:tcPr>
          <w:p w:rsidR="00067D24" w:rsidRPr="001375B7" w:rsidRDefault="00067D24" w:rsidP="00067D24">
            <w:pPr>
              <w:jc w:val="both"/>
              <w:rPr>
                <w:sz w:val="20"/>
                <w:lang w:val="fr-CA"/>
              </w:rPr>
            </w:pPr>
          </w:p>
        </w:tc>
        <w:tc>
          <w:tcPr>
            <w:tcW w:w="2330" w:type="pct"/>
          </w:tcPr>
          <w:p w:rsidR="00067D24" w:rsidRPr="001375B7" w:rsidRDefault="00067D24" w:rsidP="00067D24">
            <w:pPr>
              <w:jc w:val="both"/>
              <w:rPr>
                <w:sz w:val="20"/>
                <w:lang w:val="fr-CA"/>
              </w:rPr>
            </w:pPr>
            <w:r w:rsidRPr="001375B7">
              <w:rPr>
                <w:sz w:val="20"/>
                <w:lang w:val="fr-CA"/>
              </w:rPr>
              <w:t>Dépôt de la demande d’autorisation d’appel.</w:t>
            </w:r>
          </w:p>
          <w:p w:rsidR="00067D24" w:rsidRPr="001375B7" w:rsidRDefault="00067D24" w:rsidP="00067D24">
            <w:pPr>
              <w:jc w:val="both"/>
              <w:rPr>
                <w:sz w:val="20"/>
                <w:lang w:val="fr-CA"/>
              </w:rPr>
            </w:pPr>
          </w:p>
        </w:tc>
      </w:tr>
    </w:tbl>
    <w:p w:rsidR="00067D24" w:rsidRPr="001375B7" w:rsidRDefault="00067D24" w:rsidP="00067D24">
      <w:pPr>
        <w:jc w:val="both"/>
        <w:rPr>
          <w:sz w:val="20"/>
          <w:lang w:val="fr-CA"/>
        </w:rPr>
      </w:pPr>
    </w:p>
    <w:p w:rsidR="00067D24" w:rsidRPr="001375B7" w:rsidRDefault="00F04E23" w:rsidP="00067D24">
      <w:pPr>
        <w:widowControl w:val="0"/>
        <w:jc w:val="both"/>
        <w:rPr>
          <w:sz w:val="20"/>
          <w:lang w:val="fr-CA"/>
        </w:rPr>
      </w:pPr>
      <w:r>
        <w:rPr>
          <w:sz w:val="20"/>
        </w:rPr>
        <w:pict>
          <v:rect id="_x0000_i1042" style="width:2in;height:1pt" o:hrpct="0" o:hralign="center" o:hrstd="t" o:hrnoshade="t" o:hr="t" fillcolor="black [3213]" stroked="f"/>
        </w:pict>
      </w:r>
    </w:p>
    <w:p w:rsidR="00067D24" w:rsidRPr="001375B7" w:rsidRDefault="00067D24" w:rsidP="00067D24">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67D24" w:rsidRPr="001375B7" w:rsidTr="00845EFA">
        <w:trPr>
          <w:gridAfter w:val="1"/>
          <w:wAfter w:w="48" w:type="pct"/>
        </w:trPr>
        <w:tc>
          <w:tcPr>
            <w:tcW w:w="538" w:type="pct"/>
          </w:tcPr>
          <w:p w:rsidR="00067D24" w:rsidRPr="001375B7" w:rsidRDefault="00067D24" w:rsidP="00067D24">
            <w:pPr>
              <w:jc w:val="both"/>
              <w:rPr>
                <w:sz w:val="20"/>
              </w:rPr>
            </w:pPr>
            <w:r w:rsidRPr="001375B7">
              <w:rPr>
                <w:rStyle w:val="SCCFileNumberChar"/>
                <w:sz w:val="20"/>
                <w:szCs w:val="20"/>
              </w:rPr>
              <w:t>39521</w:t>
            </w:r>
          </w:p>
        </w:tc>
        <w:tc>
          <w:tcPr>
            <w:tcW w:w="4414" w:type="pct"/>
            <w:gridSpan w:val="3"/>
          </w:tcPr>
          <w:p w:rsidR="00067D24" w:rsidRPr="001375B7" w:rsidRDefault="00067D24" w:rsidP="00067D24">
            <w:pPr>
              <w:pStyle w:val="SCCLsocParty"/>
              <w:jc w:val="both"/>
              <w:rPr>
                <w:b/>
                <w:sz w:val="20"/>
                <w:szCs w:val="20"/>
                <w:lang w:val="en-US"/>
              </w:rPr>
            </w:pPr>
            <w:r w:rsidRPr="001375B7">
              <w:rPr>
                <w:b/>
                <w:sz w:val="20"/>
                <w:szCs w:val="20"/>
                <w:lang w:val="en-US"/>
              </w:rPr>
              <w:t>E.W. v. Windsor-Essex Childrens’s Aid Society</w:t>
            </w:r>
          </w:p>
          <w:p w:rsidR="00067D24" w:rsidRPr="001375B7" w:rsidRDefault="00067D24" w:rsidP="00067D24">
            <w:pPr>
              <w:jc w:val="both"/>
              <w:rPr>
                <w:sz w:val="20"/>
              </w:rPr>
            </w:pPr>
            <w:r w:rsidRPr="001375B7">
              <w:rPr>
                <w:sz w:val="20"/>
              </w:rPr>
              <w:t>(Ont.) (Civil) (By Leave)</w:t>
            </w:r>
          </w:p>
        </w:tc>
      </w:tr>
      <w:tr w:rsidR="00067D24" w:rsidRPr="001375B7" w:rsidTr="00845EFA">
        <w:trPr>
          <w:gridAfter w:val="1"/>
          <w:wAfter w:w="48" w:type="pct"/>
        </w:trPr>
        <w:tc>
          <w:tcPr>
            <w:tcW w:w="4952" w:type="pct"/>
            <w:gridSpan w:val="4"/>
          </w:tcPr>
          <w:p w:rsidR="00067D24" w:rsidRPr="001375B7" w:rsidRDefault="00067D24" w:rsidP="00067D24">
            <w:pPr>
              <w:pStyle w:val="SCCBanSummary"/>
              <w:rPr>
                <w:sz w:val="20"/>
                <w:szCs w:val="20"/>
              </w:rPr>
            </w:pPr>
            <w:r w:rsidRPr="001375B7">
              <w:rPr>
                <w:sz w:val="20"/>
                <w:szCs w:val="20"/>
              </w:rPr>
              <w:t>(Publication ban in case) (Certain information not available to the public)</w:t>
            </w:r>
          </w:p>
          <w:p w:rsidR="00067D24" w:rsidRPr="001375B7" w:rsidRDefault="00067D24" w:rsidP="00067D24">
            <w:pPr>
              <w:jc w:val="both"/>
              <w:rPr>
                <w:sz w:val="20"/>
              </w:rPr>
            </w:pPr>
          </w:p>
          <w:p w:rsidR="00067D24" w:rsidRPr="001375B7" w:rsidRDefault="00067D24" w:rsidP="00067D24">
            <w:pPr>
              <w:jc w:val="both"/>
              <w:rPr>
                <w:sz w:val="20"/>
              </w:rPr>
            </w:pPr>
            <w:r w:rsidRPr="001375B7">
              <w:rPr>
                <w:sz w:val="20"/>
              </w:rPr>
              <w:t xml:space="preserve">Status of persons — Child protection — Family law — Whether Indigenous children’s best interests are statutorily entitled to special considerations — Scope of meaningful access of Indigenous children to Indigenous parents that retains cultural, heritage, language and familial ties — Burden of proof regarding access by Indigenous children to Indigenous parents in child welfare proceedings — </w:t>
            </w:r>
            <w:r w:rsidRPr="001375B7">
              <w:rPr>
                <w:i/>
                <w:sz w:val="20"/>
              </w:rPr>
              <w:t>Child, Youth and Family Services Act</w:t>
            </w:r>
            <w:r w:rsidRPr="001375B7">
              <w:rPr>
                <w:sz w:val="20"/>
              </w:rPr>
              <w:t>, 2017, S.O. 2017, c. 14.</w:t>
            </w:r>
          </w:p>
        </w:tc>
      </w:tr>
      <w:tr w:rsidR="00067D24" w:rsidRPr="001375B7" w:rsidTr="00845EFA">
        <w:trPr>
          <w:gridAfter w:val="1"/>
          <w:wAfter w:w="48" w:type="pct"/>
        </w:trPr>
        <w:tc>
          <w:tcPr>
            <w:tcW w:w="4952" w:type="pct"/>
            <w:gridSpan w:val="4"/>
          </w:tcPr>
          <w:p w:rsidR="00067D24" w:rsidRPr="001375B7" w:rsidRDefault="00067D24" w:rsidP="00067D24">
            <w:pPr>
              <w:jc w:val="both"/>
              <w:rPr>
                <w:sz w:val="20"/>
              </w:rPr>
            </w:pPr>
          </w:p>
        </w:tc>
      </w:tr>
      <w:tr w:rsidR="00067D24" w:rsidRPr="001375B7" w:rsidTr="00845EFA">
        <w:trPr>
          <w:gridAfter w:val="1"/>
          <w:wAfter w:w="48" w:type="pct"/>
        </w:trPr>
        <w:tc>
          <w:tcPr>
            <w:tcW w:w="4952" w:type="pct"/>
            <w:gridSpan w:val="4"/>
          </w:tcPr>
          <w:p w:rsidR="00067D24" w:rsidRPr="001375B7" w:rsidRDefault="00067D24" w:rsidP="00067D24">
            <w:pPr>
              <w:jc w:val="both"/>
              <w:rPr>
                <w:sz w:val="20"/>
              </w:rPr>
            </w:pPr>
            <w:r w:rsidRPr="001375B7">
              <w:rPr>
                <w:sz w:val="20"/>
              </w:rPr>
              <w:t>E.W. and her two children are Métis</w:t>
            </w:r>
            <w:r w:rsidRPr="001375B7">
              <w:rPr>
                <w:rFonts w:cs="Arial"/>
                <w:color w:val="222222"/>
                <w:sz w:val="20"/>
                <w:lang w:val="en"/>
              </w:rPr>
              <w:t xml:space="preserve">. </w:t>
            </w:r>
            <w:r w:rsidRPr="001375B7">
              <w:rPr>
                <w:sz w:val="20"/>
              </w:rPr>
              <w:t>The children were placed with the Windsor</w:t>
            </w:r>
            <w:r w:rsidRPr="001375B7">
              <w:rPr>
                <w:sz w:val="20"/>
              </w:rPr>
              <w:noBreakHyphen/>
              <w:t>Essex Children’s Aid Society in 2016. In 2018, the Society applied for a permanent extended care placement</w:t>
            </w:r>
            <w:r w:rsidRPr="001375B7">
              <w:rPr>
                <w:rFonts w:cs="Arial"/>
                <w:color w:val="222222"/>
                <w:sz w:val="20"/>
              </w:rPr>
              <w:t>.</w:t>
            </w:r>
            <w:r w:rsidRPr="001375B7">
              <w:rPr>
                <w:rFonts w:cs="Arial"/>
                <w:color w:val="222222"/>
                <w:sz w:val="20"/>
                <w:lang w:val="en"/>
              </w:rPr>
              <w:t xml:space="preserve">The application judge did not consider a kin or </w:t>
            </w:r>
            <w:r w:rsidRPr="001375B7">
              <w:rPr>
                <w:sz w:val="20"/>
              </w:rPr>
              <w:t>Métis</w:t>
            </w:r>
            <w:r w:rsidRPr="001375B7">
              <w:rPr>
                <w:i/>
                <w:sz w:val="20"/>
              </w:rPr>
              <w:t xml:space="preserve"> </w:t>
            </w:r>
            <w:r w:rsidRPr="001375B7">
              <w:rPr>
                <w:sz w:val="20"/>
              </w:rPr>
              <w:t xml:space="preserve">family placement as required by the </w:t>
            </w:r>
            <w:r w:rsidRPr="001375B7">
              <w:rPr>
                <w:i/>
                <w:sz w:val="20"/>
              </w:rPr>
              <w:t>Child, Youth and Family Services Act</w:t>
            </w:r>
            <w:r w:rsidRPr="001375B7">
              <w:rPr>
                <w:sz w:val="20"/>
              </w:rPr>
              <w:t>, 2017, S.O. 2017, c. 14,</w:t>
            </w:r>
            <w:r w:rsidRPr="001375B7">
              <w:rPr>
                <w:rFonts w:cs="Arial"/>
                <w:color w:val="222222"/>
                <w:sz w:val="20"/>
                <w:lang w:val="en"/>
              </w:rPr>
              <w:t xml:space="preserve"> because he held the children were not </w:t>
            </w:r>
            <w:r w:rsidRPr="001375B7">
              <w:rPr>
                <w:sz w:val="20"/>
              </w:rPr>
              <w:t>Métis. The appellate level courts held this was an error but it was not significant because he considered their Métis status when assessing their best interests. The application judge ordered permanent extended care with the Society and no access to the parents. The Superior Court of Justice dismissed an appeal. The Court of Appeal ordered monthly photograph access to E.W. but otherwise dismissed her appeal.</w:t>
            </w:r>
          </w:p>
          <w:p w:rsidR="00067D24" w:rsidRPr="001375B7" w:rsidRDefault="00067D24" w:rsidP="00067D24">
            <w:pPr>
              <w:jc w:val="both"/>
              <w:rPr>
                <w:sz w:val="20"/>
              </w:rPr>
            </w:pPr>
          </w:p>
        </w:tc>
      </w:tr>
      <w:tr w:rsidR="00067D24" w:rsidRPr="001375B7" w:rsidTr="00845EFA">
        <w:tblPrEx>
          <w:tblCellMar>
            <w:bottom w:w="0" w:type="dxa"/>
          </w:tblCellMar>
        </w:tblPrEx>
        <w:tc>
          <w:tcPr>
            <w:tcW w:w="2367" w:type="pct"/>
            <w:gridSpan w:val="2"/>
          </w:tcPr>
          <w:p w:rsidR="00067D24" w:rsidRPr="001375B7" w:rsidRDefault="00067D24" w:rsidP="00067D24">
            <w:pPr>
              <w:jc w:val="both"/>
              <w:rPr>
                <w:sz w:val="20"/>
              </w:rPr>
            </w:pPr>
            <w:r w:rsidRPr="001375B7">
              <w:rPr>
                <w:sz w:val="20"/>
              </w:rPr>
              <w:t xml:space="preserve">May 29, 2018 </w:t>
            </w:r>
          </w:p>
          <w:p w:rsidR="00067D24" w:rsidRPr="001375B7" w:rsidRDefault="00067D24" w:rsidP="00067D24">
            <w:pPr>
              <w:jc w:val="both"/>
              <w:rPr>
                <w:sz w:val="20"/>
              </w:rPr>
            </w:pPr>
            <w:r w:rsidRPr="001375B7">
              <w:rPr>
                <w:sz w:val="20"/>
              </w:rPr>
              <w:t>Ontario Court of Justice</w:t>
            </w:r>
          </w:p>
          <w:p w:rsidR="00067D24" w:rsidRPr="001375B7" w:rsidRDefault="00067D24" w:rsidP="00067D24">
            <w:pPr>
              <w:jc w:val="both"/>
              <w:rPr>
                <w:sz w:val="20"/>
              </w:rPr>
            </w:pPr>
            <w:r w:rsidRPr="001375B7">
              <w:rPr>
                <w:sz w:val="20"/>
              </w:rPr>
              <w:t>(Phillips J.)(Unreported)</w:t>
            </w:r>
          </w:p>
          <w:p w:rsidR="00067D24" w:rsidRPr="001375B7" w:rsidRDefault="00067D24" w:rsidP="00067D24">
            <w:pPr>
              <w:jc w:val="both"/>
              <w:rPr>
                <w:sz w:val="20"/>
              </w:rPr>
            </w:pPr>
          </w:p>
        </w:tc>
        <w:tc>
          <w:tcPr>
            <w:tcW w:w="267" w:type="pct"/>
          </w:tcPr>
          <w:p w:rsidR="00067D24" w:rsidRPr="001375B7" w:rsidRDefault="00067D24" w:rsidP="00067D24">
            <w:pPr>
              <w:jc w:val="both"/>
              <w:rPr>
                <w:sz w:val="20"/>
              </w:rPr>
            </w:pPr>
          </w:p>
        </w:tc>
        <w:tc>
          <w:tcPr>
            <w:tcW w:w="2366" w:type="pct"/>
            <w:gridSpan w:val="2"/>
          </w:tcPr>
          <w:p w:rsidR="00067D24" w:rsidRPr="001375B7" w:rsidRDefault="00067D24" w:rsidP="00067D24">
            <w:pPr>
              <w:jc w:val="both"/>
              <w:rPr>
                <w:sz w:val="20"/>
              </w:rPr>
            </w:pPr>
            <w:r w:rsidRPr="001375B7">
              <w:rPr>
                <w:sz w:val="20"/>
              </w:rPr>
              <w:t>Order granted placing children in extended care of Windsor</w:t>
            </w:r>
            <w:r w:rsidRPr="001375B7">
              <w:rPr>
                <w:sz w:val="20"/>
              </w:rPr>
              <w:noBreakHyphen/>
              <w:t>Essex Children’s Aid Society without access granted to parents</w:t>
            </w:r>
          </w:p>
        </w:tc>
      </w:tr>
      <w:tr w:rsidR="00067D24" w:rsidRPr="001375B7" w:rsidTr="00845EFA">
        <w:tblPrEx>
          <w:tblCellMar>
            <w:bottom w:w="0" w:type="dxa"/>
          </w:tblCellMar>
        </w:tblPrEx>
        <w:tc>
          <w:tcPr>
            <w:tcW w:w="2367" w:type="pct"/>
            <w:gridSpan w:val="2"/>
          </w:tcPr>
          <w:p w:rsidR="00067D24" w:rsidRPr="001375B7" w:rsidRDefault="00067D24" w:rsidP="00067D24">
            <w:pPr>
              <w:jc w:val="both"/>
              <w:rPr>
                <w:sz w:val="20"/>
              </w:rPr>
            </w:pPr>
            <w:r w:rsidRPr="001375B7">
              <w:rPr>
                <w:sz w:val="20"/>
              </w:rPr>
              <w:t>June 4, 2019</w:t>
            </w:r>
          </w:p>
          <w:p w:rsidR="00067D24" w:rsidRPr="001375B7" w:rsidRDefault="00067D24" w:rsidP="00067D24">
            <w:pPr>
              <w:jc w:val="both"/>
              <w:rPr>
                <w:sz w:val="20"/>
              </w:rPr>
            </w:pPr>
            <w:r w:rsidRPr="001375B7">
              <w:rPr>
                <w:sz w:val="20"/>
              </w:rPr>
              <w:t>Ontario Superior Court of Justice</w:t>
            </w:r>
          </w:p>
          <w:p w:rsidR="00067D24" w:rsidRPr="001375B7" w:rsidRDefault="00067D24" w:rsidP="00067D24">
            <w:pPr>
              <w:jc w:val="both"/>
              <w:rPr>
                <w:sz w:val="20"/>
              </w:rPr>
            </w:pPr>
            <w:r w:rsidRPr="001375B7">
              <w:rPr>
                <w:sz w:val="20"/>
              </w:rPr>
              <w:t>(Verbeem J.)</w:t>
            </w:r>
          </w:p>
          <w:p w:rsidR="00067D24" w:rsidRPr="001375B7" w:rsidRDefault="00F04E23" w:rsidP="00067D24">
            <w:pPr>
              <w:jc w:val="both"/>
              <w:rPr>
                <w:sz w:val="20"/>
              </w:rPr>
            </w:pPr>
            <w:hyperlink r:id="rId50" w:history="1">
              <w:r w:rsidR="00067D24" w:rsidRPr="001375B7">
                <w:rPr>
                  <w:rStyle w:val="Hyperlink"/>
                  <w:sz w:val="20"/>
                </w:rPr>
                <w:t>2019 ONSC 3404</w:t>
              </w:r>
            </w:hyperlink>
          </w:p>
          <w:p w:rsidR="00067D24" w:rsidRPr="001375B7" w:rsidRDefault="00067D24" w:rsidP="00067D24">
            <w:pPr>
              <w:jc w:val="both"/>
              <w:rPr>
                <w:sz w:val="20"/>
              </w:rPr>
            </w:pPr>
          </w:p>
        </w:tc>
        <w:tc>
          <w:tcPr>
            <w:tcW w:w="267" w:type="pct"/>
          </w:tcPr>
          <w:p w:rsidR="00067D24" w:rsidRPr="001375B7" w:rsidRDefault="00067D24" w:rsidP="00067D24">
            <w:pPr>
              <w:jc w:val="both"/>
              <w:rPr>
                <w:sz w:val="20"/>
              </w:rPr>
            </w:pPr>
          </w:p>
        </w:tc>
        <w:tc>
          <w:tcPr>
            <w:tcW w:w="2366" w:type="pct"/>
            <w:gridSpan w:val="2"/>
          </w:tcPr>
          <w:p w:rsidR="00067D24" w:rsidRPr="001375B7" w:rsidRDefault="00067D24" w:rsidP="00067D24">
            <w:pPr>
              <w:jc w:val="both"/>
              <w:rPr>
                <w:sz w:val="20"/>
              </w:rPr>
            </w:pPr>
            <w:r w:rsidRPr="001375B7">
              <w:rPr>
                <w:sz w:val="20"/>
              </w:rPr>
              <w:t>Appeal dismissed</w:t>
            </w:r>
          </w:p>
        </w:tc>
      </w:tr>
      <w:tr w:rsidR="00067D24" w:rsidRPr="001375B7" w:rsidTr="00845EFA">
        <w:tblPrEx>
          <w:tblCellMar>
            <w:bottom w:w="0" w:type="dxa"/>
          </w:tblCellMar>
        </w:tblPrEx>
        <w:tc>
          <w:tcPr>
            <w:tcW w:w="2367" w:type="pct"/>
            <w:gridSpan w:val="2"/>
          </w:tcPr>
          <w:p w:rsidR="00067D24" w:rsidRPr="001375B7" w:rsidRDefault="00067D24" w:rsidP="00067D24">
            <w:pPr>
              <w:jc w:val="both"/>
              <w:rPr>
                <w:sz w:val="20"/>
              </w:rPr>
            </w:pPr>
            <w:r w:rsidRPr="001375B7">
              <w:rPr>
                <w:sz w:val="20"/>
              </w:rPr>
              <w:t>October 28, 2020</w:t>
            </w:r>
          </w:p>
          <w:p w:rsidR="00067D24" w:rsidRPr="001375B7" w:rsidRDefault="00067D24" w:rsidP="00067D24">
            <w:pPr>
              <w:jc w:val="both"/>
              <w:rPr>
                <w:sz w:val="20"/>
              </w:rPr>
            </w:pPr>
            <w:r w:rsidRPr="001375B7">
              <w:rPr>
                <w:sz w:val="20"/>
              </w:rPr>
              <w:t>Court of Appeal for Ontario</w:t>
            </w:r>
          </w:p>
          <w:p w:rsidR="00067D24" w:rsidRPr="001375B7" w:rsidRDefault="00067D24" w:rsidP="00067D24">
            <w:pPr>
              <w:jc w:val="both"/>
              <w:rPr>
                <w:sz w:val="20"/>
              </w:rPr>
            </w:pPr>
            <w:r w:rsidRPr="001375B7">
              <w:rPr>
                <w:sz w:val="20"/>
              </w:rPr>
              <w:t>(Doherty, Hoy, Jamal JJ.A.)</w:t>
            </w:r>
          </w:p>
          <w:p w:rsidR="00067D24" w:rsidRPr="001375B7" w:rsidRDefault="00F04E23" w:rsidP="00067D24">
            <w:pPr>
              <w:jc w:val="both"/>
              <w:rPr>
                <w:sz w:val="20"/>
              </w:rPr>
            </w:pPr>
            <w:hyperlink r:id="rId51" w:history="1">
              <w:r w:rsidR="00067D24" w:rsidRPr="001375B7">
                <w:rPr>
                  <w:rStyle w:val="Hyperlink"/>
                  <w:sz w:val="20"/>
                </w:rPr>
                <w:t>2020 ONCA 682</w:t>
              </w:r>
            </w:hyperlink>
            <w:r w:rsidR="00067D24" w:rsidRPr="001375B7">
              <w:rPr>
                <w:sz w:val="20"/>
              </w:rPr>
              <w:t>; C67174</w:t>
            </w:r>
          </w:p>
          <w:p w:rsidR="00067D24" w:rsidRPr="001375B7" w:rsidRDefault="00067D24" w:rsidP="00067D24">
            <w:pPr>
              <w:jc w:val="both"/>
              <w:rPr>
                <w:sz w:val="20"/>
              </w:rPr>
            </w:pPr>
          </w:p>
        </w:tc>
        <w:tc>
          <w:tcPr>
            <w:tcW w:w="267" w:type="pct"/>
          </w:tcPr>
          <w:p w:rsidR="00067D24" w:rsidRPr="001375B7" w:rsidRDefault="00067D24" w:rsidP="00067D24">
            <w:pPr>
              <w:jc w:val="both"/>
              <w:rPr>
                <w:sz w:val="20"/>
              </w:rPr>
            </w:pPr>
          </w:p>
        </w:tc>
        <w:tc>
          <w:tcPr>
            <w:tcW w:w="2366" w:type="pct"/>
            <w:gridSpan w:val="2"/>
          </w:tcPr>
          <w:p w:rsidR="00067D24" w:rsidRPr="001375B7" w:rsidRDefault="00067D24" w:rsidP="00067D24">
            <w:pPr>
              <w:jc w:val="both"/>
              <w:rPr>
                <w:sz w:val="20"/>
              </w:rPr>
            </w:pPr>
            <w:r w:rsidRPr="001375B7">
              <w:rPr>
                <w:sz w:val="20"/>
              </w:rPr>
              <w:t>Appeal allowed in part, mother granted monthly access to photographs</w:t>
            </w:r>
          </w:p>
        </w:tc>
      </w:tr>
      <w:tr w:rsidR="00067D24" w:rsidRPr="001375B7" w:rsidTr="00845EFA">
        <w:tblPrEx>
          <w:tblCellMar>
            <w:bottom w:w="0" w:type="dxa"/>
          </w:tblCellMar>
        </w:tblPrEx>
        <w:tc>
          <w:tcPr>
            <w:tcW w:w="2367" w:type="pct"/>
            <w:gridSpan w:val="2"/>
          </w:tcPr>
          <w:p w:rsidR="00067D24" w:rsidRPr="001375B7" w:rsidRDefault="00067D24" w:rsidP="00067D24">
            <w:pPr>
              <w:jc w:val="both"/>
              <w:rPr>
                <w:sz w:val="20"/>
              </w:rPr>
            </w:pPr>
            <w:r w:rsidRPr="001375B7">
              <w:rPr>
                <w:sz w:val="20"/>
              </w:rPr>
              <w:t>January 8, 2021</w:t>
            </w:r>
          </w:p>
          <w:p w:rsidR="00067D24" w:rsidRPr="001375B7" w:rsidRDefault="00067D24" w:rsidP="00067D24">
            <w:pPr>
              <w:jc w:val="both"/>
              <w:rPr>
                <w:sz w:val="20"/>
              </w:rPr>
            </w:pPr>
            <w:r w:rsidRPr="001375B7">
              <w:rPr>
                <w:sz w:val="20"/>
              </w:rPr>
              <w:t>Supreme Court of Canada</w:t>
            </w:r>
          </w:p>
        </w:tc>
        <w:tc>
          <w:tcPr>
            <w:tcW w:w="267" w:type="pct"/>
          </w:tcPr>
          <w:p w:rsidR="00067D24" w:rsidRPr="001375B7" w:rsidRDefault="00067D24" w:rsidP="00067D24">
            <w:pPr>
              <w:jc w:val="both"/>
              <w:rPr>
                <w:sz w:val="20"/>
              </w:rPr>
            </w:pPr>
          </w:p>
        </w:tc>
        <w:tc>
          <w:tcPr>
            <w:tcW w:w="2366" w:type="pct"/>
            <w:gridSpan w:val="2"/>
          </w:tcPr>
          <w:p w:rsidR="00067D24" w:rsidRPr="001375B7" w:rsidRDefault="00067D24" w:rsidP="00067D24">
            <w:pPr>
              <w:jc w:val="both"/>
              <w:rPr>
                <w:sz w:val="20"/>
              </w:rPr>
            </w:pPr>
            <w:r w:rsidRPr="001375B7">
              <w:rPr>
                <w:sz w:val="20"/>
              </w:rPr>
              <w:t>Motion for extension of time to serve and file application for leave to appeal and Application for leave to appeal filed</w:t>
            </w:r>
          </w:p>
        </w:tc>
      </w:tr>
    </w:tbl>
    <w:p w:rsidR="00067D24" w:rsidRPr="001375B7" w:rsidRDefault="00067D24" w:rsidP="00067D24">
      <w:pPr>
        <w:jc w:val="both"/>
        <w:rPr>
          <w:sz w:val="20"/>
        </w:rPr>
      </w:pPr>
    </w:p>
    <w:p w:rsidR="00067D24" w:rsidRPr="001375B7" w:rsidRDefault="00F04E23" w:rsidP="00067D24">
      <w:pPr>
        <w:jc w:val="both"/>
        <w:rPr>
          <w:sz w:val="20"/>
        </w:rPr>
      </w:pPr>
      <w:r>
        <w:rPr>
          <w:sz w:val="20"/>
        </w:rPr>
        <w:pict>
          <v:rect id="_x0000_i1043" style="width:2in;height:1pt" o:hrpct="0" o:hralign="center" o:hrstd="t" o:hrnoshade="t" o:hr="t" fillcolor="black [3213]" stroked="f"/>
        </w:pict>
      </w:r>
    </w:p>
    <w:p w:rsidR="00067D24" w:rsidRPr="001375B7" w:rsidRDefault="00067D24" w:rsidP="00067D2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67D24" w:rsidRPr="001375B7" w:rsidTr="00845EFA">
        <w:trPr>
          <w:gridAfter w:val="1"/>
          <w:wAfter w:w="48" w:type="pct"/>
        </w:trPr>
        <w:tc>
          <w:tcPr>
            <w:tcW w:w="538" w:type="pct"/>
          </w:tcPr>
          <w:p w:rsidR="00067D24" w:rsidRPr="001375B7" w:rsidRDefault="00067D24" w:rsidP="00067D24">
            <w:pPr>
              <w:jc w:val="both"/>
              <w:rPr>
                <w:sz w:val="20"/>
                <w:lang w:val="fr-CA"/>
              </w:rPr>
            </w:pPr>
            <w:r w:rsidRPr="001375B7">
              <w:rPr>
                <w:rStyle w:val="SCCFileNumberChar"/>
                <w:sz w:val="20"/>
                <w:szCs w:val="20"/>
                <w:lang w:val="fr-CA"/>
              </w:rPr>
              <w:t>39521</w:t>
            </w:r>
          </w:p>
        </w:tc>
        <w:tc>
          <w:tcPr>
            <w:tcW w:w="4414" w:type="pct"/>
            <w:gridSpan w:val="3"/>
          </w:tcPr>
          <w:p w:rsidR="00067D24" w:rsidRPr="001375B7" w:rsidRDefault="00067D24" w:rsidP="00067D24">
            <w:pPr>
              <w:pStyle w:val="SCCLsocParty"/>
              <w:jc w:val="both"/>
              <w:rPr>
                <w:b/>
                <w:sz w:val="20"/>
                <w:szCs w:val="20"/>
                <w:lang w:val="en-US"/>
              </w:rPr>
            </w:pPr>
            <w:r w:rsidRPr="001375B7">
              <w:rPr>
                <w:b/>
                <w:sz w:val="20"/>
                <w:szCs w:val="20"/>
                <w:lang w:val="en-US"/>
              </w:rPr>
              <w:t>E.W. c. Windsor-Essex Children’s Aid Society</w:t>
            </w:r>
          </w:p>
          <w:p w:rsidR="00067D24" w:rsidRPr="001375B7" w:rsidRDefault="00067D24" w:rsidP="00067D24">
            <w:pPr>
              <w:jc w:val="both"/>
              <w:rPr>
                <w:sz w:val="20"/>
                <w:lang w:val="fr-CA"/>
              </w:rPr>
            </w:pPr>
            <w:r w:rsidRPr="001375B7">
              <w:rPr>
                <w:sz w:val="20"/>
                <w:lang w:val="fr-CA"/>
              </w:rPr>
              <w:t>(Ont.) (Civile) (Sur autorisation)</w:t>
            </w:r>
          </w:p>
        </w:tc>
      </w:tr>
      <w:tr w:rsidR="00067D24" w:rsidRPr="00170A70" w:rsidTr="00845EFA">
        <w:trPr>
          <w:gridAfter w:val="1"/>
          <w:wAfter w:w="48" w:type="pct"/>
        </w:trPr>
        <w:tc>
          <w:tcPr>
            <w:tcW w:w="4952" w:type="pct"/>
            <w:gridSpan w:val="4"/>
          </w:tcPr>
          <w:p w:rsidR="00067D24" w:rsidRPr="001375B7" w:rsidRDefault="00067D24" w:rsidP="00067D24">
            <w:pPr>
              <w:pStyle w:val="SCCBanSummary"/>
              <w:rPr>
                <w:sz w:val="20"/>
                <w:szCs w:val="20"/>
                <w:lang w:val="fr-CA"/>
              </w:rPr>
            </w:pPr>
            <w:r w:rsidRPr="001375B7">
              <w:rPr>
                <w:sz w:val="20"/>
                <w:szCs w:val="20"/>
                <w:lang w:val="fr-CA"/>
              </w:rPr>
              <w:t>(Ordonnance de non-publication dans le dossier) (Le public n’est pas autorisé à prendre connaissance de certains renseignements)</w:t>
            </w:r>
          </w:p>
          <w:p w:rsidR="00067D24" w:rsidRPr="001375B7" w:rsidRDefault="00067D24" w:rsidP="00067D24">
            <w:pPr>
              <w:pStyle w:val="SCCBanSummary"/>
              <w:rPr>
                <w:sz w:val="20"/>
                <w:szCs w:val="20"/>
                <w:lang w:val="fr-CA"/>
              </w:rPr>
            </w:pPr>
          </w:p>
          <w:p w:rsidR="00067D24" w:rsidRPr="001375B7" w:rsidRDefault="00067D24" w:rsidP="00067D24">
            <w:pPr>
              <w:jc w:val="both"/>
              <w:rPr>
                <w:sz w:val="20"/>
                <w:lang w:val="fr-CA"/>
              </w:rPr>
            </w:pPr>
            <w:r w:rsidRPr="001375B7">
              <w:rPr>
                <w:sz w:val="20"/>
                <w:lang w:val="fr-CA"/>
              </w:rPr>
              <w:t xml:space="preserve">Droit des personnes — Protection de l’enfance — Droit de la famille — L’intérêt véritable des enfants autochtones bénéficie-t-il d’un droit à une considération spéciale en vertu de la loi? — Portée d’un droit de visite réel des parents </w:t>
            </w:r>
            <w:r w:rsidRPr="001375B7">
              <w:rPr>
                <w:sz w:val="20"/>
                <w:lang w:val="fr-CA"/>
              </w:rPr>
              <w:lastRenderedPageBreak/>
              <w:t xml:space="preserve">autochtones avec leurs enfants autochtones qui conserve les liens relatifs à la culture, au patrimoine, à la langue et à la famille — Fardeau de la preuve quant au droit de visite des parents autochtones avec leurs enfants autochtones </w:t>
            </w:r>
            <w:r w:rsidRPr="001375B7">
              <w:rPr>
                <w:rFonts w:ascii="CG Times" w:hAnsi="CG Times"/>
                <w:spacing w:val="-3"/>
                <w:sz w:val="20"/>
                <w:lang w:val="fr-CA"/>
              </w:rPr>
              <w:t>dans une instance concernant le bien</w:t>
            </w:r>
            <w:r w:rsidRPr="001375B7">
              <w:rPr>
                <w:rFonts w:ascii="CG Times" w:hAnsi="CG Times"/>
                <w:spacing w:val="-3"/>
                <w:sz w:val="20"/>
                <w:lang w:val="fr-CA"/>
              </w:rPr>
              <w:noBreakHyphen/>
              <w:t>être des enfants</w:t>
            </w:r>
            <w:r w:rsidRPr="001375B7">
              <w:rPr>
                <w:sz w:val="20"/>
                <w:lang w:val="fr-CA"/>
              </w:rPr>
              <w:t xml:space="preserve"> — </w:t>
            </w:r>
            <w:r w:rsidRPr="001375B7">
              <w:rPr>
                <w:i/>
                <w:sz w:val="20"/>
                <w:lang w:val="fr-FR"/>
              </w:rPr>
              <w:t>Loi de 2017 sur les services à l’enfance, à la jeunesse et à la famille</w:t>
            </w:r>
            <w:r w:rsidRPr="001375B7">
              <w:rPr>
                <w:sz w:val="20"/>
                <w:lang w:val="fr-FR"/>
              </w:rPr>
              <w:t>,</w:t>
            </w:r>
            <w:r w:rsidRPr="001375B7">
              <w:rPr>
                <w:sz w:val="20"/>
                <w:lang w:val="fr-CA"/>
              </w:rPr>
              <w:t xml:space="preserve"> L.O. 2017, c. 14.</w:t>
            </w:r>
          </w:p>
        </w:tc>
      </w:tr>
      <w:tr w:rsidR="00067D24" w:rsidRPr="00170A70" w:rsidTr="00845EFA">
        <w:trPr>
          <w:gridAfter w:val="1"/>
          <w:wAfter w:w="48" w:type="pct"/>
        </w:trPr>
        <w:tc>
          <w:tcPr>
            <w:tcW w:w="4952" w:type="pct"/>
            <w:gridSpan w:val="4"/>
          </w:tcPr>
          <w:p w:rsidR="00067D24" w:rsidRPr="001375B7" w:rsidRDefault="00067D24" w:rsidP="00067D24">
            <w:pPr>
              <w:jc w:val="both"/>
              <w:rPr>
                <w:sz w:val="20"/>
                <w:lang w:val="fr-CA"/>
              </w:rPr>
            </w:pPr>
          </w:p>
        </w:tc>
      </w:tr>
      <w:tr w:rsidR="00067D24" w:rsidRPr="00170A70" w:rsidTr="00845EFA">
        <w:trPr>
          <w:gridAfter w:val="1"/>
          <w:wAfter w:w="48" w:type="pct"/>
        </w:trPr>
        <w:tc>
          <w:tcPr>
            <w:tcW w:w="4952" w:type="pct"/>
            <w:gridSpan w:val="4"/>
          </w:tcPr>
          <w:p w:rsidR="00067D24" w:rsidRPr="001375B7" w:rsidRDefault="00067D24" w:rsidP="00067D24">
            <w:pPr>
              <w:jc w:val="both"/>
              <w:rPr>
                <w:sz w:val="20"/>
                <w:lang w:val="fr-CA"/>
              </w:rPr>
            </w:pPr>
            <w:r w:rsidRPr="001375B7">
              <w:rPr>
                <w:sz w:val="20"/>
                <w:lang w:val="fr-CA"/>
              </w:rPr>
              <w:t>E.W. et ses deux enfants sont des Métis</w:t>
            </w:r>
            <w:r w:rsidRPr="001375B7">
              <w:rPr>
                <w:rFonts w:cs="Arial"/>
                <w:color w:val="222222"/>
                <w:sz w:val="20"/>
                <w:lang w:val="fr-CA"/>
              </w:rPr>
              <w:t xml:space="preserve">. </w:t>
            </w:r>
            <w:r w:rsidRPr="001375B7">
              <w:rPr>
                <w:sz w:val="20"/>
                <w:lang w:val="fr-CA"/>
              </w:rPr>
              <w:t>Les enfants ont été pris en charge par la Windsor</w:t>
            </w:r>
            <w:r w:rsidRPr="001375B7">
              <w:rPr>
                <w:sz w:val="20"/>
                <w:lang w:val="fr-CA"/>
              </w:rPr>
              <w:noBreakHyphen/>
              <w:t xml:space="preserve">Essex Children’s Aid Society en 2016. En 2018, cette dernière a demandé que les enfants soient confiés aux soins de la Children’s Aid Society de façon prolongée et définitive. Le juge saisi de la demande n’a pas examiné la possibilité de placer les enfants chez un parent proche ou dans une famille métisse comme l’exige la </w:t>
            </w:r>
            <w:r w:rsidRPr="001375B7">
              <w:rPr>
                <w:i/>
                <w:sz w:val="20"/>
                <w:lang w:val="fr-FR"/>
              </w:rPr>
              <w:t>Loi de 2017 sur les services à l’enfance, à la jeunesse et à la famille</w:t>
            </w:r>
            <w:r w:rsidRPr="001375B7">
              <w:rPr>
                <w:sz w:val="20"/>
                <w:lang w:val="fr-FR"/>
              </w:rPr>
              <w:t>,</w:t>
            </w:r>
            <w:r w:rsidRPr="001375B7">
              <w:rPr>
                <w:sz w:val="20"/>
                <w:lang w:val="fr-CA"/>
              </w:rPr>
              <w:t xml:space="preserve"> L.O. 2017, c. 14,</w:t>
            </w:r>
            <w:r w:rsidRPr="001375B7">
              <w:rPr>
                <w:rFonts w:cs="Arial"/>
                <w:color w:val="222222"/>
                <w:sz w:val="20"/>
                <w:lang w:val="fr-CA"/>
              </w:rPr>
              <w:t xml:space="preserve"> puisqu’il a conclu que les enfants n’étaient pas des M</w:t>
            </w:r>
            <w:r w:rsidRPr="001375B7">
              <w:rPr>
                <w:sz w:val="20"/>
                <w:lang w:val="fr-CA"/>
              </w:rPr>
              <w:t>étis. Les cours d’appel ont statué qu’il s’agissait là d’une erreur, mais qu’elle n’était pas importante en raison du fait que le juge a tenu compte de leur statut de Métis au moment d’apprécier l’intérêt véritable de ceux-ci. Le juge saisi de la demande a ordonné que les enfants soient confiés aux soins de la Children’s Aid Society de façon prolongée et définitive, sans accorder aux parents aucun droit de visite. La Cour supérieure de justice a rejeté l’appel. La Cour d’appel a rejeté l’appel d’E.W., sauf pour lui accorder le droit de recevoir des photographies de ses enfants tous les mois.</w:t>
            </w:r>
          </w:p>
          <w:p w:rsidR="00067D24" w:rsidRPr="001375B7" w:rsidRDefault="00067D24" w:rsidP="00067D24">
            <w:pPr>
              <w:jc w:val="both"/>
              <w:rPr>
                <w:sz w:val="20"/>
                <w:lang w:val="fr-CA"/>
              </w:rPr>
            </w:pPr>
          </w:p>
        </w:tc>
      </w:tr>
      <w:tr w:rsidR="00067D24" w:rsidRPr="00170A70" w:rsidTr="00845EFA">
        <w:tblPrEx>
          <w:tblCellMar>
            <w:bottom w:w="0" w:type="dxa"/>
          </w:tblCellMar>
        </w:tblPrEx>
        <w:tc>
          <w:tcPr>
            <w:tcW w:w="2367" w:type="pct"/>
            <w:gridSpan w:val="2"/>
          </w:tcPr>
          <w:p w:rsidR="00067D24" w:rsidRPr="001375B7" w:rsidRDefault="00067D24" w:rsidP="00067D24">
            <w:pPr>
              <w:jc w:val="both"/>
              <w:rPr>
                <w:sz w:val="20"/>
                <w:lang w:val="fr-CA"/>
              </w:rPr>
            </w:pPr>
            <w:r w:rsidRPr="001375B7">
              <w:rPr>
                <w:sz w:val="20"/>
                <w:lang w:val="fr-CA"/>
              </w:rPr>
              <w:t xml:space="preserve">29 mai 2018 </w:t>
            </w:r>
          </w:p>
          <w:p w:rsidR="00067D24" w:rsidRPr="001375B7" w:rsidRDefault="00067D24" w:rsidP="00067D24">
            <w:pPr>
              <w:jc w:val="both"/>
              <w:rPr>
                <w:sz w:val="20"/>
                <w:lang w:val="fr-CA"/>
              </w:rPr>
            </w:pPr>
            <w:r w:rsidRPr="001375B7">
              <w:rPr>
                <w:sz w:val="20"/>
                <w:lang w:val="fr-CA"/>
              </w:rPr>
              <w:t>Cour de justice de l’Ontario</w:t>
            </w:r>
          </w:p>
          <w:p w:rsidR="00067D24" w:rsidRPr="001375B7" w:rsidRDefault="00067D24" w:rsidP="00067D24">
            <w:pPr>
              <w:jc w:val="both"/>
              <w:rPr>
                <w:sz w:val="20"/>
                <w:lang w:val="fr-CA"/>
              </w:rPr>
            </w:pPr>
            <w:r w:rsidRPr="001375B7">
              <w:rPr>
                <w:sz w:val="20"/>
                <w:lang w:val="fr-CA"/>
              </w:rPr>
              <w:t>(juge Phillips) (non publié)</w:t>
            </w:r>
          </w:p>
          <w:p w:rsidR="00067D24" w:rsidRPr="001375B7" w:rsidRDefault="00067D24" w:rsidP="00067D24">
            <w:pPr>
              <w:jc w:val="both"/>
              <w:rPr>
                <w:sz w:val="20"/>
                <w:lang w:val="fr-CA"/>
              </w:rPr>
            </w:pPr>
          </w:p>
        </w:tc>
        <w:tc>
          <w:tcPr>
            <w:tcW w:w="267" w:type="pct"/>
          </w:tcPr>
          <w:p w:rsidR="00067D24" w:rsidRPr="001375B7" w:rsidRDefault="00067D24" w:rsidP="00067D24">
            <w:pPr>
              <w:jc w:val="both"/>
              <w:rPr>
                <w:sz w:val="20"/>
                <w:lang w:val="fr-CA"/>
              </w:rPr>
            </w:pPr>
          </w:p>
        </w:tc>
        <w:tc>
          <w:tcPr>
            <w:tcW w:w="2366" w:type="pct"/>
            <w:gridSpan w:val="2"/>
          </w:tcPr>
          <w:p w:rsidR="00067D24" w:rsidRPr="001375B7" w:rsidRDefault="00067D24" w:rsidP="00067D24">
            <w:pPr>
              <w:jc w:val="both"/>
              <w:rPr>
                <w:sz w:val="20"/>
                <w:lang w:val="fr-CA"/>
              </w:rPr>
            </w:pPr>
            <w:r w:rsidRPr="001375B7">
              <w:rPr>
                <w:sz w:val="20"/>
                <w:lang w:val="fr-CA"/>
              </w:rPr>
              <w:t>L’ordonnance portant que les enfants sont confiés aux soins de la Windsor</w:t>
            </w:r>
            <w:r w:rsidRPr="001375B7">
              <w:rPr>
                <w:sz w:val="20"/>
                <w:lang w:val="fr-CA"/>
              </w:rPr>
              <w:noBreakHyphen/>
              <w:t>Essex Children’s Aid Society de façon prolongée, sans droit de visite accordé aux parents, est rendue.</w:t>
            </w:r>
          </w:p>
          <w:p w:rsidR="00067D24" w:rsidRPr="001375B7" w:rsidRDefault="00067D24" w:rsidP="00067D24">
            <w:pPr>
              <w:jc w:val="both"/>
              <w:rPr>
                <w:sz w:val="20"/>
                <w:lang w:val="fr-CA"/>
              </w:rPr>
            </w:pPr>
          </w:p>
        </w:tc>
      </w:tr>
      <w:tr w:rsidR="00067D24" w:rsidRPr="001375B7" w:rsidTr="00845EFA">
        <w:tblPrEx>
          <w:tblCellMar>
            <w:bottom w:w="0" w:type="dxa"/>
          </w:tblCellMar>
        </w:tblPrEx>
        <w:tc>
          <w:tcPr>
            <w:tcW w:w="2367" w:type="pct"/>
            <w:gridSpan w:val="2"/>
          </w:tcPr>
          <w:p w:rsidR="00067D24" w:rsidRPr="001375B7" w:rsidRDefault="00067D24" w:rsidP="00067D24">
            <w:pPr>
              <w:jc w:val="both"/>
              <w:rPr>
                <w:sz w:val="20"/>
                <w:lang w:val="fr-CA"/>
              </w:rPr>
            </w:pPr>
            <w:r w:rsidRPr="001375B7">
              <w:rPr>
                <w:sz w:val="20"/>
                <w:lang w:val="fr-CA"/>
              </w:rPr>
              <w:t>4 juin 2019</w:t>
            </w:r>
          </w:p>
          <w:p w:rsidR="00067D24" w:rsidRPr="001375B7" w:rsidRDefault="00067D24" w:rsidP="00067D24">
            <w:pPr>
              <w:jc w:val="both"/>
              <w:rPr>
                <w:sz w:val="20"/>
                <w:lang w:val="fr-CA"/>
              </w:rPr>
            </w:pPr>
            <w:r w:rsidRPr="001375B7">
              <w:rPr>
                <w:sz w:val="20"/>
                <w:lang w:val="fr-CA"/>
              </w:rPr>
              <w:t>Cour supérieure de justice de l’Ontario</w:t>
            </w:r>
          </w:p>
          <w:p w:rsidR="00067D24" w:rsidRPr="001375B7" w:rsidRDefault="00067D24" w:rsidP="00067D24">
            <w:pPr>
              <w:jc w:val="both"/>
              <w:rPr>
                <w:sz w:val="20"/>
                <w:lang w:val="fr-CA"/>
              </w:rPr>
            </w:pPr>
            <w:r w:rsidRPr="001375B7">
              <w:rPr>
                <w:sz w:val="20"/>
                <w:lang w:val="fr-CA"/>
              </w:rPr>
              <w:t>(juge Verbeem)</w:t>
            </w:r>
          </w:p>
          <w:p w:rsidR="00067D24" w:rsidRPr="001375B7" w:rsidRDefault="00F04E23" w:rsidP="00067D24">
            <w:pPr>
              <w:jc w:val="both"/>
              <w:rPr>
                <w:sz w:val="20"/>
                <w:lang w:val="fr-CA"/>
              </w:rPr>
            </w:pPr>
            <w:hyperlink r:id="rId52" w:history="1">
              <w:r w:rsidR="00067D24" w:rsidRPr="001375B7">
                <w:rPr>
                  <w:rStyle w:val="Hyperlink"/>
                  <w:sz w:val="20"/>
                  <w:lang w:val="fr-CA"/>
                </w:rPr>
                <w:t>2019 ONSC 3404</w:t>
              </w:r>
            </w:hyperlink>
          </w:p>
          <w:p w:rsidR="00067D24" w:rsidRPr="001375B7" w:rsidRDefault="00067D24" w:rsidP="00067D24">
            <w:pPr>
              <w:jc w:val="both"/>
              <w:rPr>
                <w:sz w:val="20"/>
                <w:lang w:val="fr-CA"/>
              </w:rPr>
            </w:pPr>
          </w:p>
        </w:tc>
        <w:tc>
          <w:tcPr>
            <w:tcW w:w="267" w:type="pct"/>
          </w:tcPr>
          <w:p w:rsidR="00067D24" w:rsidRPr="001375B7" w:rsidRDefault="00067D24" w:rsidP="00067D24">
            <w:pPr>
              <w:jc w:val="both"/>
              <w:rPr>
                <w:sz w:val="20"/>
                <w:lang w:val="fr-CA"/>
              </w:rPr>
            </w:pPr>
          </w:p>
        </w:tc>
        <w:tc>
          <w:tcPr>
            <w:tcW w:w="2366" w:type="pct"/>
            <w:gridSpan w:val="2"/>
          </w:tcPr>
          <w:p w:rsidR="00067D24" w:rsidRPr="001375B7" w:rsidRDefault="00067D24" w:rsidP="00067D24">
            <w:pPr>
              <w:jc w:val="both"/>
              <w:rPr>
                <w:sz w:val="20"/>
                <w:lang w:val="fr-CA"/>
              </w:rPr>
            </w:pPr>
            <w:r w:rsidRPr="001375B7">
              <w:rPr>
                <w:sz w:val="20"/>
                <w:lang w:val="fr-CA"/>
              </w:rPr>
              <w:t>L’appel est rejeté.</w:t>
            </w:r>
          </w:p>
        </w:tc>
      </w:tr>
      <w:tr w:rsidR="00067D24" w:rsidRPr="00170A70" w:rsidTr="00845EFA">
        <w:tblPrEx>
          <w:tblCellMar>
            <w:bottom w:w="0" w:type="dxa"/>
          </w:tblCellMar>
        </w:tblPrEx>
        <w:tc>
          <w:tcPr>
            <w:tcW w:w="2367" w:type="pct"/>
            <w:gridSpan w:val="2"/>
          </w:tcPr>
          <w:p w:rsidR="00067D24" w:rsidRPr="001375B7" w:rsidRDefault="00067D24" w:rsidP="00067D24">
            <w:pPr>
              <w:jc w:val="both"/>
              <w:rPr>
                <w:sz w:val="20"/>
                <w:lang w:val="fr-CA"/>
              </w:rPr>
            </w:pPr>
            <w:r w:rsidRPr="001375B7">
              <w:rPr>
                <w:sz w:val="20"/>
                <w:lang w:val="fr-CA"/>
              </w:rPr>
              <w:t>28 octobre 2020</w:t>
            </w:r>
          </w:p>
          <w:p w:rsidR="00067D24" w:rsidRPr="001375B7" w:rsidRDefault="00067D24" w:rsidP="00067D24">
            <w:pPr>
              <w:jc w:val="both"/>
              <w:rPr>
                <w:sz w:val="20"/>
                <w:lang w:val="fr-CA"/>
              </w:rPr>
            </w:pPr>
            <w:r w:rsidRPr="001375B7">
              <w:rPr>
                <w:sz w:val="20"/>
                <w:lang w:val="fr-CA"/>
              </w:rPr>
              <w:t>Cour d’appel de l’Ontario</w:t>
            </w:r>
          </w:p>
          <w:p w:rsidR="00067D24" w:rsidRPr="001375B7" w:rsidRDefault="00067D24" w:rsidP="00067D24">
            <w:pPr>
              <w:jc w:val="both"/>
              <w:rPr>
                <w:sz w:val="20"/>
                <w:lang w:val="fr-CA"/>
              </w:rPr>
            </w:pPr>
            <w:r w:rsidRPr="001375B7">
              <w:rPr>
                <w:sz w:val="20"/>
                <w:lang w:val="fr-CA"/>
              </w:rPr>
              <w:t>(juges Doherty, Hoy, Jamal)</w:t>
            </w:r>
          </w:p>
          <w:p w:rsidR="00067D24" w:rsidRPr="001375B7" w:rsidRDefault="00F04E23" w:rsidP="00067D24">
            <w:pPr>
              <w:jc w:val="both"/>
              <w:rPr>
                <w:sz w:val="20"/>
                <w:lang w:val="fr-CA"/>
              </w:rPr>
            </w:pPr>
            <w:hyperlink r:id="rId53" w:history="1">
              <w:r w:rsidR="00067D24" w:rsidRPr="001375B7">
                <w:rPr>
                  <w:rStyle w:val="Hyperlink"/>
                  <w:sz w:val="20"/>
                  <w:lang w:val="fr-CA"/>
                </w:rPr>
                <w:t>2020 ONCA 682</w:t>
              </w:r>
            </w:hyperlink>
            <w:r w:rsidR="00067D24" w:rsidRPr="001375B7">
              <w:rPr>
                <w:sz w:val="20"/>
                <w:lang w:val="fr-CA"/>
              </w:rPr>
              <w:t>; C67174</w:t>
            </w:r>
          </w:p>
          <w:p w:rsidR="00067D24" w:rsidRPr="001375B7" w:rsidRDefault="00067D24" w:rsidP="00067D24">
            <w:pPr>
              <w:jc w:val="both"/>
              <w:rPr>
                <w:sz w:val="20"/>
                <w:lang w:val="fr-CA"/>
              </w:rPr>
            </w:pPr>
          </w:p>
        </w:tc>
        <w:tc>
          <w:tcPr>
            <w:tcW w:w="267" w:type="pct"/>
          </w:tcPr>
          <w:p w:rsidR="00067D24" w:rsidRPr="001375B7" w:rsidRDefault="00067D24" w:rsidP="00067D24">
            <w:pPr>
              <w:jc w:val="both"/>
              <w:rPr>
                <w:sz w:val="20"/>
                <w:lang w:val="fr-CA"/>
              </w:rPr>
            </w:pPr>
          </w:p>
        </w:tc>
        <w:tc>
          <w:tcPr>
            <w:tcW w:w="2366" w:type="pct"/>
            <w:gridSpan w:val="2"/>
          </w:tcPr>
          <w:p w:rsidR="00067D24" w:rsidRPr="001375B7" w:rsidRDefault="00067D24" w:rsidP="00067D24">
            <w:pPr>
              <w:jc w:val="both"/>
              <w:rPr>
                <w:sz w:val="20"/>
                <w:lang w:val="fr-CA"/>
              </w:rPr>
            </w:pPr>
            <w:r w:rsidRPr="001375B7">
              <w:rPr>
                <w:sz w:val="20"/>
                <w:lang w:val="fr-CA"/>
              </w:rPr>
              <w:t>L’appel est accueilli en partie, dans la mesure où le droit de recevoir des photographies des enfants est accordé à la mère.</w:t>
            </w:r>
          </w:p>
        </w:tc>
      </w:tr>
      <w:tr w:rsidR="00067D24" w:rsidRPr="00170A70" w:rsidTr="00845EFA">
        <w:tblPrEx>
          <w:tblCellMar>
            <w:bottom w:w="0" w:type="dxa"/>
          </w:tblCellMar>
        </w:tblPrEx>
        <w:tc>
          <w:tcPr>
            <w:tcW w:w="2367" w:type="pct"/>
            <w:gridSpan w:val="2"/>
          </w:tcPr>
          <w:p w:rsidR="00067D24" w:rsidRPr="001375B7" w:rsidRDefault="00067D24" w:rsidP="00067D24">
            <w:pPr>
              <w:jc w:val="both"/>
              <w:rPr>
                <w:sz w:val="20"/>
                <w:lang w:val="fr-CA"/>
              </w:rPr>
            </w:pPr>
            <w:r w:rsidRPr="001375B7">
              <w:rPr>
                <w:sz w:val="20"/>
                <w:lang w:val="fr-CA"/>
              </w:rPr>
              <w:t>8 janvier 2021</w:t>
            </w:r>
          </w:p>
          <w:p w:rsidR="00067D24" w:rsidRPr="001375B7" w:rsidRDefault="00067D24" w:rsidP="00067D24">
            <w:pPr>
              <w:jc w:val="both"/>
              <w:rPr>
                <w:sz w:val="20"/>
                <w:lang w:val="fr-CA"/>
              </w:rPr>
            </w:pPr>
            <w:r w:rsidRPr="001375B7">
              <w:rPr>
                <w:sz w:val="20"/>
                <w:lang w:val="fr-CA"/>
              </w:rPr>
              <w:t>Cour suprême du Canada</w:t>
            </w:r>
          </w:p>
        </w:tc>
        <w:tc>
          <w:tcPr>
            <w:tcW w:w="267" w:type="pct"/>
          </w:tcPr>
          <w:p w:rsidR="00067D24" w:rsidRPr="001375B7" w:rsidRDefault="00067D24" w:rsidP="00067D24">
            <w:pPr>
              <w:jc w:val="both"/>
              <w:rPr>
                <w:sz w:val="20"/>
                <w:lang w:val="fr-CA"/>
              </w:rPr>
            </w:pPr>
          </w:p>
        </w:tc>
        <w:tc>
          <w:tcPr>
            <w:tcW w:w="2366" w:type="pct"/>
            <w:gridSpan w:val="2"/>
          </w:tcPr>
          <w:p w:rsidR="00067D24" w:rsidRPr="001375B7" w:rsidRDefault="00067D24" w:rsidP="00067D24">
            <w:pPr>
              <w:jc w:val="both"/>
              <w:rPr>
                <w:sz w:val="20"/>
                <w:lang w:val="fr-CA"/>
              </w:rPr>
            </w:pPr>
            <w:r w:rsidRPr="001375B7">
              <w:rPr>
                <w:sz w:val="20"/>
                <w:lang w:val="fr-CA"/>
              </w:rPr>
              <w:t>La requête en prorogation du délai de signification et de dépôt de la demande d’autorisation d’appel et la demande d’autorisation d’appel sont présentées.</w:t>
            </w:r>
          </w:p>
          <w:p w:rsidR="00067D24" w:rsidRPr="001375B7" w:rsidRDefault="00067D24" w:rsidP="00067D24">
            <w:pPr>
              <w:jc w:val="both"/>
              <w:rPr>
                <w:sz w:val="20"/>
                <w:lang w:val="fr-CA"/>
              </w:rPr>
            </w:pPr>
          </w:p>
        </w:tc>
      </w:tr>
    </w:tbl>
    <w:p w:rsidR="00067D24" w:rsidRPr="001375B7" w:rsidRDefault="00067D24" w:rsidP="00D57104">
      <w:pPr>
        <w:widowControl w:val="0"/>
        <w:jc w:val="both"/>
        <w:rPr>
          <w:sz w:val="20"/>
          <w:lang w:val="fr-CA"/>
        </w:rPr>
      </w:pPr>
    </w:p>
    <w:p w:rsidR="00067D24" w:rsidRPr="001375B7" w:rsidRDefault="00F04E23" w:rsidP="00D57104">
      <w:pPr>
        <w:widowControl w:val="0"/>
        <w:jc w:val="both"/>
        <w:rPr>
          <w:sz w:val="20"/>
          <w:lang w:val="fr-CA"/>
        </w:rPr>
      </w:pPr>
      <w:r>
        <w:rPr>
          <w:sz w:val="20"/>
        </w:rPr>
        <w:pict>
          <v:rect id="_x0000_i1044" style="width:2in;height:1pt" o:hrpct="0" o:hralign="center" o:hrstd="t" o:hrnoshade="t" o:hr="t" fillcolor="black [3213]" stroked="f"/>
        </w:pict>
      </w:r>
    </w:p>
    <w:p w:rsidR="00067D24" w:rsidRPr="001375B7" w:rsidRDefault="00067D24" w:rsidP="00D5710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rPr>
            </w:pPr>
            <w:r w:rsidRPr="001375B7">
              <w:rPr>
                <w:rStyle w:val="SCCFileNumberChar"/>
                <w:sz w:val="20"/>
                <w:szCs w:val="20"/>
              </w:rPr>
              <w:t>39534</w:t>
            </w:r>
          </w:p>
        </w:tc>
        <w:tc>
          <w:tcPr>
            <w:tcW w:w="4457" w:type="pct"/>
            <w:gridSpan w:val="3"/>
          </w:tcPr>
          <w:p w:rsidR="00D57104" w:rsidRPr="001375B7" w:rsidRDefault="00D57104" w:rsidP="00D57104">
            <w:pPr>
              <w:pStyle w:val="SCCLsocParty"/>
              <w:jc w:val="both"/>
              <w:rPr>
                <w:b/>
                <w:sz w:val="20"/>
                <w:szCs w:val="20"/>
                <w:lang w:val="en-US"/>
              </w:rPr>
            </w:pPr>
            <w:r w:rsidRPr="001375B7">
              <w:rPr>
                <w:b/>
                <w:sz w:val="20"/>
                <w:szCs w:val="20"/>
                <w:lang w:val="en-US"/>
              </w:rPr>
              <w:t>Charles Bordeleau, Ottawa Police Services Board v. Matthew Skof</w:t>
            </w:r>
          </w:p>
          <w:p w:rsidR="00D57104" w:rsidRPr="001375B7" w:rsidRDefault="0001750E" w:rsidP="00D57104">
            <w:pPr>
              <w:jc w:val="both"/>
              <w:rPr>
                <w:sz w:val="20"/>
              </w:rPr>
            </w:pPr>
            <w:r w:rsidRPr="001375B7">
              <w:rPr>
                <w:sz w:val="20"/>
              </w:rPr>
              <w:t>(Ont.) (Civil) (By Leave)</w:t>
            </w:r>
          </w:p>
        </w:tc>
      </w:tr>
      <w:tr w:rsidR="00D57104" w:rsidRPr="001375B7" w:rsidTr="00D57104">
        <w:tc>
          <w:tcPr>
            <w:tcW w:w="5000" w:type="pct"/>
            <w:gridSpan w:val="4"/>
          </w:tcPr>
          <w:p w:rsidR="00D57104" w:rsidRPr="001375B7" w:rsidRDefault="00D57104" w:rsidP="00D57104">
            <w:pPr>
              <w:jc w:val="both"/>
              <w:rPr>
                <w:sz w:val="20"/>
              </w:rPr>
            </w:pPr>
            <w:r w:rsidRPr="001375B7">
              <w:rPr>
                <w:sz w:val="20"/>
              </w:rPr>
              <w:t xml:space="preserve">Courts — Jurisdiction — Civil Procedure — In the context of police discipline and other employment matters, where the collective agreement and the applicable police legislation create a complete procedural and substantive code for matters of labour relations and discipline, does the lack of an explicit grant of jurisdiction to either statutory tribunal trigger the residual jurisdiction of the court? — Despite this Court’s clear analytical framework in </w:t>
            </w:r>
            <w:r w:rsidRPr="001375B7">
              <w:rPr>
                <w:i/>
                <w:sz w:val="20"/>
              </w:rPr>
              <w:t xml:space="preserve">Weber </w:t>
            </w:r>
            <w:r w:rsidRPr="001375B7">
              <w:rPr>
                <w:i/>
                <w:iCs/>
                <w:sz w:val="20"/>
              </w:rPr>
              <w:t>v.</w:t>
            </w:r>
            <w:r w:rsidRPr="001375B7">
              <w:rPr>
                <w:i/>
                <w:sz w:val="20"/>
              </w:rPr>
              <w:t xml:space="preserve"> Ontario Hydro</w:t>
            </w:r>
            <w:r w:rsidRPr="001375B7">
              <w:rPr>
                <w:sz w:val="20"/>
              </w:rPr>
              <w:t>, [1995] 2 S.C.R. 929, and</w:t>
            </w:r>
            <w:r w:rsidRPr="001375B7">
              <w:rPr>
                <w:i/>
                <w:iCs/>
                <w:sz w:val="20"/>
              </w:rPr>
              <w:t xml:space="preserve"> Regina Police Assn. Inc. v. Regina (City) Board of Police Commissioners</w:t>
            </w:r>
            <w:r w:rsidRPr="001375B7">
              <w:rPr>
                <w:sz w:val="20"/>
              </w:rPr>
              <w:t>, 2000 SCC 14, [2000] 1 S.C.R. 360, are there situations that warrant an exception to the strict application of that framework?</w:t>
            </w:r>
          </w:p>
          <w:p w:rsidR="00D57104" w:rsidRPr="001375B7" w:rsidRDefault="00D57104" w:rsidP="00D57104">
            <w:pPr>
              <w:jc w:val="both"/>
              <w:rPr>
                <w:sz w:val="20"/>
              </w:rPr>
            </w:pPr>
          </w:p>
        </w:tc>
      </w:tr>
      <w:tr w:rsidR="00D57104" w:rsidRPr="001375B7" w:rsidTr="00D57104">
        <w:tc>
          <w:tcPr>
            <w:tcW w:w="5000" w:type="pct"/>
            <w:gridSpan w:val="4"/>
          </w:tcPr>
          <w:p w:rsidR="00D57104" w:rsidRPr="001375B7" w:rsidRDefault="00D57104" w:rsidP="00D57104">
            <w:pPr>
              <w:jc w:val="both"/>
              <w:rPr>
                <w:sz w:val="20"/>
              </w:rPr>
            </w:pPr>
            <w:r w:rsidRPr="001375B7">
              <w:rPr>
                <w:sz w:val="20"/>
              </w:rPr>
              <w:t>Matthew Skof is a police officer with the Ottawa Police Service (“OPS”). He has been on full</w:t>
            </w:r>
            <w:r w:rsidRPr="001375B7">
              <w:rPr>
                <w:sz w:val="20"/>
              </w:rPr>
              <w:noBreakHyphen/>
              <w:t xml:space="preserve">time leave since 2011 in order to act as the President of the Ottawa Police Association (“OPA”). In January 2019, Mr. Skof was charged with certain offences under the </w:t>
            </w:r>
            <w:r w:rsidRPr="001375B7">
              <w:rPr>
                <w:i/>
                <w:iCs/>
                <w:sz w:val="20"/>
              </w:rPr>
              <w:t>Criminal Code</w:t>
            </w:r>
            <w:r w:rsidRPr="001375B7">
              <w:rPr>
                <w:sz w:val="20"/>
              </w:rPr>
              <w:t xml:space="preserve">. Mr. Skof was suspended by Charles Bordeleau, who was then the Chief of Police of the OPS. Mr. Skof and the OPA commenced an action in the Ontario Superior Court of Justice in March 2019 against Mr. Bordeleau and the Ottawa Police Services Board (“OPSB”). In the action, they claimed declaratory relief, injunctive relief, and damages arising from alleged breaches of Mr. Skof’s </w:t>
            </w:r>
            <w:r w:rsidRPr="001375B7">
              <w:rPr>
                <w:i/>
                <w:iCs/>
                <w:sz w:val="20"/>
              </w:rPr>
              <w:t>Charter</w:t>
            </w:r>
            <w:r w:rsidRPr="001375B7">
              <w:rPr>
                <w:sz w:val="20"/>
              </w:rPr>
              <w:t xml:space="preserve"> rights and from an alleged misfeasance in public office by Mr. Bordeleau. Mr. Bordeleau and the OPSB brought a motion under r. 21.01(3</w:t>
            </w:r>
            <w:proofErr w:type="gramStart"/>
            <w:r w:rsidRPr="001375B7">
              <w:rPr>
                <w:sz w:val="20"/>
              </w:rPr>
              <w:t>)(</w:t>
            </w:r>
            <w:proofErr w:type="gramEnd"/>
            <w:r w:rsidRPr="001375B7">
              <w:rPr>
                <w:sz w:val="20"/>
              </w:rPr>
              <w:t xml:space="preserve">a) of the </w:t>
            </w:r>
            <w:r w:rsidRPr="001375B7">
              <w:rPr>
                <w:i/>
                <w:sz w:val="20"/>
              </w:rPr>
              <w:t>Rules of Civil Procedure</w:t>
            </w:r>
            <w:r w:rsidRPr="001375B7">
              <w:rPr>
                <w:sz w:val="20"/>
              </w:rPr>
              <w:t xml:space="preserve"> for an order dismissing the action on the basis that the court does not have jurisdiction to entertain the claim.</w:t>
            </w:r>
            <w:r w:rsidRPr="001375B7">
              <w:rPr>
                <w:sz w:val="20"/>
                <w:lang w:eastAsia="en-CA"/>
              </w:rPr>
              <w:t xml:space="preserve"> </w:t>
            </w:r>
            <w:r w:rsidRPr="001375B7">
              <w:rPr>
                <w:sz w:val="20"/>
              </w:rPr>
              <w:t xml:space="preserve">The Ontario Superior Court of Justice dismissed the action, holding that there were other potential venues for the dispute and that the court did not have jurisdiction over the subject matter of the </w:t>
            </w:r>
            <w:r w:rsidRPr="001375B7">
              <w:rPr>
                <w:sz w:val="20"/>
              </w:rPr>
              <w:lastRenderedPageBreak/>
              <w:t>action. The Court of Appeal for Ontario allowed Mr. Skof’s appeal, set aside the order of the motion judge, and reinstated the action on the basis that it was not “clear and unequivocal” that the court’s jurisdiction had been ousted.</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lastRenderedPageBreak/>
              <w:t>December 20, 2019</w:t>
            </w:r>
          </w:p>
          <w:p w:rsidR="00D57104" w:rsidRPr="001375B7" w:rsidRDefault="00D57104" w:rsidP="00D57104">
            <w:pPr>
              <w:jc w:val="both"/>
              <w:rPr>
                <w:sz w:val="20"/>
              </w:rPr>
            </w:pPr>
            <w:r w:rsidRPr="001375B7">
              <w:rPr>
                <w:sz w:val="20"/>
              </w:rPr>
              <w:t>Ontario Superior Court of Justice</w:t>
            </w:r>
          </w:p>
          <w:p w:rsidR="00D57104" w:rsidRPr="001375B7" w:rsidRDefault="00D57104" w:rsidP="00D57104">
            <w:pPr>
              <w:jc w:val="both"/>
              <w:rPr>
                <w:sz w:val="20"/>
              </w:rPr>
            </w:pPr>
            <w:r w:rsidRPr="001375B7">
              <w:rPr>
                <w:sz w:val="20"/>
              </w:rPr>
              <w:t>(Labrosse J.)</w:t>
            </w:r>
          </w:p>
          <w:p w:rsidR="00D57104" w:rsidRPr="001375B7" w:rsidRDefault="00D57104" w:rsidP="00D57104">
            <w:pPr>
              <w:jc w:val="both"/>
              <w:rPr>
                <w:sz w:val="20"/>
              </w:rPr>
            </w:pPr>
            <w:r w:rsidRPr="001375B7">
              <w:rPr>
                <w:sz w:val="20"/>
              </w:rPr>
              <w:t>File No.: CV</w:t>
            </w:r>
            <w:r w:rsidRPr="001375B7">
              <w:rPr>
                <w:sz w:val="20"/>
              </w:rPr>
              <w:noBreakHyphen/>
              <w:t>19</w:t>
            </w:r>
            <w:r w:rsidRPr="001375B7">
              <w:rPr>
                <w:sz w:val="20"/>
              </w:rPr>
              <w:noBreakHyphen/>
              <w:t>79708</w:t>
            </w:r>
          </w:p>
          <w:p w:rsidR="00D57104" w:rsidRPr="001375B7" w:rsidRDefault="00F04E23" w:rsidP="00D57104">
            <w:pPr>
              <w:jc w:val="both"/>
              <w:rPr>
                <w:sz w:val="20"/>
              </w:rPr>
            </w:pPr>
            <w:hyperlink r:id="rId54" w:history="1">
              <w:r w:rsidR="00D57104" w:rsidRPr="001375B7">
                <w:rPr>
                  <w:rStyle w:val="Hyperlink"/>
                  <w:sz w:val="20"/>
                </w:rPr>
                <w:t>2019 ONSC 7418</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Matthew Skof’s action against Charles Bordeleau and the Ottawa Police Services Board is dismissed on the basis that the Ontario Superior Court of Justice does not have jurisdiction over the subject matter of the action.</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November 17, 2020</w:t>
            </w:r>
          </w:p>
          <w:p w:rsidR="00D57104" w:rsidRPr="001375B7" w:rsidRDefault="00D57104" w:rsidP="00D57104">
            <w:pPr>
              <w:jc w:val="both"/>
              <w:rPr>
                <w:sz w:val="20"/>
              </w:rPr>
            </w:pPr>
            <w:r w:rsidRPr="001375B7">
              <w:rPr>
                <w:sz w:val="20"/>
              </w:rPr>
              <w:t>Court of Appeal for Ontario</w:t>
            </w:r>
          </w:p>
          <w:p w:rsidR="00D57104" w:rsidRPr="001375B7" w:rsidRDefault="00D57104" w:rsidP="00D57104">
            <w:pPr>
              <w:jc w:val="both"/>
              <w:rPr>
                <w:sz w:val="20"/>
              </w:rPr>
            </w:pPr>
            <w:r w:rsidRPr="001375B7">
              <w:rPr>
                <w:sz w:val="20"/>
              </w:rPr>
              <w:t xml:space="preserve">(Huscroft, Nordheimer and Harvison Young </w:t>
            </w:r>
          </w:p>
          <w:p w:rsidR="00D57104" w:rsidRPr="001375B7" w:rsidRDefault="00D57104" w:rsidP="00D57104">
            <w:pPr>
              <w:jc w:val="both"/>
              <w:rPr>
                <w:sz w:val="20"/>
              </w:rPr>
            </w:pPr>
            <w:r w:rsidRPr="001375B7">
              <w:rPr>
                <w:sz w:val="20"/>
              </w:rPr>
              <w:t>JJ.A.)</w:t>
            </w:r>
          </w:p>
          <w:p w:rsidR="00D57104" w:rsidRPr="001375B7" w:rsidRDefault="00D57104" w:rsidP="00D57104">
            <w:pPr>
              <w:jc w:val="both"/>
              <w:rPr>
                <w:sz w:val="20"/>
              </w:rPr>
            </w:pPr>
            <w:r w:rsidRPr="001375B7">
              <w:rPr>
                <w:sz w:val="20"/>
              </w:rPr>
              <w:t>File No.: C67874</w:t>
            </w:r>
          </w:p>
          <w:p w:rsidR="00D57104" w:rsidRPr="001375B7" w:rsidRDefault="00F04E23" w:rsidP="00D57104">
            <w:pPr>
              <w:jc w:val="both"/>
              <w:rPr>
                <w:sz w:val="20"/>
              </w:rPr>
            </w:pPr>
            <w:hyperlink r:id="rId55" w:anchor="document" w:history="1">
              <w:r w:rsidR="00D57104" w:rsidRPr="001375B7">
                <w:rPr>
                  <w:rStyle w:val="Hyperlink"/>
                  <w:sz w:val="20"/>
                </w:rPr>
                <w:t>2020 ONCA 729</w:t>
              </w:r>
            </w:hyperlink>
          </w:p>
          <w:p w:rsidR="00D57104" w:rsidRPr="001375B7" w:rsidRDefault="00D57104" w:rsidP="00D57104">
            <w:pPr>
              <w:jc w:val="both"/>
              <w:rPr>
                <w:sz w:val="20"/>
              </w:rPr>
            </w:pP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Appeal against the decision of the Ontario Superior Court of Justice is allowed, the motion judge’s order dismissing the action is set aside, and the action is reinstated as it relates to Matthew Skof.</w:t>
            </w:r>
          </w:p>
          <w:p w:rsidR="00D57104" w:rsidRPr="001375B7" w:rsidRDefault="00D57104" w:rsidP="00D57104">
            <w:pPr>
              <w:jc w:val="both"/>
              <w:rPr>
                <w:sz w:val="20"/>
              </w:rPr>
            </w:pPr>
          </w:p>
        </w:tc>
      </w:tr>
      <w:tr w:rsidR="00D57104" w:rsidRPr="001375B7" w:rsidTr="00D57104">
        <w:tc>
          <w:tcPr>
            <w:tcW w:w="2427" w:type="pct"/>
            <w:gridSpan w:val="2"/>
          </w:tcPr>
          <w:p w:rsidR="00D57104" w:rsidRPr="001375B7" w:rsidRDefault="00D57104" w:rsidP="00D57104">
            <w:pPr>
              <w:jc w:val="both"/>
              <w:rPr>
                <w:sz w:val="20"/>
              </w:rPr>
            </w:pPr>
            <w:r w:rsidRPr="001375B7">
              <w:rPr>
                <w:sz w:val="20"/>
              </w:rPr>
              <w:t>January 18, 2021</w:t>
            </w:r>
          </w:p>
          <w:p w:rsidR="00D57104" w:rsidRPr="001375B7" w:rsidRDefault="00D57104" w:rsidP="00D57104">
            <w:pPr>
              <w:jc w:val="both"/>
              <w:rPr>
                <w:sz w:val="20"/>
              </w:rPr>
            </w:pPr>
            <w:r w:rsidRPr="001375B7">
              <w:rPr>
                <w:sz w:val="20"/>
              </w:rPr>
              <w:t>Supreme Court of Canada</w:t>
            </w:r>
          </w:p>
        </w:tc>
        <w:tc>
          <w:tcPr>
            <w:tcW w:w="243" w:type="pct"/>
          </w:tcPr>
          <w:p w:rsidR="00D57104" w:rsidRPr="001375B7" w:rsidRDefault="00D57104" w:rsidP="00D57104">
            <w:pPr>
              <w:jc w:val="both"/>
              <w:rPr>
                <w:sz w:val="20"/>
              </w:rPr>
            </w:pPr>
          </w:p>
        </w:tc>
        <w:tc>
          <w:tcPr>
            <w:tcW w:w="2330" w:type="pct"/>
          </w:tcPr>
          <w:p w:rsidR="00D57104" w:rsidRPr="001375B7" w:rsidRDefault="00D57104" w:rsidP="00D57104">
            <w:pPr>
              <w:jc w:val="both"/>
              <w:rPr>
                <w:sz w:val="20"/>
              </w:rPr>
            </w:pPr>
            <w:r w:rsidRPr="001375B7">
              <w:rPr>
                <w:sz w:val="20"/>
              </w:rPr>
              <w:t>Application for leave to appeal filed.</w:t>
            </w:r>
          </w:p>
        </w:tc>
      </w:tr>
    </w:tbl>
    <w:p w:rsidR="00D57104" w:rsidRPr="001375B7" w:rsidRDefault="00D57104" w:rsidP="00D57104">
      <w:pPr>
        <w:jc w:val="both"/>
        <w:rPr>
          <w:sz w:val="20"/>
        </w:rPr>
      </w:pPr>
    </w:p>
    <w:p w:rsidR="0001750E" w:rsidRPr="001375B7" w:rsidRDefault="00F04E23" w:rsidP="00D57104">
      <w:pPr>
        <w:jc w:val="both"/>
        <w:rPr>
          <w:sz w:val="20"/>
        </w:rPr>
      </w:pPr>
      <w:r>
        <w:rPr>
          <w:sz w:val="20"/>
        </w:rPr>
        <w:pict>
          <v:rect id="_x0000_i1045" style="width:2in;height:1pt" o:hrpct="0" o:hralign="center" o:hrstd="t" o:hrnoshade="t" o:hr="t" fillcolor="black [3213]" stroked="f"/>
        </w:pict>
      </w:r>
    </w:p>
    <w:p w:rsidR="0001750E" w:rsidRPr="001375B7" w:rsidRDefault="0001750E" w:rsidP="00D571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57104" w:rsidRPr="001375B7" w:rsidTr="00D57104">
        <w:tc>
          <w:tcPr>
            <w:tcW w:w="543" w:type="pct"/>
          </w:tcPr>
          <w:p w:rsidR="00D57104" w:rsidRPr="001375B7" w:rsidRDefault="00D57104" w:rsidP="00D57104">
            <w:pPr>
              <w:jc w:val="both"/>
              <w:rPr>
                <w:sz w:val="20"/>
                <w:lang w:val="fr-CA"/>
              </w:rPr>
            </w:pPr>
            <w:r w:rsidRPr="001375B7">
              <w:rPr>
                <w:rStyle w:val="SCCFileNumberChar"/>
                <w:sz w:val="20"/>
                <w:szCs w:val="20"/>
                <w:lang w:val="fr-CA"/>
              </w:rPr>
              <w:t>39534</w:t>
            </w:r>
          </w:p>
        </w:tc>
        <w:tc>
          <w:tcPr>
            <w:tcW w:w="4457" w:type="pct"/>
            <w:gridSpan w:val="3"/>
          </w:tcPr>
          <w:p w:rsidR="00D57104" w:rsidRPr="001375B7" w:rsidRDefault="00D57104" w:rsidP="00D57104">
            <w:pPr>
              <w:pStyle w:val="SCCLsocParty"/>
              <w:jc w:val="both"/>
              <w:rPr>
                <w:b/>
                <w:sz w:val="20"/>
                <w:szCs w:val="20"/>
              </w:rPr>
            </w:pPr>
            <w:r w:rsidRPr="001375B7">
              <w:rPr>
                <w:b/>
                <w:sz w:val="20"/>
                <w:szCs w:val="20"/>
              </w:rPr>
              <w:t>Charles Bordeleau, Commission de services policiers d’Ottawa c. Matthew Skof</w:t>
            </w:r>
          </w:p>
          <w:p w:rsidR="00D57104" w:rsidRPr="001375B7" w:rsidRDefault="00D57104" w:rsidP="00D57104">
            <w:pPr>
              <w:jc w:val="both"/>
              <w:rPr>
                <w:sz w:val="20"/>
                <w:lang w:val="fr-CA"/>
              </w:rPr>
            </w:pPr>
            <w:r w:rsidRPr="001375B7">
              <w:rPr>
                <w:sz w:val="20"/>
                <w:lang w:val="fr-CA"/>
              </w:rPr>
              <w:t>(On</w:t>
            </w:r>
            <w:r w:rsidR="0001750E" w:rsidRPr="001375B7">
              <w:rPr>
                <w:sz w:val="20"/>
                <w:lang w:val="fr-CA"/>
              </w:rPr>
              <w:t>t.) (Civile) (Sur autorisation)</w:t>
            </w: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Tribunaux — Compétence — Procédure civile — Dans le contexte d’une instance disciplinaire de la police et d’autres affaires relatives à l’emploi, lorsque la convention collective et la législation policière applicable créent un code exhaustif procédural et de fond quant aux affaires disciplinaires et de relations de travail, l’absence d’une attribution expresse de compétence de l’un ou l’autre des tribunaux d’origine législative déclenche</w:t>
            </w:r>
            <w:r w:rsidRPr="001375B7">
              <w:rPr>
                <w:sz w:val="20"/>
                <w:lang w:val="fr-CA"/>
              </w:rPr>
              <w:noBreakHyphen/>
              <w:t>t</w:t>
            </w:r>
            <w:r w:rsidRPr="001375B7">
              <w:rPr>
                <w:sz w:val="20"/>
                <w:lang w:val="fr-CA"/>
              </w:rPr>
              <w:noBreakHyphen/>
              <w:t xml:space="preserve">elle la compétence résiduelle de la cour? — Malgré le cadre d’analyse clair établi par la Cour suprême du Canada dans l’arrêt </w:t>
            </w:r>
            <w:r w:rsidRPr="001375B7">
              <w:rPr>
                <w:i/>
                <w:sz w:val="20"/>
                <w:lang w:val="fr-CA"/>
              </w:rPr>
              <w:t xml:space="preserve">Weber </w:t>
            </w:r>
            <w:r w:rsidRPr="001375B7">
              <w:rPr>
                <w:i/>
                <w:iCs/>
                <w:sz w:val="20"/>
                <w:lang w:val="fr-CA"/>
              </w:rPr>
              <w:t>c.</w:t>
            </w:r>
            <w:r w:rsidRPr="001375B7">
              <w:rPr>
                <w:i/>
                <w:sz w:val="20"/>
                <w:lang w:val="fr-CA"/>
              </w:rPr>
              <w:t xml:space="preserve"> Ontario Hydro</w:t>
            </w:r>
            <w:r w:rsidRPr="001375B7">
              <w:rPr>
                <w:sz w:val="20"/>
                <w:lang w:val="fr-CA"/>
              </w:rPr>
              <w:t>, [1995] 2 R.C.S. 929, et dans l’arrêt</w:t>
            </w:r>
            <w:r w:rsidRPr="001375B7">
              <w:rPr>
                <w:i/>
                <w:iCs/>
                <w:sz w:val="20"/>
                <w:lang w:val="fr-CA"/>
              </w:rPr>
              <w:t xml:space="preserve"> Regina Police Assn. Inc. c. Regina (Ville) Board of Police Commissioners</w:t>
            </w:r>
            <w:r w:rsidRPr="001375B7">
              <w:rPr>
                <w:sz w:val="20"/>
                <w:lang w:val="fr-CA"/>
              </w:rPr>
              <w:t>, 2000 CSC 14, [2000] 1 R.C.S. 360, certaines situations justifient</w:t>
            </w:r>
            <w:r w:rsidRPr="001375B7">
              <w:rPr>
                <w:sz w:val="20"/>
                <w:lang w:val="fr-CA"/>
              </w:rPr>
              <w:noBreakHyphen/>
              <w:t>elles de déroger à l’application stricte de ce cadre?</w:t>
            </w:r>
          </w:p>
          <w:p w:rsidR="00D57104" w:rsidRPr="001375B7" w:rsidRDefault="00D57104" w:rsidP="00D57104">
            <w:pPr>
              <w:jc w:val="both"/>
              <w:rPr>
                <w:sz w:val="20"/>
                <w:lang w:val="fr-CA"/>
              </w:rPr>
            </w:pPr>
          </w:p>
        </w:tc>
      </w:tr>
      <w:tr w:rsidR="00D57104" w:rsidRPr="00170A70" w:rsidTr="00D57104">
        <w:tc>
          <w:tcPr>
            <w:tcW w:w="5000" w:type="pct"/>
            <w:gridSpan w:val="4"/>
          </w:tcPr>
          <w:p w:rsidR="00D57104" w:rsidRPr="001375B7" w:rsidRDefault="00D57104" w:rsidP="00D57104">
            <w:pPr>
              <w:jc w:val="both"/>
              <w:rPr>
                <w:sz w:val="20"/>
                <w:lang w:val="fr-CA"/>
              </w:rPr>
            </w:pPr>
            <w:r w:rsidRPr="001375B7">
              <w:rPr>
                <w:sz w:val="20"/>
                <w:lang w:val="fr-CA"/>
              </w:rPr>
              <w:t xml:space="preserve">Matthew Skof est un policier auprès du Service de police d’Ottawa (« SPO »). Il est en congé à plein temps depuis 2011 pour pouvoir agir en tant que président de l’Association des policiers d’Ottawa (« APO »). En janvier 2019, M. Skof a été accusé de certaines infractions prévues au </w:t>
            </w:r>
            <w:r w:rsidRPr="001375B7">
              <w:rPr>
                <w:i/>
                <w:iCs/>
                <w:sz w:val="20"/>
                <w:lang w:val="fr-CA"/>
              </w:rPr>
              <w:t>Code criminel</w:t>
            </w:r>
            <w:r w:rsidRPr="001375B7">
              <w:rPr>
                <w:sz w:val="20"/>
                <w:lang w:val="fr-CA"/>
              </w:rPr>
              <w:t>. M. Skof a été suspendu par Charles Bordeleau, qui était alors chef de police du SPO. En mars 2019, M. Skof et l’APO ont intenté une action contre M. Bordeleau et la Commission de services policiers d’Ottawa (« CSPO ») devant la Cour supérieure de justice de l’Ontario. Dans le cadre de cette action, ils ont demandé un jugement déclaratoire, une injonction et des dommages</w:t>
            </w:r>
            <w:r w:rsidRPr="001375B7">
              <w:rPr>
                <w:sz w:val="20"/>
                <w:lang w:val="fr-CA"/>
              </w:rPr>
              <w:noBreakHyphen/>
              <w:t xml:space="preserve">intérêts découlant d’allégations de violation des droits qui sont garantis à M. Skof par la </w:t>
            </w:r>
            <w:r w:rsidRPr="001375B7">
              <w:rPr>
                <w:i/>
                <w:iCs/>
                <w:sz w:val="20"/>
                <w:lang w:val="fr-CA"/>
              </w:rPr>
              <w:t>Charte</w:t>
            </w:r>
            <w:r w:rsidRPr="001375B7">
              <w:rPr>
                <w:sz w:val="20"/>
                <w:lang w:val="fr-CA"/>
              </w:rPr>
              <w:t xml:space="preserve"> et d’allégations de faute commise dans l’exercice d’une charge publique par M. Bordeleau. Ce dernier et le CSPO ont présenté une motion aux termes de l’al. 21.01(3)a) des </w:t>
            </w:r>
            <w:r w:rsidRPr="001375B7">
              <w:rPr>
                <w:i/>
                <w:sz w:val="20"/>
                <w:lang w:val="fr-CA"/>
              </w:rPr>
              <w:t>Règles de procédure civile</w:t>
            </w:r>
            <w:r w:rsidRPr="001375B7">
              <w:rPr>
                <w:sz w:val="20"/>
                <w:lang w:val="fr-CA"/>
              </w:rPr>
              <w:t xml:space="preserve"> pour obtenir une ordonnance rejetant l’action au motif que la cour n’a pas compétence pour entendre l’affaire.</w:t>
            </w:r>
            <w:r w:rsidRPr="001375B7">
              <w:rPr>
                <w:sz w:val="20"/>
                <w:lang w:val="fr-CA" w:eastAsia="en-CA"/>
              </w:rPr>
              <w:t xml:space="preserve"> La </w:t>
            </w:r>
            <w:r w:rsidRPr="001375B7">
              <w:rPr>
                <w:sz w:val="20"/>
                <w:lang w:val="fr-CA"/>
              </w:rPr>
              <w:t>Cour supérieure de justice de l’Ontario a rejeté l’action, concluant qu’il était possible de s’adresser ailleurs pour régler le différend et que la cour n’avait pas compétence pour connaître de l’objet de l’action. La Cour d’appel de l’Ontario a accueilli l’appel de M. Skof, a annulé l’ordonnance du juge saisi de la motion, et a rétabli l’action au motif qu’il n’était pas [traduction</w:t>
            </w:r>
            <w:r w:rsidRPr="001375B7">
              <w:rPr>
                <w:rFonts w:asciiTheme="minorBidi" w:hAnsiTheme="minorBidi"/>
                <w:sz w:val="20"/>
                <w:lang w:val="fr-CA"/>
              </w:rPr>
              <w:t xml:space="preserve">] </w:t>
            </w:r>
            <w:r w:rsidRPr="001375B7">
              <w:rPr>
                <w:sz w:val="20"/>
                <w:lang w:val="fr-CA"/>
              </w:rPr>
              <w:t>« clair et non équivoque » que la compétence de la cour avait été écartée.</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20 décembre 2019</w:t>
            </w:r>
          </w:p>
          <w:p w:rsidR="00D57104" w:rsidRPr="001375B7" w:rsidRDefault="00D57104" w:rsidP="00D57104">
            <w:pPr>
              <w:jc w:val="both"/>
              <w:rPr>
                <w:sz w:val="20"/>
                <w:lang w:val="fr-CA"/>
              </w:rPr>
            </w:pPr>
            <w:r w:rsidRPr="001375B7">
              <w:rPr>
                <w:sz w:val="20"/>
                <w:lang w:val="fr-CA"/>
              </w:rPr>
              <w:t>Cour supérieure de justice de l’Ontario</w:t>
            </w:r>
          </w:p>
          <w:p w:rsidR="00D57104" w:rsidRPr="001375B7" w:rsidRDefault="00D57104" w:rsidP="00D57104">
            <w:pPr>
              <w:jc w:val="both"/>
              <w:rPr>
                <w:sz w:val="20"/>
                <w:lang w:val="fr-CA"/>
              </w:rPr>
            </w:pPr>
            <w:r w:rsidRPr="001375B7">
              <w:rPr>
                <w:sz w:val="20"/>
                <w:lang w:val="fr-CA"/>
              </w:rPr>
              <w:t>(juge Labrosse)</w:t>
            </w:r>
          </w:p>
          <w:p w:rsidR="00D57104" w:rsidRPr="001375B7" w:rsidRDefault="00D57104" w:rsidP="00D57104">
            <w:pPr>
              <w:jc w:val="both"/>
              <w:rPr>
                <w:sz w:val="20"/>
                <w:lang w:val="fr-CA"/>
              </w:rPr>
            </w:pPr>
            <w:r w:rsidRPr="001375B7">
              <w:rPr>
                <w:sz w:val="20"/>
                <w:lang w:val="fr-CA"/>
              </w:rPr>
              <w:t>N</w:t>
            </w:r>
            <w:r w:rsidRPr="001375B7">
              <w:rPr>
                <w:sz w:val="20"/>
                <w:vertAlign w:val="superscript"/>
                <w:lang w:val="fr-CA"/>
              </w:rPr>
              <w:t>o</w:t>
            </w:r>
            <w:r w:rsidRPr="001375B7">
              <w:rPr>
                <w:sz w:val="20"/>
                <w:lang w:val="fr-CA"/>
              </w:rPr>
              <w:t xml:space="preserve"> de dossier : CV</w:t>
            </w:r>
            <w:r w:rsidRPr="001375B7">
              <w:rPr>
                <w:sz w:val="20"/>
                <w:lang w:val="fr-CA"/>
              </w:rPr>
              <w:noBreakHyphen/>
              <w:t>19</w:t>
            </w:r>
            <w:r w:rsidRPr="001375B7">
              <w:rPr>
                <w:sz w:val="20"/>
                <w:lang w:val="fr-CA"/>
              </w:rPr>
              <w:noBreakHyphen/>
              <w:t>79708</w:t>
            </w:r>
          </w:p>
          <w:p w:rsidR="00D57104" w:rsidRPr="001375B7" w:rsidRDefault="00F04E23" w:rsidP="00D57104">
            <w:pPr>
              <w:jc w:val="both"/>
              <w:rPr>
                <w:sz w:val="20"/>
                <w:lang w:val="fr-CA"/>
              </w:rPr>
            </w:pPr>
            <w:hyperlink r:id="rId56" w:history="1">
              <w:r w:rsidR="00D57104" w:rsidRPr="001375B7">
                <w:rPr>
                  <w:rStyle w:val="Hyperlink"/>
                  <w:sz w:val="20"/>
                  <w:lang w:val="fr-CA"/>
                </w:rPr>
                <w:t>2019 ONSC 7418</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L’action intentée par Matthew Skof contre Charles Bordeleau et la Commission de services policiers d’Ottawa est rejetée au motif que la Cour supérieure de justice de l’Ontario n’a pas compétence pour connaître de l’objet de l’action.</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t>17 novembre 2020</w:t>
            </w:r>
          </w:p>
          <w:p w:rsidR="00D57104" w:rsidRPr="001375B7" w:rsidRDefault="00D57104" w:rsidP="00D57104">
            <w:pPr>
              <w:jc w:val="both"/>
              <w:rPr>
                <w:sz w:val="20"/>
                <w:lang w:val="fr-CA"/>
              </w:rPr>
            </w:pPr>
            <w:r w:rsidRPr="001375B7">
              <w:rPr>
                <w:sz w:val="20"/>
                <w:lang w:val="fr-CA"/>
              </w:rPr>
              <w:t>Cour d’appel de l’Ontario</w:t>
            </w:r>
          </w:p>
          <w:p w:rsidR="00D57104" w:rsidRPr="001375B7" w:rsidRDefault="00D57104" w:rsidP="00D57104">
            <w:pPr>
              <w:jc w:val="both"/>
              <w:rPr>
                <w:sz w:val="20"/>
                <w:lang w:val="fr-CA"/>
              </w:rPr>
            </w:pPr>
            <w:r w:rsidRPr="001375B7">
              <w:rPr>
                <w:sz w:val="20"/>
                <w:lang w:val="fr-CA"/>
              </w:rPr>
              <w:t>(juges Huscroft, Nordheimer et Harvison Young)</w:t>
            </w:r>
          </w:p>
          <w:p w:rsidR="00D57104" w:rsidRPr="001375B7" w:rsidRDefault="00D57104" w:rsidP="00D57104">
            <w:pPr>
              <w:jc w:val="both"/>
              <w:rPr>
                <w:sz w:val="20"/>
                <w:lang w:val="fr-CA"/>
              </w:rPr>
            </w:pPr>
            <w:r w:rsidRPr="001375B7">
              <w:rPr>
                <w:sz w:val="20"/>
                <w:lang w:val="fr-CA"/>
              </w:rPr>
              <w:lastRenderedPageBreak/>
              <w:t>N</w:t>
            </w:r>
            <w:r w:rsidRPr="001375B7">
              <w:rPr>
                <w:sz w:val="20"/>
                <w:vertAlign w:val="superscript"/>
                <w:lang w:val="fr-CA"/>
              </w:rPr>
              <w:t>o</w:t>
            </w:r>
            <w:r w:rsidRPr="001375B7">
              <w:rPr>
                <w:sz w:val="20"/>
                <w:lang w:val="fr-CA"/>
              </w:rPr>
              <w:t xml:space="preserve"> de dossier </w:t>
            </w:r>
            <w:proofErr w:type="gramStart"/>
            <w:r w:rsidRPr="001375B7">
              <w:rPr>
                <w:sz w:val="20"/>
                <w:lang w:val="fr-CA"/>
              </w:rPr>
              <w:t>:C67874</w:t>
            </w:r>
            <w:proofErr w:type="gramEnd"/>
          </w:p>
          <w:p w:rsidR="00D57104" w:rsidRPr="001375B7" w:rsidRDefault="00F04E23" w:rsidP="00D57104">
            <w:pPr>
              <w:jc w:val="both"/>
              <w:rPr>
                <w:sz w:val="20"/>
                <w:lang w:val="fr-CA"/>
              </w:rPr>
            </w:pPr>
            <w:hyperlink r:id="rId57" w:anchor="document" w:history="1">
              <w:r w:rsidR="00D57104" w:rsidRPr="001375B7">
                <w:rPr>
                  <w:rStyle w:val="Hyperlink"/>
                  <w:sz w:val="20"/>
                  <w:lang w:val="fr-CA"/>
                </w:rPr>
                <w:t>2020 ONCA 729</w:t>
              </w:r>
            </w:hyperlink>
          </w:p>
          <w:p w:rsidR="00D57104" w:rsidRPr="001375B7" w:rsidRDefault="00D57104" w:rsidP="00D57104">
            <w:pPr>
              <w:jc w:val="both"/>
              <w:rPr>
                <w:sz w:val="20"/>
                <w:lang w:val="fr-CA"/>
              </w:rPr>
            </w:pP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 xml:space="preserve">L’appel de la décision de la Cour supérieure de justice de l’Ontario est accueilli, l’ordonnance du juge saisi </w:t>
            </w:r>
            <w:r w:rsidRPr="001375B7">
              <w:rPr>
                <w:sz w:val="20"/>
                <w:lang w:val="fr-CA"/>
              </w:rPr>
              <w:lastRenderedPageBreak/>
              <w:t>de la motion rejetant l’action est annulée, et l’action est rétablie en ce qui concerne Matthew Skof.</w:t>
            </w:r>
          </w:p>
          <w:p w:rsidR="00D57104" w:rsidRPr="001375B7" w:rsidRDefault="00D57104" w:rsidP="00D57104">
            <w:pPr>
              <w:jc w:val="both"/>
              <w:rPr>
                <w:sz w:val="20"/>
                <w:lang w:val="fr-CA"/>
              </w:rPr>
            </w:pPr>
          </w:p>
        </w:tc>
      </w:tr>
      <w:tr w:rsidR="00D57104" w:rsidRPr="00170A70" w:rsidTr="00D57104">
        <w:tc>
          <w:tcPr>
            <w:tcW w:w="2427" w:type="pct"/>
            <w:gridSpan w:val="2"/>
          </w:tcPr>
          <w:p w:rsidR="00D57104" w:rsidRPr="001375B7" w:rsidRDefault="00D57104" w:rsidP="00D57104">
            <w:pPr>
              <w:jc w:val="both"/>
              <w:rPr>
                <w:sz w:val="20"/>
                <w:lang w:val="fr-CA"/>
              </w:rPr>
            </w:pPr>
            <w:r w:rsidRPr="001375B7">
              <w:rPr>
                <w:sz w:val="20"/>
                <w:lang w:val="fr-CA"/>
              </w:rPr>
              <w:lastRenderedPageBreak/>
              <w:t>18 janvier 2021</w:t>
            </w:r>
          </w:p>
          <w:p w:rsidR="00D57104" w:rsidRPr="001375B7" w:rsidRDefault="00D57104" w:rsidP="00D57104">
            <w:pPr>
              <w:jc w:val="both"/>
              <w:rPr>
                <w:sz w:val="20"/>
                <w:lang w:val="fr-CA"/>
              </w:rPr>
            </w:pPr>
            <w:r w:rsidRPr="001375B7">
              <w:rPr>
                <w:sz w:val="20"/>
                <w:lang w:val="fr-CA"/>
              </w:rPr>
              <w:t>Cour suprême du Canada</w:t>
            </w:r>
          </w:p>
        </w:tc>
        <w:tc>
          <w:tcPr>
            <w:tcW w:w="243" w:type="pct"/>
          </w:tcPr>
          <w:p w:rsidR="00D57104" w:rsidRPr="001375B7" w:rsidRDefault="00D57104" w:rsidP="00D57104">
            <w:pPr>
              <w:jc w:val="both"/>
              <w:rPr>
                <w:sz w:val="20"/>
                <w:lang w:val="fr-CA"/>
              </w:rPr>
            </w:pPr>
          </w:p>
        </w:tc>
        <w:tc>
          <w:tcPr>
            <w:tcW w:w="2330" w:type="pct"/>
          </w:tcPr>
          <w:p w:rsidR="00D57104" w:rsidRPr="001375B7" w:rsidRDefault="00D57104" w:rsidP="00D57104">
            <w:pPr>
              <w:jc w:val="both"/>
              <w:rPr>
                <w:sz w:val="20"/>
                <w:lang w:val="fr-CA"/>
              </w:rPr>
            </w:pPr>
            <w:r w:rsidRPr="001375B7">
              <w:rPr>
                <w:sz w:val="20"/>
                <w:lang w:val="fr-CA"/>
              </w:rPr>
              <w:t>La demande d’autorisation d’appel est présentée.</w:t>
            </w:r>
          </w:p>
        </w:tc>
      </w:tr>
    </w:tbl>
    <w:p w:rsidR="00832A5F" w:rsidRPr="001375B7" w:rsidRDefault="00832A5F" w:rsidP="00EC12AF">
      <w:pPr>
        <w:widowControl w:val="0"/>
        <w:jc w:val="both"/>
        <w:rPr>
          <w:sz w:val="20"/>
          <w:lang w:val="fr-CA"/>
        </w:rPr>
      </w:pPr>
    </w:p>
    <w:p w:rsidR="008C3C00" w:rsidRPr="001375B7" w:rsidRDefault="00F04E23" w:rsidP="00C13AB4">
      <w:pPr>
        <w:widowControl w:val="0"/>
        <w:jc w:val="both"/>
        <w:rPr>
          <w:sz w:val="20"/>
        </w:rPr>
      </w:pPr>
      <w:r>
        <w:rPr>
          <w:sz w:val="20"/>
        </w:rPr>
        <w:pict>
          <v:rect id="_x0000_i1046" style="width:2in;height:1pt" o:hrpct="0" o:hralign="center" o:hrstd="t" o:hrnoshade="t" o:hr="t" fillcolor="black [3213]" stroked="f"/>
        </w:pict>
      </w:r>
    </w:p>
    <w:p w:rsidR="008C3C00" w:rsidRPr="001375B7" w:rsidRDefault="008C3C00" w:rsidP="00C13AB4">
      <w:pPr>
        <w:widowControl w:val="0"/>
        <w:jc w:val="both"/>
        <w:rPr>
          <w:sz w:val="20"/>
        </w:rPr>
      </w:pPr>
    </w:p>
    <w:p w:rsidR="005C7161" w:rsidRPr="001375B7" w:rsidRDefault="005C7161" w:rsidP="006A22CA">
      <w:pPr>
        <w:ind w:left="142" w:hanging="142"/>
        <w:jc w:val="both"/>
        <w:rPr>
          <w:sz w:val="20"/>
        </w:rPr>
      </w:pPr>
    </w:p>
    <w:p w:rsidR="00FD3FA0" w:rsidRPr="001375B7" w:rsidRDefault="00FD3FA0" w:rsidP="006A22CA">
      <w:pPr>
        <w:ind w:left="142" w:hanging="142"/>
        <w:jc w:val="both"/>
        <w:rPr>
          <w:sz w:val="20"/>
        </w:rPr>
      </w:pPr>
    </w:p>
    <w:p w:rsidR="00D3344A" w:rsidRPr="001375B7" w:rsidRDefault="00D3344A" w:rsidP="00D3344A">
      <w:pPr>
        <w:widowControl w:val="0"/>
        <w:outlineLvl w:val="0"/>
      </w:pPr>
      <w:r w:rsidRPr="001375B7">
        <w:t xml:space="preserve">Supreme Court of Canada / Cour suprême du </w:t>
      </w:r>
      <w:proofErr w:type="gramStart"/>
      <w:r w:rsidRPr="001375B7">
        <w:t>Canad</w:t>
      </w:r>
      <w:r w:rsidR="00EE289F" w:rsidRPr="001375B7">
        <w:t>a</w:t>
      </w:r>
      <w:r w:rsidRPr="001375B7">
        <w:t xml:space="preserve"> :</w:t>
      </w:r>
      <w:proofErr w:type="gramEnd"/>
    </w:p>
    <w:p w:rsidR="00D3344A" w:rsidRPr="001375B7" w:rsidRDefault="00F04E23" w:rsidP="00D3344A">
      <w:pPr>
        <w:widowControl w:val="0"/>
        <w:outlineLvl w:val="0"/>
        <w:rPr>
          <w:u w:val="single"/>
        </w:rPr>
      </w:pPr>
      <w:hyperlink r:id="rId58" w:history="1">
        <w:r w:rsidR="009B7391" w:rsidRPr="001375B7">
          <w:rPr>
            <w:rStyle w:val="Hyperlink"/>
          </w:rPr>
          <w:t>comments-commentaires@scc-csc.ca</w:t>
        </w:r>
      </w:hyperlink>
    </w:p>
    <w:p w:rsidR="00D3344A" w:rsidRPr="001375B7" w:rsidRDefault="0065588C" w:rsidP="00D3344A">
      <w:pPr>
        <w:widowControl w:val="0"/>
        <w:outlineLvl w:val="0"/>
      </w:pPr>
      <w:r w:rsidRPr="001375B7">
        <w:t>613-</w:t>
      </w:r>
      <w:r w:rsidR="00D3344A" w:rsidRPr="001375B7">
        <w:t>995-4330</w:t>
      </w:r>
    </w:p>
    <w:p w:rsidR="00497B5E" w:rsidRPr="001375B7" w:rsidRDefault="00497B5E" w:rsidP="00497B5E">
      <w:pPr>
        <w:widowControl w:val="0"/>
        <w:rPr>
          <w:sz w:val="20"/>
        </w:rPr>
      </w:pPr>
    </w:p>
    <w:p w:rsidR="00F6251B" w:rsidRPr="006E558B" w:rsidRDefault="003F43E6" w:rsidP="00F6251B">
      <w:pPr>
        <w:pStyle w:val="Footer"/>
        <w:jc w:val="center"/>
      </w:pPr>
      <w:r w:rsidRPr="001375B7">
        <w:t>- 30 -</w:t>
      </w:r>
    </w:p>
    <w:sectPr w:rsidR="00F6251B" w:rsidRPr="006E558B" w:rsidSect="00E62F93">
      <w:headerReference w:type="even" r:id="rId59"/>
      <w:headerReference w:type="default" r:id="rId60"/>
      <w:footerReference w:type="even" r:id="rId61"/>
      <w:footerReference w:type="default" r:id="rId62"/>
      <w:headerReference w:type="first" r:id="rId63"/>
      <w:footerReference w:type="first" r:id="rId64"/>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04" w:rsidRDefault="00D57104" w:rsidP="0034178A">
      <w:r>
        <w:separator/>
      </w:r>
    </w:p>
  </w:endnote>
  <w:endnote w:type="continuationSeparator" w:id="0">
    <w:p w:rsidR="00D57104" w:rsidRDefault="00D5710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04" w:rsidRDefault="00D57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04" w:rsidRPr="009F77F0" w:rsidRDefault="00D5710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04" w:rsidRDefault="00D5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04" w:rsidRDefault="00D57104" w:rsidP="0034178A">
      <w:r>
        <w:separator/>
      </w:r>
    </w:p>
  </w:footnote>
  <w:footnote w:type="continuationSeparator" w:id="0">
    <w:p w:rsidR="00D57104" w:rsidRDefault="00D5710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04" w:rsidRDefault="00D57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04" w:rsidRDefault="00D57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04" w:rsidRDefault="00D57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16"/>
  </w:num>
  <w:num w:numId="5">
    <w:abstractNumId w:val="24"/>
  </w:num>
  <w:num w:numId="6">
    <w:abstractNumId w:val="15"/>
  </w:num>
  <w:num w:numId="7">
    <w:abstractNumId w:val="18"/>
  </w:num>
  <w:num w:numId="8">
    <w:abstractNumId w:val="10"/>
  </w:num>
  <w:num w:numId="9">
    <w:abstractNumId w:val="1"/>
  </w:num>
  <w:num w:numId="10">
    <w:abstractNumId w:val="21"/>
  </w:num>
  <w:num w:numId="11">
    <w:abstractNumId w:val="13"/>
  </w:num>
  <w:num w:numId="12">
    <w:abstractNumId w:val="12"/>
  </w:num>
  <w:num w:numId="13">
    <w:abstractNumId w:val="11"/>
  </w:num>
  <w:num w:numId="14">
    <w:abstractNumId w:val="25"/>
  </w:num>
  <w:num w:numId="15">
    <w:abstractNumId w:val="17"/>
  </w:num>
  <w:num w:numId="16">
    <w:abstractNumId w:val="2"/>
  </w:num>
  <w:num w:numId="17">
    <w:abstractNumId w:val="4"/>
  </w:num>
  <w:num w:numId="18">
    <w:abstractNumId w:val="20"/>
  </w:num>
  <w:num w:numId="19">
    <w:abstractNumId w:val="23"/>
  </w:num>
  <w:num w:numId="20">
    <w:abstractNumId w:val="19"/>
  </w:num>
  <w:num w:numId="21">
    <w:abstractNumId w:val="7"/>
  </w:num>
  <w:num w:numId="22">
    <w:abstractNumId w:val="9"/>
  </w:num>
  <w:num w:numId="23">
    <w:abstractNumId w:val="14"/>
  </w:num>
  <w:num w:numId="24">
    <w:abstractNumId w:val="0"/>
  </w:num>
  <w:num w:numId="25">
    <w:abstractNumId w:val="5"/>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5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546" TargetMode="External"/><Relationship Id="rId18" Type="http://schemas.openxmlformats.org/officeDocument/2006/relationships/hyperlink" Target="https://canlii.ca/t/hpr37" TargetMode="External"/><Relationship Id="rId26" Type="http://schemas.openxmlformats.org/officeDocument/2006/relationships/hyperlink" Target="https://canlii.ca/t/hrcz9" TargetMode="External"/><Relationship Id="rId39" Type="http://schemas.openxmlformats.org/officeDocument/2006/relationships/hyperlink" Target="https://www.canlii.org/fr/qc/qcca/doc/2020/2020qcca1589/2020qcca1589.html?searchUrlHash=AAAAAQARIk1pY2hlbCBMYWJvbnTDqSIAAAAAAQ&amp;resultIndex=1" TargetMode="External"/><Relationship Id="rId21" Type="http://schemas.openxmlformats.org/officeDocument/2006/relationships/hyperlink" Target="https://canlii.ca/t/j9gj8" TargetMode="External"/><Relationship Id="rId34" Type="http://schemas.openxmlformats.org/officeDocument/2006/relationships/hyperlink" Target="https://www.canlii.org/fr/ca/cfpi/doc/2017/2017cf350/2017cf350.html" TargetMode="External"/><Relationship Id="rId42" Type="http://schemas.openxmlformats.org/officeDocument/2006/relationships/hyperlink" Target="https://canlii.ca/t/hxs59" TargetMode="External"/><Relationship Id="rId47" Type="http://schemas.openxmlformats.org/officeDocument/2006/relationships/hyperlink" Target="https://canlii.ca/t/j7shl" TargetMode="External"/><Relationship Id="rId50" Type="http://schemas.openxmlformats.org/officeDocument/2006/relationships/hyperlink" Target="https://www.canlii.org/en/on/onsc/doc/2019/2019onsc3404/2019onsc3404.html?resultIndex=1" TargetMode="External"/><Relationship Id="rId55" Type="http://schemas.openxmlformats.org/officeDocument/2006/relationships/hyperlink" Target="https://www.canlii.org/en/on/onca/doc/2020/2020onca729/2020onca729.html?autocompleteStr=2020%20onca%20729&amp;autocompletePos=1"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521" TargetMode="External"/><Relationship Id="rId20" Type="http://schemas.openxmlformats.org/officeDocument/2006/relationships/hyperlink" Target="https://canlii.ca/t/hpr37" TargetMode="External"/><Relationship Id="rId29" Type="http://schemas.openxmlformats.org/officeDocument/2006/relationships/hyperlink" Target="https://www.canlii.org/en/ab/abca/doc/2020/2020abca424/2020abca424.html" TargetMode="External"/><Relationship Id="rId41" Type="http://schemas.openxmlformats.org/officeDocument/2006/relationships/hyperlink" Target="https://canlii.ca/t/jbtpl" TargetMode="External"/><Relationship Id="rId54" Type="http://schemas.openxmlformats.org/officeDocument/2006/relationships/hyperlink" Target="https://www.canlii.org/en/on/onsc/doc/2019/2019onsc7418/2019onsc7418.html?autocompleteStr=2019%20onsc%207418&amp;autocompletePos=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39" TargetMode="External"/><Relationship Id="rId24" Type="http://schemas.openxmlformats.org/officeDocument/2006/relationships/hyperlink" Target="https://canlii.ca/t/j9hc6" TargetMode="External"/><Relationship Id="rId32" Type="http://schemas.openxmlformats.org/officeDocument/2006/relationships/hyperlink" Target="http://c-doc.domain.scc-csc.gc.ca/L25/01/05/%3chttps:/canlii.ca/t/h3l1p%3e," TargetMode="External"/><Relationship Id="rId37" Type="http://schemas.openxmlformats.org/officeDocument/2006/relationships/hyperlink" Target="https://www.canlii.org/fr/qc/qcca/doc/2020/2020qcca1589/2020qcca1589.html?searchUrlHash=AAAAAQARIk1pY2hlbCBMYWJvbnTDqSIAAAAAAQ&amp;resultIndex=1" TargetMode="External"/><Relationship Id="rId40" Type="http://schemas.openxmlformats.org/officeDocument/2006/relationships/hyperlink" Target="https://canlii.ca/t/jbtpl" TargetMode="External"/><Relationship Id="rId45" Type="http://schemas.openxmlformats.org/officeDocument/2006/relationships/hyperlink" Target="https://canlii.ca/t/j7shl" TargetMode="External"/><Relationship Id="rId53" Type="http://schemas.openxmlformats.org/officeDocument/2006/relationships/hyperlink" Target="https://www.canlii.org/en/on/onca/doc/2020/2020onca682/2020onca682.html?resultIndex=1" TargetMode="External"/><Relationship Id="rId58" Type="http://schemas.openxmlformats.org/officeDocument/2006/relationships/hyperlink" Target="mailto:comments-commentaires@scc-csc.c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481" TargetMode="External"/><Relationship Id="rId23" Type="http://schemas.openxmlformats.org/officeDocument/2006/relationships/hyperlink" Target="https://canlii.ca/t/hrcz9" TargetMode="External"/><Relationship Id="rId28" Type="http://schemas.openxmlformats.org/officeDocument/2006/relationships/hyperlink" Target="https://www.canlii.org/en/ab/abqb/doc/2019/2019abqb686/2019abqb686.html" TargetMode="External"/><Relationship Id="rId36" Type="http://schemas.openxmlformats.org/officeDocument/2006/relationships/hyperlink" Target="https://www.canlii.org/fr/qc/qccs/doc/2019/2019qccs222/2019qccs222.html" TargetMode="External"/><Relationship Id="rId49" Type="http://schemas.openxmlformats.org/officeDocument/2006/relationships/hyperlink" Target="https://canlii.ca/t/j7shl" TargetMode="External"/><Relationship Id="rId57" Type="http://schemas.openxmlformats.org/officeDocument/2006/relationships/hyperlink" Target="https://www.canlii.org/en/on/onca/doc/2020/2020onca729/2020onca729.html?autocompleteStr=2020%20onca%20729&amp;autocompletePos=1" TargetMode="External"/><Relationship Id="rId61" Type="http://schemas.openxmlformats.org/officeDocument/2006/relationships/footer" Target="footer1.xml"/><Relationship Id="rId10" Type="http://schemas.openxmlformats.org/officeDocument/2006/relationships/hyperlink" Target="https://www.scc-csc.ca/case-dossier/info/sum-som-eng.aspx?cas=39554" TargetMode="External"/><Relationship Id="rId19" Type="http://schemas.openxmlformats.org/officeDocument/2006/relationships/hyperlink" Target="https://canlii.ca/t/j9gj8" TargetMode="External"/><Relationship Id="rId31" Type="http://schemas.openxmlformats.org/officeDocument/2006/relationships/hyperlink" Target="https://www.canlii.org/en/ab/abca/doc/2020/2020abca424/2020abca424.html" TargetMode="External"/><Relationship Id="rId44" Type="http://schemas.openxmlformats.org/officeDocument/2006/relationships/hyperlink" Target="https://canlii.ca/t/hxs59" TargetMode="External"/><Relationship Id="rId52" Type="http://schemas.openxmlformats.org/officeDocument/2006/relationships/hyperlink" Target="https://www.canlii.org/en/on/onsc/doc/2019/2019onsc3404/2019onsc3404.html?resultIndex=1"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360" TargetMode="External"/><Relationship Id="rId14" Type="http://schemas.openxmlformats.org/officeDocument/2006/relationships/hyperlink" Target="https://www.scc-csc.ca/case-dossier/info/sum-som-eng.aspx?cas=39480" TargetMode="External"/><Relationship Id="rId22" Type="http://schemas.openxmlformats.org/officeDocument/2006/relationships/hyperlink" Target="https://canlii.ca/t/gv923" TargetMode="External"/><Relationship Id="rId27" Type="http://schemas.openxmlformats.org/officeDocument/2006/relationships/hyperlink" Target="https://canlii.ca/t/j9hc6" TargetMode="External"/><Relationship Id="rId30" Type="http://schemas.openxmlformats.org/officeDocument/2006/relationships/hyperlink" Target="https://www.canlii.org/en/ab/abqb/doc/2019/2019abqb686/2019abqb686.html" TargetMode="External"/><Relationship Id="rId35" Type="http://schemas.openxmlformats.org/officeDocument/2006/relationships/hyperlink" Target="https://canlii.ca/t/j9p4m" TargetMode="External"/><Relationship Id="rId43" Type="http://schemas.openxmlformats.org/officeDocument/2006/relationships/hyperlink" Target="https://canlii.ca/t/j7shl" TargetMode="External"/><Relationship Id="rId48" Type="http://schemas.openxmlformats.org/officeDocument/2006/relationships/hyperlink" Target="https://canlii.ca/t/hxs59" TargetMode="External"/><Relationship Id="rId56" Type="http://schemas.openxmlformats.org/officeDocument/2006/relationships/hyperlink" Target="https://www.canlii.org/en/on/onsc/doc/2019/2019onsc7418/2019onsc7418.html?autocompleteStr=2019%20onsc%207418&amp;autocompletePos=1" TargetMode="External"/><Relationship Id="rId64" Type="http://schemas.openxmlformats.org/officeDocument/2006/relationships/footer" Target="footer3.xml"/><Relationship Id="rId8" Type="http://schemas.openxmlformats.org/officeDocument/2006/relationships/hyperlink" Target="https://www.scc-csc.ca/case-dossier/info/sum-som-fra.aspx?cas=39411" TargetMode="External"/><Relationship Id="rId51" Type="http://schemas.openxmlformats.org/officeDocument/2006/relationships/hyperlink" Target="https://www.canlii.org/en/on/onca/doc/2020/2020onca682/2020onca682.html?resultIndex=1" TargetMode="External"/><Relationship Id="rId3" Type="http://schemas.openxmlformats.org/officeDocument/2006/relationships/styles" Target="styles.xml"/><Relationship Id="rId12" Type="http://schemas.openxmlformats.org/officeDocument/2006/relationships/hyperlink" Target="https://www.scc-csc.ca/case-dossier/info/sum-som-fra.aspx?cas=39545" TargetMode="External"/><Relationship Id="rId17" Type="http://schemas.openxmlformats.org/officeDocument/2006/relationships/hyperlink" Target="https://www.scc-csc.ca/case-dossier/info/sum-som-eng.aspx?cas=39534" TargetMode="External"/><Relationship Id="rId25" Type="http://schemas.openxmlformats.org/officeDocument/2006/relationships/hyperlink" Target="https://canlii.ca/t/gv923" TargetMode="External"/><Relationship Id="rId33" Type="http://schemas.openxmlformats.org/officeDocument/2006/relationships/hyperlink" Target="https://canlii.ca/t/j9p4m" TargetMode="External"/><Relationship Id="rId38" Type="http://schemas.openxmlformats.org/officeDocument/2006/relationships/hyperlink" Target="https://www.canlii.org/fr/qc/qccs/doc/2019/2019qccs222/2019qccs222.html" TargetMode="External"/><Relationship Id="rId46" Type="http://schemas.openxmlformats.org/officeDocument/2006/relationships/hyperlink" Target="https://canlii.ca/t/hxs59"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66EE-0479-4510-A86E-7A7BD6F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8935</Words>
  <Characters>50931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2021-05-17T12:20:00Z</dcterms:modified>
</cp:coreProperties>
</file>