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151471" w:rsidRDefault="002A192B" w:rsidP="002A192B">
      <w:pPr>
        <w:pStyle w:val="Header"/>
        <w:jc w:val="center"/>
        <w:rPr>
          <w:b/>
          <w:sz w:val="32"/>
        </w:rPr>
      </w:pPr>
      <w:r w:rsidRPr="00151471">
        <w:rPr>
          <w:b/>
          <w:sz w:val="32"/>
        </w:rPr>
        <w:t>Supreme Court of Canada / Cour suprême du Canada</w:t>
      </w:r>
    </w:p>
    <w:p w:rsidR="002A192B" w:rsidRPr="00151471" w:rsidRDefault="002A192B" w:rsidP="002A192B">
      <w:pPr>
        <w:widowControl w:val="0"/>
        <w:rPr>
          <w:i/>
        </w:rPr>
      </w:pPr>
    </w:p>
    <w:p w:rsidR="002A192B" w:rsidRPr="00151471" w:rsidRDefault="002A192B" w:rsidP="002A192B">
      <w:pPr>
        <w:widowControl w:val="0"/>
        <w:rPr>
          <w:i/>
        </w:rPr>
      </w:pPr>
    </w:p>
    <w:p w:rsidR="001C4415" w:rsidRPr="00151471" w:rsidRDefault="001C4415" w:rsidP="001C4415">
      <w:pPr>
        <w:widowControl w:val="0"/>
        <w:rPr>
          <w:i/>
          <w:sz w:val="20"/>
        </w:rPr>
      </w:pPr>
      <w:r w:rsidRPr="00151471">
        <w:rPr>
          <w:i/>
          <w:sz w:val="20"/>
        </w:rPr>
        <w:t>(</w:t>
      </w:r>
      <w:r w:rsidR="003C50BF" w:rsidRPr="00151471">
        <w:rPr>
          <w:i/>
          <w:sz w:val="20"/>
        </w:rPr>
        <w:t>Le</w:t>
      </w:r>
      <w:r w:rsidRPr="00151471">
        <w:rPr>
          <w:i/>
          <w:sz w:val="20"/>
        </w:rPr>
        <w:t xml:space="preserve"> français suit)</w:t>
      </w:r>
    </w:p>
    <w:p w:rsidR="001C4415" w:rsidRPr="00151471" w:rsidRDefault="001C4415" w:rsidP="001C4415">
      <w:pPr>
        <w:widowControl w:val="0"/>
      </w:pPr>
    </w:p>
    <w:p w:rsidR="001C4415" w:rsidRPr="00151471" w:rsidRDefault="000347C1" w:rsidP="00214729">
      <w:pPr>
        <w:widowControl w:val="0"/>
        <w:jc w:val="center"/>
        <w:rPr>
          <w:b/>
        </w:rPr>
      </w:pPr>
      <w:r w:rsidRPr="00151471">
        <w:fldChar w:fldCharType="begin"/>
      </w:r>
      <w:r w:rsidR="00FA7412" w:rsidRPr="00151471">
        <w:instrText xml:space="preserve"> SEQ CHAPTER \h \r 1</w:instrText>
      </w:r>
      <w:r w:rsidRPr="00151471">
        <w:fldChar w:fldCharType="end"/>
      </w:r>
      <w:r w:rsidR="00455BB9" w:rsidRPr="00151471">
        <w:rPr>
          <w:b/>
        </w:rPr>
        <w:t>JUDGMENT</w:t>
      </w:r>
      <w:r w:rsidR="00FA7412" w:rsidRPr="00151471">
        <w:rPr>
          <w:b/>
        </w:rPr>
        <w:t xml:space="preserve"> TO BE RENDERED IN APPEA</w:t>
      </w:r>
      <w:r w:rsidR="00CC2799" w:rsidRPr="00151471">
        <w:rPr>
          <w:b/>
        </w:rPr>
        <w:t>L</w:t>
      </w:r>
    </w:p>
    <w:p w:rsidR="005A7C1B" w:rsidRPr="00151471" w:rsidRDefault="005A7C1B" w:rsidP="005A7C1B">
      <w:pPr>
        <w:widowControl w:val="0"/>
      </w:pPr>
    </w:p>
    <w:p w:rsidR="00EC79B0" w:rsidRPr="00151471" w:rsidRDefault="00151471" w:rsidP="00EC79B0">
      <w:pPr>
        <w:widowControl w:val="0"/>
      </w:pPr>
      <w:r w:rsidRPr="00151471">
        <w:rPr>
          <w:b/>
        </w:rPr>
        <w:t>June</w:t>
      </w:r>
      <w:r w:rsidR="00C86395" w:rsidRPr="00151471">
        <w:rPr>
          <w:b/>
        </w:rPr>
        <w:t xml:space="preserve"> </w:t>
      </w:r>
      <w:r w:rsidRPr="00151471">
        <w:rPr>
          <w:b/>
        </w:rPr>
        <w:t>7</w:t>
      </w:r>
      <w:r w:rsidR="00EC79B0" w:rsidRPr="00151471">
        <w:rPr>
          <w:b/>
        </w:rPr>
        <w:t>, 2</w:t>
      </w:r>
      <w:r w:rsidR="00E6600C" w:rsidRPr="00151471">
        <w:rPr>
          <w:b/>
        </w:rPr>
        <w:t>0</w:t>
      </w:r>
      <w:r w:rsidR="009544E9" w:rsidRPr="00151471">
        <w:rPr>
          <w:b/>
        </w:rPr>
        <w:t>2</w:t>
      </w:r>
      <w:r w:rsidR="00964827" w:rsidRPr="00151471">
        <w:rPr>
          <w:b/>
        </w:rPr>
        <w:t>1</w:t>
      </w:r>
    </w:p>
    <w:p w:rsidR="00EC79B0" w:rsidRPr="00151471" w:rsidRDefault="00EC79B0" w:rsidP="00EC79B0">
      <w:pPr>
        <w:widowControl w:val="0"/>
        <w:rPr>
          <w:b/>
        </w:rPr>
      </w:pPr>
      <w:r w:rsidRPr="00151471">
        <w:rPr>
          <w:b/>
        </w:rPr>
        <w:t>For immediate release</w:t>
      </w:r>
    </w:p>
    <w:p w:rsidR="00EC79B0" w:rsidRPr="00151471" w:rsidRDefault="00EC79B0" w:rsidP="00EC79B0">
      <w:pPr>
        <w:widowControl w:val="0"/>
      </w:pPr>
    </w:p>
    <w:p w:rsidR="00EC79B0" w:rsidRPr="00151471" w:rsidRDefault="00EC79B0" w:rsidP="00EC79B0">
      <w:pPr>
        <w:widowControl w:val="0"/>
        <w:rPr>
          <w:lang w:val="fr-CA"/>
        </w:rPr>
      </w:pPr>
      <w:r w:rsidRPr="00151471">
        <w:rPr>
          <w:b/>
        </w:rPr>
        <w:t>OTTAWA</w:t>
      </w:r>
      <w:r w:rsidRPr="00151471">
        <w:t xml:space="preserve"> – The Supreme Court of Canad</w:t>
      </w:r>
      <w:r w:rsidR="00455BB9" w:rsidRPr="00151471">
        <w:t>a announced today that judgment</w:t>
      </w:r>
      <w:r w:rsidRPr="00151471">
        <w:t xml:space="preserve"> in the following appeal will be delivered at 9:45 a.m. E</w:t>
      </w:r>
      <w:r w:rsidR="00A51565" w:rsidRPr="00151471">
        <w:t>D</w:t>
      </w:r>
      <w:r w:rsidR="00DC6C1E" w:rsidRPr="00151471">
        <w:t>T</w:t>
      </w:r>
      <w:r w:rsidR="00D74667" w:rsidRPr="00151471">
        <w:t xml:space="preserve"> on</w:t>
      </w:r>
      <w:r w:rsidR="00DC6C1E" w:rsidRPr="00151471">
        <w:t xml:space="preserve"> </w:t>
      </w:r>
      <w:r w:rsidR="00FB61C0" w:rsidRPr="00151471">
        <w:t>Fri</w:t>
      </w:r>
      <w:r w:rsidR="00F531CE" w:rsidRPr="00151471">
        <w:t>day</w:t>
      </w:r>
      <w:r w:rsidR="000A7900" w:rsidRPr="00151471">
        <w:t xml:space="preserve">, </w:t>
      </w:r>
      <w:r w:rsidR="003972DA" w:rsidRPr="00151471">
        <w:t>June</w:t>
      </w:r>
      <w:r w:rsidR="004E605A" w:rsidRPr="00151471">
        <w:t xml:space="preserve"> </w:t>
      </w:r>
      <w:r w:rsidR="00151471" w:rsidRPr="00151471">
        <w:t>11</w:t>
      </w:r>
      <w:r w:rsidR="00E63199" w:rsidRPr="00151471">
        <w:t>, 2</w:t>
      </w:r>
      <w:r w:rsidR="0086609D" w:rsidRPr="00151471">
        <w:t>0</w:t>
      </w:r>
      <w:r w:rsidR="009544E9" w:rsidRPr="00151471">
        <w:t>2</w:t>
      </w:r>
      <w:r w:rsidR="00964827" w:rsidRPr="00151471">
        <w:t>1</w:t>
      </w:r>
      <w:r w:rsidR="00455BB9" w:rsidRPr="00151471">
        <w:t xml:space="preserve">. </w:t>
      </w:r>
      <w:r w:rsidR="00455BB9" w:rsidRPr="00151471">
        <w:rPr>
          <w:lang w:val="fr-CA"/>
        </w:rPr>
        <w:t>This</w:t>
      </w:r>
      <w:r w:rsidRPr="00151471">
        <w:rPr>
          <w:lang w:val="fr-CA"/>
        </w:rPr>
        <w:t xml:space="preserve"> list is subject to change.</w:t>
      </w:r>
    </w:p>
    <w:p w:rsidR="001F76DD" w:rsidRPr="00151471" w:rsidRDefault="001F76DD" w:rsidP="001C4415">
      <w:pPr>
        <w:widowControl w:val="0"/>
        <w:rPr>
          <w:szCs w:val="24"/>
          <w:lang w:val="fr-CA"/>
        </w:rPr>
      </w:pPr>
    </w:p>
    <w:p w:rsidR="001C4415" w:rsidRPr="00151471" w:rsidRDefault="001C4415" w:rsidP="001C4415">
      <w:pPr>
        <w:widowControl w:val="0"/>
        <w:rPr>
          <w:lang w:val="fr-CA"/>
        </w:rPr>
      </w:pPr>
    </w:p>
    <w:p w:rsidR="001335A1" w:rsidRPr="00151471" w:rsidRDefault="001335A1" w:rsidP="001335A1">
      <w:pPr>
        <w:widowControl w:val="0"/>
        <w:jc w:val="center"/>
        <w:rPr>
          <w:b/>
          <w:lang w:val="fr-CA"/>
        </w:rPr>
      </w:pPr>
      <w:r w:rsidRPr="00151471">
        <w:rPr>
          <w:b/>
          <w:lang w:val="fr-CA"/>
        </w:rPr>
        <w:t>PROCHAIN JUGEMENT</w:t>
      </w:r>
      <w:r w:rsidR="00455BB9" w:rsidRPr="00151471">
        <w:rPr>
          <w:b/>
          <w:lang w:val="fr-CA"/>
        </w:rPr>
        <w:t xml:space="preserve"> SUR APPEL</w:t>
      </w:r>
    </w:p>
    <w:p w:rsidR="001335A1" w:rsidRPr="00151471" w:rsidRDefault="001335A1" w:rsidP="001335A1">
      <w:pPr>
        <w:widowControl w:val="0"/>
        <w:rPr>
          <w:lang w:val="fr-CA"/>
        </w:rPr>
      </w:pPr>
    </w:p>
    <w:p w:rsidR="00EC79B0" w:rsidRPr="00151471" w:rsidRDefault="00EC79B0" w:rsidP="00EC79B0">
      <w:pPr>
        <w:widowControl w:val="0"/>
        <w:rPr>
          <w:lang w:val="fr-CA"/>
        </w:rPr>
      </w:pPr>
      <w:r w:rsidRPr="00151471">
        <w:rPr>
          <w:b/>
          <w:lang w:val="fr-CA"/>
        </w:rPr>
        <w:t xml:space="preserve">Le </w:t>
      </w:r>
      <w:r w:rsidR="00151471" w:rsidRPr="00151471">
        <w:rPr>
          <w:b/>
          <w:lang w:val="fr-CA"/>
        </w:rPr>
        <w:t>7</w:t>
      </w:r>
      <w:r w:rsidR="00FA5450" w:rsidRPr="00151471">
        <w:rPr>
          <w:b/>
          <w:lang w:val="fr-CA"/>
        </w:rPr>
        <w:t xml:space="preserve"> </w:t>
      </w:r>
      <w:r w:rsidR="00151471" w:rsidRPr="00151471">
        <w:rPr>
          <w:b/>
          <w:lang w:val="fr-CA"/>
        </w:rPr>
        <w:t>juin</w:t>
      </w:r>
      <w:r w:rsidR="00C86395" w:rsidRPr="00151471">
        <w:rPr>
          <w:b/>
          <w:lang w:val="fr-CA"/>
        </w:rPr>
        <w:t xml:space="preserve"> </w:t>
      </w:r>
      <w:r w:rsidR="0086609D" w:rsidRPr="00151471">
        <w:rPr>
          <w:b/>
          <w:lang w:val="fr-CA"/>
        </w:rPr>
        <w:t>20</w:t>
      </w:r>
      <w:r w:rsidR="009544E9" w:rsidRPr="00151471">
        <w:rPr>
          <w:b/>
          <w:lang w:val="fr-CA"/>
        </w:rPr>
        <w:t>2</w:t>
      </w:r>
      <w:r w:rsidR="00964827" w:rsidRPr="00151471">
        <w:rPr>
          <w:b/>
          <w:lang w:val="fr-CA"/>
        </w:rPr>
        <w:t>1</w:t>
      </w:r>
    </w:p>
    <w:p w:rsidR="00EC79B0" w:rsidRPr="00151471" w:rsidRDefault="00EC79B0" w:rsidP="00EC79B0">
      <w:pPr>
        <w:widowControl w:val="0"/>
        <w:rPr>
          <w:b/>
          <w:lang w:val="fr-CA"/>
        </w:rPr>
      </w:pPr>
      <w:r w:rsidRPr="00151471">
        <w:rPr>
          <w:b/>
          <w:lang w:val="fr-CA"/>
        </w:rPr>
        <w:t>Pour diffusion immédiate</w:t>
      </w:r>
    </w:p>
    <w:p w:rsidR="00EC79B0" w:rsidRPr="00151471" w:rsidRDefault="00EC79B0" w:rsidP="00EC79B0">
      <w:pPr>
        <w:widowControl w:val="0"/>
        <w:rPr>
          <w:lang w:val="fr-CA"/>
        </w:rPr>
      </w:pPr>
    </w:p>
    <w:p w:rsidR="00EC79B0" w:rsidRPr="00151471" w:rsidRDefault="00EC79B0" w:rsidP="00EC79B0">
      <w:pPr>
        <w:widowControl w:val="0"/>
        <w:rPr>
          <w:lang w:val="fr-CA"/>
        </w:rPr>
      </w:pPr>
      <w:r w:rsidRPr="00151471">
        <w:rPr>
          <w:b/>
          <w:lang w:val="fr-CA"/>
        </w:rPr>
        <w:t>OTTAWA</w:t>
      </w:r>
      <w:r w:rsidRPr="00151471">
        <w:rPr>
          <w:lang w:val="fr-CA"/>
        </w:rPr>
        <w:t xml:space="preserve"> – La Cour suprême du Canada annonce que jugement ser</w:t>
      </w:r>
      <w:r w:rsidR="00C86395" w:rsidRPr="00151471">
        <w:rPr>
          <w:lang w:val="fr-CA"/>
        </w:rPr>
        <w:t>a</w:t>
      </w:r>
      <w:r w:rsidRPr="00151471">
        <w:rPr>
          <w:lang w:val="fr-CA"/>
        </w:rPr>
        <w:t xml:space="preserve"> rendu dans </w:t>
      </w:r>
      <w:r w:rsidR="001F1643" w:rsidRPr="00151471">
        <w:rPr>
          <w:lang w:val="fr-CA"/>
        </w:rPr>
        <w:t>l</w:t>
      </w:r>
      <w:r w:rsidR="00C86395" w:rsidRPr="00151471">
        <w:rPr>
          <w:lang w:val="fr-CA"/>
        </w:rPr>
        <w:t>’</w:t>
      </w:r>
      <w:r w:rsidR="00A51565" w:rsidRPr="00151471">
        <w:rPr>
          <w:lang w:val="fr-CA"/>
        </w:rPr>
        <w:t xml:space="preserve">appel </w:t>
      </w:r>
      <w:r w:rsidRPr="00151471">
        <w:rPr>
          <w:lang w:val="fr-CA"/>
        </w:rPr>
        <w:t xml:space="preserve">suivant le </w:t>
      </w:r>
      <w:r w:rsidR="00FB61C0" w:rsidRPr="00151471">
        <w:rPr>
          <w:lang w:val="fr-CA"/>
        </w:rPr>
        <w:t>vendre</w:t>
      </w:r>
      <w:r w:rsidR="00831D1B" w:rsidRPr="00151471">
        <w:rPr>
          <w:lang w:val="fr-CA"/>
        </w:rPr>
        <w:t>d</w:t>
      </w:r>
      <w:r w:rsidR="00945121" w:rsidRPr="00151471">
        <w:rPr>
          <w:lang w:val="fr-CA"/>
        </w:rPr>
        <w:t>i</w:t>
      </w:r>
      <w:r w:rsidR="007C1648" w:rsidRPr="00151471">
        <w:rPr>
          <w:lang w:val="fr-CA"/>
        </w:rPr>
        <w:t xml:space="preserve"> </w:t>
      </w:r>
      <w:r w:rsidR="00151471" w:rsidRPr="00151471">
        <w:rPr>
          <w:lang w:val="fr-CA"/>
        </w:rPr>
        <w:t>11</w:t>
      </w:r>
      <w:r w:rsidR="00F62251" w:rsidRPr="00151471">
        <w:rPr>
          <w:lang w:val="fr-CA"/>
        </w:rPr>
        <w:t xml:space="preserve"> </w:t>
      </w:r>
      <w:r w:rsidR="003972DA" w:rsidRPr="00151471">
        <w:rPr>
          <w:lang w:val="fr-CA"/>
        </w:rPr>
        <w:t>juin</w:t>
      </w:r>
      <w:r w:rsidR="00282563" w:rsidRPr="00151471">
        <w:rPr>
          <w:lang w:val="fr-CA"/>
        </w:rPr>
        <w:t xml:space="preserve"> </w:t>
      </w:r>
      <w:r w:rsidRPr="00151471">
        <w:rPr>
          <w:lang w:val="fr-CA"/>
        </w:rPr>
        <w:t>20</w:t>
      </w:r>
      <w:r w:rsidR="009544E9" w:rsidRPr="00151471">
        <w:rPr>
          <w:lang w:val="fr-CA"/>
        </w:rPr>
        <w:t>2</w:t>
      </w:r>
      <w:r w:rsidR="00964827" w:rsidRPr="00151471">
        <w:rPr>
          <w:lang w:val="fr-CA"/>
        </w:rPr>
        <w:t>1</w:t>
      </w:r>
      <w:r w:rsidRPr="00151471">
        <w:rPr>
          <w:lang w:val="fr-CA"/>
        </w:rPr>
        <w:t>, à 9 h 45 H</w:t>
      </w:r>
      <w:r w:rsidR="00A51565" w:rsidRPr="00151471">
        <w:rPr>
          <w:lang w:val="fr-CA"/>
        </w:rPr>
        <w:t>A</w:t>
      </w:r>
      <w:r w:rsidRPr="00151471">
        <w:rPr>
          <w:lang w:val="fr-CA"/>
        </w:rPr>
        <w:t>E. Cette liste est sujette à modifications.</w:t>
      </w:r>
    </w:p>
    <w:p w:rsidR="001F76DD" w:rsidRPr="00151471" w:rsidRDefault="001F76DD" w:rsidP="00E92006">
      <w:pPr>
        <w:widowControl w:val="0"/>
        <w:jc w:val="both"/>
        <w:rPr>
          <w:szCs w:val="24"/>
          <w:lang w:val="fr-CA"/>
        </w:rPr>
      </w:pPr>
    </w:p>
    <w:p w:rsidR="00EF4622" w:rsidRPr="00151471" w:rsidRDefault="00E22987" w:rsidP="00E92006">
      <w:pPr>
        <w:widowControl w:val="0"/>
        <w:jc w:val="both"/>
        <w:rPr>
          <w:szCs w:val="24"/>
          <w:lang w:val="fr-CA"/>
        </w:rPr>
      </w:pPr>
      <w:r w:rsidRPr="00151471">
        <w:rPr>
          <w:sz w:val="20"/>
        </w:rPr>
        <w:pict>
          <v:rect id="_x0000_i1025" style="width:2in;height:1pt" o:hrpct="0" o:hralign="center" o:hrstd="t" o:hrnoshade="t" o:hr="t" fillcolor="black [3213]" stroked="f"/>
        </w:pict>
      </w:r>
    </w:p>
    <w:p w:rsidR="001335A1" w:rsidRPr="00151471" w:rsidRDefault="001335A1" w:rsidP="001335A1">
      <w:pPr>
        <w:widowControl w:val="0"/>
        <w:rPr>
          <w:szCs w:val="24"/>
          <w:lang w:val="fr-CA"/>
        </w:rPr>
      </w:pPr>
    </w:p>
    <w:p w:rsidR="00772636" w:rsidRPr="00151471" w:rsidRDefault="00151471" w:rsidP="00772636">
      <w:pPr>
        <w:jc w:val="both"/>
        <w:rPr>
          <w:szCs w:val="24"/>
        </w:rPr>
      </w:pPr>
      <w:r w:rsidRPr="00151471">
        <w:rPr>
          <w:i/>
          <w:szCs w:val="24"/>
        </w:rPr>
        <w:t>Estate of Bernard Sherman and the Trustees of the Estate, et al. v. Kevin Donovan, et al.</w:t>
      </w:r>
      <w:r w:rsidR="00735BE0" w:rsidRPr="00151471">
        <w:rPr>
          <w:i/>
          <w:szCs w:val="24"/>
        </w:rPr>
        <w:t xml:space="preserve"> </w:t>
      </w:r>
      <w:r w:rsidR="00772636" w:rsidRPr="00151471">
        <w:rPr>
          <w:szCs w:val="24"/>
        </w:rPr>
        <w:t>(</w:t>
      </w:r>
      <w:r w:rsidR="003972DA" w:rsidRPr="00151471">
        <w:rPr>
          <w:szCs w:val="24"/>
        </w:rPr>
        <w:t>Ont.</w:t>
      </w:r>
      <w:r w:rsidR="00772636" w:rsidRPr="00151471">
        <w:rPr>
          <w:szCs w:val="24"/>
        </w:rPr>
        <w:t xml:space="preserve">) </w:t>
      </w:r>
      <w:r w:rsidR="00772636" w:rsidRPr="00151471">
        <w:t>(</w:t>
      </w:r>
      <w:hyperlink r:id="rId7" w:history="1">
        <w:r w:rsidR="00772636" w:rsidRPr="00151471">
          <w:rPr>
            <w:rStyle w:val="Hyperlink"/>
          </w:rPr>
          <w:t>3</w:t>
        </w:r>
        <w:r w:rsidR="003846A0" w:rsidRPr="00151471">
          <w:rPr>
            <w:rStyle w:val="Hyperlink"/>
          </w:rPr>
          <w:t>8</w:t>
        </w:r>
        <w:r w:rsidRPr="00151471">
          <w:rPr>
            <w:rStyle w:val="Hyperlink"/>
          </w:rPr>
          <w:t>695</w:t>
        </w:r>
      </w:hyperlink>
      <w:r w:rsidR="00772636" w:rsidRPr="00151471">
        <w:t>)</w:t>
      </w:r>
    </w:p>
    <w:p w:rsidR="009F18D7" w:rsidRPr="00151471" w:rsidRDefault="009F18D7" w:rsidP="00340C6D">
      <w:pPr>
        <w:jc w:val="both"/>
        <w:rPr>
          <w:sz w:val="20"/>
        </w:rPr>
      </w:pPr>
    </w:p>
    <w:p w:rsidR="004938E8" w:rsidRPr="00151471" w:rsidRDefault="004938E8" w:rsidP="00340C6D">
      <w:pPr>
        <w:jc w:val="both"/>
        <w:rPr>
          <w:sz w:val="20"/>
        </w:rPr>
      </w:pPr>
    </w:p>
    <w:p w:rsidR="00151471" w:rsidRPr="00151471" w:rsidRDefault="00151471" w:rsidP="00151471">
      <w:pPr>
        <w:pStyle w:val="SCCLsocParty"/>
        <w:ind w:left="720" w:hanging="720"/>
        <w:jc w:val="left"/>
        <w:rPr>
          <w:i w:val="0"/>
          <w:sz w:val="20"/>
          <w:szCs w:val="20"/>
          <w:lang w:val="en-US"/>
        </w:rPr>
      </w:pPr>
      <w:r w:rsidRPr="00151471">
        <w:rPr>
          <w:b/>
          <w:i w:val="0"/>
          <w:sz w:val="20"/>
          <w:szCs w:val="20"/>
        </w:rPr>
        <w:fldChar w:fldCharType="begin"/>
      </w:r>
      <w:r w:rsidRPr="00151471">
        <w:rPr>
          <w:b/>
          <w:i w:val="0"/>
          <w:sz w:val="20"/>
          <w:szCs w:val="20"/>
          <w:lang w:val="en-US"/>
        </w:rPr>
        <w:instrText xml:space="preserve"> SEQ CHAPTER \h \r 1</w:instrText>
      </w:r>
      <w:r w:rsidRPr="00151471">
        <w:rPr>
          <w:b/>
          <w:i w:val="0"/>
          <w:sz w:val="20"/>
          <w:szCs w:val="20"/>
        </w:rPr>
        <w:fldChar w:fldCharType="end"/>
      </w:r>
      <w:r w:rsidRPr="00151471">
        <w:rPr>
          <w:b/>
          <w:i w:val="0"/>
          <w:sz w:val="20"/>
          <w:szCs w:val="20"/>
          <w:lang w:val="en-US"/>
        </w:rPr>
        <w:t>38695</w:t>
      </w:r>
      <w:r w:rsidRPr="00151471">
        <w:rPr>
          <w:b/>
          <w:i w:val="0"/>
          <w:sz w:val="20"/>
          <w:szCs w:val="20"/>
          <w:lang w:val="en-US"/>
        </w:rPr>
        <w:tab/>
      </w:r>
      <w:r w:rsidRPr="00151471">
        <w:rPr>
          <w:b/>
          <w:sz w:val="20"/>
          <w:szCs w:val="20"/>
          <w:lang w:val="en-US"/>
        </w:rPr>
        <w:t>Estate of Bernard Sherman and the Trustees of the Estate, Estate of Honey Sherman and the Trustees of the Estate v. Kevin Donovan</w:t>
      </w:r>
    </w:p>
    <w:p w:rsidR="00151471" w:rsidRPr="00151471" w:rsidRDefault="00151471" w:rsidP="00151471">
      <w:pPr>
        <w:pStyle w:val="SCCLsocParty"/>
        <w:ind w:left="720"/>
        <w:jc w:val="left"/>
        <w:rPr>
          <w:i w:val="0"/>
          <w:sz w:val="20"/>
          <w:szCs w:val="20"/>
          <w:lang w:val="en-US"/>
        </w:rPr>
      </w:pPr>
      <w:r w:rsidRPr="00151471">
        <w:rPr>
          <w:i w:val="0"/>
          <w:sz w:val="20"/>
          <w:szCs w:val="20"/>
          <w:lang w:val="en-US"/>
        </w:rPr>
        <w:t>(Ont.) (Civil) (By leave)</w:t>
      </w:r>
    </w:p>
    <w:p w:rsidR="00151471" w:rsidRPr="00151471" w:rsidRDefault="00151471" w:rsidP="00151471">
      <w:pPr>
        <w:widowControl w:val="0"/>
        <w:jc w:val="both"/>
        <w:rPr>
          <w:sz w:val="20"/>
          <w:lang w:val="en-CA"/>
        </w:rPr>
      </w:pPr>
    </w:p>
    <w:p w:rsidR="00151471" w:rsidRPr="00151471" w:rsidRDefault="00151471" w:rsidP="00151471">
      <w:pPr>
        <w:widowControl w:val="0"/>
        <w:jc w:val="both"/>
        <w:rPr>
          <w:b/>
          <w:sz w:val="20"/>
          <w:lang w:val="en-CA"/>
        </w:rPr>
      </w:pPr>
      <w:r w:rsidRPr="00151471">
        <w:rPr>
          <w:sz w:val="20"/>
          <w:lang w:val="en-CA"/>
        </w:rPr>
        <w:t>(Sealing order)</w:t>
      </w:r>
    </w:p>
    <w:p w:rsidR="00151471" w:rsidRPr="00151471" w:rsidRDefault="00151471" w:rsidP="00151471">
      <w:pPr>
        <w:widowControl w:val="0"/>
        <w:jc w:val="both"/>
        <w:rPr>
          <w:sz w:val="20"/>
          <w:lang w:val="en-CA"/>
        </w:rPr>
      </w:pPr>
      <w:bookmarkStart w:id="0" w:name="_GoBack"/>
      <w:bookmarkEnd w:id="0"/>
    </w:p>
    <w:p w:rsidR="00151471" w:rsidRPr="00151471" w:rsidRDefault="00151471" w:rsidP="00151471">
      <w:pPr>
        <w:jc w:val="both"/>
        <w:rPr>
          <w:sz w:val="20"/>
        </w:rPr>
      </w:pPr>
      <w:r w:rsidRPr="00151471">
        <w:rPr>
          <w:sz w:val="20"/>
        </w:rPr>
        <w:t xml:space="preserve">Judgments and orders - Interlocutory orders - Stay - Privacy - Appellants seeking to have court files pertaining to the administration of the estates of the deceased sealed - Is the sealing order necessary to protect against a serious risk to the important issues engaged in this case, namely the privacy and physical safety of the Affected Individuals? - Is the constitutionally protected right to privacy an important interest recognized at the first stage of the </w:t>
      </w:r>
      <w:r w:rsidRPr="00151471">
        <w:rPr>
          <w:i/>
          <w:sz w:val="20"/>
        </w:rPr>
        <w:t>Sierra Club</w:t>
      </w:r>
      <w:r w:rsidRPr="00151471">
        <w:rPr>
          <w:sz w:val="20"/>
        </w:rPr>
        <w:t xml:space="preserve"> test? - Is there a serious risk to the privacy of the Affected Individuals? - Is physical safety an important interest recognized at the first stage of the </w:t>
      </w:r>
      <w:r w:rsidRPr="00151471">
        <w:rPr>
          <w:i/>
          <w:sz w:val="20"/>
        </w:rPr>
        <w:t>Sierra Club</w:t>
      </w:r>
      <w:r w:rsidRPr="00151471">
        <w:rPr>
          <w:sz w:val="20"/>
        </w:rPr>
        <w:t xml:space="preserve"> test? - Did the Court of Appeal err in concluding that there was insufficient evidence of a serious risk to the physical safety of the Affected Individuals? - Is a sealing order necessary because reasonably alternative measures will not prevent the serious risks to privacy and physical safety? - Do the salutary effects of the sealing order outweigh the deleterious effects, in the context of this non-litigious probate matter? </w:t>
      </w:r>
    </w:p>
    <w:p w:rsidR="00151471" w:rsidRPr="00151471" w:rsidRDefault="00151471" w:rsidP="00151471">
      <w:pPr>
        <w:rPr>
          <w:b/>
          <w:sz w:val="20"/>
          <w:u w:val="single"/>
        </w:rPr>
      </w:pPr>
    </w:p>
    <w:p w:rsidR="00151471" w:rsidRPr="00151471" w:rsidRDefault="00151471" w:rsidP="00151471">
      <w:pPr>
        <w:shd w:val="clear" w:color="auto" w:fill="FFFFFF"/>
        <w:jc w:val="both"/>
        <w:rPr>
          <w:sz w:val="20"/>
          <w:lang w:val="en"/>
        </w:rPr>
      </w:pPr>
      <w:r w:rsidRPr="00151471">
        <w:rPr>
          <w:sz w:val="20"/>
          <w:lang w:val="en"/>
        </w:rPr>
        <w:t xml:space="preserve">On December 15, 2017, Mr. Barry Sherman and Mrs. Honey Sherman were found murdered in their Toronto home. Their celebrity, wealth and the circumstances of their deaths generated intense publicity. The identity of the murderer or murderers remains unknown. Applications for the issuance of a Certificate of Appointment of Estate Trustee were made to the court. The appellants sought an oral hearing in order to request an order sealing the court file before filing their application. A Protective Order was issued and the estate files were retained in the judge’s Chambers pending further order. In July 2018, Mr. Donovan, a reporter with the Toronto Star, sought access to both estate files. He was advised that by judge’s order, the files were not available to be viewed. In response, Mr. Donovan and the Toronto </w:t>
      </w:r>
      <w:r w:rsidRPr="00151471">
        <w:rPr>
          <w:sz w:val="20"/>
          <w:lang w:val="en"/>
        </w:rPr>
        <w:lastRenderedPageBreak/>
        <w:t>Star brought two applications seeking a variation or termination of the Protective Order and the full unsealing of the court files.</w:t>
      </w:r>
    </w:p>
    <w:p w:rsidR="00151471" w:rsidRPr="00151471" w:rsidRDefault="00151471" w:rsidP="00151471">
      <w:pPr>
        <w:shd w:val="clear" w:color="auto" w:fill="FFFFFF"/>
        <w:jc w:val="both"/>
        <w:rPr>
          <w:sz w:val="20"/>
          <w:lang w:val="en"/>
        </w:rPr>
      </w:pPr>
    </w:p>
    <w:p w:rsidR="00151471" w:rsidRPr="00151471" w:rsidRDefault="00151471" w:rsidP="00151471">
      <w:pPr>
        <w:shd w:val="clear" w:color="auto" w:fill="FFFFFF"/>
        <w:jc w:val="both"/>
        <w:rPr>
          <w:sz w:val="20"/>
          <w:lang w:val="en"/>
        </w:rPr>
      </w:pPr>
      <w:r w:rsidRPr="00151471">
        <w:rPr>
          <w:sz w:val="20"/>
        </w:rPr>
        <w:pict>
          <v:rect id="_x0000_i1029" style="width:2in;height:1pt" o:hrpct="0" o:hralign="center" o:hrstd="t" o:hrnoshade="t" o:hr="t" fillcolor="black [3213]" stroked="f"/>
        </w:pict>
      </w:r>
    </w:p>
    <w:p w:rsidR="00151471" w:rsidRPr="00151471" w:rsidRDefault="00151471" w:rsidP="00151471">
      <w:pPr>
        <w:shd w:val="clear" w:color="auto" w:fill="FFFFFF"/>
        <w:jc w:val="both"/>
        <w:rPr>
          <w:sz w:val="20"/>
          <w:lang w:val="en"/>
        </w:rPr>
      </w:pPr>
    </w:p>
    <w:p w:rsidR="00151471" w:rsidRPr="00151471" w:rsidRDefault="00151471" w:rsidP="00151471">
      <w:pPr>
        <w:pStyle w:val="SCCLsocParty"/>
        <w:ind w:left="720" w:hanging="720"/>
        <w:jc w:val="left"/>
        <w:rPr>
          <w:i w:val="0"/>
          <w:sz w:val="20"/>
          <w:szCs w:val="20"/>
        </w:rPr>
      </w:pPr>
      <w:r w:rsidRPr="00151471">
        <w:rPr>
          <w:b/>
          <w:i w:val="0"/>
          <w:sz w:val="20"/>
          <w:szCs w:val="20"/>
        </w:rPr>
        <w:fldChar w:fldCharType="begin"/>
      </w:r>
      <w:r w:rsidRPr="00151471">
        <w:rPr>
          <w:b/>
          <w:i w:val="0"/>
          <w:sz w:val="20"/>
          <w:szCs w:val="20"/>
        </w:rPr>
        <w:instrText xml:space="preserve"> SEQ CHAPTER \h \r 1</w:instrText>
      </w:r>
      <w:r w:rsidRPr="00151471">
        <w:rPr>
          <w:b/>
          <w:i w:val="0"/>
          <w:sz w:val="20"/>
          <w:szCs w:val="20"/>
        </w:rPr>
        <w:fldChar w:fldCharType="end"/>
      </w:r>
      <w:r w:rsidRPr="00151471">
        <w:rPr>
          <w:b/>
          <w:i w:val="0"/>
          <w:sz w:val="20"/>
          <w:szCs w:val="20"/>
        </w:rPr>
        <w:t>38695</w:t>
      </w:r>
      <w:r w:rsidRPr="00151471">
        <w:rPr>
          <w:b/>
          <w:i w:val="0"/>
          <w:sz w:val="20"/>
          <w:szCs w:val="20"/>
        </w:rPr>
        <w:tab/>
      </w:r>
      <w:r w:rsidRPr="00151471">
        <w:rPr>
          <w:b/>
          <w:sz w:val="20"/>
          <w:szCs w:val="20"/>
        </w:rPr>
        <w:t>Succession de Bernard Sherman et fiduciaires de la succession, succession de Honey Sherman et fiduciaires de la succession c. Kevin Donovan</w:t>
      </w:r>
    </w:p>
    <w:p w:rsidR="00151471" w:rsidRPr="00151471" w:rsidRDefault="00151471" w:rsidP="00151471">
      <w:pPr>
        <w:pStyle w:val="SCCLsocParty"/>
        <w:ind w:left="720"/>
        <w:jc w:val="left"/>
        <w:rPr>
          <w:i w:val="0"/>
          <w:sz w:val="20"/>
          <w:szCs w:val="20"/>
        </w:rPr>
      </w:pPr>
      <w:r w:rsidRPr="00151471">
        <w:rPr>
          <w:i w:val="0"/>
          <w:sz w:val="20"/>
          <w:szCs w:val="20"/>
        </w:rPr>
        <w:t>(Ont.) (Civile) (Autorisation)</w:t>
      </w:r>
    </w:p>
    <w:p w:rsidR="00151471" w:rsidRPr="00151471" w:rsidRDefault="00151471" w:rsidP="00151471">
      <w:pPr>
        <w:widowControl w:val="0"/>
        <w:jc w:val="both"/>
        <w:rPr>
          <w:sz w:val="20"/>
          <w:lang w:val="fr-CA"/>
        </w:rPr>
      </w:pPr>
    </w:p>
    <w:p w:rsidR="00151471" w:rsidRPr="00151471" w:rsidRDefault="00151471" w:rsidP="00151471">
      <w:pPr>
        <w:widowControl w:val="0"/>
        <w:jc w:val="both"/>
        <w:rPr>
          <w:b/>
          <w:sz w:val="20"/>
          <w:lang w:val="fr-CA"/>
        </w:rPr>
      </w:pPr>
      <w:r w:rsidRPr="00151471">
        <w:rPr>
          <w:sz w:val="20"/>
          <w:lang w:val="fr-CA"/>
        </w:rPr>
        <w:t>(Ordonnance de mise sous scellés)</w:t>
      </w:r>
    </w:p>
    <w:p w:rsidR="00151471" w:rsidRPr="00151471" w:rsidRDefault="00151471" w:rsidP="00151471">
      <w:pPr>
        <w:widowControl w:val="0"/>
        <w:jc w:val="both"/>
        <w:rPr>
          <w:sz w:val="20"/>
          <w:lang w:val="fr-CA"/>
        </w:rPr>
      </w:pPr>
    </w:p>
    <w:p w:rsidR="00151471" w:rsidRPr="00151471" w:rsidRDefault="00151471" w:rsidP="00151471">
      <w:pPr>
        <w:jc w:val="both"/>
        <w:rPr>
          <w:sz w:val="20"/>
          <w:lang w:val="fr-CA"/>
        </w:rPr>
      </w:pPr>
      <w:r w:rsidRPr="00151471">
        <w:rPr>
          <w:sz w:val="20"/>
          <w:lang w:val="fr-CA"/>
        </w:rPr>
        <w:t xml:space="preserve">Jugements et ordonnances - Ordonnances interlocutoires – Sursis - Protection de la vie privée - Les appelants demandaient la mise sous scellés des dossiers judiciaires concernant l’administration de la succession des défunts - L’ordonnance de mise sous scellés est-elle nécessaire pour protéger contre un risque sérieux touchant les questions importantes en jeu en l’espèce, à savoir la vie privée et la sécurité physique des personnes touchées? - Le droit à la vie privée garanti par la Constitution est-il un intérêt important reconnu sous le premier volet de l’analyse décrite dans l’arrêt </w:t>
      </w:r>
      <w:r w:rsidRPr="00151471">
        <w:rPr>
          <w:i/>
          <w:sz w:val="20"/>
          <w:lang w:val="fr-CA"/>
        </w:rPr>
        <w:t>Sierra Club</w:t>
      </w:r>
      <w:r w:rsidRPr="00151471">
        <w:rPr>
          <w:sz w:val="20"/>
          <w:lang w:val="fr-CA"/>
        </w:rPr>
        <w:t xml:space="preserve">? - Y a-t-il un risque sérieux pour la vie privée des personnes touchées? - La sécurité physique est-elle un intérêt important reconnu sous le premier volet de l’analyse décrite dans l’arrêt </w:t>
      </w:r>
      <w:r w:rsidRPr="00151471">
        <w:rPr>
          <w:i/>
          <w:sz w:val="20"/>
          <w:lang w:val="fr-CA"/>
        </w:rPr>
        <w:t>Sierra Club</w:t>
      </w:r>
      <w:r w:rsidRPr="00151471">
        <w:rPr>
          <w:sz w:val="20"/>
          <w:lang w:val="fr-CA"/>
        </w:rPr>
        <w:t>? - La Cour d’appel a-t-elle eu tort de conclure qu’il n’y avait pas suffisamment de preuve d’un risque sérieux pour la sécurité physique des personnes touchées? - Une ordonnance de mise sous scellés est-elle nécessaire vu l’absence d’autres mesures raisonnables pouvant écarter les risques sérieux pour la vie privée et la sécurité physique? - Les effets bénéfiques de l’ordonnance de mise sous scellés sont-ils plus importants que ses effets préjudiciables dans le contexte de cette affaire non contentieuse d’homologation?</w:t>
      </w:r>
    </w:p>
    <w:p w:rsidR="00151471" w:rsidRPr="00151471" w:rsidRDefault="00151471" w:rsidP="00151471">
      <w:pPr>
        <w:rPr>
          <w:sz w:val="20"/>
          <w:lang w:val="fr-CA"/>
        </w:rPr>
      </w:pPr>
    </w:p>
    <w:p w:rsidR="00151471" w:rsidRPr="00151471" w:rsidRDefault="00151471" w:rsidP="00151471">
      <w:pPr>
        <w:shd w:val="clear" w:color="auto" w:fill="FFFFFF"/>
        <w:jc w:val="both"/>
        <w:rPr>
          <w:sz w:val="20"/>
          <w:lang w:val="fr-CA"/>
        </w:rPr>
      </w:pPr>
      <w:r w:rsidRPr="00151471">
        <w:rPr>
          <w:sz w:val="20"/>
          <w:lang w:val="fr-CA"/>
        </w:rPr>
        <w:t>Le 15 décembre 2017, M. Barry Sherman et M</w:t>
      </w:r>
      <w:r w:rsidRPr="00151471">
        <w:rPr>
          <w:sz w:val="20"/>
          <w:vertAlign w:val="superscript"/>
          <w:lang w:val="fr-CA"/>
        </w:rPr>
        <w:t>me</w:t>
      </w:r>
      <w:r w:rsidRPr="00151471">
        <w:rPr>
          <w:sz w:val="20"/>
          <w:lang w:val="fr-CA"/>
        </w:rPr>
        <w:t xml:space="preserve"> Honey Sherman ont été retrouvés assassinés dans leur maison de Toronto. Leur célébrité, leur fortune et les circonstances de leur mort ont eu un grand retentissement. L’identité du meurtrier ou des meurtriers demeure inconnue. Le tribunal a été saisi de requêtes en certificats de nomination à titre de fiduciaires de leur succession. Les appelants ont également sollicité la tenue d’une audience en vue de demander une ordonnance de mise sous scellés du dossier du tribunal avant de déposer leur requête. Une ordonnance de confidentialité a été rendue et les documents de la succession ont été conservés dans le cabinet du juge jusqu’à nouvel ordre. En juillet 2018, M. Donovan, un journaliste du </w:t>
      </w:r>
      <w:r w:rsidRPr="00151471">
        <w:rPr>
          <w:i/>
          <w:iCs/>
          <w:sz w:val="20"/>
          <w:lang w:val="fr-CA"/>
        </w:rPr>
        <w:t>Toronto Star</w:t>
      </w:r>
      <w:r w:rsidRPr="00151471">
        <w:rPr>
          <w:sz w:val="20"/>
          <w:lang w:val="fr-CA"/>
        </w:rPr>
        <w:t xml:space="preserve"> a demandé l’accès aux dossiers des deux successions. On l’a informé qu’en vertu d’une ordonnance d’un juge, les dossiers en question ne pouvaient pas être consultés. En réponse, M. Donovan et le </w:t>
      </w:r>
      <w:r w:rsidRPr="00151471">
        <w:rPr>
          <w:i/>
          <w:iCs/>
          <w:sz w:val="20"/>
          <w:lang w:val="fr-CA"/>
        </w:rPr>
        <w:t>Toronto Star</w:t>
      </w:r>
      <w:r w:rsidRPr="00151471">
        <w:rPr>
          <w:sz w:val="20"/>
          <w:lang w:val="fr-CA"/>
        </w:rPr>
        <w:t xml:space="preserve"> ont présenté deux requêtes sollicitant la modification ou la révocation de l’ordonnance de confidentialité et la divulgation du contenu intégral des dossiers du tribunal. </w:t>
      </w:r>
    </w:p>
    <w:p w:rsidR="00151471" w:rsidRPr="00151471" w:rsidRDefault="00151471" w:rsidP="00340C6D">
      <w:pPr>
        <w:jc w:val="both"/>
        <w:rPr>
          <w:sz w:val="20"/>
          <w:lang w:val="fr-CA"/>
        </w:rPr>
      </w:pPr>
    </w:p>
    <w:p w:rsidR="00151471" w:rsidRPr="00151471" w:rsidRDefault="00151471" w:rsidP="00340C6D">
      <w:pPr>
        <w:jc w:val="both"/>
        <w:rPr>
          <w:sz w:val="20"/>
          <w:lang w:val="fr-CA"/>
        </w:rPr>
      </w:pPr>
      <w:r w:rsidRPr="00151471">
        <w:rPr>
          <w:sz w:val="20"/>
        </w:rPr>
        <w:pict>
          <v:rect id="_x0000_i1028" style="width:2in;height:1pt" o:hrpct="0" o:hralign="center" o:hrstd="t" o:hrnoshade="t" o:hr="t" fillcolor="black [3213]" stroked="f"/>
        </w:pict>
      </w:r>
    </w:p>
    <w:p w:rsidR="007C40A3" w:rsidRPr="00151471" w:rsidRDefault="007C40A3" w:rsidP="00340C6D">
      <w:pPr>
        <w:jc w:val="both"/>
        <w:rPr>
          <w:sz w:val="20"/>
          <w:lang w:val="fr-CA"/>
        </w:rPr>
      </w:pPr>
    </w:p>
    <w:p w:rsidR="00A51565" w:rsidRPr="00151471" w:rsidRDefault="00A51565" w:rsidP="00340C6D">
      <w:pPr>
        <w:jc w:val="both"/>
        <w:rPr>
          <w:sz w:val="20"/>
        </w:rPr>
      </w:pPr>
    </w:p>
    <w:p w:rsidR="00072A63" w:rsidRPr="00151471" w:rsidRDefault="00072A63" w:rsidP="00EC79B0">
      <w:pPr>
        <w:jc w:val="both"/>
        <w:rPr>
          <w:sz w:val="20"/>
          <w:lang w:val="fr-CA"/>
        </w:rPr>
      </w:pPr>
    </w:p>
    <w:p w:rsidR="001C4415" w:rsidRPr="00151471" w:rsidRDefault="001C4415" w:rsidP="001C4415">
      <w:pPr>
        <w:widowControl w:val="0"/>
        <w:outlineLvl w:val="0"/>
      </w:pPr>
      <w:r w:rsidRPr="00151471">
        <w:t xml:space="preserve">Supreme Court of Canada / Cour suprême du </w:t>
      </w:r>
      <w:proofErr w:type="gramStart"/>
      <w:r w:rsidRPr="00151471">
        <w:t>Canada :</w:t>
      </w:r>
      <w:proofErr w:type="gramEnd"/>
      <w:r w:rsidRPr="00151471">
        <w:t xml:space="preserve"> </w:t>
      </w:r>
    </w:p>
    <w:p w:rsidR="001C4415" w:rsidRPr="00151471" w:rsidRDefault="00E22987" w:rsidP="001C4415">
      <w:pPr>
        <w:widowControl w:val="0"/>
        <w:outlineLvl w:val="0"/>
      </w:pPr>
      <w:hyperlink r:id="rId8" w:history="1">
        <w:r w:rsidR="001C4415" w:rsidRPr="00151471">
          <w:rPr>
            <w:rStyle w:val="Hyperlink"/>
          </w:rPr>
          <w:t>comments-commentaires@scc-csc.ca</w:t>
        </w:r>
      </w:hyperlink>
    </w:p>
    <w:p w:rsidR="001C4415" w:rsidRPr="00151471" w:rsidRDefault="001C4415" w:rsidP="001C4415">
      <w:pPr>
        <w:widowControl w:val="0"/>
        <w:outlineLvl w:val="0"/>
      </w:pPr>
      <w:r w:rsidRPr="00151471">
        <w:t>(613) 995-4330</w:t>
      </w:r>
    </w:p>
    <w:p w:rsidR="001C4415" w:rsidRPr="00151471" w:rsidRDefault="001C4415" w:rsidP="001C4415">
      <w:pPr>
        <w:widowControl w:val="0"/>
        <w:rPr>
          <w:sz w:val="20"/>
        </w:rPr>
      </w:pPr>
    </w:p>
    <w:p w:rsidR="0036476C" w:rsidRPr="00A8502B" w:rsidRDefault="001C4415" w:rsidP="0036476C">
      <w:pPr>
        <w:pStyle w:val="Footer"/>
        <w:jc w:val="center"/>
        <w:rPr>
          <w:lang w:val="fr-CA"/>
        </w:rPr>
      </w:pPr>
      <w:r w:rsidRPr="00151471">
        <w:rPr>
          <w:lang w:val="fr-CA"/>
        </w:rPr>
        <w:t xml:space="preserve">- 30 </w:t>
      </w:r>
      <w:r w:rsidR="003C1B6E" w:rsidRPr="00151471">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1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1471"/>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4FA7"/>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59D2"/>
    <w:rsid w:val="0039607F"/>
    <w:rsid w:val="003972DA"/>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5518"/>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2E3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14EA"/>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2987"/>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1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1"/>
    <w:qFormat/>
    <w:rsid w:val="00A51565"/>
    <w:pPr>
      <w:ind w:left="720"/>
      <w:contextualSpacing/>
    </w:pPr>
    <w:rPr>
      <w:lang w:val="en-CA" w:eastAsia="en-CA"/>
    </w:rPr>
  </w:style>
  <w:style w:type="paragraph" w:customStyle="1" w:styleId="SCCFileNumber">
    <w:name w:val="SCC.FileNumber"/>
    <w:basedOn w:val="Normal"/>
    <w:next w:val="Normal"/>
    <w:link w:val="SCCFileNumberChar"/>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69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2021-05-31T16:41:00Z</dcterms:modified>
</cp:coreProperties>
</file>