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5C4421" w:rsidRDefault="002A192B" w:rsidP="002A192B">
      <w:pPr>
        <w:pStyle w:val="Header"/>
        <w:jc w:val="center"/>
        <w:rPr>
          <w:b/>
          <w:sz w:val="32"/>
        </w:rPr>
      </w:pPr>
      <w:r w:rsidRPr="005C4421">
        <w:rPr>
          <w:b/>
          <w:sz w:val="32"/>
        </w:rPr>
        <w:t>Supreme Court of Canada / Cour suprême du Canada</w:t>
      </w:r>
    </w:p>
    <w:p w:rsidR="002A192B" w:rsidRPr="005C4421" w:rsidRDefault="002A192B" w:rsidP="002A192B">
      <w:pPr>
        <w:widowControl w:val="0"/>
        <w:rPr>
          <w:i/>
        </w:rPr>
      </w:pPr>
    </w:p>
    <w:p w:rsidR="002A192B" w:rsidRPr="005C4421" w:rsidRDefault="002A192B" w:rsidP="002A192B">
      <w:pPr>
        <w:widowControl w:val="0"/>
        <w:rPr>
          <w:i/>
        </w:rPr>
      </w:pPr>
    </w:p>
    <w:p w:rsidR="001C4415" w:rsidRPr="005C4421" w:rsidRDefault="001C4415" w:rsidP="001C4415">
      <w:pPr>
        <w:widowControl w:val="0"/>
        <w:rPr>
          <w:i/>
          <w:sz w:val="20"/>
        </w:rPr>
      </w:pPr>
      <w:r w:rsidRPr="005C4421">
        <w:rPr>
          <w:i/>
          <w:sz w:val="20"/>
        </w:rPr>
        <w:t>(</w:t>
      </w:r>
      <w:r w:rsidR="003C50BF" w:rsidRPr="005C4421">
        <w:rPr>
          <w:i/>
          <w:sz w:val="20"/>
        </w:rPr>
        <w:t>Le</w:t>
      </w:r>
      <w:r w:rsidRPr="005C4421">
        <w:rPr>
          <w:i/>
          <w:sz w:val="20"/>
        </w:rPr>
        <w:t xml:space="preserve"> français suit)</w:t>
      </w:r>
    </w:p>
    <w:p w:rsidR="001C4415" w:rsidRPr="005C4421" w:rsidRDefault="001C4415" w:rsidP="001C4415">
      <w:pPr>
        <w:widowControl w:val="0"/>
      </w:pPr>
    </w:p>
    <w:p w:rsidR="001C4415" w:rsidRPr="005C4421" w:rsidRDefault="000347C1" w:rsidP="00214729">
      <w:pPr>
        <w:widowControl w:val="0"/>
        <w:jc w:val="center"/>
        <w:rPr>
          <w:b/>
        </w:rPr>
      </w:pPr>
      <w:r w:rsidRPr="005C4421">
        <w:fldChar w:fldCharType="begin"/>
      </w:r>
      <w:r w:rsidR="00FA7412" w:rsidRPr="005C4421">
        <w:instrText xml:space="preserve"> SEQ CHAPTER \h \r 1</w:instrText>
      </w:r>
      <w:r w:rsidRPr="005C4421">
        <w:fldChar w:fldCharType="end"/>
      </w:r>
      <w:r w:rsidR="00455BB9" w:rsidRPr="005C4421">
        <w:rPr>
          <w:b/>
        </w:rPr>
        <w:t>JUDGMENT</w:t>
      </w:r>
      <w:r w:rsidR="00FA7412" w:rsidRPr="005C4421">
        <w:rPr>
          <w:b/>
        </w:rPr>
        <w:t xml:space="preserve"> TO BE RENDERED IN APPEA</w:t>
      </w:r>
      <w:r w:rsidR="00CC2799" w:rsidRPr="005C4421">
        <w:rPr>
          <w:b/>
        </w:rPr>
        <w:t>L</w:t>
      </w:r>
    </w:p>
    <w:p w:rsidR="005A7C1B" w:rsidRPr="005C4421" w:rsidRDefault="005A7C1B" w:rsidP="005A7C1B">
      <w:pPr>
        <w:widowControl w:val="0"/>
      </w:pPr>
    </w:p>
    <w:p w:rsidR="00EC79B0" w:rsidRPr="005C4421" w:rsidRDefault="00151471" w:rsidP="00EC79B0">
      <w:pPr>
        <w:widowControl w:val="0"/>
      </w:pPr>
      <w:r w:rsidRPr="005C4421">
        <w:rPr>
          <w:b/>
        </w:rPr>
        <w:t>June</w:t>
      </w:r>
      <w:r w:rsidR="00C86395" w:rsidRPr="005C4421">
        <w:rPr>
          <w:b/>
        </w:rPr>
        <w:t xml:space="preserve"> </w:t>
      </w:r>
      <w:r w:rsidR="004A114B" w:rsidRPr="005C4421">
        <w:rPr>
          <w:b/>
        </w:rPr>
        <w:t>2</w:t>
      </w:r>
      <w:r w:rsidR="00954E11" w:rsidRPr="005C4421">
        <w:rPr>
          <w:b/>
        </w:rPr>
        <w:t>5</w:t>
      </w:r>
      <w:r w:rsidR="00EC79B0" w:rsidRPr="005C4421">
        <w:rPr>
          <w:b/>
        </w:rPr>
        <w:t>, 2</w:t>
      </w:r>
      <w:r w:rsidR="00E6600C" w:rsidRPr="005C4421">
        <w:rPr>
          <w:b/>
        </w:rPr>
        <w:t>0</w:t>
      </w:r>
      <w:r w:rsidR="009544E9" w:rsidRPr="005C4421">
        <w:rPr>
          <w:b/>
        </w:rPr>
        <w:t>2</w:t>
      </w:r>
      <w:r w:rsidR="00964827" w:rsidRPr="005C4421">
        <w:rPr>
          <w:b/>
        </w:rPr>
        <w:t>1</w:t>
      </w:r>
    </w:p>
    <w:p w:rsidR="00EC79B0" w:rsidRPr="005C4421" w:rsidRDefault="00EC79B0" w:rsidP="00EC79B0">
      <w:pPr>
        <w:widowControl w:val="0"/>
        <w:rPr>
          <w:b/>
        </w:rPr>
      </w:pPr>
      <w:r w:rsidRPr="005C4421">
        <w:rPr>
          <w:b/>
        </w:rPr>
        <w:t>For immediate release</w:t>
      </w:r>
    </w:p>
    <w:p w:rsidR="00EC79B0" w:rsidRPr="005C4421" w:rsidRDefault="00EC79B0" w:rsidP="00EC79B0">
      <w:pPr>
        <w:widowControl w:val="0"/>
      </w:pPr>
    </w:p>
    <w:p w:rsidR="00EC79B0" w:rsidRPr="005C4421" w:rsidRDefault="00EC79B0" w:rsidP="00EC79B0">
      <w:pPr>
        <w:widowControl w:val="0"/>
        <w:rPr>
          <w:lang w:val="fr-CA"/>
        </w:rPr>
      </w:pPr>
      <w:r w:rsidRPr="005C4421">
        <w:rPr>
          <w:b/>
        </w:rPr>
        <w:t>OTTAWA</w:t>
      </w:r>
      <w:r w:rsidRPr="005C4421">
        <w:t xml:space="preserve"> – The Supreme Court of Canad</w:t>
      </w:r>
      <w:r w:rsidR="00455BB9" w:rsidRPr="005C4421">
        <w:t>a announced today that judgment</w:t>
      </w:r>
      <w:r w:rsidRPr="005C4421">
        <w:t xml:space="preserve"> in the following appeal will be delivered at 9:45 a.m. E</w:t>
      </w:r>
      <w:r w:rsidR="00A51565" w:rsidRPr="005C4421">
        <w:t>D</w:t>
      </w:r>
      <w:r w:rsidR="00DC6C1E" w:rsidRPr="005C4421">
        <w:t>T</w:t>
      </w:r>
      <w:r w:rsidR="00D74667" w:rsidRPr="005C4421">
        <w:t xml:space="preserve"> on</w:t>
      </w:r>
      <w:r w:rsidR="00DC6C1E" w:rsidRPr="005C4421">
        <w:t xml:space="preserve"> </w:t>
      </w:r>
      <w:r w:rsidR="004A114B" w:rsidRPr="005C4421">
        <w:t>Wednesday</w:t>
      </w:r>
      <w:r w:rsidR="000A7900" w:rsidRPr="005C4421">
        <w:t xml:space="preserve">, </w:t>
      </w:r>
      <w:r w:rsidR="003972DA" w:rsidRPr="005C4421">
        <w:t>June</w:t>
      </w:r>
      <w:r w:rsidR="004E605A" w:rsidRPr="005C4421">
        <w:t xml:space="preserve"> </w:t>
      </w:r>
      <w:r w:rsidR="004A114B" w:rsidRPr="005C4421">
        <w:t>30</w:t>
      </w:r>
      <w:r w:rsidR="00E63199" w:rsidRPr="005C4421">
        <w:t>, 2</w:t>
      </w:r>
      <w:r w:rsidR="0086609D" w:rsidRPr="005C4421">
        <w:t>0</w:t>
      </w:r>
      <w:r w:rsidR="009544E9" w:rsidRPr="005C4421">
        <w:t>2</w:t>
      </w:r>
      <w:r w:rsidR="00964827" w:rsidRPr="005C4421">
        <w:t>1</w:t>
      </w:r>
      <w:r w:rsidR="00455BB9" w:rsidRPr="005C4421">
        <w:t xml:space="preserve">. </w:t>
      </w:r>
      <w:r w:rsidR="00455BB9" w:rsidRPr="005C4421">
        <w:rPr>
          <w:lang w:val="fr-CA"/>
        </w:rPr>
        <w:t>This</w:t>
      </w:r>
      <w:r w:rsidRPr="005C4421">
        <w:rPr>
          <w:lang w:val="fr-CA"/>
        </w:rPr>
        <w:t xml:space="preserve"> list is subject to change.</w:t>
      </w:r>
    </w:p>
    <w:p w:rsidR="001F76DD" w:rsidRPr="005C4421" w:rsidRDefault="001F76DD" w:rsidP="001C4415">
      <w:pPr>
        <w:widowControl w:val="0"/>
        <w:rPr>
          <w:szCs w:val="24"/>
          <w:lang w:val="fr-CA"/>
        </w:rPr>
      </w:pPr>
    </w:p>
    <w:p w:rsidR="001C4415" w:rsidRPr="005C4421" w:rsidRDefault="001C4415" w:rsidP="001C4415">
      <w:pPr>
        <w:widowControl w:val="0"/>
        <w:rPr>
          <w:lang w:val="fr-CA"/>
        </w:rPr>
      </w:pPr>
    </w:p>
    <w:p w:rsidR="001335A1" w:rsidRPr="005C4421" w:rsidRDefault="001335A1" w:rsidP="001335A1">
      <w:pPr>
        <w:widowControl w:val="0"/>
        <w:jc w:val="center"/>
        <w:rPr>
          <w:b/>
          <w:lang w:val="fr-CA"/>
        </w:rPr>
      </w:pPr>
      <w:r w:rsidRPr="005C4421">
        <w:rPr>
          <w:b/>
          <w:lang w:val="fr-CA"/>
        </w:rPr>
        <w:t>PROCHAIN JUGEMENT</w:t>
      </w:r>
      <w:r w:rsidR="00455BB9" w:rsidRPr="005C4421">
        <w:rPr>
          <w:b/>
          <w:lang w:val="fr-CA"/>
        </w:rPr>
        <w:t xml:space="preserve"> SUR APPEL</w:t>
      </w:r>
    </w:p>
    <w:p w:rsidR="001335A1" w:rsidRPr="005C4421" w:rsidRDefault="001335A1" w:rsidP="001335A1">
      <w:pPr>
        <w:widowControl w:val="0"/>
        <w:rPr>
          <w:lang w:val="fr-CA"/>
        </w:rPr>
      </w:pPr>
    </w:p>
    <w:p w:rsidR="00EC79B0" w:rsidRPr="005C4421" w:rsidRDefault="00EC79B0" w:rsidP="00EC79B0">
      <w:pPr>
        <w:widowControl w:val="0"/>
        <w:rPr>
          <w:lang w:val="fr-CA"/>
        </w:rPr>
      </w:pPr>
      <w:r w:rsidRPr="005C4421">
        <w:rPr>
          <w:b/>
          <w:lang w:val="fr-CA"/>
        </w:rPr>
        <w:t xml:space="preserve">Le </w:t>
      </w:r>
      <w:r w:rsidR="004A114B" w:rsidRPr="005C4421">
        <w:rPr>
          <w:b/>
          <w:lang w:val="fr-CA"/>
        </w:rPr>
        <w:t>2</w:t>
      </w:r>
      <w:r w:rsidR="00954E11" w:rsidRPr="005C4421">
        <w:rPr>
          <w:b/>
          <w:lang w:val="fr-CA"/>
        </w:rPr>
        <w:t>5</w:t>
      </w:r>
      <w:r w:rsidR="00FA5450" w:rsidRPr="005C4421">
        <w:rPr>
          <w:b/>
          <w:lang w:val="fr-CA"/>
        </w:rPr>
        <w:t xml:space="preserve"> </w:t>
      </w:r>
      <w:r w:rsidR="00151471" w:rsidRPr="005C4421">
        <w:rPr>
          <w:b/>
          <w:lang w:val="fr-CA"/>
        </w:rPr>
        <w:t>juin</w:t>
      </w:r>
      <w:r w:rsidR="00C86395" w:rsidRPr="005C4421">
        <w:rPr>
          <w:b/>
          <w:lang w:val="fr-CA"/>
        </w:rPr>
        <w:t xml:space="preserve"> </w:t>
      </w:r>
      <w:r w:rsidR="0086609D" w:rsidRPr="005C4421">
        <w:rPr>
          <w:b/>
          <w:lang w:val="fr-CA"/>
        </w:rPr>
        <w:t>20</w:t>
      </w:r>
      <w:r w:rsidR="009544E9" w:rsidRPr="005C4421">
        <w:rPr>
          <w:b/>
          <w:lang w:val="fr-CA"/>
        </w:rPr>
        <w:t>2</w:t>
      </w:r>
      <w:r w:rsidR="00964827" w:rsidRPr="005C4421">
        <w:rPr>
          <w:b/>
          <w:lang w:val="fr-CA"/>
        </w:rPr>
        <w:t>1</w:t>
      </w:r>
    </w:p>
    <w:p w:rsidR="00EC79B0" w:rsidRPr="005C4421" w:rsidRDefault="00EC79B0" w:rsidP="00EC79B0">
      <w:pPr>
        <w:widowControl w:val="0"/>
        <w:rPr>
          <w:b/>
          <w:lang w:val="fr-CA"/>
        </w:rPr>
      </w:pPr>
      <w:r w:rsidRPr="005C4421">
        <w:rPr>
          <w:b/>
          <w:lang w:val="fr-CA"/>
        </w:rPr>
        <w:t>Pour diffusion immédiate</w:t>
      </w:r>
    </w:p>
    <w:p w:rsidR="00EC79B0" w:rsidRPr="005C4421" w:rsidRDefault="00EC79B0" w:rsidP="00EC79B0">
      <w:pPr>
        <w:widowControl w:val="0"/>
        <w:rPr>
          <w:lang w:val="fr-CA"/>
        </w:rPr>
      </w:pPr>
    </w:p>
    <w:p w:rsidR="00EC79B0" w:rsidRPr="005C4421" w:rsidRDefault="00EC79B0" w:rsidP="00EC79B0">
      <w:pPr>
        <w:widowControl w:val="0"/>
        <w:rPr>
          <w:lang w:val="fr-CA"/>
        </w:rPr>
      </w:pPr>
      <w:r w:rsidRPr="005C4421">
        <w:rPr>
          <w:b/>
          <w:lang w:val="fr-CA"/>
        </w:rPr>
        <w:t>OTTAWA</w:t>
      </w:r>
      <w:r w:rsidRPr="005C4421">
        <w:rPr>
          <w:lang w:val="fr-CA"/>
        </w:rPr>
        <w:t xml:space="preserve"> – La Cour suprême du Canada annonce que jugement ser</w:t>
      </w:r>
      <w:r w:rsidR="00C86395" w:rsidRPr="005C4421">
        <w:rPr>
          <w:lang w:val="fr-CA"/>
        </w:rPr>
        <w:t>a</w:t>
      </w:r>
      <w:r w:rsidRPr="005C4421">
        <w:rPr>
          <w:lang w:val="fr-CA"/>
        </w:rPr>
        <w:t xml:space="preserve"> rendu dans </w:t>
      </w:r>
      <w:r w:rsidR="001F1643" w:rsidRPr="005C4421">
        <w:rPr>
          <w:lang w:val="fr-CA"/>
        </w:rPr>
        <w:t>l</w:t>
      </w:r>
      <w:r w:rsidR="00C86395" w:rsidRPr="005C4421">
        <w:rPr>
          <w:lang w:val="fr-CA"/>
        </w:rPr>
        <w:t>’</w:t>
      </w:r>
      <w:r w:rsidR="00A51565" w:rsidRPr="005C4421">
        <w:rPr>
          <w:lang w:val="fr-CA"/>
        </w:rPr>
        <w:t xml:space="preserve">appel </w:t>
      </w:r>
      <w:r w:rsidRPr="005C4421">
        <w:rPr>
          <w:lang w:val="fr-CA"/>
        </w:rPr>
        <w:t xml:space="preserve">suivant le </w:t>
      </w:r>
      <w:r w:rsidR="004A114B" w:rsidRPr="005C4421">
        <w:rPr>
          <w:lang w:val="fr-CA"/>
        </w:rPr>
        <w:t>mercredi</w:t>
      </w:r>
      <w:r w:rsidR="007C1648" w:rsidRPr="005C4421">
        <w:rPr>
          <w:lang w:val="fr-CA"/>
        </w:rPr>
        <w:t xml:space="preserve"> </w:t>
      </w:r>
      <w:r w:rsidR="004A114B" w:rsidRPr="005C4421">
        <w:rPr>
          <w:lang w:val="fr-CA"/>
        </w:rPr>
        <w:t>30</w:t>
      </w:r>
      <w:r w:rsidR="00F62251" w:rsidRPr="005C4421">
        <w:rPr>
          <w:lang w:val="fr-CA"/>
        </w:rPr>
        <w:t xml:space="preserve"> </w:t>
      </w:r>
      <w:r w:rsidR="003972DA" w:rsidRPr="005C4421">
        <w:rPr>
          <w:lang w:val="fr-CA"/>
        </w:rPr>
        <w:t>juin</w:t>
      </w:r>
      <w:r w:rsidR="00282563" w:rsidRPr="005C4421">
        <w:rPr>
          <w:lang w:val="fr-CA"/>
        </w:rPr>
        <w:t xml:space="preserve"> </w:t>
      </w:r>
      <w:r w:rsidRPr="005C4421">
        <w:rPr>
          <w:lang w:val="fr-CA"/>
        </w:rPr>
        <w:t>20</w:t>
      </w:r>
      <w:r w:rsidR="009544E9" w:rsidRPr="005C4421">
        <w:rPr>
          <w:lang w:val="fr-CA"/>
        </w:rPr>
        <w:t>2</w:t>
      </w:r>
      <w:r w:rsidR="00964827" w:rsidRPr="005C4421">
        <w:rPr>
          <w:lang w:val="fr-CA"/>
        </w:rPr>
        <w:t>1</w:t>
      </w:r>
      <w:r w:rsidRPr="005C4421">
        <w:rPr>
          <w:lang w:val="fr-CA"/>
        </w:rPr>
        <w:t>, à 9 h 45 H</w:t>
      </w:r>
      <w:r w:rsidR="00A51565" w:rsidRPr="005C4421">
        <w:rPr>
          <w:lang w:val="fr-CA"/>
        </w:rPr>
        <w:t>A</w:t>
      </w:r>
      <w:r w:rsidRPr="005C4421">
        <w:rPr>
          <w:lang w:val="fr-CA"/>
        </w:rPr>
        <w:t>E. Cette liste est sujette à modifications.</w:t>
      </w:r>
    </w:p>
    <w:p w:rsidR="001F76DD" w:rsidRPr="005C4421" w:rsidRDefault="001F76DD" w:rsidP="00E92006">
      <w:pPr>
        <w:widowControl w:val="0"/>
        <w:jc w:val="both"/>
        <w:rPr>
          <w:szCs w:val="24"/>
          <w:lang w:val="fr-CA"/>
        </w:rPr>
      </w:pPr>
    </w:p>
    <w:p w:rsidR="00EF4622" w:rsidRPr="005C4421" w:rsidRDefault="005C4421" w:rsidP="00E92006">
      <w:pPr>
        <w:widowControl w:val="0"/>
        <w:jc w:val="both"/>
        <w:rPr>
          <w:szCs w:val="24"/>
          <w:lang w:val="fr-CA"/>
        </w:rPr>
      </w:pPr>
      <w:r w:rsidRPr="005C4421">
        <w:rPr>
          <w:sz w:val="20"/>
        </w:rPr>
        <w:pict>
          <v:rect id="_x0000_i1025" style="width:2in;height:1pt" o:hrpct="0" o:hralign="center" o:hrstd="t" o:hrnoshade="t" o:hr="t" fillcolor="black [3213]" stroked="f"/>
        </w:pict>
      </w:r>
    </w:p>
    <w:p w:rsidR="001335A1" w:rsidRPr="005C4421" w:rsidRDefault="001335A1" w:rsidP="001335A1">
      <w:pPr>
        <w:widowControl w:val="0"/>
        <w:rPr>
          <w:szCs w:val="24"/>
          <w:lang w:val="fr-CA"/>
        </w:rPr>
      </w:pPr>
    </w:p>
    <w:p w:rsidR="00772636" w:rsidRPr="005C4421" w:rsidRDefault="004C6206" w:rsidP="00772636">
      <w:pPr>
        <w:jc w:val="both"/>
        <w:rPr>
          <w:szCs w:val="24"/>
          <w:lang w:val="fr-CA"/>
        </w:rPr>
      </w:pPr>
      <w:r w:rsidRPr="005C4421">
        <w:rPr>
          <w:i/>
          <w:szCs w:val="24"/>
          <w:lang w:val="fr-CA"/>
        </w:rPr>
        <w:t xml:space="preserve">Conférence des juges de la Cour du Québec, et al. </w:t>
      </w:r>
      <w:proofErr w:type="gramStart"/>
      <w:r w:rsidRPr="005C4421">
        <w:rPr>
          <w:i/>
          <w:szCs w:val="24"/>
          <w:lang w:val="fr-CA"/>
        </w:rPr>
        <w:t>c</w:t>
      </w:r>
      <w:proofErr w:type="gramEnd"/>
      <w:r w:rsidRPr="005C4421">
        <w:rPr>
          <w:i/>
          <w:szCs w:val="24"/>
          <w:lang w:val="fr-CA"/>
        </w:rPr>
        <w:t xml:space="preserve">. Juge en chef, et al. </w:t>
      </w:r>
      <w:r w:rsidR="00772636" w:rsidRPr="005C4421">
        <w:rPr>
          <w:szCs w:val="24"/>
          <w:lang w:val="fr-CA"/>
        </w:rPr>
        <w:t>(</w:t>
      </w:r>
      <w:r w:rsidRPr="005C4421">
        <w:rPr>
          <w:szCs w:val="24"/>
          <w:lang w:val="fr-CA"/>
        </w:rPr>
        <w:t>Qc</w:t>
      </w:r>
      <w:r w:rsidR="00772636" w:rsidRPr="005C4421">
        <w:rPr>
          <w:szCs w:val="24"/>
          <w:lang w:val="fr-CA"/>
        </w:rPr>
        <w:t xml:space="preserve">) </w:t>
      </w:r>
      <w:r w:rsidR="00772636" w:rsidRPr="005C4421">
        <w:rPr>
          <w:lang w:val="fr-CA"/>
        </w:rPr>
        <w:t>(</w:t>
      </w:r>
      <w:hyperlink r:id="rId7" w:history="1">
        <w:r w:rsidR="00772636" w:rsidRPr="005C4421">
          <w:rPr>
            <w:rStyle w:val="Hyperlink"/>
            <w:lang w:val="fr-CA"/>
          </w:rPr>
          <w:t>3</w:t>
        </w:r>
        <w:r w:rsidR="003846A0" w:rsidRPr="005C4421">
          <w:rPr>
            <w:rStyle w:val="Hyperlink"/>
            <w:lang w:val="fr-CA"/>
          </w:rPr>
          <w:t>8</w:t>
        </w:r>
        <w:r w:rsidRPr="005C4421">
          <w:rPr>
            <w:rStyle w:val="Hyperlink"/>
            <w:lang w:val="fr-CA"/>
          </w:rPr>
          <w:t>837</w:t>
        </w:r>
      </w:hyperlink>
      <w:r w:rsidR="00772636" w:rsidRPr="005C4421">
        <w:rPr>
          <w:lang w:val="fr-CA"/>
        </w:rPr>
        <w:t>)</w:t>
      </w:r>
    </w:p>
    <w:p w:rsidR="009F18D7" w:rsidRPr="005C4421" w:rsidRDefault="009F18D7" w:rsidP="00340C6D">
      <w:pPr>
        <w:jc w:val="both"/>
        <w:rPr>
          <w:sz w:val="20"/>
          <w:lang w:val="fr-CA"/>
        </w:rPr>
      </w:pPr>
    </w:p>
    <w:p w:rsidR="004938E8" w:rsidRPr="005C4421" w:rsidRDefault="004938E8" w:rsidP="00340C6D">
      <w:pPr>
        <w:jc w:val="both"/>
        <w:rPr>
          <w:sz w:val="20"/>
          <w:lang w:val="fr-CA"/>
        </w:rPr>
      </w:pPr>
    </w:p>
    <w:p w:rsidR="004C6206" w:rsidRPr="005C4421" w:rsidRDefault="004C6206" w:rsidP="00393F1F">
      <w:pPr>
        <w:widowControl w:val="0"/>
        <w:jc w:val="both"/>
        <w:rPr>
          <w:b/>
          <w:i/>
          <w:sz w:val="20"/>
          <w:lang w:val="fr-CA"/>
        </w:rPr>
      </w:pPr>
      <w:bookmarkStart w:id="0" w:name="1"/>
      <w:bookmarkStart w:id="1" w:name="QuickMark_1"/>
      <w:bookmarkEnd w:id="0"/>
      <w:bookmarkEnd w:id="1"/>
      <w:r w:rsidRPr="005C4421">
        <w:rPr>
          <w:b/>
          <w:sz w:val="20"/>
          <w:lang w:val="fr-CA"/>
        </w:rPr>
        <w:t>38837</w:t>
      </w:r>
      <w:r w:rsidRPr="005C4421">
        <w:rPr>
          <w:sz w:val="20"/>
          <w:lang w:val="en-CA"/>
        </w:rPr>
        <w:fldChar w:fldCharType="begin"/>
      </w:r>
      <w:r w:rsidRPr="005C4421">
        <w:rPr>
          <w:sz w:val="20"/>
          <w:lang w:val="fr-CA"/>
        </w:rPr>
        <w:instrText xml:space="preserve"> SEQ CHAPTER \h \r 1</w:instrText>
      </w:r>
      <w:r w:rsidRPr="005C4421">
        <w:rPr>
          <w:sz w:val="20"/>
          <w:lang w:val="en-CA"/>
        </w:rPr>
        <w:fldChar w:fldCharType="end"/>
      </w:r>
      <w:r w:rsidRPr="005C4421">
        <w:rPr>
          <w:sz w:val="20"/>
          <w:lang w:val="fr-CA"/>
        </w:rPr>
        <w:tab/>
      </w:r>
      <w:bookmarkStart w:id="2" w:name="3"/>
      <w:bookmarkEnd w:id="2"/>
      <w:r w:rsidRPr="005C4421">
        <w:rPr>
          <w:b/>
          <w:i/>
          <w:sz w:val="20"/>
          <w:lang w:val="fr-CA"/>
        </w:rPr>
        <w:t>Conférence des juges de la Cour du Québec v. Chief Justice et al.</w:t>
      </w:r>
    </w:p>
    <w:p w:rsidR="004C6206" w:rsidRPr="005C4421" w:rsidRDefault="004C6206" w:rsidP="004C6206">
      <w:pPr>
        <w:widowControl w:val="0"/>
        <w:ind w:left="720"/>
        <w:jc w:val="both"/>
        <w:rPr>
          <w:b/>
          <w:i/>
          <w:sz w:val="20"/>
          <w:lang w:val="en-CA"/>
        </w:rPr>
      </w:pPr>
      <w:r w:rsidRPr="005C4421">
        <w:rPr>
          <w:b/>
          <w:i/>
          <w:sz w:val="20"/>
          <w:lang w:val="en-CA"/>
        </w:rPr>
        <w:t>-</w:t>
      </w:r>
      <w:proofErr w:type="gramStart"/>
      <w:r w:rsidRPr="005C4421">
        <w:rPr>
          <w:b/>
          <w:i/>
          <w:sz w:val="20"/>
          <w:lang w:val="en-CA"/>
        </w:rPr>
        <w:t>and</w:t>
      </w:r>
      <w:proofErr w:type="gramEnd"/>
      <w:r w:rsidRPr="005C4421">
        <w:rPr>
          <w:b/>
          <w:i/>
          <w:sz w:val="20"/>
          <w:lang w:val="en-CA"/>
        </w:rPr>
        <w:t xml:space="preserve"> between-</w:t>
      </w:r>
    </w:p>
    <w:p w:rsidR="004C6206" w:rsidRPr="005C4421" w:rsidRDefault="004C6206" w:rsidP="004C6206">
      <w:pPr>
        <w:widowControl w:val="0"/>
        <w:ind w:left="720"/>
        <w:jc w:val="both"/>
        <w:rPr>
          <w:b/>
          <w:i/>
          <w:sz w:val="20"/>
          <w:lang w:val="en-CA"/>
        </w:rPr>
      </w:pPr>
      <w:r w:rsidRPr="005C4421">
        <w:rPr>
          <w:b/>
          <w:i/>
          <w:sz w:val="20"/>
          <w:lang w:val="en-CA"/>
        </w:rPr>
        <w:t>Attorney General of Quebec v. Chief Justice et al.</w:t>
      </w:r>
    </w:p>
    <w:p w:rsidR="004C6206" w:rsidRPr="005C4421" w:rsidRDefault="004C6206" w:rsidP="004C6206">
      <w:pPr>
        <w:widowControl w:val="0"/>
        <w:ind w:left="720"/>
        <w:jc w:val="both"/>
        <w:rPr>
          <w:b/>
          <w:i/>
          <w:sz w:val="20"/>
          <w:lang w:val="fr-CA"/>
        </w:rPr>
      </w:pPr>
      <w:r w:rsidRPr="005C4421">
        <w:rPr>
          <w:b/>
          <w:i/>
          <w:sz w:val="20"/>
          <w:lang w:val="fr-CA"/>
        </w:rPr>
        <w:t>-and between-</w:t>
      </w:r>
    </w:p>
    <w:p w:rsidR="004C6206" w:rsidRPr="005C4421" w:rsidRDefault="004C6206" w:rsidP="004C6206">
      <w:pPr>
        <w:widowControl w:val="0"/>
        <w:ind w:left="720"/>
        <w:jc w:val="both"/>
        <w:rPr>
          <w:b/>
          <w:i/>
          <w:sz w:val="20"/>
          <w:lang w:val="fr-CA"/>
        </w:rPr>
      </w:pPr>
      <w:r w:rsidRPr="005C4421">
        <w:rPr>
          <w:b/>
          <w:i/>
          <w:sz w:val="20"/>
          <w:lang w:val="fr-CA"/>
        </w:rPr>
        <w:t>Conseil de la magistrature du Québec v. Chief Justice et al.</w:t>
      </w:r>
    </w:p>
    <w:p w:rsidR="004C6206" w:rsidRPr="005C4421" w:rsidRDefault="004C6206" w:rsidP="004C6206">
      <w:pPr>
        <w:widowControl w:val="0"/>
        <w:ind w:left="720"/>
        <w:jc w:val="both"/>
        <w:rPr>
          <w:b/>
          <w:i/>
          <w:sz w:val="20"/>
          <w:lang w:val="en-CA"/>
        </w:rPr>
      </w:pPr>
      <w:r w:rsidRPr="005C4421">
        <w:rPr>
          <w:b/>
          <w:i/>
          <w:sz w:val="20"/>
          <w:lang w:val="en-CA"/>
        </w:rPr>
        <w:t>-</w:t>
      </w:r>
      <w:proofErr w:type="gramStart"/>
      <w:r w:rsidRPr="005C4421">
        <w:rPr>
          <w:b/>
          <w:i/>
          <w:sz w:val="20"/>
          <w:lang w:val="en-CA"/>
        </w:rPr>
        <w:t>and</w:t>
      </w:r>
      <w:proofErr w:type="gramEnd"/>
      <w:r w:rsidRPr="005C4421">
        <w:rPr>
          <w:b/>
          <w:i/>
          <w:sz w:val="20"/>
          <w:lang w:val="en-CA"/>
        </w:rPr>
        <w:t xml:space="preserve"> between-</w:t>
      </w:r>
    </w:p>
    <w:p w:rsidR="004C6206" w:rsidRPr="005C4421" w:rsidRDefault="004C6206" w:rsidP="004C6206">
      <w:pPr>
        <w:widowControl w:val="0"/>
        <w:ind w:left="720"/>
        <w:jc w:val="both"/>
        <w:rPr>
          <w:b/>
          <w:i/>
          <w:sz w:val="20"/>
          <w:lang w:val="en-CA"/>
        </w:rPr>
      </w:pPr>
      <w:r w:rsidRPr="005C4421">
        <w:rPr>
          <w:b/>
          <w:i/>
          <w:sz w:val="20"/>
          <w:lang w:val="en-CA"/>
        </w:rPr>
        <w:t xml:space="preserve">Canadian Association of Provincial Court Judges v. Chief Justice et al. </w:t>
      </w:r>
    </w:p>
    <w:p w:rsidR="004C6206" w:rsidRPr="005C4421" w:rsidRDefault="004C6206" w:rsidP="004C6206">
      <w:pPr>
        <w:widowControl w:val="0"/>
        <w:ind w:left="720"/>
        <w:jc w:val="both"/>
        <w:rPr>
          <w:b/>
          <w:i/>
          <w:sz w:val="20"/>
          <w:lang w:val="en-CA"/>
        </w:rPr>
      </w:pPr>
      <w:r w:rsidRPr="005C4421">
        <w:rPr>
          <w:b/>
          <w:i/>
          <w:sz w:val="20"/>
          <w:lang w:val="en-CA"/>
        </w:rPr>
        <w:t>-</w:t>
      </w:r>
      <w:proofErr w:type="gramStart"/>
      <w:r w:rsidRPr="005C4421">
        <w:rPr>
          <w:b/>
          <w:i/>
          <w:sz w:val="20"/>
          <w:lang w:val="en-CA"/>
        </w:rPr>
        <w:t>and</w:t>
      </w:r>
      <w:proofErr w:type="gramEnd"/>
      <w:r w:rsidRPr="005C4421">
        <w:rPr>
          <w:b/>
          <w:i/>
          <w:sz w:val="20"/>
          <w:lang w:val="en-CA"/>
        </w:rPr>
        <w:t xml:space="preserve"> between-</w:t>
      </w:r>
    </w:p>
    <w:p w:rsidR="004C6206" w:rsidRPr="005C4421" w:rsidRDefault="004C6206" w:rsidP="004C6206">
      <w:pPr>
        <w:widowControl w:val="0"/>
        <w:ind w:left="720"/>
        <w:jc w:val="both"/>
        <w:rPr>
          <w:i/>
          <w:sz w:val="20"/>
          <w:lang w:val="en-CA"/>
        </w:rPr>
      </w:pPr>
      <w:r w:rsidRPr="005C4421">
        <w:rPr>
          <w:b/>
          <w:i/>
          <w:sz w:val="20"/>
          <w:lang w:val="en-CA"/>
        </w:rPr>
        <w:t>Chief Justice et al. v. Attorney General of Quebec</w:t>
      </w:r>
    </w:p>
    <w:p w:rsidR="004C6206" w:rsidRPr="005C4421" w:rsidRDefault="004C6206" w:rsidP="004C6206">
      <w:pPr>
        <w:widowControl w:val="0"/>
        <w:ind w:left="720"/>
        <w:jc w:val="both"/>
        <w:rPr>
          <w:sz w:val="20"/>
          <w:lang w:val="en-CA"/>
        </w:rPr>
      </w:pPr>
      <w:r w:rsidRPr="005C4421">
        <w:rPr>
          <w:sz w:val="20"/>
          <w:lang w:val="en-CA"/>
        </w:rPr>
        <w:t>(Que</w:t>
      </w:r>
      <w:r w:rsidR="00E11385" w:rsidRPr="005C4421">
        <w:rPr>
          <w:sz w:val="20"/>
          <w:lang w:val="en-CA"/>
        </w:rPr>
        <w:t>.</w:t>
      </w:r>
      <w:r w:rsidRPr="005C4421">
        <w:rPr>
          <w:sz w:val="20"/>
          <w:lang w:val="en-CA"/>
        </w:rPr>
        <w:t>) (Civil) (As of Right)</w:t>
      </w:r>
    </w:p>
    <w:p w:rsidR="004C6206" w:rsidRPr="005C4421" w:rsidRDefault="004C6206">
      <w:pPr>
        <w:widowControl w:val="0"/>
        <w:jc w:val="both"/>
        <w:rPr>
          <w:sz w:val="20"/>
          <w:lang w:val="en-CA"/>
        </w:rPr>
      </w:pPr>
    </w:p>
    <w:p w:rsidR="004C6206" w:rsidRPr="005C4421" w:rsidRDefault="004C6206">
      <w:pPr>
        <w:widowControl w:val="0"/>
        <w:jc w:val="both"/>
        <w:rPr>
          <w:sz w:val="20"/>
          <w:lang w:val="en-CA"/>
        </w:rPr>
      </w:pPr>
      <w:r w:rsidRPr="005C4421">
        <w:rPr>
          <w:sz w:val="20"/>
          <w:lang w:val="en-CA"/>
        </w:rPr>
        <w:t xml:space="preserve">Constitutional law - Courts - Limit of exclusive monetary jurisdiction of Court of Québec - Obligation of judicial deference with respect to appeals to Court of Québec - </w:t>
      </w:r>
      <w:r w:rsidRPr="005C4421">
        <w:rPr>
          <w:i/>
          <w:sz w:val="20"/>
          <w:lang w:val="en-CA"/>
        </w:rPr>
        <w:t>Code of Civil Procedure</w:t>
      </w:r>
      <w:r w:rsidRPr="005C4421">
        <w:rPr>
          <w:sz w:val="20"/>
          <w:lang w:val="en-CA"/>
        </w:rPr>
        <w:t xml:space="preserve">, CQLR, c. C-25.01, art. 35 - </w:t>
      </w:r>
      <w:r w:rsidRPr="005C4421">
        <w:rPr>
          <w:i/>
          <w:sz w:val="20"/>
          <w:lang w:val="en-CA"/>
        </w:rPr>
        <w:t>Constitution Act, 1867</w:t>
      </w:r>
      <w:r w:rsidRPr="005C4421">
        <w:rPr>
          <w:sz w:val="20"/>
          <w:lang w:val="en-CA"/>
        </w:rPr>
        <w:t>, ss. 92(14) and 96.</w:t>
      </w:r>
    </w:p>
    <w:p w:rsidR="004C6206" w:rsidRPr="005C4421" w:rsidRDefault="004C6206">
      <w:pPr>
        <w:widowControl w:val="0"/>
        <w:jc w:val="both"/>
        <w:rPr>
          <w:sz w:val="20"/>
          <w:lang w:val="en-CA"/>
        </w:rPr>
      </w:pPr>
    </w:p>
    <w:p w:rsidR="004C6206" w:rsidRPr="005C4421" w:rsidRDefault="004C6206">
      <w:pPr>
        <w:widowControl w:val="0"/>
        <w:jc w:val="both"/>
        <w:rPr>
          <w:sz w:val="20"/>
          <w:lang w:val="en-CA"/>
        </w:rPr>
      </w:pPr>
      <w:r w:rsidRPr="005C4421">
        <w:rPr>
          <w:sz w:val="20"/>
          <w:lang w:val="en-CA"/>
        </w:rPr>
        <w:t>By order in council No. 880-2017 of August 30, 2017, the government of Quebec referred the following two questions to the Quebec Court of Appeal:</w:t>
      </w:r>
    </w:p>
    <w:p w:rsidR="004C6206" w:rsidRPr="005C4421" w:rsidRDefault="004C6206">
      <w:pPr>
        <w:widowControl w:val="0"/>
        <w:jc w:val="both"/>
        <w:rPr>
          <w:sz w:val="20"/>
          <w:lang w:val="en-CA"/>
        </w:rPr>
      </w:pPr>
    </w:p>
    <w:p w:rsidR="004C6206" w:rsidRPr="005C4421" w:rsidRDefault="004C6206">
      <w:pPr>
        <w:widowControl w:val="0"/>
        <w:jc w:val="both"/>
        <w:rPr>
          <w:sz w:val="20"/>
          <w:lang w:val="en-CA"/>
        </w:rPr>
      </w:pPr>
      <w:r w:rsidRPr="005C4421">
        <w:rPr>
          <w:sz w:val="20"/>
          <w:lang w:val="en-CA"/>
        </w:rPr>
        <w:t>[</w:t>
      </w:r>
      <w:r w:rsidRPr="005C4421">
        <w:rPr>
          <w:smallCaps/>
          <w:sz w:val="20"/>
          <w:lang w:val="en-CA"/>
        </w:rPr>
        <w:t>translation</w:t>
      </w:r>
      <w:r w:rsidRPr="005C4421">
        <w:rPr>
          <w:sz w:val="20"/>
          <w:lang w:val="en-CA"/>
        </w:rPr>
        <w:t>]</w:t>
      </w:r>
    </w:p>
    <w:p w:rsidR="004C6206" w:rsidRPr="005C4421" w:rsidRDefault="004C6206">
      <w:pPr>
        <w:widowControl w:val="0"/>
        <w:jc w:val="both"/>
        <w:rPr>
          <w:sz w:val="20"/>
          <w:lang w:val="en-CA"/>
        </w:rPr>
      </w:pPr>
    </w:p>
    <w:p w:rsidR="004C6206" w:rsidRPr="005C4421" w:rsidRDefault="004C6206" w:rsidP="004C6206">
      <w:pPr>
        <w:pStyle w:val="ListParagraph"/>
        <w:widowControl w:val="0"/>
        <w:numPr>
          <w:ilvl w:val="0"/>
          <w:numId w:val="4"/>
        </w:numPr>
        <w:jc w:val="both"/>
        <w:rPr>
          <w:sz w:val="20"/>
        </w:rPr>
      </w:pPr>
      <w:r w:rsidRPr="005C4421">
        <w:rPr>
          <w:sz w:val="20"/>
        </w:rPr>
        <w:t xml:space="preserve">Are the provisions of the first paragraph of article 35 of the </w:t>
      </w:r>
      <w:r w:rsidRPr="005C4421">
        <w:rPr>
          <w:i/>
          <w:sz w:val="20"/>
        </w:rPr>
        <w:t>Code of Civil Procedure</w:t>
      </w:r>
      <w:r w:rsidRPr="005C4421">
        <w:rPr>
          <w:sz w:val="20"/>
        </w:rPr>
        <w:t xml:space="preserve">, CQLR, c. C-25.01, setting at less than $85,000 the limit to the exclusive monetary jurisdiction of the Court of Québec valid having regard to section 96 of the </w:t>
      </w:r>
      <w:r w:rsidRPr="005C4421">
        <w:rPr>
          <w:i/>
          <w:sz w:val="20"/>
        </w:rPr>
        <w:t>Constitution Act, 1867</w:t>
      </w:r>
      <w:r w:rsidRPr="005C4421">
        <w:rPr>
          <w:sz w:val="20"/>
        </w:rPr>
        <w:t xml:space="preserve"> given the jurisdiction of Quebec over the administration of justice under subsection 92(14) of the </w:t>
      </w:r>
      <w:r w:rsidRPr="005C4421">
        <w:rPr>
          <w:i/>
          <w:sz w:val="20"/>
        </w:rPr>
        <w:t>Constitution Act, 1867</w:t>
      </w:r>
      <w:r w:rsidRPr="005C4421">
        <w:rPr>
          <w:sz w:val="20"/>
        </w:rPr>
        <w:t>?</w:t>
      </w:r>
    </w:p>
    <w:p w:rsidR="004C6206" w:rsidRPr="005C4421" w:rsidRDefault="004C6206" w:rsidP="00A95BF2">
      <w:pPr>
        <w:widowControl w:val="0"/>
        <w:jc w:val="both"/>
        <w:rPr>
          <w:sz w:val="20"/>
          <w:lang w:val="en-CA"/>
        </w:rPr>
      </w:pPr>
    </w:p>
    <w:p w:rsidR="004C6206" w:rsidRPr="005C4421" w:rsidRDefault="004C6206" w:rsidP="004C6206">
      <w:pPr>
        <w:pStyle w:val="ListParagraph"/>
        <w:widowControl w:val="0"/>
        <w:numPr>
          <w:ilvl w:val="0"/>
          <w:numId w:val="4"/>
        </w:numPr>
        <w:jc w:val="both"/>
        <w:rPr>
          <w:sz w:val="20"/>
        </w:rPr>
      </w:pPr>
      <w:r w:rsidRPr="005C4421">
        <w:rPr>
          <w:sz w:val="20"/>
        </w:rPr>
        <w:t xml:space="preserve">Is it consistent with section 96 of the </w:t>
      </w:r>
      <w:r w:rsidRPr="005C4421">
        <w:rPr>
          <w:i/>
          <w:sz w:val="20"/>
        </w:rPr>
        <w:t>Constitution Act, 1867</w:t>
      </w:r>
      <w:r w:rsidRPr="005C4421">
        <w:rPr>
          <w:sz w:val="20"/>
        </w:rPr>
        <w:t xml:space="preserve"> to apply the obligation of judicial deference, which </w:t>
      </w:r>
      <w:r w:rsidRPr="005C4421">
        <w:rPr>
          <w:sz w:val="20"/>
        </w:rPr>
        <w:lastRenderedPageBreak/>
        <w:t xml:space="preserve">characterizes the application for judicial review, to the appeals to the Court of Québec provided for in sections 147 of the </w:t>
      </w:r>
      <w:r w:rsidRPr="005C4421">
        <w:rPr>
          <w:i/>
          <w:sz w:val="20"/>
          <w:lang w:val="en"/>
        </w:rPr>
        <w:t>Act respecting Access to documents held by public bodies and the Protection of personal information</w:t>
      </w:r>
      <w:r w:rsidRPr="005C4421">
        <w:rPr>
          <w:sz w:val="20"/>
        </w:rPr>
        <w:t xml:space="preserve">, CQLR, c. A-2.1, 115.16 of the </w:t>
      </w:r>
      <w:r w:rsidRPr="005C4421">
        <w:rPr>
          <w:i/>
          <w:sz w:val="20"/>
        </w:rPr>
        <w:t>Act respecting the Autorité des marchés financiers</w:t>
      </w:r>
      <w:r w:rsidRPr="005C4421">
        <w:rPr>
          <w:sz w:val="20"/>
        </w:rPr>
        <w:t xml:space="preserve">, CQLR, c. A-33.2, 100 of the </w:t>
      </w:r>
      <w:r w:rsidRPr="005C4421">
        <w:rPr>
          <w:i/>
          <w:sz w:val="20"/>
          <w:lang w:val="en"/>
        </w:rPr>
        <w:t>Real Estate Brokerage Act</w:t>
      </w:r>
      <w:r w:rsidRPr="005C4421">
        <w:rPr>
          <w:sz w:val="20"/>
        </w:rPr>
        <w:t xml:space="preserve">, CQLR, c. C-73.2, 379 of the </w:t>
      </w:r>
      <w:r w:rsidRPr="005C4421">
        <w:rPr>
          <w:i/>
          <w:sz w:val="20"/>
          <w:lang w:val="en"/>
        </w:rPr>
        <w:t>Act respecting the distribution of financial products and services</w:t>
      </w:r>
      <w:r w:rsidRPr="005C4421">
        <w:rPr>
          <w:sz w:val="20"/>
        </w:rPr>
        <w:t xml:space="preserve">, CQLR, c. D-9.2, 159 of the </w:t>
      </w:r>
      <w:r w:rsidRPr="005C4421">
        <w:rPr>
          <w:i/>
          <w:sz w:val="20"/>
        </w:rPr>
        <w:t>Act respecting administrative justice</w:t>
      </w:r>
      <w:r w:rsidRPr="005C4421">
        <w:rPr>
          <w:sz w:val="20"/>
        </w:rPr>
        <w:t xml:space="preserve">, CQLR, c. J-3, 240 and 241 of the </w:t>
      </w:r>
      <w:r w:rsidRPr="005C4421">
        <w:rPr>
          <w:i/>
          <w:sz w:val="20"/>
        </w:rPr>
        <w:t>Police Act</w:t>
      </w:r>
      <w:r w:rsidRPr="005C4421">
        <w:rPr>
          <w:sz w:val="20"/>
        </w:rPr>
        <w:t xml:space="preserve">, CQLR, c. P-13.1, 91 of the </w:t>
      </w:r>
      <w:r w:rsidRPr="005C4421">
        <w:rPr>
          <w:i/>
          <w:sz w:val="20"/>
        </w:rPr>
        <w:t>Act respecting the Régie du logement</w:t>
      </w:r>
      <w:r w:rsidRPr="005C4421">
        <w:rPr>
          <w:sz w:val="20"/>
        </w:rPr>
        <w:t xml:space="preserve">, CQLR, c. R-8.1, and 61 of the </w:t>
      </w:r>
      <w:r w:rsidRPr="005C4421">
        <w:rPr>
          <w:i/>
          <w:sz w:val="20"/>
          <w:lang w:val="en"/>
        </w:rPr>
        <w:t>Act respecting the protection of personal information in the private sector</w:t>
      </w:r>
      <w:r w:rsidRPr="005C4421">
        <w:rPr>
          <w:sz w:val="20"/>
        </w:rPr>
        <w:t>, CQLR, c. P-39.1?</w:t>
      </w:r>
    </w:p>
    <w:p w:rsidR="004C6206" w:rsidRPr="005C4421" w:rsidRDefault="004C6206">
      <w:pPr>
        <w:widowControl w:val="0"/>
        <w:jc w:val="both"/>
        <w:rPr>
          <w:sz w:val="20"/>
          <w:lang w:val="en-CA"/>
        </w:rPr>
      </w:pPr>
    </w:p>
    <w:p w:rsidR="004C6206" w:rsidRPr="005C4421" w:rsidRDefault="004C6206">
      <w:pPr>
        <w:widowControl w:val="0"/>
        <w:jc w:val="both"/>
        <w:rPr>
          <w:sz w:val="20"/>
          <w:lang w:val="en-CA"/>
        </w:rPr>
      </w:pPr>
      <w:r w:rsidRPr="005C4421">
        <w:rPr>
          <w:sz w:val="20"/>
          <w:lang w:val="en-CA"/>
        </w:rPr>
        <w:t xml:space="preserve">The Court of Appeal answered “no” to the first question, finding that art. 35 para. 1 infringes on the core jurisdiction of the Quebec Superior Court to decide certain substantive disputes in civil matters. To be consistent with s. 96 of the </w:t>
      </w:r>
      <w:r w:rsidRPr="005C4421">
        <w:rPr>
          <w:i/>
          <w:sz w:val="20"/>
          <w:lang w:val="en-CA"/>
        </w:rPr>
        <w:t>Constitution Act, 1867</w:t>
      </w:r>
      <w:r w:rsidRPr="005C4421">
        <w:rPr>
          <w:sz w:val="20"/>
          <w:lang w:val="en-CA"/>
        </w:rPr>
        <w:t>,</w:t>
      </w:r>
      <w:r w:rsidRPr="005C4421">
        <w:rPr>
          <w:i/>
          <w:sz w:val="20"/>
          <w:lang w:val="en-CA"/>
        </w:rPr>
        <w:t xml:space="preserve"> </w:t>
      </w:r>
      <w:r w:rsidRPr="005C4421">
        <w:rPr>
          <w:sz w:val="20"/>
          <w:lang w:val="en-CA"/>
        </w:rPr>
        <w:t>the maximum limit for the civil jurisdiction of the Court of Québec must fall between $55,000 and $70,000, subject to future updates. On the second question, the Court of Appeal answered “yes”, because none of the legislative schemes in question eliminates the superintending and reforming power of the Superior Court over decisions made by the Court of Québec sitting in appeal and because the Superior Court retains its fundamental role as the guardian of an independent and unified system of justice in Canada. A duplication of the powers of the Court of Québec and the Superior Court makes the system more cumbersome and perhaps stands contrary to the objectives of administrative justice, but this is insufficient to hold that a legislative grant of power is unconstitutional.</w:t>
      </w:r>
    </w:p>
    <w:p w:rsidR="004C6206" w:rsidRPr="005C4421" w:rsidRDefault="004C6206">
      <w:pPr>
        <w:widowControl w:val="0"/>
        <w:jc w:val="both"/>
        <w:rPr>
          <w:sz w:val="20"/>
          <w:lang w:val="en-CA"/>
        </w:rPr>
      </w:pPr>
    </w:p>
    <w:p w:rsidR="004C6206" w:rsidRPr="005C4421" w:rsidRDefault="005C4421">
      <w:pPr>
        <w:widowControl w:val="0"/>
        <w:jc w:val="both"/>
        <w:rPr>
          <w:sz w:val="20"/>
          <w:lang w:val="en-CA"/>
        </w:rPr>
      </w:pPr>
      <w:r w:rsidRPr="005C4421">
        <w:rPr>
          <w:sz w:val="20"/>
        </w:rPr>
        <w:pict>
          <v:rect id="_x0000_i1026" style="width:2in;height:1pt" o:hrpct="0" o:hralign="center" o:hrstd="t" o:hrnoshade="t" o:hr="t" fillcolor="black [3213]" stroked="f"/>
        </w:pict>
      </w:r>
    </w:p>
    <w:p w:rsidR="004C6206" w:rsidRPr="005C4421" w:rsidRDefault="004C6206">
      <w:pPr>
        <w:widowControl w:val="0"/>
        <w:jc w:val="both"/>
        <w:rPr>
          <w:sz w:val="20"/>
          <w:lang w:val="en-CA"/>
        </w:rPr>
      </w:pPr>
    </w:p>
    <w:p w:rsidR="004C6206" w:rsidRPr="005C4421" w:rsidRDefault="004C6206" w:rsidP="004C6206">
      <w:pPr>
        <w:widowControl w:val="0"/>
        <w:ind w:left="709" w:hanging="709"/>
        <w:jc w:val="both"/>
        <w:rPr>
          <w:b/>
          <w:i/>
          <w:sz w:val="20"/>
          <w:lang w:val="fr-CA"/>
        </w:rPr>
      </w:pPr>
      <w:r w:rsidRPr="005C4421">
        <w:rPr>
          <w:b/>
          <w:sz w:val="20"/>
          <w:lang w:val="fr-CA"/>
        </w:rPr>
        <w:t>38837</w:t>
      </w:r>
      <w:r w:rsidRPr="005C4421">
        <w:rPr>
          <w:sz w:val="20"/>
          <w:lang w:val="fr-CA"/>
        </w:rPr>
        <w:fldChar w:fldCharType="begin"/>
      </w:r>
      <w:r w:rsidRPr="005C4421">
        <w:rPr>
          <w:sz w:val="20"/>
          <w:lang w:val="fr-CA"/>
        </w:rPr>
        <w:instrText xml:space="preserve"> SEQ CHAPTER \h \r 1</w:instrText>
      </w:r>
      <w:r w:rsidRPr="005C4421">
        <w:rPr>
          <w:sz w:val="20"/>
        </w:rPr>
        <w:fldChar w:fldCharType="end"/>
      </w:r>
      <w:r w:rsidRPr="005C4421">
        <w:rPr>
          <w:sz w:val="20"/>
          <w:lang w:val="fr-CA"/>
        </w:rPr>
        <w:tab/>
      </w:r>
      <w:r w:rsidRPr="005C4421">
        <w:rPr>
          <w:b/>
          <w:i/>
          <w:sz w:val="20"/>
          <w:lang w:val="fr-CA"/>
        </w:rPr>
        <w:t>Conférence des juges de la Cour du Québec c. Juge en chef, et al.</w:t>
      </w:r>
    </w:p>
    <w:p w:rsidR="004C6206" w:rsidRPr="005C4421" w:rsidRDefault="004C6206" w:rsidP="004C6206">
      <w:pPr>
        <w:widowControl w:val="0"/>
        <w:ind w:left="709"/>
        <w:jc w:val="both"/>
        <w:rPr>
          <w:b/>
          <w:i/>
          <w:sz w:val="20"/>
          <w:lang w:val="fr-CA"/>
        </w:rPr>
      </w:pPr>
      <w:r w:rsidRPr="005C4421">
        <w:rPr>
          <w:b/>
          <w:i/>
          <w:sz w:val="20"/>
          <w:lang w:val="fr-CA"/>
        </w:rPr>
        <w:t>-et entre-</w:t>
      </w:r>
    </w:p>
    <w:p w:rsidR="004C6206" w:rsidRPr="005C4421" w:rsidRDefault="004C6206" w:rsidP="004C6206">
      <w:pPr>
        <w:widowControl w:val="0"/>
        <w:ind w:left="709"/>
        <w:jc w:val="both"/>
        <w:rPr>
          <w:b/>
          <w:i/>
          <w:sz w:val="20"/>
          <w:lang w:val="fr-CA"/>
        </w:rPr>
      </w:pPr>
      <w:r w:rsidRPr="005C4421">
        <w:rPr>
          <w:b/>
          <w:i/>
          <w:sz w:val="20"/>
          <w:lang w:val="fr-CA"/>
        </w:rPr>
        <w:t>Procureure général du Québec c. Juge en chef, et al.</w:t>
      </w:r>
    </w:p>
    <w:p w:rsidR="004C6206" w:rsidRPr="005C4421" w:rsidRDefault="004C6206" w:rsidP="004C6206">
      <w:pPr>
        <w:widowControl w:val="0"/>
        <w:ind w:left="709"/>
        <w:jc w:val="both"/>
        <w:rPr>
          <w:b/>
          <w:i/>
          <w:sz w:val="20"/>
          <w:lang w:val="fr-CA"/>
        </w:rPr>
      </w:pPr>
      <w:r w:rsidRPr="005C4421">
        <w:rPr>
          <w:b/>
          <w:i/>
          <w:sz w:val="20"/>
          <w:lang w:val="fr-CA"/>
        </w:rPr>
        <w:t>-et entre-</w:t>
      </w:r>
    </w:p>
    <w:p w:rsidR="004C6206" w:rsidRPr="005C4421" w:rsidRDefault="004C6206" w:rsidP="004C6206">
      <w:pPr>
        <w:widowControl w:val="0"/>
        <w:ind w:left="709"/>
        <w:jc w:val="both"/>
        <w:rPr>
          <w:b/>
          <w:i/>
          <w:sz w:val="20"/>
          <w:lang w:val="fr-CA"/>
        </w:rPr>
      </w:pPr>
      <w:r w:rsidRPr="005C4421">
        <w:rPr>
          <w:b/>
          <w:i/>
          <w:sz w:val="20"/>
          <w:lang w:val="fr-CA"/>
        </w:rPr>
        <w:t>Conseil de la magistrature du Québec c. Juge en chef, et al.</w:t>
      </w:r>
    </w:p>
    <w:p w:rsidR="004C6206" w:rsidRPr="005C4421" w:rsidRDefault="004C6206" w:rsidP="004C6206">
      <w:pPr>
        <w:widowControl w:val="0"/>
        <w:ind w:left="709"/>
        <w:jc w:val="both"/>
        <w:rPr>
          <w:b/>
          <w:i/>
          <w:sz w:val="20"/>
          <w:lang w:val="fr-CA"/>
        </w:rPr>
      </w:pPr>
      <w:r w:rsidRPr="005C4421">
        <w:rPr>
          <w:b/>
          <w:i/>
          <w:sz w:val="20"/>
          <w:lang w:val="fr-CA"/>
        </w:rPr>
        <w:t>-et entre-</w:t>
      </w:r>
    </w:p>
    <w:p w:rsidR="004C6206" w:rsidRPr="005C4421" w:rsidRDefault="004C6206" w:rsidP="004C6206">
      <w:pPr>
        <w:widowControl w:val="0"/>
        <w:ind w:left="709"/>
        <w:jc w:val="both"/>
        <w:rPr>
          <w:b/>
          <w:i/>
          <w:sz w:val="20"/>
          <w:lang w:val="fr-CA"/>
        </w:rPr>
      </w:pPr>
      <w:r w:rsidRPr="005C4421">
        <w:rPr>
          <w:b/>
          <w:i/>
          <w:sz w:val="20"/>
          <w:lang w:val="fr-CA"/>
        </w:rPr>
        <w:t xml:space="preserve">Association canadienne des juges des cours provinciales c. Juge en chef, et al. </w:t>
      </w:r>
    </w:p>
    <w:p w:rsidR="004C6206" w:rsidRPr="005C4421" w:rsidRDefault="004C6206" w:rsidP="004C6206">
      <w:pPr>
        <w:widowControl w:val="0"/>
        <w:ind w:left="709"/>
        <w:jc w:val="both"/>
        <w:rPr>
          <w:b/>
          <w:i/>
          <w:sz w:val="20"/>
          <w:lang w:val="fr-CA"/>
        </w:rPr>
      </w:pPr>
      <w:r w:rsidRPr="005C4421">
        <w:rPr>
          <w:b/>
          <w:i/>
          <w:sz w:val="20"/>
          <w:lang w:val="fr-CA"/>
        </w:rPr>
        <w:t>-et entre-</w:t>
      </w:r>
    </w:p>
    <w:p w:rsidR="004C6206" w:rsidRPr="005C4421" w:rsidRDefault="004C6206" w:rsidP="004C6206">
      <w:pPr>
        <w:widowControl w:val="0"/>
        <w:ind w:left="709"/>
        <w:jc w:val="both"/>
        <w:rPr>
          <w:i/>
          <w:sz w:val="20"/>
          <w:lang w:val="fr-CA"/>
        </w:rPr>
      </w:pPr>
      <w:r w:rsidRPr="005C4421">
        <w:rPr>
          <w:b/>
          <w:i/>
          <w:sz w:val="20"/>
          <w:lang w:val="fr-CA"/>
        </w:rPr>
        <w:t xml:space="preserve">Juge en chef, et al. </w:t>
      </w:r>
      <w:proofErr w:type="gramStart"/>
      <w:r w:rsidRPr="005C4421">
        <w:rPr>
          <w:b/>
          <w:i/>
          <w:sz w:val="20"/>
          <w:lang w:val="fr-CA"/>
        </w:rPr>
        <w:t>c</w:t>
      </w:r>
      <w:proofErr w:type="gramEnd"/>
      <w:r w:rsidRPr="005C4421">
        <w:rPr>
          <w:b/>
          <w:i/>
          <w:sz w:val="20"/>
          <w:lang w:val="fr-CA"/>
        </w:rPr>
        <w:t>. Procureure générale du Québec</w:t>
      </w:r>
    </w:p>
    <w:p w:rsidR="004C6206" w:rsidRPr="005C4421" w:rsidRDefault="004C6206" w:rsidP="004C6206">
      <w:pPr>
        <w:widowControl w:val="0"/>
        <w:ind w:left="709"/>
        <w:jc w:val="both"/>
        <w:rPr>
          <w:sz w:val="20"/>
          <w:lang w:val="fr-CA"/>
        </w:rPr>
      </w:pPr>
      <w:r w:rsidRPr="005C4421">
        <w:rPr>
          <w:sz w:val="20"/>
          <w:lang w:val="fr-CA"/>
        </w:rPr>
        <w:t>(Q</w:t>
      </w:r>
      <w:r w:rsidR="00E11385" w:rsidRPr="005C4421">
        <w:rPr>
          <w:sz w:val="20"/>
          <w:lang w:val="fr-CA"/>
        </w:rPr>
        <w:t>c</w:t>
      </w:r>
      <w:r w:rsidRPr="005C4421">
        <w:rPr>
          <w:sz w:val="20"/>
          <w:lang w:val="fr-CA"/>
        </w:rPr>
        <w:t>) (Civile) (De plein droit)</w:t>
      </w:r>
    </w:p>
    <w:p w:rsidR="004C6206" w:rsidRPr="005C4421" w:rsidRDefault="004C6206" w:rsidP="004C6206">
      <w:pPr>
        <w:widowControl w:val="0"/>
        <w:ind w:left="709" w:hanging="709"/>
        <w:jc w:val="both"/>
        <w:rPr>
          <w:sz w:val="20"/>
          <w:lang w:val="fr-CA"/>
        </w:rPr>
      </w:pPr>
    </w:p>
    <w:p w:rsidR="004C6206" w:rsidRPr="005C4421" w:rsidRDefault="004C6206">
      <w:pPr>
        <w:widowControl w:val="0"/>
        <w:jc w:val="both"/>
        <w:rPr>
          <w:sz w:val="20"/>
          <w:lang w:val="fr-CA"/>
        </w:rPr>
      </w:pPr>
      <w:r w:rsidRPr="005C4421">
        <w:rPr>
          <w:sz w:val="20"/>
          <w:lang w:val="fr-CA"/>
        </w:rPr>
        <w:t xml:space="preserve">Droit constitutionnel — Tribunaux — Seuil de compétence pécuniaire exclusive de la Cour du Québec — Obligation de déférence judiciaire aux appels à la Cour du Québec — </w:t>
      </w:r>
      <w:r w:rsidRPr="005C4421">
        <w:rPr>
          <w:i/>
          <w:sz w:val="20"/>
          <w:lang w:val="fr-CA"/>
        </w:rPr>
        <w:t>Code de procédure civile</w:t>
      </w:r>
      <w:r w:rsidRPr="005C4421">
        <w:rPr>
          <w:sz w:val="20"/>
          <w:lang w:val="fr-CA"/>
        </w:rPr>
        <w:t xml:space="preserve">, RLRQ, c. C-25.01, art. 35 — </w:t>
      </w:r>
      <w:r w:rsidRPr="005C4421">
        <w:rPr>
          <w:i/>
          <w:sz w:val="20"/>
          <w:lang w:val="fr-CA"/>
        </w:rPr>
        <w:t>Loi constitutionnelle de 1867</w:t>
      </w:r>
      <w:r w:rsidRPr="005C4421">
        <w:rPr>
          <w:sz w:val="20"/>
          <w:lang w:val="fr-CA"/>
        </w:rPr>
        <w:t>, art. 92(14) et 96.</w:t>
      </w:r>
    </w:p>
    <w:p w:rsidR="004C6206" w:rsidRPr="005C4421" w:rsidRDefault="004C6206">
      <w:pPr>
        <w:widowControl w:val="0"/>
        <w:jc w:val="both"/>
        <w:rPr>
          <w:sz w:val="20"/>
          <w:lang w:val="fr-CA"/>
        </w:rPr>
      </w:pPr>
    </w:p>
    <w:p w:rsidR="004C6206" w:rsidRPr="005C4421" w:rsidRDefault="004C6206">
      <w:pPr>
        <w:widowControl w:val="0"/>
        <w:jc w:val="both"/>
        <w:rPr>
          <w:sz w:val="20"/>
          <w:lang w:val="fr-CA"/>
        </w:rPr>
      </w:pPr>
      <w:r w:rsidRPr="005C4421">
        <w:rPr>
          <w:sz w:val="20"/>
          <w:lang w:val="fr-CA"/>
        </w:rPr>
        <w:t>Par le décret n</w:t>
      </w:r>
      <w:r w:rsidRPr="005C4421">
        <w:rPr>
          <w:sz w:val="20"/>
          <w:vertAlign w:val="superscript"/>
          <w:lang w:val="fr-CA"/>
        </w:rPr>
        <w:t>o</w:t>
      </w:r>
      <w:r w:rsidRPr="005C4421">
        <w:rPr>
          <w:sz w:val="20"/>
          <w:lang w:val="fr-CA"/>
        </w:rPr>
        <w:t xml:space="preserve"> 880-2017 du 30 août 2017, le gouvernement du Québec soumet les deux questions suivantes à la Cour d’appel du Québec :</w:t>
      </w:r>
    </w:p>
    <w:p w:rsidR="004C6206" w:rsidRPr="005C4421" w:rsidRDefault="004C6206">
      <w:pPr>
        <w:widowControl w:val="0"/>
        <w:jc w:val="both"/>
        <w:rPr>
          <w:sz w:val="20"/>
          <w:lang w:val="fr-CA"/>
        </w:rPr>
      </w:pPr>
    </w:p>
    <w:p w:rsidR="004C6206" w:rsidRPr="005C4421" w:rsidRDefault="004C6206" w:rsidP="00D92DAA">
      <w:pPr>
        <w:pStyle w:val="ListParagraph"/>
        <w:widowControl w:val="0"/>
        <w:numPr>
          <w:ilvl w:val="0"/>
          <w:numId w:val="5"/>
        </w:numPr>
        <w:jc w:val="both"/>
        <w:rPr>
          <w:sz w:val="20"/>
          <w:lang w:val="fr-CA"/>
        </w:rPr>
      </w:pPr>
      <w:r w:rsidRPr="005C4421">
        <w:rPr>
          <w:sz w:val="20"/>
          <w:lang w:val="fr-CA"/>
        </w:rPr>
        <w:t xml:space="preserve">Les dispositions du premier alinéa de l’article 35 du </w:t>
      </w:r>
      <w:r w:rsidRPr="005C4421">
        <w:rPr>
          <w:i/>
          <w:sz w:val="20"/>
          <w:lang w:val="fr-CA"/>
        </w:rPr>
        <w:t>Code de procédure civile</w:t>
      </w:r>
      <w:r w:rsidRPr="005C4421">
        <w:rPr>
          <w:sz w:val="20"/>
          <w:lang w:val="fr-CA"/>
        </w:rPr>
        <w:t xml:space="preserve">, RLRQ, c. C-25.01, fixant, à moins de 85 000 $, le seuil de la compétence pécuniaire exclusive de la Cour du Québec, sont-elles valides au regard de l’article 96 de la </w:t>
      </w:r>
      <w:r w:rsidRPr="005C4421">
        <w:rPr>
          <w:i/>
          <w:sz w:val="20"/>
          <w:lang w:val="fr-CA"/>
        </w:rPr>
        <w:t>Loi constitutionnelle de 1867</w:t>
      </w:r>
      <w:r w:rsidRPr="005C4421">
        <w:rPr>
          <w:sz w:val="20"/>
          <w:lang w:val="fr-CA"/>
        </w:rPr>
        <w:t xml:space="preserve">, étant donné la compétence du Québec sur l’administration de la justice aux termes du paragraphe 92(14) de la </w:t>
      </w:r>
      <w:r w:rsidRPr="005C4421">
        <w:rPr>
          <w:i/>
          <w:sz w:val="20"/>
          <w:lang w:val="fr-CA"/>
        </w:rPr>
        <w:t>Loi constitutionnelle de 1867</w:t>
      </w:r>
      <w:r w:rsidRPr="005C4421">
        <w:rPr>
          <w:sz w:val="20"/>
          <w:lang w:val="fr-CA"/>
        </w:rPr>
        <w:t>?</w:t>
      </w:r>
    </w:p>
    <w:p w:rsidR="004C6206" w:rsidRPr="005C4421" w:rsidRDefault="004C6206" w:rsidP="00A95BF2">
      <w:pPr>
        <w:widowControl w:val="0"/>
        <w:jc w:val="both"/>
        <w:rPr>
          <w:sz w:val="20"/>
          <w:lang w:val="fr-CA"/>
        </w:rPr>
      </w:pPr>
    </w:p>
    <w:p w:rsidR="004C6206" w:rsidRPr="005C4421" w:rsidRDefault="004C6206" w:rsidP="00D92DAA">
      <w:pPr>
        <w:pStyle w:val="ListParagraph"/>
        <w:widowControl w:val="0"/>
        <w:numPr>
          <w:ilvl w:val="0"/>
          <w:numId w:val="5"/>
        </w:numPr>
        <w:jc w:val="both"/>
        <w:rPr>
          <w:sz w:val="20"/>
          <w:lang w:val="fr-CA"/>
        </w:rPr>
      </w:pPr>
      <w:r w:rsidRPr="005C4421">
        <w:rPr>
          <w:sz w:val="20"/>
          <w:lang w:val="fr-CA"/>
        </w:rPr>
        <w:t xml:space="preserve">Est-il compatible avec l’article 96 de la </w:t>
      </w:r>
      <w:r w:rsidRPr="005C4421">
        <w:rPr>
          <w:i/>
          <w:sz w:val="20"/>
          <w:lang w:val="fr-CA"/>
        </w:rPr>
        <w:t>Loi constitutionnelle de 1867</w:t>
      </w:r>
      <w:r w:rsidRPr="005C4421">
        <w:rPr>
          <w:sz w:val="20"/>
          <w:lang w:val="fr-CA"/>
        </w:rPr>
        <w:t xml:space="preserve"> d’appliquer l’obligation de déférence judiciaire, qui caractérise le pourvoi en contrôle judiciaire, aux appels à la Cour du Québec prévus aux articles 147 de la </w:t>
      </w:r>
      <w:r w:rsidRPr="005C4421">
        <w:rPr>
          <w:i/>
          <w:sz w:val="20"/>
          <w:lang w:val="fr-CA"/>
        </w:rPr>
        <w:t>Loi sur l’accès aux documents des organismes publics et sur la protection des renseignements personnels</w:t>
      </w:r>
      <w:r w:rsidRPr="005C4421">
        <w:rPr>
          <w:sz w:val="20"/>
          <w:lang w:val="fr-CA"/>
        </w:rPr>
        <w:t xml:space="preserve">, RLRQ, c. A-2.1, 115.16 de la </w:t>
      </w:r>
      <w:r w:rsidRPr="005C4421">
        <w:rPr>
          <w:i/>
          <w:sz w:val="20"/>
          <w:lang w:val="fr-CA"/>
        </w:rPr>
        <w:t>Loi sur l’Autorité des marchés financiers</w:t>
      </w:r>
      <w:r w:rsidRPr="005C4421">
        <w:rPr>
          <w:sz w:val="20"/>
          <w:lang w:val="fr-CA"/>
        </w:rPr>
        <w:t xml:space="preserve">, RLRQ, c. A-33.2, 100 de la </w:t>
      </w:r>
      <w:r w:rsidRPr="005C4421">
        <w:rPr>
          <w:i/>
          <w:sz w:val="20"/>
          <w:lang w:val="fr-CA"/>
        </w:rPr>
        <w:t>Loi sur le courtage immobilier</w:t>
      </w:r>
      <w:r w:rsidRPr="005C4421">
        <w:rPr>
          <w:sz w:val="20"/>
          <w:lang w:val="fr-CA"/>
        </w:rPr>
        <w:t xml:space="preserve">, RLRQ, c. C-73.2, 379 de la </w:t>
      </w:r>
      <w:r w:rsidRPr="005C4421">
        <w:rPr>
          <w:i/>
          <w:sz w:val="20"/>
          <w:lang w:val="fr-CA"/>
        </w:rPr>
        <w:t>Loi sur la distribution des produits et services financiers</w:t>
      </w:r>
      <w:r w:rsidRPr="005C4421">
        <w:rPr>
          <w:sz w:val="20"/>
          <w:lang w:val="fr-CA"/>
        </w:rPr>
        <w:t xml:space="preserve">, RLRQ, c. D-9.2, 159 de la </w:t>
      </w:r>
      <w:r w:rsidRPr="005C4421">
        <w:rPr>
          <w:i/>
          <w:sz w:val="20"/>
          <w:lang w:val="fr-CA"/>
        </w:rPr>
        <w:t>Loi sur la justice administrative</w:t>
      </w:r>
      <w:r w:rsidRPr="005C4421">
        <w:rPr>
          <w:sz w:val="20"/>
          <w:lang w:val="fr-CA"/>
        </w:rPr>
        <w:t xml:space="preserve">, RLRQ, c. J-3, 240 et 241 de la </w:t>
      </w:r>
      <w:r w:rsidRPr="005C4421">
        <w:rPr>
          <w:i/>
          <w:sz w:val="20"/>
          <w:lang w:val="fr-CA"/>
        </w:rPr>
        <w:t>Loi sur la police</w:t>
      </w:r>
      <w:r w:rsidRPr="005C4421">
        <w:rPr>
          <w:sz w:val="20"/>
          <w:lang w:val="fr-CA"/>
        </w:rPr>
        <w:t xml:space="preserve">, RLRQ, c. P-13.1, 91 de la </w:t>
      </w:r>
      <w:r w:rsidRPr="005C4421">
        <w:rPr>
          <w:i/>
          <w:sz w:val="20"/>
          <w:lang w:val="fr-CA"/>
        </w:rPr>
        <w:t>Loi sur la Régie du logement</w:t>
      </w:r>
      <w:r w:rsidRPr="005C4421">
        <w:rPr>
          <w:sz w:val="20"/>
          <w:lang w:val="fr-CA"/>
        </w:rPr>
        <w:t xml:space="preserve">, RLRQ, c. R-8.1, et 61 de la </w:t>
      </w:r>
      <w:r w:rsidRPr="005C4421">
        <w:rPr>
          <w:i/>
          <w:sz w:val="20"/>
          <w:lang w:val="fr-CA"/>
        </w:rPr>
        <w:t>Loi sur la protection des renseignements personnels dans le secteur privé</w:t>
      </w:r>
      <w:r w:rsidRPr="005C4421">
        <w:rPr>
          <w:sz w:val="20"/>
          <w:lang w:val="fr-CA"/>
        </w:rPr>
        <w:t>, RLRQ, c. P-39.1?</w:t>
      </w:r>
    </w:p>
    <w:p w:rsidR="004C6206" w:rsidRPr="005C4421" w:rsidRDefault="004C6206">
      <w:pPr>
        <w:widowControl w:val="0"/>
        <w:jc w:val="both"/>
        <w:rPr>
          <w:sz w:val="20"/>
          <w:lang w:val="fr-CA"/>
        </w:rPr>
      </w:pPr>
    </w:p>
    <w:p w:rsidR="004C6206" w:rsidRPr="005C4421" w:rsidRDefault="004C6206">
      <w:pPr>
        <w:widowControl w:val="0"/>
        <w:jc w:val="both"/>
        <w:rPr>
          <w:sz w:val="20"/>
          <w:lang w:val="fr-CA"/>
        </w:rPr>
      </w:pPr>
      <w:r w:rsidRPr="005C4421">
        <w:rPr>
          <w:sz w:val="20"/>
          <w:lang w:val="fr-CA"/>
        </w:rPr>
        <w:t xml:space="preserve">La Cour d’appel répond « non » à la première question, estimant que l’art. 35 al. 1 entrave la compétence fondamentale de la Cour supérieure du Québec de trancher certains différends substantiels en matière civile. Afin de respecter l’art. 96 de la </w:t>
      </w:r>
      <w:r w:rsidRPr="005C4421">
        <w:rPr>
          <w:i/>
          <w:sz w:val="20"/>
          <w:lang w:val="fr-CA"/>
        </w:rPr>
        <w:t>Loi constitutionnelle de 1867</w:t>
      </w:r>
      <w:r w:rsidRPr="005C4421">
        <w:rPr>
          <w:sz w:val="20"/>
          <w:lang w:val="fr-CA"/>
        </w:rPr>
        <w:t>,</w:t>
      </w:r>
      <w:r w:rsidRPr="005C4421">
        <w:rPr>
          <w:i/>
          <w:sz w:val="20"/>
          <w:lang w:val="fr-CA"/>
        </w:rPr>
        <w:t xml:space="preserve"> </w:t>
      </w:r>
      <w:r w:rsidRPr="005C4421">
        <w:rPr>
          <w:sz w:val="20"/>
          <w:lang w:val="fr-CA"/>
        </w:rPr>
        <w:t xml:space="preserve">la limite maximale de la compétence de la Cour du Québec en matière civile doit se situer entre 55 000 $ et 70 000 $, sous réserve d’actualisations futures. Quant à la deuxième question, la Cour d’appel répond « oui », puisqu’aucun des régimes législatifs en cause ne supprime le pouvoir de surveillance et de contrôle de la Cour supérieure sur les décisions de la Cour du Québec siégeant en appel et puisque la Cour supérieure conserve son rôle fondamental de veiller à une justice indépendante et unifiée au Canada. Un dédoublement des </w:t>
      </w:r>
      <w:r w:rsidRPr="005C4421">
        <w:rPr>
          <w:sz w:val="20"/>
          <w:lang w:val="fr-CA"/>
        </w:rPr>
        <w:lastRenderedPageBreak/>
        <w:t>pouvoirs de la Cour du Québec et de ceux de la Cour supérieure crée une certaine lourdeur et contrarie peut-être les objectifs de la justice administrative, mais ce n’est pas suffisant pour conclure à l’inconstitutionnalité d’une attribution législative de pouvoir.</w:t>
      </w:r>
    </w:p>
    <w:p w:rsidR="004C6206" w:rsidRPr="005C4421" w:rsidRDefault="004C6206" w:rsidP="00340C6D">
      <w:pPr>
        <w:jc w:val="both"/>
        <w:rPr>
          <w:sz w:val="20"/>
          <w:lang w:val="fr-CA"/>
        </w:rPr>
      </w:pPr>
    </w:p>
    <w:p w:rsidR="004C6206" w:rsidRPr="005C4421" w:rsidRDefault="005C4421" w:rsidP="00340C6D">
      <w:pPr>
        <w:jc w:val="both"/>
        <w:rPr>
          <w:sz w:val="20"/>
          <w:lang w:val="fr-CA"/>
        </w:rPr>
      </w:pPr>
      <w:r w:rsidRPr="005C4421">
        <w:rPr>
          <w:sz w:val="20"/>
        </w:rPr>
        <w:pict>
          <v:rect id="_x0000_i1027" style="width:2in;height:1pt" o:hrpct="0" o:hralign="center" o:hrstd="t" o:hrnoshade="t" o:hr="t" fillcolor="black [3213]" stroked="f"/>
        </w:pict>
      </w:r>
    </w:p>
    <w:p w:rsidR="007C40A3" w:rsidRPr="005C4421" w:rsidRDefault="007C40A3" w:rsidP="00340C6D">
      <w:pPr>
        <w:jc w:val="both"/>
        <w:rPr>
          <w:sz w:val="20"/>
          <w:lang w:val="fr-CA"/>
        </w:rPr>
      </w:pPr>
    </w:p>
    <w:p w:rsidR="00A51565" w:rsidRPr="005C4421" w:rsidRDefault="00A51565" w:rsidP="00340C6D">
      <w:pPr>
        <w:jc w:val="both"/>
        <w:rPr>
          <w:sz w:val="20"/>
        </w:rPr>
      </w:pPr>
    </w:p>
    <w:p w:rsidR="00072A63" w:rsidRPr="005C4421" w:rsidRDefault="00072A63" w:rsidP="00EC79B0">
      <w:pPr>
        <w:jc w:val="both"/>
        <w:rPr>
          <w:sz w:val="20"/>
          <w:lang w:val="fr-CA"/>
        </w:rPr>
      </w:pPr>
    </w:p>
    <w:p w:rsidR="001C4415" w:rsidRPr="005C4421" w:rsidRDefault="001C4415" w:rsidP="001C4415">
      <w:pPr>
        <w:widowControl w:val="0"/>
        <w:outlineLvl w:val="0"/>
      </w:pPr>
      <w:r w:rsidRPr="005C4421">
        <w:t xml:space="preserve">Supreme Court of Canada / Cour suprême du </w:t>
      </w:r>
      <w:proofErr w:type="gramStart"/>
      <w:r w:rsidRPr="005C4421">
        <w:t>Canada :</w:t>
      </w:r>
      <w:proofErr w:type="gramEnd"/>
      <w:r w:rsidRPr="005C4421">
        <w:t xml:space="preserve"> </w:t>
      </w:r>
    </w:p>
    <w:p w:rsidR="001C4415" w:rsidRPr="005C4421" w:rsidRDefault="005C4421" w:rsidP="001C4415">
      <w:pPr>
        <w:widowControl w:val="0"/>
        <w:outlineLvl w:val="0"/>
      </w:pPr>
      <w:hyperlink r:id="rId8" w:history="1">
        <w:r w:rsidR="001C4415" w:rsidRPr="005C4421">
          <w:rPr>
            <w:rStyle w:val="Hyperlink"/>
          </w:rPr>
          <w:t>comments-commentaires@scc-csc.ca</w:t>
        </w:r>
      </w:hyperlink>
    </w:p>
    <w:p w:rsidR="001C4415" w:rsidRPr="005C4421" w:rsidRDefault="001C4415" w:rsidP="001C4415">
      <w:pPr>
        <w:widowControl w:val="0"/>
        <w:outlineLvl w:val="0"/>
      </w:pPr>
      <w:r w:rsidRPr="005C4421">
        <w:t>(613) 995-4330</w:t>
      </w:r>
    </w:p>
    <w:p w:rsidR="001C4415" w:rsidRPr="005C4421" w:rsidRDefault="001C4415" w:rsidP="001C4415">
      <w:pPr>
        <w:widowControl w:val="0"/>
        <w:rPr>
          <w:sz w:val="20"/>
        </w:rPr>
      </w:pPr>
    </w:p>
    <w:p w:rsidR="0036476C" w:rsidRPr="00A8502B" w:rsidRDefault="001C4415" w:rsidP="0036476C">
      <w:pPr>
        <w:pStyle w:val="Footer"/>
        <w:jc w:val="center"/>
        <w:rPr>
          <w:lang w:val="fr-CA"/>
        </w:rPr>
      </w:pPr>
      <w:r w:rsidRPr="005C4421">
        <w:rPr>
          <w:lang w:val="fr-CA"/>
        </w:rPr>
        <w:t xml:space="preserve">- 30 </w:t>
      </w:r>
      <w:r w:rsidR="003C1B6E" w:rsidRPr="005C4421">
        <w:rPr>
          <w:lang w:val="fr-CA"/>
        </w:rPr>
        <w:t>-</w:t>
      </w:r>
      <w:bookmarkStart w:id="3" w:name="_GoBack"/>
      <w:bookmarkEnd w:id="3"/>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61768B"/>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A017B"/>
    <w:rsid w:val="004A114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4421"/>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2E3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4E11"/>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2DAA"/>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1385"/>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883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2021-06-25T15:15:00Z</dcterms:modified>
</cp:coreProperties>
</file>