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3941E2" w:rsidRDefault="002A192B" w:rsidP="002A192B">
      <w:pPr>
        <w:pStyle w:val="Header"/>
        <w:jc w:val="center"/>
        <w:rPr>
          <w:b/>
          <w:sz w:val="32"/>
        </w:rPr>
      </w:pPr>
      <w:r w:rsidRPr="003941E2">
        <w:rPr>
          <w:b/>
          <w:sz w:val="32"/>
        </w:rPr>
        <w:t>Supreme Court of Canada / Cour suprême du Canada</w:t>
      </w:r>
    </w:p>
    <w:p w:rsidR="002A192B" w:rsidRPr="003941E2" w:rsidRDefault="002A192B" w:rsidP="002A192B">
      <w:pPr>
        <w:widowControl w:val="0"/>
        <w:rPr>
          <w:i/>
        </w:rPr>
      </w:pPr>
    </w:p>
    <w:p w:rsidR="002A192B" w:rsidRPr="003941E2" w:rsidRDefault="002A192B" w:rsidP="002A192B">
      <w:pPr>
        <w:widowControl w:val="0"/>
        <w:rPr>
          <w:i/>
        </w:rPr>
      </w:pPr>
    </w:p>
    <w:p w:rsidR="001C4415" w:rsidRPr="003941E2" w:rsidRDefault="001C4415" w:rsidP="001C4415">
      <w:pPr>
        <w:widowControl w:val="0"/>
        <w:rPr>
          <w:i/>
          <w:sz w:val="20"/>
        </w:rPr>
      </w:pPr>
      <w:r w:rsidRPr="003941E2">
        <w:rPr>
          <w:i/>
          <w:sz w:val="20"/>
        </w:rPr>
        <w:t>(</w:t>
      </w:r>
      <w:r w:rsidR="003C50BF" w:rsidRPr="003941E2">
        <w:rPr>
          <w:i/>
          <w:sz w:val="20"/>
        </w:rPr>
        <w:t>Le</w:t>
      </w:r>
      <w:r w:rsidRPr="003941E2">
        <w:rPr>
          <w:i/>
          <w:sz w:val="20"/>
        </w:rPr>
        <w:t xml:space="preserve"> français suit)</w:t>
      </w:r>
    </w:p>
    <w:p w:rsidR="001C4415" w:rsidRPr="003941E2" w:rsidRDefault="001C4415" w:rsidP="001C4415">
      <w:pPr>
        <w:widowControl w:val="0"/>
      </w:pPr>
    </w:p>
    <w:p w:rsidR="001C4415" w:rsidRPr="003941E2" w:rsidRDefault="000347C1" w:rsidP="00214729">
      <w:pPr>
        <w:widowControl w:val="0"/>
        <w:jc w:val="center"/>
        <w:rPr>
          <w:b/>
        </w:rPr>
      </w:pPr>
      <w:r w:rsidRPr="003941E2">
        <w:fldChar w:fldCharType="begin"/>
      </w:r>
      <w:r w:rsidR="00FA7412" w:rsidRPr="003941E2">
        <w:instrText xml:space="preserve"> SEQ CHAPTER \h \r 1</w:instrText>
      </w:r>
      <w:r w:rsidRPr="003941E2">
        <w:fldChar w:fldCharType="end"/>
      </w:r>
      <w:r w:rsidR="00455BB9" w:rsidRPr="003941E2">
        <w:rPr>
          <w:b/>
        </w:rPr>
        <w:t>JUDGMENT</w:t>
      </w:r>
      <w:r w:rsidR="00FA7412" w:rsidRPr="003941E2">
        <w:rPr>
          <w:b/>
        </w:rPr>
        <w:t xml:space="preserve"> TO BE RENDERED IN APPEA</w:t>
      </w:r>
      <w:r w:rsidR="00CC2799" w:rsidRPr="003941E2">
        <w:rPr>
          <w:b/>
        </w:rPr>
        <w:t>L</w:t>
      </w:r>
    </w:p>
    <w:p w:rsidR="005A7C1B" w:rsidRPr="003941E2" w:rsidRDefault="005A7C1B" w:rsidP="005A7C1B">
      <w:pPr>
        <w:widowControl w:val="0"/>
      </w:pPr>
    </w:p>
    <w:p w:rsidR="00EC79B0" w:rsidRPr="003941E2" w:rsidRDefault="00151471" w:rsidP="00EC79B0">
      <w:pPr>
        <w:widowControl w:val="0"/>
      </w:pPr>
      <w:r w:rsidRPr="003941E2">
        <w:rPr>
          <w:b/>
        </w:rPr>
        <w:t>Ju</w:t>
      </w:r>
      <w:r w:rsidR="002D0767" w:rsidRPr="003941E2">
        <w:rPr>
          <w:b/>
        </w:rPr>
        <w:t>ly</w:t>
      </w:r>
      <w:r w:rsidR="00C86395" w:rsidRPr="003941E2">
        <w:rPr>
          <w:b/>
        </w:rPr>
        <w:t xml:space="preserve"> </w:t>
      </w:r>
      <w:r w:rsidR="00A10877" w:rsidRPr="003941E2">
        <w:rPr>
          <w:b/>
        </w:rPr>
        <w:t>2</w:t>
      </w:r>
      <w:r w:rsidR="008D6F4B" w:rsidRPr="003941E2">
        <w:rPr>
          <w:b/>
        </w:rPr>
        <w:t>2</w:t>
      </w:r>
      <w:r w:rsidR="00EC79B0" w:rsidRPr="003941E2">
        <w:rPr>
          <w:b/>
        </w:rPr>
        <w:t>, 2</w:t>
      </w:r>
      <w:r w:rsidR="00E6600C" w:rsidRPr="003941E2">
        <w:rPr>
          <w:b/>
        </w:rPr>
        <w:t>0</w:t>
      </w:r>
      <w:r w:rsidR="009544E9" w:rsidRPr="003941E2">
        <w:rPr>
          <w:b/>
        </w:rPr>
        <w:t>2</w:t>
      </w:r>
      <w:r w:rsidR="00E65255" w:rsidRPr="003941E2">
        <w:rPr>
          <w:b/>
        </w:rPr>
        <w:t>1</w:t>
      </w:r>
    </w:p>
    <w:p w:rsidR="00EC79B0" w:rsidRPr="003941E2" w:rsidRDefault="00EC79B0" w:rsidP="00EC79B0">
      <w:pPr>
        <w:widowControl w:val="0"/>
        <w:rPr>
          <w:b/>
        </w:rPr>
      </w:pPr>
      <w:r w:rsidRPr="003941E2">
        <w:rPr>
          <w:b/>
        </w:rPr>
        <w:t>For immediate release</w:t>
      </w:r>
    </w:p>
    <w:p w:rsidR="00EC79B0" w:rsidRPr="003941E2" w:rsidRDefault="00EC79B0" w:rsidP="00EC79B0">
      <w:pPr>
        <w:widowControl w:val="0"/>
      </w:pPr>
    </w:p>
    <w:p w:rsidR="00EC79B0" w:rsidRPr="003941E2" w:rsidRDefault="00EC79B0" w:rsidP="00EC79B0">
      <w:pPr>
        <w:widowControl w:val="0"/>
        <w:rPr>
          <w:lang w:val="fr-CA"/>
        </w:rPr>
      </w:pPr>
      <w:r w:rsidRPr="003941E2">
        <w:rPr>
          <w:b/>
        </w:rPr>
        <w:t>OTTAWA</w:t>
      </w:r>
      <w:r w:rsidRPr="003941E2">
        <w:t xml:space="preserve"> – The Supreme Court of Canad</w:t>
      </w:r>
      <w:r w:rsidR="00455BB9" w:rsidRPr="003941E2">
        <w:t>a announced today that judgment</w:t>
      </w:r>
      <w:r w:rsidRPr="003941E2">
        <w:t xml:space="preserve"> in the following appeal will be delivered at 9:45 a.m. E</w:t>
      </w:r>
      <w:r w:rsidR="00A51565" w:rsidRPr="003941E2">
        <w:t>D</w:t>
      </w:r>
      <w:r w:rsidR="00DC6C1E" w:rsidRPr="003941E2">
        <w:t>T</w:t>
      </w:r>
      <w:r w:rsidR="00D74667" w:rsidRPr="003941E2">
        <w:t xml:space="preserve"> on</w:t>
      </w:r>
      <w:r w:rsidR="00DC6C1E" w:rsidRPr="003941E2">
        <w:t xml:space="preserve"> </w:t>
      </w:r>
      <w:r w:rsidR="008D6F4B" w:rsidRPr="003941E2">
        <w:t>Wednes</w:t>
      </w:r>
      <w:r w:rsidR="00A10877" w:rsidRPr="003941E2">
        <w:t>day</w:t>
      </w:r>
      <w:r w:rsidR="000A7900" w:rsidRPr="003941E2">
        <w:t xml:space="preserve">, </w:t>
      </w:r>
      <w:r w:rsidR="002D0767" w:rsidRPr="003941E2">
        <w:t>July</w:t>
      </w:r>
      <w:r w:rsidR="004E605A" w:rsidRPr="003941E2">
        <w:t xml:space="preserve"> </w:t>
      </w:r>
      <w:r w:rsidR="002D0767" w:rsidRPr="003941E2">
        <w:t>2</w:t>
      </w:r>
      <w:r w:rsidR="008D6F4B" w:rsidRPr="003941E2">
        <w:t>8</w:t>
      </w:r>
      <w:r w:rsidR="00E63199" w:rsidRPr="003941E2">
        <w:t>, 2</w:t>
      </w:r>
      <w:r w:rsidR="0086609D" w:rsidRPr="003941E2">
        <w:t>0</w:t>
      </w:r>
      <w:r w:rsidR="009544E9" w:rsidRPr="003941E2">
        <w:t>2</w:t>
      </w:r>
      <w:r w:rsidR="00964827" w:rsidRPr="003941E2">
        <w:t>1</w:t>
      </w:r>
      <w:r w:rsidR="00455BB9" w:rsidRPr="003941E2">
        <w:t xml:space="preserve">. </w:t>
      </w:r>
      <w:r w:rsidR="00455BB9" w:rsidRPr="003941E2">
        <w:rPr>
          <w:lang w:val="fr-CA"/>
        </w:rPr>
        <w:t>This</w:t>
      </w:r>
      <w:r w:rsidRPr="003941E2">
        <w:rPr>
          <w:lang w:val="fr-CA"/>
        </w:rPr>
        <w:t xml:space="preserve"> list is subject to change.</w:t>
      </w:r>
    </w:p>
    <w:p w:rsidR="001F76DD" w:rsidRPr="003941E2" w:rsidRDefault="001F76DD" w:rsidP="001C4415">
      <w:pPr>
        <w:widowControl w:val="0"/>
        <w:rPr>
          <w:szCs w:val="24"/>
          <w:lang w:val="fr-CA"/>
        </w:rPr>
      </w:pPr>
    </w:p>
    <w:p w:rsidR="001C4415" w:rsidRPr="003941E2" w:rsidRDefault="001C4415" w:rsidP="001C4415">
      <w:pPr>
        <w:widowControl w:val="0"/>
        <w:rPr>
          <w:lang w:val="fr-CA"/>
        </w:rPr>
      </w:pPr>
    </w:p>
    <w:p w:rsidR="001335A1" w:rsidRPr="003941E2" w:rsidRDefault="001335A1" w:rsidP="001335A1">
      <w:pPr>
        <w:widowControl w:val="0"/>
        <w:jc w:val="center"/>
        <w:rPr>
          <w:b/>
          <w:lang w:val="fr-CA"/>
        </w:rPr>
      </w:pPr>
      <w:r w:rsidRPr="003941E2">
        <w:rPr>
          <w:b/>
          <w:lang w:val="fr-CA"/>
        </w:rPr>
        <w:t>PROCHAIN JUGEMENT</w:t>
      </w:r>
      <w:r w:rsidR="00455BB9" w:rsidRPr="003941E2">
        <w:rPr>
          <w:b/>
          <w:lang w:val="fr-CA"/>
        </w:rPr>
        <w:t xml:space="preserve"> SUR APPEL</w:t>
      </w:r>
    </w:p>
    <w:p w:rsidR="001335A1" w:rsidRPr="003941E2" w:rsidRDefault="001335A1" w:rsidP="001335A1">
      <w:pPr>
        <w:widowControl w:val="0"/>
        <w:rPr>
          <w:lang w:val="fr-CA"/>
        </w:rPr>
      </w:pPr>
    </w:p>
    <w:p w:rsidR="00EC79B0" w:rsidRPr="003941E2" w:rsidRDefault="00EC79B0" w:rsidP="00EC79B0">
      <w:pPr>
        <w:widowControl w:val="0"/>
        <w:rPr>
          <w:lang w:val="fr-CA"/>
        </w:rPr>
      </w:pPr>
      <w:r w:rsidRPr="003941E2">
        <w:rPr>
          <w:b/>
          <w:lang w:val="fr-CA"/>
        </w:rPr>
        <w:t xml:space="preserve">Le </w:t>
      </w:r>
      <w:r w:rsidR="00A10877" w:rsidRPr="003941E2">
        <w:rPr>
          <w:b/>
          <w:lang w:val="fr-CA"/>
        </w:rPr>
        <w:t>2</w:t>
      </w:r>
      <w:r w:rsidR="008D6F4B" w:rsidRPr="003941E2">
        <w:rPr>
          <w:b/>
          <w:lang w:val="fr-CA"/>
        </w:rPr>
        <w:t>2</w:t>
      </w:r>
      <w:r w:rsidR="00FA5450" w:rsidRPr="003941E2">
        <w:rPr>
          <w:b/>
          <w:lang w:val="fr-CA"/>
        </w:rPr>
        <w:t xml:space="preserve"> </w:t>
      </w:r>
      <w:r w:rsidR="00151471" w:rsidRPr="003941E2">
        <w:rPr>
          <w:b/>
          <w:lang w:val="fr-CA"/>
        </w:rPr>
        <w:t>jui</w:t>
      </w:r>
      <w:r w:rsidR="002D0767" w:rsidRPr="003941E2">
        <w:rPr>
          <w:b/>
          <w:lang w:val="fr-CA"/>
        </w:rPr>
        <w:t>llet</w:t>
      </w:r>
      <w:r w:rsidR="00C86395" w:rsidRPr="003941E2">
        <w:rPr>
          <w:b/>
          <w:lang w:val="fr-CA"/>
        </w:rPr>
        <w:t xml:space="preserve"> </w:t>
      </w:r>
      <w:r w:rsidR="0086609D" w:rsidRPr="003941E2">
        <w:rPr>
          <w:b/>
          <w:lang w:val="fr-CA"/>
        </w:rPr>
        <w:t>20</w:t>
      </w:r>
      <w:r w:rsidR="009544E9" w:rsidRPr="003941E2">
        <w:rPr>
          <w:b/>
          <w:lang w:val="fr-CA"/>
        </w:rPr>
        <w:t>2</w:t>
      </w:r>
      <w:r w:rsidR="00964827" w:rsidRPr="003941E2">
        <w:rPr>
          <w:b/>
          <w:lang w:val="fr-CA"/>
        </w:rPr>
        <w:t>1</w:t>
      </w:r>
    </w:p>
    <w:p w:rsidR="00EC79B0" w:rsidRPr="003941E2" w:rsidRDefault="00EC79B0" w:rsidP="00EC79B0">
      <w:pPr>
        <w:widowControl w:val="0"/>
        <w:rPr>
          <w:b/>
          <w:lang w:val="fr-CA"/>
        </w:rPr>
      </w:pPr>
      <w:r w:rsidRPr="003941E2">
        <w:rPr>
          <w:b/>
          <w:lang w:val="fr-CA"/>
        </w:rPr>
        <w:t>Pour diffusion immédiate</w:t>
      </w:r>
    </w:p>
    <w:p w:rsidR="00EC79B0" w:rsidRPr="003941E2" w:rsidRDefault="00EC79B0" w:rsidP="00EC79B0">
      <w:pPr>
        <w:widowControl w:val="0"/>
        <w:rPr>
          <w:lang w:val="fr-CA"/>
        </w:rPr>
      </w:pPr>
    </w:p>
    <w:p w:rsidR="00EC79B0" w:rsidRPr="003941E2" w:rsidRDefault="00EC79B0" w:rsidP="00EC79B0">
      <w:pPr>
        <w:widowControl w:val="0"/>
        <w:rPr>
          <w:lang w:val="fr-CA"/>
        </w:rPr>
      </w:pPr>
      <w:r w:rsidRPr="003941E2">
        <w:rPr>
          <w:b/>
          <w:lang w:val="fr-CA"/>
        </w:rPr>
        <w:t>OTTAWA</w:t>
      </w:r>
      <w:r w:rsidRPr="003941E2">
        <w:rPr>
          <w:lang w:val="fr-CA"/>
        </w:rPr>
        <w:t xml:space="preserve"> – La Cour suprême du Canada annonce que jugement ser</w:t>
      </w:r>
      <w:r w:rsidR="00C86395" w:rsidRPr="003941E2">
        <w:rPr>
          <w:lang w:val="fr-CA"/>
        </w:rPr>
        <w:t>a</w:t>
      </w:r>
      <w:r w:rsidRPr="003941E2">
        <w:rPr>
          <w:lang w:val="fr-CA"/>
        </w:rPr>
        <w:t xml:space="preserve"> rendu dans </w:t>
      </w:r>
      <w:r w:rsidR="001F1643" w:rsidRPr="003941E2">
        <w:rPr>
          <w:lang w:val="fr-CA"/>
        </w:rPr>
        <w:t>l</w:t>
      </w:r>
      <w:r w:rsidR="00C86395" w:rsidRPr="003941E2">
        <w:rPr>
          <w:lang w:val="fr-CA"/>
        </w:rPr>
        <w:t>’</w:t>
      </w:r>
      <w:r w:rsidR="00A51565" w:rsidRPr="003941E2">
        <w:rPr>
          <w:lang w:val="fr-CA"/>
        </w:rPr>
        <w:t xml:space="preserve">appel </w:t>
      </w:r>
      <w:r w:rsidRPr="003941E2">
        <w:rPr>
          <w:lang w:val="fr-CA"/>
        </w:rPr>
        <w:t xml:space="preserve">suivant le </w:t>
      </w:r>
      <w:r w:rsidR="008D6F4B" w:rsidRPr="003941E2">
        <w:rPr>
          <w:lang w:val="fr-CA"/>
        </w:rPr>
        <w:t>m</w:t>
      </w:r>
      <w:r w:rsidR="00A10877" w:rsidRPr="003941E2">
        <w:rPr>
          <w:lang w:val="fr-CA"/>
        </w:rPr>
        <w:t>e</w:t>
      </w:r>
      <w:r w:rsidR="008D6F4B" w:rsidRPr="003941E2">
        <w:rPr>
          <w:lang w:val="fr-CA"/>
        </w:rPr>
        <w:t>rcre</w:t>
      </w:r>
      <w:r w:rsidR="00A10877" w:rsidRPr="003941E2">
        <w:rPr>
          <w:lang w:val="fr-CA"/>
        </w:rPr>
        <w:t>di</w:t>
      </w:r>
      <w:r w:rsidR="007C1648" w:rsidRPr="003941E2">
        <w:rPr>
          <w:lang w:val="fr-CA"/>
        </w:rPr>
        <w:t xml:space="preserve"> </w:t>
      </w:r>
      <w:r w:rsidR="002D0767" w:rsidRPr="003941E2">
        <w:rPr>
          <w:lang w:val="fr-CA"/>
        </w:rPr>
        <w:t>2</w:t>
      </w:r>
      <w:r w:rsidR="008D6F4B" w:rsidRPr="003941E2">
        <w:rPr>
          <w:lang w:val="fr-CA"/>
        </w:rPr>
        <w:t>8</w:t>
      </w:r>
      <w:r w:rsidR="00F62251" w:rsidRPr="003941E2">
        <w:rPr>
          <w:lang w:val="fr-CA"/>
        </w:rPr>
        <w:t xml:space="preserve"> </w:t>
      </w:r>
      <w:r w:rsidR="003972DA" w:rsidRPr="003941E2">
        <w:rPr>
          <w:lang w:val="fr-CA"/>
        </w:rPr>
        <w:t>jui</w:t>
      </w:r>
      <w:r w:rsidR="002D0767" w:rsidRPr="003941E2">
        <w:rPr>
          <w:lang w:val="fr-CA"/>
        </w:rPr>
        <w:t>llet</w:t>
      </w:r>
      <w:r w:rsidR="00282563" w:rsidRPr="003941E2">
        <w:rPr>
          <w:lang w:val="fr-CA"/>
        </w:rPr>
        <w:t xml:space="preserve"> </w:t>
      </w:r>
      <w:r w:rsidRPr="003941E2">
        <w:rPr>
          <w:lang w:val="fr-CA"/>
        </w:rPr>
        <w:t>20</w:t>
      </w:r>
      <w:r w:rsidR="009544E9" w:rsidRPr="003941E2">
        <w:rPr>
          <w:lang w:val="fr-CA"/>
        </w:rPr>
        <w:t>2</w:t>
      </w:r>
      <w:r w:rsidR="00964827" w:rsidRPr="003941E2">
        <w:rPr>
          <w:lang w:val="fr-CA"/>
        </w:rPr>
        <w:t>1</w:t>
      </w:r>
      <w:r w:rsidRPr="003941E2">
        <w:rPr>
          <w:lang w:val="fr-CA"/>
        </w:rPr>
        <w:t>, à 9 h 45 H</w:t>
      </w:r>
      <w:r w:rsidR="00A51565" w:rsidRPr="003941E2">
        <w:rPr>
          <w:lang w:val="fr-CA"/>
        </w:rPr>
        <w:t>A</w:t>
      </w:r>
      <w:r w:rsidRPr="003941E2">
        <w:rPr>
          <w:lang w:val="fr-CA"/>
        </w:rPr>
        <w:t>E. Cette liste est sujette à modifications.</w:t>
      </w:r>
    </w:p>
    <w:p w:rsidR="001F76DD" w:rsidRPr="003941E2" w:rsidRDefault="001F76DD" w:rsidP="00E92006">
      <w:pPr>
        <w:widowControl w:val="0"/>
        <w:jc w:val="both"/>
        <w:rPr>
          <w:szCs w:val="24"/>
          <w:lang w:val="fr-CA"/>
        </w:rPr>
      </w:pPr>
    </w:p>
    <w:p w:rsidR="00EF4622" w:rsidRPr="003941E2" w:rsidRDefault="003941E2" w:rsidP="00E92006">
      <w:pPr>
        <w:widowControl w:val="0"/>
        <w:jc w:val="both"/>
        <w:rPr>
          <w:szCs w:val="24"/>
          <w:lang w:val="fr-CA"/>
        </w:rPr>
      </w:pPr>
      <w:r w:rsidRPr="003941E2">
        <w:rPr>
          <w:sz w:val="20"/>
        </w:rPr>
        <w:pict>
          <v:rect id="_x0000_i1025" style="width:2in;height:1pt" o:hrpct="0" o:hralign="center" o:hrstd="t" o:hrnoshade="t" o:hr="t" fillcolor="black [3213]" stroked="f"/>
        </w:pict>
      </w:r>
    </w:p>
    <w:p w:rsidR="001335A1" w:rsidRPr="003941E2" w:rsidRDefault="001335A1" w:rsidP="001335A1">
      <w:pPr>
        <w:widowControl w:val="0"/>
        <w:rPr>
          <w:szCs w:val="24"/>
          <w:lang w:val="fr-CA"/>
        </w:rPr>
      </w:pPr>
    </w:p>
    <w:p w:rsidR="00772636" w:rsidRPr="003941E2" w:rsidRDefault="008D6F4B" w:rsidP="00772636">
      <w:pPr>
        <w:jc w:val="both"/>
        <w:rPr>
          <w:szCs w:val="24"/>
        </w:rPr>
      </w:pPr>
      <w:r w:rsidRPr="003941E2">
        <w:rPr>
          <w:i/>
          <w:szCs w:val="24"/>
        </w:rPr>
        <w:t>Her Majesty the Queen</w:t>
      </w:r>
      <w:r w:rsidR="00803701" w:rsidRPr="003941E2">
        <w:rPr>
          <w:i/>
          <w:szCs w:val="24"/>
        </w:rPr>
        <w:t xml:space="preserve"> in Right of Canada</w:t>
      </w:r>
      <w:r w:rsidRPr="003941E2">
        <w:rPr>
          <w:i/>
          <w:szCs w:val="24"/>
        </w:rPr>
        <w:t xml:space="preserve"> v. Canada North Group Inc., et al. </w:t>
      </w:r>
      <w:r w:rsidR="00772636" w:rsidRPr="003941E2">
        <w:rPr>
          <w:szCs w:val="24"/>
        </w:rPr>
        <w:t>(</w:t>
      </w:r>
      <w:r w:rsidRPr="003941E2">
        <w:rPr>
          <w:szCs w:val="24"/>
        </w:rPr>
        <w:t>Alta</w:t>
      </w:r>
      <w:r w:rsidR="00A10877" w:rsidRPr="003941E2">
        <w:rPr>
          <w:szCs w:val="24"/>
        </w:rPr>
        <w:t>.</w:t>
      </w:r>
      <w:r w:rsidR="00772636" w:rsidRPr="003941E2">
        <w:rPr>
          <w:szCs w:val="24"/>
        </w:rPr>
        <w:t xml:space="preserve">) </w:t>
      </w:r>
      <w:r w:rsidR="00772636" w:rsidRPr="003941E2">
        <w:t>(</w:t>
      </w:r>
      <w:hyperlink r:id="rId7" w:history="1">
        <w:r w:rsidR="00772636" w:rsidRPr="003941E2">
          <w:rPr>
            <w:rStyle w:val="Hyperlink"/>
          </w:rPr>
          <w:t>3</w:t>
        </w:r>
        <w:r w:rsidRPr="003941E2">
          <w:rPr>
            <w:rStyle w:val="Hyperlink"/>
          </w:rPr>
          <w:t>887</w:t>
        </w:r>
        <w:r w:rsidR="00A10877" w:rsidRPr="003941E2">
          <w:rPr>
            <w:rStyle w:val="Hyperlink"/>
          </w:rPr>
          <w:t>1</w:t>
        </w:r>
      </w:hyperlink>
      <w:r w:rsidR="00772636" w:rsidRPr="003941E2">
        <w:t>)</w:t>
      </w:r>
    </w:p>
    <w:p w:rsidR="009F18D7" w:rsidRPr="003941E2" w:rsidRDefault="009F18D7" w:rsidP="00340C6D">
      <w:pPr>
        <w:jc w:val="both"/>
        <w:rPr>
          <w:sz w:val="20"/>
        </w:rPr>
      </w:pPr>
    </w:p>
    <w:p w:rsidR="002D0767" w:rsidRPr="003941E2" w:rsidRDefault="002D0767" w:rsidP="00340C6D">
      <w:pPr>
        <w:jc w:val="both"/>
        <w:rPr>
          <w:sz w:val="20"/>
        </w:rPr>
      </w:pPr>
    </w:p>
    <w:p w:rsidR="008D6F4B" w:rsidRPr="003941E2" w:rsidRDefault="008D6F4B" w:rsidP="00275B41">
      <w:pPr>
        <w:widowControl w:val="0"/>
        <w:tabs>
          <w:tab w:val="left" w:pos="720"/>
        </w:tabs>
        <w:ind w:left="720" w:hanging="720"/>
        <w:jc w:val="both"/>
        <w:rPr>
          <w:i/>
          <w:sz w:val="20"/>
          <w:lang w:val="en-CA"/>
        </w:rPr>
      </w:pPr>
      <w:r w:rsidRPr="003941E2">
        <w:rPr>
          <w:b/>
          <w:sz w:val="20"/>
          <w:lang w:val="en-CA"/>
        </w:rPr>
        <w:fldChar w:fldCharType="begin"/>
      </w:r>
      <w:r w:rsidRPr="003941E2">
        <w:rPr>
          <w:b/>
          <w:sz w:val="20"/>
        </w:rPr>
        <w:instrText xml:space="preserve"> SEQ CHAPTER \h \r 1</w:instrText>
      </w:r>
      <w:r w:rsidRPr="003941E2">
        <w:rPr>
          <w:b/>
          <w:sz w:val="20"/>
        </w:rPr>
        <w:fldChar w:fldCharType="end"/>
      </w:r>
      <w:r w:rsidRPr="003941E2">
        <w:rPr>
          <w:b/>
          <w:sz w:val="20"/>
          <w:lang w:val="en-CA"/>
        </w:rPr>
        <w:t>38871</w:t>
      </w:r>
      <w:r w:rsidRPr="003941E2">
        <w:rPr>
          <w:sz w:val="20"/>
          <w:lang w:val="en-CA"/>
        </w:rPr>
        <w:tab/>
      </w:r>
      <w:r w:rsidRPr="003941E2">
        <w:rPr>
          <w:b/>
          <w:i/>
          <w:sz w:val="20"/>
          <w:lang w:val="en-CA"/>
        </w:rPr>
        <w:t>Her Majesty the Queen v. Canada North Group Inc., Canada North Camps Inc., Campcorp Structures Ltd., DJ Catering Ltd., 816956 Alberta Ltd., 1371047 Alberta Ltd., 1919209 Alberta Ltd., Ernst &amp; Young Inc. (in its capacity as Monitor, and not in its personal capacity), Business Development Bank of Canada</w:t>
      </w:r>
    </w:p>
    <w:p w:rsidR="008D6F4B" w:rsidRPr="003941E2" w:rsidRDefault="008D6F4B" w:rsidP="00275B41">
      <w:pPr>
        <w:widowControl w:val="0"/>
        <w:tabs>
          <w:tab w:val="left" w:pos="720"/>
        </w:tabs>
        <w:ind w:left="720" w:hanging="720"/>
        <w:jc w:val="both"/>
        <w:rPr>
          <w:sz w:val="20"/>
          <w:lang w:val="en-CA"/>
        </w:rPr>
      </w:pPr>
      <w:r w:rsidRPr="003941E2">
        <w:rPr>
          <w:sz w:val="20"/>
          <w:lang w:val="en-CA"/>
        </w:rPr>
        <w:tab/>
        <w:t>(Alta.) (Civil) (By Leave)</w:t>
      </w:r>
    </w:p>
    <w:p w:rsidR="008D6F4B" w:rsidRPr="003941E2" w:rsidRDefault="008D6F4B">
      <w:pPr>
        <w:widowControl w:val="0"/>
        <w:jc w:val="both"/>
        <w:rPr>
          <w:sz w:val="20"/>
          <w:lang w:val="en-CA"/>
        </w:rPr>
      </w:pPr>
    </w:p>
    <w:p w:rsidR="008D6F4B" w:rsidRPr="003941E2" w:rsidRDefault="008D6F4B">
      <w:pPr>
        <w:widowControl w:val="0"/>
        <w:jc w:val="both"/>
        <w:rPr>
          <w:sz w:val="20"/>
          <w:lang w:val="en-CA"/>
        </w:rPr>
      </w:pPr>
      <w:r w:rsidRPr="003941E2">
        <w:rPr>
          <w:sz w:val="20"/>
          <w:lang w:val="en-CA"/>
        </w:rPr>
        <w:t>Bankruptcy and insolvency - Priority - Priming charges - Source deductions - Order granting protection under the Companies’ Creditors Arrangement Act gave priority over claims of secured creditors to charges of Monitor, interim lender and corporate directors - Order provided that subject charges were not to be limited or impaired by federal or provincial statutes - Federal statutes provide Crown’s claims for unremitted source deductions with priority over all other creditors’ claims - Whether the Crown’s deemed trust claim for unremitted source deductions under Income Tax Act, R.S.C. 1985, c. 1 (5th Supp.), ss. 227(4) and (4.1), Canada Pension Plan Act, R.S.C. 1985, c. C-8, s. 23(3) and (4), and Employment Insurance Act, S.C. 1996, c. 23, s. 86(2) and (2.1), has priority over court-ordered priming chares under the CCAA.</w:t>
      </w:r>
    </w:p>
    <w:p w:rsidR="008D6F4B" w:rsidRPr="003941E2" w:rsidRDefault="008D6F4B">
      <w:pPr>
        <w:widowControl w:val="0"/>
        <w:jc w:val="both"/>
        <w:rPr>
          <w:sz w:val="20"/>
          <w:lang w:val="en-CA"/>
        </w:rPr>
      </w:pPr>
    </w:p>
    <w:p w:rsidR="008D6F4B" w:rsidRPr="003941E2" w:rsidRDefault="008D6F4B" w:rsidP="00E821D9">
      <w:pPr>
        <w:widowControl w:val="0"/>
        <w:jc w:val="both"/>
        <w:rPr>
          <w:sz w:val="20"/>
          <w:lang w:val="en-CA"/>
        </w:rPr>
      </w:pPr>
      <w:r w:rsidRPr="003941E2">
        <w:rPr>
          <w:sz w:val="20"/>
          <w:lang w:val="en-CA"/>
        </w:rPr>
        <w:t xml:space="preserve">The Court of Queen’s Bench issued an order granting several insolvent corporations protection under the </w:t>
      </w:r>
      <w:r w:rsidRPr="003941E2">
        <w:rPr>
          <w:i/>
          <w:sz w:val="20"/>
          <w:lang w:val="en-CA"/>
        </w:rPr>
        <w:t>Companies’ Creditors Arrangement Act</w:t>
      </w:r>
      <w:r w:rsidRPr="003941E2">
        <w:rPr>
          <w:sz w:val="20"/>
          <w:lang w:val="en-CA"/>
        </w:rPr>
        <w:t xml:space="preserve">, R.S.C. 1985, </w:t>
      </w:r>
      <w:proofErr w:type="gramStart"/>
      <w:r w:rsidRPr="003941E2">
        <w:rPr>
          <w:sz w:val="20"/>
          <w:lang w:val="en-CA"/>
        </w:rPr>
        <w:t>c</w:t>
      </w:r>
      <w:proofErr w:type="gramEnd"/>
      <w:r w:rsidRPr="003941E2">
        <w:rPr>
          <w:sz w:val="20"/>
          <w:lang w:val="en-CA"/>
        </w:rPr>
        <w:t xml:space="preserve">. C-36. The Court provided charges in favour of the court-appointed Monitor, the interim financier and the corporate directors were to take priority over the claims of secured creditors and provided that they were not to be limited or impaired by the federal or provincial statutes. The Crown applied to vary the order, arguing that, notwithstanding any other federal statute, the </w:t>
      </w:r>
      <w:r w:rsidRPr="003941E2">
        <w:rPr>
          <w:i/>
          <w:sz w:val="20"/>
          <w:lang w:val="en-CA"/>
        </w:rPr>
        <w:t>Income Tax Act</w:t>
      </w:r>
      <w:r w:rsidRPr="003941E2">
        <w:rPr>
          <w:sz w:val="20"/>
          <w:lang w:val="en-CA"/>
        </w:rPr>
        <w:t>, R.S.C. 1985, c. 1 (5th Supp.), s. 227(4.1), among other statutes, provide the Crown’s claims for unremitted source deductions with priority over all other creditors’ claims.</w:t>
      </w:r>
    </w:p>
    <w:p w:rsidR="008D6F4B" w:rsidRPr="003941E2" w:rsidRDefault="008D6F4B" w:rsidP="00E821D9">
      <w:pPr>
        <w:widowControl w:val="0"/>
        <w:jc w:val="both"/>
        <w:rPr>
          <w:sz w:val="20"/>
          <w:lang w:val="en-CA"/>
        </w:rPr>
      </w:pPr>
    </w:p>
    <w:p w:rsidR="008D6F4B" w:rsidRPr="003941E2" w:rsidRDefault="008D6F4B" w:rsidP="00E821D9">
      <w:pPr>
        <w:widowControl w:val="0"/>
        <w:jc w:val="both"/>
        <w:rPr>
          <w:sz w:val="20"/>
          <w:lang w:val="en-CA"/>
        </w:rPr>
      </w:pPr>
      <w:r w:rsidRPr="003941E2">
        <w:rPr>
          <w:sz w:val="20"/>
          <w:lang w:val="en-CA"/>
        </w:rPr>
        <w:t xml:space="preserve">The chambers judge found that the </w:t>
      </w:r>
      <w:r w:rsidRPr="003941E2">
        <w:rPr>
          <w:i/>
          <w:sz w:val="20"/>
          <w:lang w:val="en-CA"/>
        </w:rPr>
        <w:t>Companies’ Creditors Arrangement Act</w:t>
      </w:r>
      <w:r w:rsidRPr="003941E2">
        <w:rPr>
          <w:sz w:val="20"/>
          <w:lang w:val="en-CA"/>
        </w:rPr>
        <w:t xml:space="preserve"> gives the court the ability to rank court-ordered priority charges ahead of the Crown’s interest in deemed trusts created by the </w:t>
      </w:r>
      <w:r w:rsidRPr="003941E2">
        <w:rPr>
          <w:i/>
          <w:sz w:val="20"/>
          <w:lang w:val="en-CA"/>
        </w:rPr>
        <w:t>Income Tax Act</w:t>
      </w:r>
      <w:r w:rsidRPr="003941E2">
        <w:rPr>
          <w:sz w:val="20"/>
          <w:lang w:val="en-CA"/>
        </w:rPr>
        <w:t>. The Court of Appeal dismissed the appeal. Leave to appeal was granted.</w:t>
      </w:r>
    </w:p>
    <w:p w:rsidR="008D6F4B" w:rsidRPr="003941E2" w:rsidRDefault="008D6F4B" w:rsidP="00E821D9">
      <w:pPr>
        <w:widowControl w:val="0"/>
        <w:jc w:val="both"/>
        <w:rPr>
          <w:sz w:val="20"/>
          <w:lang w:val="en-CA"/>
        </w:rPr>
      </w:pPr>
    </w:p>
    <w:p w:rsidR="008D6F4B" w:rsidRPr="003941E2" w:rsidRDefault="003941E2" w:rsidP="00E821D9">
      <w:pPr>
        <w:widowControl w:val="0"/>
        <w:jc w:val="both"/>
        <w:rPr>
          <w:sz w:val="20"/>
          <w:lang w:val="en-CA"/>
        </w:rPr>
      </w:pPr>
      <w:r w:rsidRPr="003941E2">
        <w:rPr>
          <w:sz w:val="20"/>
        </w:rPr>
        <w:lastRenderedPageBreak/>
        <w:pict>
          <v:rect id="_x0000_i1026" style="width:2in;height:1pt" o:hrpct="0" o:hralign="center" o:hrstd="t" o:hrnoshade="t" o:hr="t" fillcolor="black [3213]" stroked="f"/>
        </w:pict>
      </w:r>
    </w:p>
    <w:p w:rsidR="008D6F4B" w:rsidRPr="003941E2" w:rsidRDefault="008D6F4B" w:rsidP="00E821D9">
      <w:pPr>
        <w:widowControl w:val="0"/>
        <w:jc w:val="both"/>
        <w:rPr>
          <w:sz w:val="20"/>
          <w:lang w:val="en-CA"/>
        </w:rPr>
      </w:pPr>
    </w:p>
    <w:p w:rsidR="008D6F4B" w:rsidRPr="003941E2" w:rsidRDefault="008D6F4B" w:rsidP="008D6F4B">
      <w:pPr>
        <w:pStyle w:val="SCCLsocParty"/>
        <w:ind w:left="720" w:hanging="720"/>
        <w:rPr>
          <w:b/>
          <w:i w:val="0"/>
          <w:sz w:val="20"/>
          <w:szCs w:val="20"/>
        </w:rPr>
      </w:pPr>
      <w:r w:rsidRPr="003941E2">
        <w:rPr>
          <w:rStyle w:val="SCCFileNumberChar"/>
          <w:i w:val="0"/>
          <w:sz w:val="20"/>
          <w:szCs w:val="20"/>
        </w:rPr>
        <w:t>38871</w:t>
      </w:r>
      <w:r w:rsidRPr="003941E2">
        <w:rPr>
          <w:rStyle w:val="SCCFileNumberChar"/>
          <w:sz w:val="20"/>
          <w:szCs w:val="20"/>
          <w:lang w:val="en-US"/>
        </w:rPr>
        <w:tab/>
      </w:r>
      <w:r w:rsidRPr="003941E2">
        <w:rPr>
          <w:b/>
          <w:sz w:val="20"/>
          <w:szCs w:val="20"/>
          <w:lang w:val="en-US"/>
        </w:rPr>
        <w:t xml:space="preserve">Sa Majesté la Reine c. Canada North Group Inc., Canada North Camps Inc., Campcorp Structures Ltd., DJ Catering Ltd., 816956 Alberta Ltd., 1371047 Alberta Ltd., 1919209 Alberta Ltd., Ernst &amp; Young Inc. </w:t>
      </w:r>
      <w:r w:rsidRPr="003941E2">
        <w:rPr>
          <w:b/>
          <w:sz w:val="20"/>
          <w:szCs w:val="20"/>
        </w:rPr>
        <w:t>(en sa qualité de contrôleur et non à titre personnel), Banque de développement du Canada</w:t>
      </w:r>
    </w:p>
    <w:p w:rsidR="008D6F4B" w:rsidRPr="003941E2" w:rsidRDefault="008D6F4B" w:rsidP="008D6F4B">
      <w:pPr>
        <w:widowControl w:val="0"/>
        <w:ind w:left="360" w:firstLine="360"/>
        <w:jc w:val="both"/>
        <w:rPr>
          <w:sz w:val="20"/>
          <w:lang w:val="en-CA"/>
        </w:rPr>
      </w:pPr>
      <w:r w:rsidRPr="003941E2">
        <w:rPr>
          <w:sz w:val="20"/>
          <w:lang w:val="fr-CA"/>
        </w:rPr>
        <w:t>(Alb.) (Civile) (Autorisation)</w:t>
      </w:r>
    </w:p>
    <w:p w:rsidR="008D6F4B" w:rsidRPr="003941E2" w:rsidRDefault="008D6F4B" w:rsidP="008D6F4B">
      <w:pPr>
        <w:rPr>
          <w:sz w:val="20"/>
          <w:lang w:val="fr-CA"/>
        </w:rPr>
      </w:pPr>
    </w:p>
    <w:p w:rsidR="008D6F4B" w:rsidRPr="003941E2" w:rsidRDefault="008D6F4B" w:rsidP="008D6F4B">
      <w:pPr>
        <w:widowControl w:val="0"/>
        <w:jc w:val="both"/>
        <w:rPr>
          <w:sz w:val="20"/>
          <w:lang w:val="fr-CA"/>
        </w:rPr>
      </w:pPr>
      <w:r w:rsidRPr="003941E2">
        <w:rPr>
          <w:sz w:val="20"/>
          <w:lang w:val="fr-CA"/>
        </w:rPr>
        <w:t xml:space="preserve">Faillite et insolvabilité - Ordre de priorité - Charges super prioritaires - Retenues à la source - Une ordonnance accordant une protection sous le régime de la </w:t>
      </w:r>
      <w:r w:rsidRPr="003941E2">
        <w:rPr>
          <w:i/>
          <w:sz w:val="20"/>
          <w:lang w:val="fr-CA"/>
        </w:rPr>
        <w:t xml:space="preserve">Loi sur les arrangements avec les créanciers des compagnies </w:t>
      </w:r>
      <w:r w:rsidRPr="003941E2">
        <w:rPr>
          <w:sz w:val="20"/>
          <w:lang w:val="fr-CA"/>
        </w:rPr>
        <w:t xml:space="preserve">a donné priorité aux charges du contrôleur, du prêteur temporaire et des administrateurs de la compagnie sur des réclamations de créanciers garantis - En vertu de l’ordonnance, les charges en cause ne devaient pas être limitées ou compromises par les lois fédérales ou provinciales - Des lois fédérales prévoient que les réclamations de Sa Majesté au titre de retenues à la source non versées ont priorité sur les réclamations de tous les autres créanciers - La réclamation de Sa Majesté fondée sur une fiducie réputée au titre de retenues à la source non versées en application de la </w:t>
      </w:r>
      <w:r w:rsidRPr="003941E2">
        <w:rPr>
          <w:i/>
          <w:sz w:val="20"/>
          <w:lang w:val="fr-CA"/>
        </w:rPr>
        <w:t>Loi de l’impôt sur le revenu</w:t>
      </w:r>
      <w:r w:rsidRPr="003941E2">
        <w:rPr>
          <w:sz w:val="20"/>
          <w:lang w:val="fr-CA"/>
        </w:rPr>
        <w:t>, L.R.C. 1985, ch. 1 (5</w:t>
      </w:r>
      <w:r w:rsidRPr="003941E2">
        <w:rPr>
          <w:sz w:val="20"/>
          <w:vertAlign w:val="superscript"/>
          <w:lang w:val="fr-CA"/>
        </w:rPr>
        <w:t>e</w:t>
      </w:r>
      <w:r w:rsidRPr="003941E2">
        <w:rPr>
          <w:sz w:val="20"/>
          <w:lang w:val="fr-CA"/>
        </w:rPr>
        <w:t xml:space="preserve"> suppl.), par. 227(4) et (4.1), du </w:t>
      </w:r>
      <w:r w:rsidRPr="003941E2">
        <w:rPr>
          <w:i/>
          <w:sz w:val="20"/>
          <w:lang w:val="fr-CA"/>
        </w:rPr>
        <w:t>Régime de pensions du Canada</w:t>
      </w:r>
      <w:r w:rsidRPr="003941E2">
        <w:rPr>
          <w:sz w:val="20"/>
          <w:lang w:val="fr-CA"/>
        </w:rPr>
        <w:t xml:space="preserve">, L.R.C. 1985, ch. C-8, par. 23(3) et (4) et de la </w:t>
      </w:r>
      <w:r w:rsidRPr="003941E2">
        <w:rPr>
          <w:i/>
          <w:sz w:val="20"/>
          <w:lang w:val="fr-CA"/>
        </w:rPr>
        <w:t>Loi sur l’assurance-emploi</w:t>
      </w:r>
      <w:r w:rsidRPr="003941E2">
        <w:rPr>
          <w:sz w:val="20"/>
          <w:lang w:val="fr-CA"/>
        </w:rPr>
        <w:t xml:space="preserve">, L.C. 1996, ch. 23, par. 86(2) et (2.1) a-t-elle priorité sur les charges </w:t>
      </w:r>
      <w:proofErr w:type="gramStart"/>
      <w:r w:rsidRPr="003941E2">
        <w:rPr>
          <w:sz w:val="20"/>
          <w:lang w:val="fr-CA"/>
        </w:rPr>
        <w:t>super</w:t>
      </w:r>
      <w:proofErr w:type="gramEnd"/>
      <w:r w:rsidRPr="003941E2">
        <w:rPr>
          <w:sz w:val="20"/>
          <w:lang w:val="fr-CA"/>
        </w:rPr>
        <w:t xml:space="preserve"> prioritaires ordonnées par le tribunal en application de la LACC?</w:t>
      </w:r>
    </w:p>
    <w:p w:rsidR="008D6F4B" w:rsidRPr="003941E2" w:rsidRDefault="008D6F4B" w:rsidP="00E821D9">
      <w:pPr>
        <w:widowControl w:val="0"/>
        <w:jc w:val="both"/>
        <w:rPr>
          <w:sz w:val="20"/>
          <w:lang w:val="fr-CA"/>
        </w:rPr>
      </w:pPr>
    </w:p>
    <w:p w:rsidR="008D6F4B" w:rsidRPr="003941E2" w:rsidRDefault="008D6F4B" w:rsidP="008D6F4B">
      <w:pPr>
        <w:jc w:val="both"/>
        <w:rPr>
          <w:sz w:val="20"/>
          <w:lang w:val="fr-CA"/>
        </w:rPr>
      </w:pPr>
      <w:r w:rsidRPr="003941E2">
        <w:rPr>
          <w:sz w:val="20"/>
          <w:lang w:val="fr-CA"/>
        </w:rPr>
        <w:t xml:space="preserve">La Cour du Banc de la Reine a prononcé une ordonnance accordant à plusieurs compagnies insolvables une protection sous le régime de la </w:t>
      </w:r>
      <w:r w:rsidRPr="003941E2">
        <w:rPr>
          <w:i/>
          <w:sz w:val="20"/>
          <w:lang w:val="fr-CA"/>
        </w:rPr>
        <w:t>Loi sur les arrangements avec les créanciers des compagnies</w:t>
      </w:r>
      <w:r w:rsidRPr="003941E2">
        <w:rPr>
          <w:sz w:val="20"/>
          <w:lang w:val="fr-CA"/>
        </w:rPr>
        <w:t xml:space="preserve">, L.R.C. 1985, ch. C-36. Le tribunal a statué que les charges en faveur du contrôleur, du prêteur temporaire et des administrateurs de la compagnie devaient avoir priorité sur les réclamations de créanciers garantis et qu’elles ne devaient pas être limitées ou compromises par les lois fédérales ou provinciales. Sa Majesté a présenté une demande de modification de l’ordonnance, plaidant que malgré toute autre loi fédérale, la </w:t>
      </w:r>
      <w:r w:rsidRPr="003941E2">
        <w:rPr>
          <w:i/>
          <w:sz w:val="20"/>
          <w:lang w:val="fr-CA"/>
        </w:rPr>
        <w:t>Loi de l’impôt sur le revenu</w:t>
      </w:r>
      <w:r w:rsidRPr="003941E2">
        <w:rPr>
          <w:sz w:val="20"/>
          <w:lang w:val="fr-CA"/>
        </w:rPr>
        <w:t>, L.R.C. 1985, ch. 1 (5</w:t>
      </w:r>
      <w:r w:rsidRPr="003941E2">
        <w:rPr>
          <w:sz w:val="20"/>
          <w:vertAlign w:val="superscript"/>
          <w:lang w:val="fr-CA"/>
        </w:rPr>
        <w:t>e</w:t>
      </w:r>
      <w:r w:rsidRPr="003941E2">
        <w:rPr>
          <w:sz w:val="20"/>
          <w:lang w:val="fr-CA"/>
        </w:rPr>
        <w:t xml:space="preserve"> suppl.), par. 227(4.1), entre autres lois, accorde aux réclamations de Sa Majesté au titre des retenues à la source non versées priorité sur les réclamations de tous les autres créanciers.</w:t>
      </w:r>
    </w:p>
    <w:p w:rsidR="008D6F4B" w:rsidRPr="003941E2" w:rsidRDefault="008D6F4B" w:rsidP="008D6F4B">
      <w:pPr>
        <w:rPr>
          <w:sz w:val="20"/>
          <w:lang w:val="fr-CA"/>
        </w:rPr>
      </w:pPr>
    </w:p>
    <w:p w:rsidR="008D6F4B" w:rsidRPr="003941E2" w:rsidRDefault="008D6F4B" w:rsidP="008D6F4B">
      <w:pPr>
        <w:jc w:val="both"/>
        <w:rPr>
          <w:sz w:val="20"/>
          <w:lang w:val="fr-CA"/>
        </w:rPr>
      </w:pPr>
      <w:r w:rsidRPr="003941E2">
        <w:rPr>
          <w:sz w:val="20"/>
          <w:lang w:val="fr-CA"/>
        </w:rPr>
        <w:t xml:space="preserve">La juge siégeant en son cabinet a conclu que la </w:t>
      </w:r>
      <w:r w:rsidRPr="003941E2">
        <w:rPr>
          <w:i/>
          <w:sz w:val="20"/>
          <w:lang w:val="fr-CA"/>
        </w:rPr>
        <w:t>Loi sur les arrangements avec les créanciers des compagnies</w:t>
      </w:r>
      <w:r w:rsidRPr="003941E2">
        <w:rPr>
          <w:sz w:val="20"/>
          <w:lang w:val="fr-CA"/>
        </w:rPr>
        <w:t xml:space="preserve"> confère au tribunal la faculté de donner priorité aux charges super prioritaires qu’il ordonne sur le droit de Sa Majesté à l’égard de fiducies réputées créées par la </w:t>
      </w:r>
      <w:r w:rsidRPr="003941E2">
        <w:rPr>
          <w:i/>
          <w:sz w:val="20"/>
          <w:lang w:val="fr-CA"/>
        </w:rPr>
        <w:t>Loi de l’impôt sur le revenu</w:t>
      </w:r>
      <w:r w:rsidRPr="003941E2">
        <w:rPr>
          <w:sz w:val="20"/>
          <w:lang w:val="fr-CA"/>
        </w:rPr>
        <w:t>. La Cour d’appel a rejeté l’appel. L’autorisation d’appel a été accordée.</w:t>
      </w:r>
    </w:p>
    <w:p w:rsidR="00A10877" w:rsidRPr="003941E2" w:rsidRDefault="00A10877">
      <w:pPr>
        <w:widowControl w:val="0"/>
        <w:jc w:val="both"/>
        <w:rPr>
          <w:sz w:val="20"/>
          <w:lang w:val="fr-CA"/>
        </w:rPr>
      </w:pPr>
    </w:p>
    <w:p w:rsidR="00A10877" w:rsidRPr="003941E2" w:rsidRDefault="003941E2">
      <w:pPr>
        <w:widowControl w:val="0"/>
        <w:jc w:val="both"/>
        <w:rPr>
          <w:sz w:val="20"/>
          <w:lang w:val="fr-CA"/>
        </w:rPr>
      </w:pPr>
      <w:r w:rsidRPr="003941E2">
        <w:rPr>
          <w:sz w:val="20"/>
        </w:rPr>
        <w:pict>
          <v:rect id="_x0000_i1027" style="width:2in;height:1pt" o:hrpct="0" o:hralign="center" o:hrstd="t" o:hrnoshade="t" o:hr="t" fillcolor="black [3213]" stroked="f"/>
        </w:pict>
      </w:r>
    </w:p>
    <w:p w:rsidR="007C40A3" w:rsidRPr="003941E2" w:rsidRDefault="007C40A3" w:rsidP="00340C6D">
      <w:pPr>
        <w:jc w:val="both"/>
        <w:rPr>
          <w:sz w:val="20"/>
          <w:lang w:val="fr-CA"/>
        </w:rPr>
      </w:pPr>
    </w:p>
    <w:p w:rsidR="00A51565" w:rsidRPr="003941E2" w:rsidRDefault="00A51565" w:rsidP="00340C6D">
      <w:pPr>
        <w:jc w:val="both"/>
        <w:rPr>
          <w:sz w:val="20"/>
        </w:rPr>
      </w:pPr>
    </w:p>
    <w:p w:rsidR="00072A63" w:rsidRPr="003941E2" w:rsidRDefault="00072A63" w:rsidP="00EC79B0">
      <w:pPr>
        <w:jc w:val="both"/>
        <w:rPr>
          <w:sz w:val="20"/>
          <w:lang w:val="fr-CA"/>
        </w:rPr>
      </w:pPr>
    </w:p>
    <w:p w:rsidR="001C4415" w:rsidRPr="003941E2" w:rsidRDefault="001C4415" w:rsidP="001C4415">
      <w:pPr>
        <w:widowControl w:val="0"/>
        <w:outlineLvl w:val="0"/>
      </w:pPr>
      <w:r w:rsidRPr="003941E2">
        <w:t xml:space="preserve">Supreme Court of Canada / Cour suprême du </w:t>
      </w:r>
      <w:proofErr w:type="gramStart"/>
      <w:r w:rsidRPr="003941E2">
        <w:t>Canada :</w:t>
      </w:r>
      <w:proofErr w:type="gramEnd"/>
      <w:r w:rsidRPr="003941E2">
        <w:t xml:space="preserve"> </w:t>
      </w:r>
    </w:p>
    <w:p w:rsidR="001C4415" w:rsidRPr="003941E2" w:rsidRDefault="003941E2" w:rsidP="001C4415">
      <w:pPr>
        <w:widowControl w:val="0"/>
        <w:outlineLvl w:val="0"/>
      </w:pPr>
      <w:hyperlink r:id="rId8" w:history="1">
        <w:r w:rsidR="001C4415" w:rsidRPr="003941E2">
          <w:rPr>
            <w:rStyle w:val="Hyperlink"/>
          </w:rPr>
          <w:t>comments-commentaires@scc-csc.ca</w:t>
        </w:r>
      </w:hyperlink>
    </w:p>
    <w:p w:rsidR="001C4415" w:rsidRPr="003941E2" w:rsidRDefault="001C4415" w:rsidP="001C4415">
      <w:pPr>
        <w:widowControl w:val="0"/>
        <w:outlineLvl w:val="0"/>
      </w:pPr>
      <w:r w:rsidRPr="003941E2">
        <w:t>(613) 995-4330</w:t>
      </w:r>
    </w:p>
    <w:p w:rsidR="001C4415" w:rsidRPr="003941E2" w:rsidRDefault="001C4415" w:rsidP="001C4415">
      <w:pPr>
        <w:widowControl w:val="0"/>
        <w:rPr>
          <w:sz w:val="20"/>
        </w:rPr>
      </w:pPr>
    </w:p>
    <w:p w:rsidR="0036476C" w:rsidRPr="00A8502B" w:rsidRDefault="001C4415" w:rsidP="0036476C">
      <w:pPr>
        <w:pStyle w:val="Footer"/>
        <w:jc w:val="center"/>
        <w:rPr>
          <w:lang w:val="fr-CA"/>
        </w:rPr>
      </w:pPr>
      <w:r w:rsidRPr="003941E2">
        <w:rPr>
          <w:lang w:val="fr-CA"/>
        </w:rPr>
        <w:t xml:space="preserve">- 30 </w:t>
      </w:r>
      <w:r w:rsidR="003C1B6E" w:rsidRPr="003941E2">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059E3"/>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02C"/>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1471"/>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4FA7"/>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0767"/>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46A0"/>
    <w:rsid w:val="00387EA2"/>
    <w:rsid w:val="00390E39"/>
    <w:rsid w:val="0039248C"/>
    <w:rsid w:val="003932EE"/>
    <w:rsid w:val="00393419"/>
    <w:rsid w:val="003936B9"/>
    <w:rsid w:val="003941E2"/>
    <w:rsid w:val="003959D2"/>
    <w:rsid w:val="0039607F"/>
    <w:rsid w:val="003972DA"/>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938E8"/>
    <w:rsid w:val="004A017B"/>
    <w:rsid w:val="004A2228"/>
    <w:rsid w:val="004A40E1"/>
    <w:rsid w:val="004A4570"/>
    <w:rsid w:val="004A56AC"/>
    <w:rsid w:val="004A6F06"/>
    <w:rsid w:val="004B22B5"/>
    <w:rsid w:val="004B4821"/>
    <w:rsid w:val="004B6E20"/>
    <w:rsid w:val="004B6F3A"/>
    <w:rsid w:val="004C070B"/>
    <w:rsid w:val="004C6206"/>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5518"/>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D7779"/>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C40A3"/>
    <w:rsid w:val="007C568C"/>
    <w:rsid w:val="007D1B42"/>
    <w:rsid w:val="007D20F6"/>
    <w:rsid w:val="007D4862"/>
    <w:rsid w:val="007D5D5B"/>
    <w:rsid w:val="007D5F75"/>
    <w:rsid w:val="007D6B10"/>
    <w:rsid w:val="007E08A3"/>
    <w:rsid w:val="007E7DF1"/>
    <w:rsid w:val="007F29FE"/>
    <w:rsid w:val="007F3D16"/>
    <w:rsid w:val="007F45A9"/>
    <w:rsid w:val="00800066"/>
    <w:rsid w:val="00803329"/>
    <w:rsid w:val="00803701"/>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2E31"/>
    <w:rsid w:val="008B305D"/>
    <w:rsid w:val="008B5FA3"/>
    <w:rsid w:val="008B5FDB"/>
    <w:rsid w:val="008B6308"/>
    <w:rsid w:val="008C2F61"/>
    <w:rsid w:val="008C5ACC"/>
    <w:rsid w:val="008C5D03"/>
    <w:rsid w:val="008D2829"/>
    <w:rsid w:val="008D3DE1"/>
    <w:rsid w:val="008D557C"/>
    <w:rsid w:val="008D5B1F"/>
    <w:rsid w:val="008D6BC4"/>
    <w:rsid w:val="008D6F4B"/>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0877"/>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1565"/>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4F97"/>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14EA"/>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22987"/>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5255"/>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6FA1"/>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styleId="ListParagraph">
    <w:name w:val="List Paragraph"/>
    <w:basedOn w:val="Normal"/>
    <w:uiPriority w:val="34"/>
    <w:qFormat/>
    <w:rsid w:val="00A51565"/>
    <w:pPr>
      <w:ind w:left="720"/>
      <w:contextualSpacing/>
    </w:pPr>
    <w:rPr>
      <w:lang w:val="en-CA" w:eastAsia="en-CA"/>
    </w:rPr>
  </w:style>
  <w:style w:type="paragraph" w:customStyle="1" w:styleId="SCCFileNumber">
    <w:name w:val="SCC.FileNumber"/>
    <w:basedOn w:val="Normal"/>
    <w:next w:val="Normal"/>
    <w:link w:val="SCCFileNumberChar"/>
    <w:rsid w:val="006D777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6D7779"/>
    <w:rPr>
      <w:rFonts w:eastAsiaTheme="minorHAnsi" w:cstheme="minorBidi"/>
      <w:b/>
      <w:sz w:val="24"/>
      <w:szCs w:val="22"/>
      <w:lang w:val="en-CA"/>
    </w:rPr>
  </w:style>
  <w:style w:type="paragraph" w:customStyle="1" w:styleId="SCCBanSummary">
    <w:name w:val="SCC.BanSummary"/>
    <w:basedOn w:val="Normal"/>
    <w:next w:val="Normal"/>
    <w:link w:val="SCCBanSummaryChar"/>
    <w:rsid w:val="000059E3"/>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059E3"/>
    <w:rPr>
      <w:rFonts w:eastAsiaTheme="minorHAnsi" w:cstheme="minorBidi"/>
      <w:smallCaps/>
      <w:sz w:val="24"/>
      <w:szCs w:val="22"/>
      <w:lang w:val="en-CA"/>
    </w:rPr>
  </w:style>
  <w:style w:type="character" w:customStyle="1" w:styleId="ssleftalign2">
    <w:name w:val="ss_leftalign2"/>
    <w:basedOn w:val="DefaultParagraphFont"/>
    <w:rsid w:val="007C40A3"/>
    <w:rPr>
      <w:vanish w:val="0"/>
      <w:webHidden w:val="0"/>
      <w:sz w:val="24"/>
      <w:szCs w:val="24"/>
      <w:specVanish w:val="0"/>
    </w:rPr>
  </w:style>
  <w:style w:type="character" w:customStyle="1" w:styleId="sssh">
    <w:name w:val="ss_sh"/>
    <w:basedOn w:val="DefaultParagraphFont"/>
    <w:rsid w:val="007C40A3"/>
  </w:style>
  <w:style w:type="paragraph" w:customStyle="1" w:styleId="aparanumbering">
    <w:name w:val="aparanumbering"/>
    <w:basedOn w:val="Normal"/>
    <w:rsid w:val="007C40A3"/>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A10877"/>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10877"/>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87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2021-03-31T13:43:00Z</dcterms:created>
  <dcterms:modified xsi:type="dcterms:W3CDTF">2021-07-22T14:45:00Z</dcterms:modified>
</cp:coreProperties>
</file>