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65897" w:rsidRDefault="000E391F" w:rsidP="000E391F">
      <w:pPr>
        <w:pStyle w:val="Header"/>
        <w:jc w:val="center"/>
        <w:rPr>
          <w:b/>
          <w:sz w:val="32"/>
        </w:rPr>
      </w:pPr>
      <w:r w:rsidRPr="00565897">
        <w:rPr>
          <w:b/>
          <w:sz w:val="32"/>
        </w:rPr>
        <w:t>Supreme Court of Canada / Cour suprême du Canada</w:t>
      </w:r>
    </w:p>
    <w:p w:rsidR="000E391F" w:rsidRPr="00565897" w:rsidRDefault="000E391F" w:rsidP="000E391F">
      <w:pPr>
        <w:widowControl w:val="0"/>
      </w:pPr>
    </w:p>
    <w:p w:rsidR="000E391F" w:rsidRPr="00565897" w:rsidRDefault="000E391F" w:rsidP="000E391F">
      <w:pPr>
        <w:widowControl w:val="0"/>
        <w:rPr>
          <w:i/>
        </w:rPr>
      </w:pPr>
    </w:p>
    <w:p w:rsidR="006F2579" w:rsidRPr="00565897" w:rsidRDefault="006F2579" w:rsidP="006F2579">
      <w:pPr>
        <w:widowControl w:val="0"/>
        <w:rPr>
          <w:i/>
          <w:sz w:val="20"/>
        </w:rPr>
      </w:pPr>
      <w:r w:rsidRPr="00565897">
        <w:rPr>
          <w:i/>
          <w:sz w:val="20"/>
        </w:rPr>
        <w:t>(</w:t>
      </w:r>
      <w:r w:rsidR="003240B6" w:rsidRPr="00565897">
        <w:rPr>
          <w:i/>
          <w:sz w:val="20"/>
        </w:rPr>
        <w:t>L</w:t>
      </w:r>
      <w:r w:rsidRPr="00565897">
        <w:rPr>
          <w:i/>
          <w:sz w:val="20"/>
        </w:rPr>
        <w:t>e français suit)</w:t>
      </w:r>
    </w:p>
    <w:p w:rsidR="006F2579" w:rsidRPr="00565897" w:rsidRDefault="006F2579" w:rsidP="006F2579">
      <w:pPr>
        <w:widowControl w:val="0"/>
      </w:pPr>
    </w:p>
    <w:p w:rsidR="006F2579" w:rsidRPr="00565897" w:rsidRDefault="00B07908" w:rsidP="006F2579">
      <w:pPr>
        <w:widowControl w:val="0"/>
        <w:jc w:val="center"/>
        <w:rPr>
          <w:b/>
        </w:rPr>
      </w:pPr>
      <w:r w:rsidRPr="00565897">
        <w:fldChar w:fldCharType="begin"/>
      </w:r>
      <w:r w:rsidR="006F2579" w:rsidRPr="00565897">
        <w:instrText xml:space="preserve"> SEQ CHAPTER \h \r 1</w:instrText>
      </w:r>
      <w:r w:rsidRPr="00565897">
        <w:fldChar w:fldCharType="end"/>
      </w:r>
      <w:r w:rsidR="006F2579" w:rsidRPr="00565897">
        <w:rPr>
          <w:b/>
        </w:rPr>
        <w:t>JUDGMENT</w:t>
      </w:r>
      <w:r w:rsidR="00B17AAC" w:rsidRPr="00565897">
        <w:rPr>
          <w:b/>
        </w:rPr>
        <w:t>S</w:t>
      </w:r>
      <w:r w:rsidR="006F2579" w:rsidRPr="00565897">
        <w:rPr>
          <w:b/>
        </w:rPr>
        <w:t xml:space="preserve"> TO B</w:t>
      </w:r>
      <w:r w:rsidR="00001846" w:rsidRPr="00565897">
        <w:rPr>
          <w:b/>
        </w:rPr>
        <w:t>E RENDERED IN LE</w:t>
      </w:r>
      <w:r w:rsidR="00A0288A" w:rsidRPr="00565897">
        <w:rPr>
          <w:b/>
        </w:rPr>
        <w:t>A</w:t>
      </w:r>
      <w:r w:rsidR="00001846" w:rsidRPr="00565897">
        <w:rPr>
          <w:b/>
        </w:rPr>
        <w:t>VE APPLICATION</w:t>
      </w:r>
      <w:r w:rsidR="00511288" w:rsidRPr="00565897">
        <w:rPr>
          <w:b/>
        </w:rPr>
        <w:t>S</w:t>
      </w:r>
    </w:p>
    <w:p w:rsidR="006F2579" w:rsidRPr="00565897" w:rsidRDefault="006F2579" w:rsidP="006F2579">
      <w:pPr>
        <w:widowControl w:val="0"/>
      </w:pPr>
    </w:p>
    <w:p w:rsidR="006F2579" w:rsidRPr="00565897" w:rsidRDefault="00873756" w:rsidP="006F2579">
      <w:pPr>
        <w:widowControl w:val="0"/>
      </w:pPr>
      <w:r w:rsidRPr="00565897">
        <w:rPr>
          <w:b/>
        </w:rPr>
        <w:t>February</w:t>
      </w:r>
      <w:r w:rsidR="00A15B66" w:rsidRPr="00565897">
        <w:rPr>
          <w:b/>
        </w:rPr>
        <w:t xml:space="preserve"> </w:t>
      </w:r>
      <w:r w:rsidR="00EB7781" w:rsidRPr="00565897">
        <w:rPr>
          <w:b/>
        </w:rPr>
        <w:t>2</w:t>
      </w:r>
      <w:r w:rsidR="001B542A" w:rsidRPr="00565897">
        <w:rPr>
          <w:b/>
        </w:rPr>
        <w:t>1</w:t>
      </w:r>
      <w:r w:rsidR="004441C7" w:rsidRPr="00565897">
        <w:rPr>
          <w:b/>
        </w:rPr>
        <w:t>,</w:t>
      </w:r>
      <w:r w:rsidR="006F2579" w:rsidRPr="00565897">
        <w:rPr>
          <w:b/>
        </w:rPr>
        <w:t xml:space="preserve"> </w:t>
      </w:r>
      <w:r w:rsidR="0054689F" w:rsidRPr="00565897">
        <w:rPr>
          <w:b/>
        </w:rPr>
        <w:t>20</w:t>
      </w:r>
      <w:r w:rsidR="00526754" w:rsidRPr="00565897">
        <w:rPr>
          <w:b/>
        </w:rPr>
        <w:t>2</w:t>
      </w:r>
      <w:r w:rsidR="00644008" w:rsidRPr="00565897">
        <w:rPr>
          <w:b/>
        </w:rPr>
        <w:t>2</w:t>
      </w:r>
    </w:p>
    <w:p w:rsidR="006F2579" w:rsidRPr="00565897" w:rsidRDefault="00674F39" w:rsidP="006F2579">
      <w:pPr>
        <w:widowControl w:val="0"/>
        <w:rPr>
          <w:b/>
        </w:rPr>
      </w:pPr>
      <w:r w:rsidRPr="00565897">
        <w:rPr>
          <w:b/>
        </w:rPr>
        <w:t>For immediate release</w:t>
      </w:r>
    </w:p>
    <w:p w:rsidR="006F2579" w:rsidRPr="00565897" w:rsidRDefault="006F2579" w:rsidP="006F2579">
      <w:pPr>
        <w:widowControl w:val="0"/>
      </w:pPr>
    </w:p>
    <w:p w:rsidR="006F2579" w:rsidRPr="00565897" w:rsidRDefault="006F2579" w:rsidP="006F2579">
      <w:pPr>
        <w:widowControl w:val="0"/>
        <w:rPr>
          <w:lang w:val="fr-CA"/>
        </w:rPr>
      </w:pPr>
      <w:r w:rsidRPr="00565897">
        <w:rPr>
          <w:b/>
        </w:rPr>
        <w:t>OTTAWA</w:t>
      </w:r>
      <w:r w:rsidRPr="00565897">
        <w:t xml:space="preserve"> – The Supreme Court of Canad</w:t>
      </w:r>
      <w:r w:rsidR="006246E4" w:rsidRPr="00565897">
        <w:t>a</w:t>
      </w:r>
      <w:r w:rsidRPr="00565897">
        <w:t xml:space="preserve"> announced today that judgment in the following </w:t>
      </w:r>
      <w:r w:rsidR="00DB6199" w:rsidRPr="00565897">
        <w:t xml:space="preserve">leave applications </w:t>
      </w:r>
      <w:r w:rsidRPr="00565897">
        <w:t>will be delivere</w:t>
      </w:r>
      <w:r w:rsidR="00CE2C5F" w:rsidRPr="00565897">
        <w:t>d</w:t>
      </w:r>
      <w:r w:rsidRPr="00565897">
        <w:t xml:space="preserve"> at 9:45 a.m. </w:t>
      </w:r>
      <w:r w:rsidR="00E05816" w:rsidRPr="00565897">
        <w:t>E</w:t>
      </w:r>
      <w:r w:rsidR="006D4676" w:rsidRPr="00565897">
        <w:t>S</w:t>
      </w:r>
      <w:r w:rsidR="00E05816" w:rsidRPr="00565897">
        <w:t>T</w:t>
      </w:r>
      <w:r w:rsidRPr="00565897">
        <w:t xml:space="preserve"> on </w:t>
      </w:r>
      <w:r w:rsidR="00322A9C" w:rsidRPr="00565897">
        <w:t>Thurs</w:t>
      </w:r>
      <w:r w:rsidR="00680A85" w:rsidRPr="00565897">
        <w:t>day</w:t>
      </w:r>
      <w:r w:rsidRPr="00565897">
        <w:t xml:space="preserve">, </w:t>
      </w:r>
      <w:r w:rsidR="009E4C19" w:rsidRPr="00565897">
        <w:t>February</w:t>
      </w:r>
      <w:r w:rsidR="00455912" w:rsidRPr="00565897">
        <w:t xml:space="preserve"> </w:t>
      </w:r>
      <w:r w:rsidR="00EB7781" w:rsidRPr="00565897">
        <w:t>24</w:t>
      </w:r>
      <w:r w:rsidR="007E112F" w:rsidRPr="00565897">
        <w:t>,</w:t>
      </w:r>
      <w:r w:rsidR="002F38D7" w:rsidRPr="00565897">
        <w:t xml:space="preserve"> </w:t>
      </w:r>
      <w:r w:rsidR="006648D1" w:rsidRPr="00565897">
        <w:t>20</w:t>
      </w:r>
      <w:r w:rsidR="00526754" w:rsidRPr="00565897">
        <w:t>2</w:t>
      </w:r>
      <w:r w:rsidR="00644008" w:rsidRPr="00565897">
        <w:t>2</w:t>
      </w:r>
      <w:r w:rsidRPr="00565897">
        <w:t xml:space="preserve">. </w:t>
      </w:r>
      <w:r w:rsidRPr="00565897">
        <w:rPr>
          <w:lang w:val="fr-CA"/>
        </w:rPr>
        <w:t>This list is subject to chang</w:t>
      </w:r>
      <w:r w:rsidR="00192F7F" w:rsidRPr="00565897">
        <w:rPr>
          <w:lang w:val="fr-CA"/>
        </w:rPr>
        <w:t>e</w:t>
      </w:r>
      <w:r w:rsidRPr="00565897">
        <w:rPr>
          <w:lang w:val="fr-CA"/>
        </w:rPr>
        <w:t>.</w:t>
      </w:r>
    </w:p>
    <w:p w:rsidR="00FF5AA4" w:rsidRPr="00565897" w:rsidRDefault="00FF5AA4" w:rsidP="006F2579">
      <w:pPr>
        <w:widowControl w:val="0"/>
        <w:rPr>
          <w:lang w:val="fr-CA"/>
        </w:rPr>
      </w:pPr>
      <w:bookmarkStart w:id="0" w:name="_GoBack"/>
    </w:p>
    <w:bookmarkEnd w:id="0"/>
    <w:p w:rsidR="00B43418" w:rsidRPr="00565897" w:rsidRDefault="00B43418" w:rsidP="006F2579">
      <w:pPr>
        <w:widowControl w:val="0"/>
        <w:rPr>
          <w:lang w:val="fr-CA"/>
        </w:rPr>
      </w:pPr>
    </w:p>
    <w:p w:rsidR="006F2579" w:rsidRPr="00565897" w:rsidRDefault="006F2579" w:rsidP="006F2579">
      <w:pPr>
        <w:widowControl w:val="0"/>
        <w:jc w:val="center"/>
        <w:rPr>
          <w:lang w:val="fr-CA"/>
        </w:rPr>
      </w:pPr>
      <w:r w:rsidRPr="00565897">
        <w:rPr>
          <w:b/>
          <w:lang w:val="fr-CA"/>
        </w:rPr>
        <w:t>PROCHAIN</w:t>
      </w:r>
      <w:r w:rsidR="00B17AAC" w:rsidRPr="00565897">
        <w:rPr>
          <w:b/>
          <w:lang w:val="fr-CA"/>
        </w:rPr>
        <w:t>S</w:t>
      </w:r>
      <w:r w:rsidRPr="00565897">
        <w:rPr>
          <w:b/>
          <w:lang w:val="fr-CA"/>
        </w:rPr>
        <w:t xml:space="preserve"> JUGEMENT</w:t>
      </w:r>
      <w:r w:rsidR="00B17AAC" w:rsidRPr="00565897">
        <w:rPr>
          <w:b/>
          <w:lang w:val="fr-CA"/>
        </w:rPr>
        <w:t>S</w:t>
      </w:r>
      <w:r w:rsidR="00001846" w:rsidRPr="00565897">
        <w:rPr>
          <w:b/>
          <w:lang w:val="fr-CA"/>
        </w:rPr>
        <w:t xml:space="preserve"> SUR DEMANDE</w:t>
      </w:r>
      <w:r w:rsidR="00B17AAC" w:rsidRPr="00565897">
        <w:rPr>
          <w:b/>
          <w:lang w:val="fr-CA"/>
        </w:rPr>
        <w:t>S</w:t>
      </w:r>
      <w:r w:rsidRPr="00565897">
        <w:rPr>
          <w:b/>
          <w:lang w:val="fr-CA"/>
        </w:rPr>
        <w:t xml:space="preserve"> D’AUTORISATION</w:t>
      </w:r>
    </w:p>
    <w:p w:rsidR="006F2579" w:rsidRPr="00565897" w:rsidRDefault="006F2579" w:rsidP="006F2579">
      <w:pPr>
        <w:widowControl w:val="0"/>
        <w:rPr>
          <w:lang w:val="fr-CA"/>
        </w:rPr>
      </w:pPr>
    </w:p>
    <w:p w:rsidR="006F2579" w:rsidRPr="00565897" w:rsidRDefault="006F2579" w:rsidP="006F2579">
      <w:pPr>
        <w:widowControl w:val="0"/>
        <w:rPr>
          <w:lang w:val="fr-CA"/>
        </w:rPr>
      </w:pPr>
      <w:r w:rsidRPr="00565897">
        <w:rPr>
          <w:b/>
          <w:lang w:val="fr-CA"/>
        </w:rPr>
        <w:t>Le</w:t>
      </w:r>
      <w:r w:rsidR="00957A76" w:rsidRPr="00565897">
        <w:rPr>
          <w:b/>
          <w:lang w:val="fr-CA"/>
        </w:rPr>
        <w:t xml:space="preserve"> </w:t>
      </w:r>
      <w:r w:rsidR="00EB7781" w:rsidRPr="00565897">
        <w:rPr>
          <w:b/>
          <w:lang w:val="fr-CA"/>
        </w:rPr>
        <w:t>2</w:t>
      </w:r>
      <w:r w:rsidR="001B542A" w:rsidRPr="00565897">
        <w:rPr>
          <w:b/>
          <w:lang w:val="fr-CA"/>
        </w:rPr>
        <w:t>1</w:t>
      </w:r>
      <w:r w:rsidR="00075EC0" w:rsidRPr="00565897">
        <w:rPr>
          <w:b/>
          <w:lang w:val="fr-CA"/>
        </w:rPr>
        <w:t xml:space="preserve"> </w:t>
      </w:r>
      <w:r w:rsidR="00873756" w:rsidRPr="00565897">
        <w:rPr>
          <w:b/>
          <w:lang w:val="fr-CA"/>
        </w:rPr>
        <w:t>fé</w:t>
      </w:r>
      <w:r w:rsidR="00644008" w:rsidRPr="00565897">
        <w:rPr>
          <w:b/>
          <w:lang w:val="fr-CA"/>
        </w:rPr>
        <w:t>v</w:t>
      </w:r>
      <w:r w:rsidR="00873756" w:rsidRPr="00565897">
        <w:rPr>
          <w:b/>
          <w:lang w:val="fr-CA"/>
        </w:rPr>
        <w:t>r</w:t>
      </w:r>
      <w:r w:rsidR="00644008" w:rsidRPr="00565897">
        <w:rPr>
          <w:b/>
          <w:lang w:val="fr-CA"/>
        </w:rPr>
        <w:t>ier</w:t>
      </w:r>
      <w:r w:rsidR="00A151D1" w:rsidRPr="00565897">
        <w:rPr>
          <w:b/>
          <w:lang w:val="fr-CA"/>
        </w:rPr>
        <w:t xml:space="preserve"> 20</w:t>
      </w:r>
      <w:r w:rsidR="00526754" w:rsidRPr="00565897">
        <w:rPr>
          <w:b/>
          <w:lang w:val="fr-CA"/>
        </w:rPr>
        <w:t>2</w:t>
      </w:r>
      <w:r w:rsidR="00644008" w:rsidRPr="00565897">
        <w:rPr>
          <w:b/>
          <w:lang w:val="fr-CA"/>
        </w:rPr>
        <w:t>2</w:t>
      </w:r>
    </w:p>
    <w:p w:rsidR="006F2579" w:rsidRPr="00565897" w:rsidRDefault="006F2579" w:rsidP="006F2579">
      <w:pPr>
        <w:widowControl w:val="0"/>
        <w:rPr>
          <w:b/>
          <w:lang w:val="fr-CA"/>
        </w:rPr>
      </w:pPr>
      <w:r w:rsidRPr="00565897">
        <w:rPr>
          <w:b/>
          <w:lang w:val="fr-CA"/>
        </w:rPr>
        <w:t>Pour diffusion immédiate</w:t>
      </w:r>
    </w:p>
    <w:p w:rsidR="006F2579" w:rsidRPr="00565897" w:rsidRDefault="006F2579" w:rsidP="006F2579">
      <w:pPr>
        <w:widowControl w:val="0"/>
        <w:rPr>
          <w:lang w:val="fr-CA"/>
        </w:rPr>
      </w:pPr>
    </w:p>
    <w:p w:rsidR="006F2579" w:rsidRPr="00565897" w:rsidRDefault="006F2579" w:rsidP="006F2579">
      <w:pPr>
        <w:widowControl w:val="0"/>
        <w:rPr>
          <w:lang w:val="fr-CA"/>
        </w:rPr>
      </w:pPr>
      <w:r w:rsidRPr="00565897">
        <w:rPr>
          <w:b/>
          <w:lang w:val="fr-CA"/>
        </w:rPr>
        <w:t>OTTAWA</w:t>
      </w:r>
      <w:r w:rsidRPr="00565897">
        <w:rPr>
          <w:lang w:val="fr-CA"/>
        </w:rPr>
        <w:t xml:space="preserve"> – La Cour suprême du Canada annonce que jugement ser</w:t>
      </w:r>
      <w:r w:rsidR="004259F9" w:rsidRPr="00565897">
        <w:rPr>
          <w:lang w:val="fr-CA"/>
        </w:rPr>
        <w:t>a</w:t>
      </w:r>
      <w:r w:rsidRPr="00565897">
        <w:rPr>
          <w:lang w:val="fr-CA"/>
        </w:rPr>
        <w:t xml:space="preserve"> rendu dans l</w:t>
      </w:r>
      <w:r w:rsidR="008600ED" w:rsidRPr="00565897">
        <w:rPr>
          <w:lang w:val="fr-CA"/>
        </w:rPr>
        <w:t>es</w:t>
      </w:r>
      <w:r w:rsidRPr="00565897">
        <w:rPr>
          <w:lang w:val="fr-CA"/>
        </w:rPr>
        <w:t xml:space="preserve"> demande</w:t>
      </w:r>
      <w:r w:rsidR="008600ED" w:rsidRPr="00565897">
        <w:rPr>
          <w:lang w:val="fr-CA"/>
        </w:rPr>
        <w:t>s</w:t>
      </w:r>
      <w:r w:rsidRPr="00565897">
        <w:rPr>
          <w:lang w:val="fr-CA"/>
        </w:rPr>
        <w:t xml:space="preserve"> d</w:t>
      </w:r>
      <w:r w:rsidR="00001846" w:rsidRPr="00565897">
        <w:rPr>
          <w:lang w:val="fr-CA"/>
        </w:rPr>
        <w:t>’autorisation suivante</w:t>
      </w:r>
      <w:r w:rsidR="008600ED" w:rsidRPr="00565897">
        <w:rPr>
          <w:lang w:val="fr-CA"/>
        </w:rPr>
        <w:t>s</w:t>
      </w:r>
      <w:r w:rsidRPr="00565897">
        <w:rPr>
          <w:lang w:val="fr-CA"/>
        </w:rPr>
        <w:t xml:space="preserve"> le </w:t>
      </w:r>
      <w:r w:rsidR="00322A9C" w:rsidRPr="00565897">
        <w:rPr>
          <w:lang w:val="fr-CA"/>
        </w:rPr>
        <w:t>jeu</w:t>
      </w:r>
      <w:r w:rsidR="00680A85" w:rsidRPr="00565897">
        <w:rPr>
          <w:lang w:val="fr-CA"/>
        </w:rPr>
        <w:t>di</w:t>
      </w:r>
      <w:r w:rsidRPr="00565897">
        <w:rPr>
          <w:lang w:val="fr-CA"/>
        </w:rPr>
        <w:t xml:space="preserve"> </w:t>
      </w:r>
      <w:r w:rsidR="00EB7781" w:rsidRPr="00565897">
        <w:rPr>
          <w:lang w:val="fr-CA"/>
        </w:rPr>
        <w:t>24</w:t>
      </w:r>
      <w:r w:rsidR="009E0BD3" w:rsidRPr="00565897">
        <w:rPr>
          <w:lang w:val="fr-CA"/>
        </w:rPr>
        <w:t xml:space="preserve"> </w:t>
      </w:r>
      <w:r w:rsidR="009E4C19" w:rsidRPr="00565897">
        <w:rPr>
          <w:lang w:val="fr-CA"/>
        </w:rPr>
        <w:t>fé</w:t>
      </w:r>
      <w:r w:rsidR="00644008" w:rsidRPr="00565897">
        <w:rPr>
          <w:lang w:val="fr-CA"/>
        </w:rPr>
        <w:t>v</w:t>
      </w:r>
      <w:r w:rsidR="009E4C19" w:rsidRPr="00565897">
        <w:rPr>
          <w:lang w:val="fr-CA"/>
        </w:rPr>
        <w:t>r</w:t>
      </w:r>
      <w:r w:rsidR="00644008" w:rsidRPr="00565897">
        <w:rPr>
          <w:lang w:val="fr-CA"/>
        </w:rPr>
        <w:t>ier</w:t>
      </w:r>
      <w:r w:rsidR="00694391" w:rsidRPr="00565897">
        <w:rPr>
          <w:lang w:val="fr-CA"/>
        </w:rPr>
        <w:t xml:space="preserve"> 2</w:t>
      </w:r>
      <w:r w:rsidR="006648D1" w:rsidRPr="00565897">
        <w:rPr>
          <w:lang w:val="fr-CA"/>
        </w:rPr>
        <w:t>0</w:t>
      </w:r>
      <w:r w:rsidR="00526754" w:rsidRPr="00565897">
        <w:rPr>
          <w:lang w:val="fr-CA"/>
        </w:rPr>
        <w:t>2</w:t>
      </w:r>
      <w:r w:rsidR="00644008" w:rsidRPr="00565897">
        <w:rPr>
          <w:lang w:val="fr-CA"/>
        </w:rPr>
        <w:t>2</w:t>
      </w:r>
      <w:r w:rsidRPr="00565897">
        <w:rPr>
          <w:lang w:val="fr-CA"/>
        </w:rPr>
        <w:t xml:space="preserve">, à 9 h 45 </w:t>
      </w:r>
      <w:r w:rsidR="000627A2" w:rsidRPr="00565897">
        <w:rPr>
          <w:lang w:val="fr-CA"/>
        </w:rPr>
        <w:t>H</w:t>
      </w:r>
      <w:r w:rsidR="006D4676" w:rsidRPr="00565897">
        <w:rPr>
          <w:lang w:val="fr-CA"/>
        </w:rPr>
        <w:t>N</w:t>
      </w:r>
      <w:r w:rsidRPr="00565897">
        <w:rPr>
          <w:lang w:val="fr-CA"/>
        </w:rPr>
        <w:t>E. Cette liste est sujette à modification</w:t>
      </w:r>
      <w:r w:rsidR="00130ADB" w:rsidRPr="00565897">
        <w:rPr>
          <w:lang w:val="fr-CA"/>
        </w:rPr>
        <w:t>s</w:t>
      </w:r>
      <w:r w:rsidRPr="00565897">
        <w:rPr>
          <w:lang w:val="fr-CA"/>
        </w:rPr>
        <w:t>.</w:t>
      </w:r>
    </w:p>
    <w:p w:rsidR="0080556B" w:rsidRPr="00565897" w:rsidRDefault="0080556B" w:rsidP="005F2A78">
      <w:pPr>
        <w:widowControl w:val="0"/>
        <w:tabs>
          <w:tab w:val="left" w:pos="3840"/>
        </w:tabs>
        <w:jc w:val="both"/>
        <w:rPr>
          <w:sz w:val="20"/>
          <w:lang w:val="fr-CA"/>
        </w:rPr>
      </w:pPr>
    </w:p>
    <w:p w:rsidR="00867C61" w:rsidRPr="00565897" w:rsidRDefault="00D527CF" w:rsidP="009B14F4">
      <w:pPr>
        <w:widowControl w:val="0"/>
        <w:jc w:val="both"/>
        <w:rPr>
          <w:sz w:val="20"/>
        </w:rPr>
      </w:pPr>
      <w:r w:rsidRPr="00565897">
        <w:rPr>
          <w:sz w:val="20"/>
        </w:rPr>
        <w:pict>
          <v:rect id="_x0000_i1025" style="width:2in;height:1pt" o:hrpct="0" o:hralign="center" o:hrstd="t" o:hrnoshade="t" o:hr="t" fillcolor="black [3213]" stroked="f"/>
        </w:pict>
      </w:r>
    </w:p>
    <w:p w:rsidR="004A6E51" w:rsidRPr="00565897" w:rsidRDefault="004A6E51" w:rsidP="0053032E">
      <w:pPr>
        <w:rPr>
          <w:sz w:val="20"/>
          <w:lang w:val="fr-CA"/>
        </w:rPr>
      </w:pPr>
    </w:p>
    <w:p w:rsidR="00EB7781" w:rsidRPr="00565897" w:rsidRDefault="00EB7781" w:rsidP="00A4278F">
      <w:pPr>
        <w:pStyle w:val="ListParagraph"/>
        <w:numPr>
          <w:ilvl w:val="0"/>
          <w:numId w:val="43"/>
        </w:numPr>
        <w:ind w:left="357" w:hanging="357"/>
        <w:rPr>
          <w:sz w:val="20"/>
          <w:lang w:val="fr-CA"/>
        </w:rPr>
      </w:pPr>
      <w:r w:rsidRPr="00565897">
        <w:rPr>
          <w:i/>
          <w:sz w:val="20"/>
          <w:lang w:val="fr-CA"/>
        </w:rPr>
        <w:t>Jetro Dejala</w:t>
      </w:r>
      <w:r w:rsidR="00961984" w:rsidRPr="00565897">
        <w:rPr>
          <w:i/>
          <w:sz w:val="20"/>
          <w:lang w:val="fr-CA"/>
        </w:rPr>
        <w:t>, et al.</w:t>
      </w:r>
      <w:r w:rsidRPr="00565897">
        <w:rPr>
          <w:i/>
          <w:sz w:val="20"/>
          <w:lang w:val="fr-CA"/>
        </w:rPr>
        <w:t xml:space="preserve"> c. Sa Majesté la Reine </w:t>
      </w:r>
      <w:r w:rsidRPr="00565897">
        <w:rPr>
          <w:sz w:val="20"/>
          <w:lang w:val="fr-CA"/>
        </w:rPr>
        <w:t xml:space="preserve">(Qc) (Criminelle) (Autorisation) </w:t>
      </w:r>
      <w:r w:rsidRPr="00565897">
        <w:rPr>
          <w:rFonts w:eastAsia="Calibri"/>
          <w:sz w:val="20"/>
          <w:lang w:val="fr-CA"/>
        </w:rPr>
        <w:t>(</w:t>
      </w:r>
      <w:hyperlink r:id="rId8" w:history="1">
        <w:r w:rsidRPr="00565897">
          <w:rPr>
            <w:rStyle w:val="Hyperlink"/>
            <w:rFonts w:eastAsia="Calibri"/>
            <w:sz w:val="20"/>
            <w:lang w:val="fr-CA"/>
          </w:rPr>
          <w:t>398</w:t>
        </w:r>
        <w:r w:rsidR="00961984" w:rsidRPr="00565897">
          <w:rPr>
            <w:rStyle w:val="Hyperlink"/>
            <w:rFonts w:eastAsia="Calibri"/>
            <w:sz w:val="20"/>
            <w:lang w:val="fr-CA"/>
          </w:rPr>
          <w:t>16</w:t>
        </w:r>
      </w:hyperlink>
      <w:r w:rsidRPr="00565897">
        <w:rPr>
          <w:rFonts w:eastAsia="Calibri"/>
          <w:sz w:val="20"/>
          <w:lang w:val="fr-CA"/>
        </w:rPr>
        <w:t>)</w:t>
      </w:r>
    </w:p>
    <w:p w:rsidR="00EB7781" w:rsidRPr="00565897" w:rsidRDefault="00EB7781" w:rsidP="00A4278F">
      <w:pPr>
        <w:widowControl w:val="0"/>
        <w:autoSpaceDE w:val="0"/>
        <w:autoSpaceDN w:val="0"/>
        <w:adjustRightInd w:val="0"/>
        <w:ind w:left="357" w:hanging="357"/>
        <w:contextualSpacing/>
        <w:rPr>
          <w:sz w:val="20"/>
          <w:lang w:val="fr-CA"/>
        </w:rPr>
      </w:pPr>
    </w:p>
    <w:p w:rsidR="00EB7781" w:rsidRPr="00565897" w:rsidRDefault="00EB7781" w:rsidP="00A4278F">
      <w:pPr>
        <w:pStyle w:val="ListParagraph"/>
        <w:numPr>
          <w:ilvl w:val="0"/>
          <w:numId w:val="43"/>
        </w:numPr>
        <w:ind w:left="357" w:hanging="357"/>
        <w:rPr>
          <w:sz w:val="20"/>
          <w:lang w:val="fr-CA"/>
        </w:rPr>
      </w:pPr>
      <w:r w:rsidRPr="00565897">
        <w:rPr>
          <w:i/>
          <w:sz w:val="20"/>
          <w:lang w:val="fr-CA"/>
        </w:rPr>
        <w:t>Nadia Martin c. Sa Majesté la Reine</w:t>
      </w:r>
      <w:r w:rsidRPr="00565897">
        <w:rPr>
          <w:sz w:val="20"/>
          <w:lang w:val="fr-CA"/>
        </w:rPr>
        <w:t xml:space="preserve"> (Qc) (Criminelle) (Autorisation) </w:t>
      </w:r>
      <w:r w:rsidRPr="00565897">
        <w:rPr>
          <w:rFonts w:eastAsia="Calibri"/>
          <w:sz w:val="20"/>
          <w:lang w:val="fr-CA"/>
        </w:rPr>
        <w:t>(</w:t>
      </w:r>
      <w:hyperlink r:id="rId9" w:history="1">
        <w:r w:rsidRPr="00565897">
          <w:rPr>
            <w:rStyle w:val="Hyperlink"/>
            <w:rFonts w:eastAsia="Calibri"/>
            <w:sz w:val="20"/>
            <w:lang w:val="fr-CA"/>
          </w:rPr>
          <w:t>398</w:t>
        </w:r>
        <w:r w:rsidR="00961984" w:rsidRPr="00565897">
          <w:rPr>
            <w:rStyle w:val="Hyperlink"/>
            <w:rFonts w:eastAsia="Calibri"/>
            <w:sz w:val="20"/>
            <w:lang w:val="fr-CA"/>
          </w:rPr>
          <w:t>78</w:t>
        </w:r>
      </w:hyperlink>
      <w:r w:rsidRPr="00565897">
        <w:rPr>
          <w:rFonts w:eastAsia="Calibri"/>
          <w:sz w:val="20"/>
          <w:lang w:val="fr-CA"/>
        </w:rPr>
        <w:t>)</w:t>
      </w:r>
    </w:p>
    <w:p w:rsidR="00EB7781" w:rsidRPr="00565897" w:rsidRDefault="00EB7781" w:rsidP="00A4278F">
      <w:pPr>
        <w:widowControl w:val="0"/>
        <w:autoSpaceDE w:val="0"/>
        <w:autoSpaceDN w:val="0"/>
        <w:adjustRightInd w:val="0"/>
        <w:ind w:left="357" w:hanging="357"/>
        <w:contextualSpacing/>
        <w:rPr>
          <w:sz w:val="20"/>
          <w:lang w:val="fr-CA"/>
        </w:rPr>
      </w:pPr>
    </w:p>
    <w:p w:rsidR="00EB7781" w:rsidRPr="00565897" w:rsidRDefault="00EB7781" w:rsidP="00A4278F">
      <w:pPr>
        <w:pStyle w:val="ListParagraph"/>
        <w:numPr>
          <w:ilvl w:val="0"/>
          <w:numId w:val="43"/>
        </w:numPr>
        <w:ind w:left="357" w:hanging="357"/>
        <w:rPr>
          <w:sz w:val="20"/>
          <w:lang w:val="en-CA"/>
        </w:rPr>
      </w:pPr>
      <w:r w:rsidRPr="00565897">
        <w:rPr>
          <w:i/>
          <w:sz w:val="20"/>
        </w:rPr>
        <w:t>Alexandru Tanase v. College of Dental Hygienists of Ontario</w:t>
      </w:r>
      <w:r w:rsidRPr="00565897">
        <w:rPr>
          <w:sz w:val="20"/>
        </w:rPr>
        <w:t xml:space="preserve"> (Ont.) (Civil) (By Leave) </w:t>
      </w:r>
      <w:r w:rsidRPr="00565897">
        <w:rPr>
          <w:rFonts w:eastAsia="Calibri"/>
          <w:sz w:val="20"/>
        </w:rPr>
        <w:t>(</w:t>
      </w:r>
      <w:hyperlink r:id="rId10" w:history="1">
        <w:r w:rsidRPr="00565897">
          <w:rPr>
            <w:rStyle w:val="Hyperlink"/>
            <w:rFonts w:eastAsia="Calibri"/>
            <w:sz w:val="20"/>
          </w:rPr>
          <w:t>398</w:t>
        </w:r>
        <w:r w:rsidR="00961984" w:rsidRPr="00565897">
          <w:rPr>
            <w:rStyle w:val="Hyperlink"/>
            <w:rFonts w:eastAsia="Calibri"/>
            <w:sz w:val="20"/>
          </w:rPr>
          <w:t>62</w:t>
        </w:r>
      </w:hyperlink>
      <w:r w:rsidRPr="00565897">
        <w:rPr>
          <w:rFonts w:eastAsia="Calibri"/>
          <w:sz w:val="20"/>
        </w:rPr>
        <w:t>)</w:t>
      </w:r>
    </w:p>
    <w:p w:rsidR="00EB7781" w:rsidRPr="00565897" w:rsidRDefault="00EB7781" w:rsidP="00A4278F">
      <w:pPr>
        <w:widowControl w:val="0"/>
        <w:autoSpaceDE w:val="0"/>
        <w:autoSpaceDN w:val="0"/>
        <w:adjustRightInd w:val="0"/>
        <w:ind w:left="357" w:hanging="357"/>
        <w:contextualSpacing/>
        <w:rPr>
          <w:sz w:val="20"/>
          <w:lang w:val="en-CA"/>
        </w:rPr>
      </w:pPr>
    </w:p>
    <w:p w:rsidR="00EB7781" w:rsidRPr="00565897" w:rsidRDefault="00EB7781" w:rsidP="00A4278F">
      <w:pPr>
        <w:pStyle w:val="ListParagraph"/>
        <w:numPr>
          <w:ilvl w:val="0"/>
          <w:numId w:val="43"/>
        </w:numPr>
        <w:ind w:left="357" w:hanging="357"/>
        <w:rPr>
          <w:sz w:val="20"/>
          <w:lang w:val="en-CA"/>
        </w:rPr>
      </w:pPr>
      <w:r w:rsidRPr="00565897">
        <w:rPr>
          <w:i/>
          <w:sz w:val="20"/>
        </w:rPr>
        <w:t>Satyam Patel v. Saskatchewan Health Authority</w:t>
      </w:r>
      <w:r w:rsidR="00961984" w:rsidRPr="00565897">
        <w:rPr>
          <w:i/>
          <w:sz w:val="20"/>
        </w:rPr>
        <w:t>, et al.</w:t>
      </w:r>
      <w:r w:rsidRPr="00565897">
        <w:rPr>
          <w:sz w:val="20"/>
        </w:rPr>
        <w:t xml:space="preserve"> (Sask.) (Civil) (By Leave) </w:t>
      </w:r>
      <w:r w:rsidRPr="00565897">
        <w:rPr>
          <w:rFonts w:eastAsia="Calibri"/>
          <w:sz w:val="20"/>
        </w:rPr>
        <w:t>(</w:t>
      </w:r>
      <w:hyperlink r:id="rId11" w:history="1">
        <w:r w:rsidRPr="00565897">
          <w:rPr>
            <w:rStyle w:val="Hyperlink"/>
            <w:rFonts w:eastAsia="Calibri"/>
            <w:sz w:val="20"/>
          </w:rPr>
          <w:t>398</w:t>
        </w:r>
        <w:r w:rsidR="0093463A" w:rsidRPr="00565897">
          <w:rPr>
            <w:rStyle w:val="Hyperlink"/>
            <w:rFonts w:eastAsia="Calibri"/>
            <w:sz w:val="20"/>
          </w:rPr>
          <w:t>66</w:t>
        </w:r>
      </w:hyperlink>
      <w:r w:rsidRPr="00565897">
        <w:rPr>
          <w:rFonts w:eastAsia="Calibri"/>
          <w:sz w:val="20"/>
        </w:rPr>
        <w:t>)</w:t>
      </w:r>
    </w:p>
    <w:p w:rsidR="00EB7781" w:rsidRPr="00565897" w:rsidRDefault="00EB7781" w:rsidP="00A4278F">
      <w:pPr>
        <w:widowControl w:val="0"/>
        <w:autoSpaceDE w:val="0"/>
        <w:autoSpaceDN w:val="0"/>
        <w:adjustRightInd w:val="0"/>
        <w:ind w:left="357" w:hanging="357"/>
        <w:contextualSpacing/>
        <w:rPr>
          <w:sz w:val="20"/>
          <w:lang w:val="en-CA"/>
        </w:rPr>
      </w:pPr>
    </w:p>
    <w:p w:rsidR="00EB7781" w:rsidRPr="00565897" w:rsidRDefault="00EB7781" w:rsidP="00A4278F">
      <w:pPr>
        <w:pStyle w:val="ListParagraph"/>
        <w:numPr>
          <w:ilvl w:val="0"/>
          <w:numId w:val="43"/>
        </w:numPr>
        <w:ind w:left="357" w:hanging="357"/>
        <w:rPr>
          <w:sz w:val="20"/>
          <w:lang w:val="en-CA"/>
        </w:rPr>
      </w:pPr>
      <w:r w:rsidRPr="00565897">
        <w:rPr>
          <w:i/>
          <w:sz w:val="20"/>
        </w:rPr>
        <w:t xml:space="preserve">Satyam Patel v. Saskatchewan Health Authority, </w:t>
      </w:r>
      <w:r w:rsidR="0093463A" w:rsidRPr="00565897">
        <w:rPr>
          <w:i/>
          <w:sz w:val="20"/>
        </w:rPr>
        <w:t>et al.</w:t>
      </w:r>
      <w:r w:rsidRPr="00565897">
        <w:rPr>
          <w:sz w:val="20"/>
        </w:rPr>
        <w:t xml:space="preserve"> (Sask.) (Civil) (By Leave) </w:t>
      </w:r>
      <w:r w:rsidRPr="00565897">
        <w:rPr>
          <w:rFonts w:eastAsia="Calibri"/>
          <w:sz w:val="20"/>
        </w:rPr>
        <w:t>(</w:t>
      </w:r>
      <w:hyperlink r:id="rId12" w:history="1">
        <w:r w:rsidRPr="00565897">
          <w:rPr>
            <w:rStyle w:val="Hyperlink"/>
            <w:rFonts w:eastAsia="Calibri"/>
            <w:sz w:val="20"/>
          </w:rPr>
          <w:t>398</w:t>
        </w:r>
        <w:r w:rsidR="0093463A" w:rsidRPr="00565897">
          <w:rPr>
            <w:rStyle w:val="Hyperlink"/>
            <w:rFonts w:eastAsia="Calibri"/>
            <w:sz w:val="20"/>
          </w:rPr>
          <w:t>96</w:t>
        </w:r>
      </w:hyperlink>
      <w:r w:rsidRPr="00565897">
        <w:rPr>
          <w:rFonts w:eastAsia="Calibri"/>
          <w:sz w:val="20"/>
        </w:rPr>
        <w:t>)</w:t>
      </w:r>
    </w:p>
    <w:p w:rsidR="00EB7781" w:rsidRPr="00565897" w:rsidRDefault="00EB7781" w:rsidP="00A4278F">
      <w:pPr>
        <w:widowControl w:val="0"/>
        <w:autoSpaceDE w:val="0"/>
        <w:autoSpaceDN w:val="0"/>
        <w:adjustRightInd w:val="0"/>
        <w:ind w:left="357" w:hanging="357"/>
        <w:contextualSpacing/>
        <w:rPr>
          <w:sz w:val="20"/>
          <w:lang w:val="en-CA"/>
        </w:rPr>
      </w:pPr>
    </w:p>
    <w:p w:rsidR="00EB7781" w:rsidRPr="00565897" w:rsidRDefault="00EB7781" w:rsidP="00A4278F">
      <w:pPr>
        <w:pStyle w:val="ListParagraph"/>
        <w:numPr>
          <w:ilvl w:val="0"/>
          <w:numId w:val="43"/>
        </w:numPr>
        <w:ind w:left="357" w:hanging="357"/>
        <w:rPr>
          <w:sz w:val="20"/>
          <w:lang w:val="en-CA"/>
        </w:rPr>
      </w:pPr>
      <w:r w:rsidRPr="00565897">
        <w:rPr>
          <w:i/>
          <w:sz w:val="20"/>
        </w:rPr>
        <w:t>Weber Contract Services Inc. v. ISH Energy Ltd.</w:t>
      </w:r>
      <w:r w:rsidRPr="00565897">
        <w:rPr>
          <w:sz w:val="20"/>
        </w:rPr>
        <w:t xml:space="preserve"> (Alta.) (Civil) (By Leave) </w:t>
      </w:r>
      <w:r w:rsidRPr="00565897">
        <w:rPr>
          <w:rFonts w:eastAsia="Calibri"/>
          <w:sz w:val="20"/>
        </w:rPr>
        <w:t>(</w:t>
      </w:r>
      <w:hyperlink r:id="rId13" w:history="1">
        <w:r w:rsidRPr="00565897">
          <w:rPr>
            <w:rStyle w:val="Hyperlink"/>
            <w:rFonts w:eastAsia="Calibri"/>
            <w:sz w:val="20"/>
          </w:rPr>
          <w:t>398</w:t>
        </w:r>
        <w:r w:rsidR="0093463A" w:rsidRPr="00565897">
          <w:rPr>
            <w:rStyle w:val="Hyperlink"/>
            <w:rFonts w:eastAsia="Calibri"/>
            <w:sz w:val="20"/>
          </w:rPr>
          <w:t>7</w:t>
        </w:r>
        <w:r w:rsidRPr="00565897">
          <w:rPr>
            <w:rStyle w:val="Hyperlink"/>
            <w:rFonts w:eastAsia="Calibri"/>
            <w:sz w:val="20"/>
          </w:rPr>
          <w:t>0</w:t>
        </w:r>
      </w:hyperlink>
      <w:r w:rsidRPr="00565897">
        <w:rPr>
          <w:rFonts w:eastAsia="Calibri"/>
          <w:sz w:val="20"/>
        </w:rPr>
        <w:t>)</w:t>
      </w:r>
    </w:p>
    <w:p w:rsidR="00EB7781" w:rsidRPr="00565897" w:rsidRDefault="00EB7781" w:rsidP="00A4278F">
      <w:pPr>
        <w:widowControl w:val="0"/>
        <w:autoSpaceDE w:val="0"/>
        <w:autoSpaceDN w:val="0"/>
        <w:adjustRightInd w:val="0"/>
        <w:ind w:left="357" w:hanging="357"/>
        <w:contextualSpacing/>
        <w:rPr>
          <w:sz w:val="20"/>
          <w:lang w:val="en-CA"/>
        </w:rPr>
      </w:pPr>
    </w:p>
    <w:p w:rsidR="00EB7781" w:rsidRPr="00565897" w:rsidRDefault="00EB7781" w:rsidP="00A4278F">
      <w:pPr>
        <w:pStyle w:val="ListParagraph"/>
        <w:numPr>
          <w:ilvl w:val="0"/>
          <w:numId w:val="43"/>
        </w:numPr>
        <w:ind w:left="357" w:hanging="357"/>
        <w:rPr>
          <w:sz w:val="20"/>
          <w:lang w:val="en-CA"/>
        </w:rPr>
      </w:pPr>
      <w:r w:rsidRPr="00565897">
        <w:rPr>
          <w:i/>
          <w:sz w:val="20"/>
        </w:rPr>
        <w:t xml:space="preserve">Joshua Akanni Yusuf, </w:t>
      </w:r>
      <w:r w:rsidR="0093463A" w:rsidRPr="00565897">
        <w:rPr>
          <w:i/>
          <w:sz w:val="20"/>
        </w:rPr>
        <w:t>et al.</w:t>
      </w:r>
      <w:r w:rsidRPr="00565897">
        <w:rPr>
          <w:i/>
          <w:sz w:val="20"/>
        </w:rPr>
        <w:t xml:space="preserve"> v. </w:t>
      </w:r>
      <w:r w:rsidR="0093463A" w:rsidRPr="00565897">
        <w:rPr>
          <w:i/>
          <w:sz w:val="20"/>
        </w:rPr>
        <w:t>Theresa Yogaranie Paulpillai in her capacity as the Estate Trustee for the Estate of Richmond Gabriel Paulpillai, et al.</w:t>
      </w:r>
      <w:r w:rsidRPr="00565897">
        <w:rPr>
          <w:sz w:val="20"/>
        </w:rPr>
        <w:t xml:space="preserve"> (Ont.) (Civil) (By Leave) </w:t>
      </w:r>
      <w:r w:rsidRPr="00565897">
        <w:rPr>
          <w:rFonts w:eastAsia="Calibri"/>
          <w:sz w:val="20"/>
        </w:rPr>
        <w:t>(</w:t>
      </w:r>
      <w:hyperlink r:id="rId14" w:history="1">
        <w:r w:rsidRPr="00565897">
          <w:rPr>
            <w:rStyle w:val="Hyperlink"/>
            <w:rFonts w:eastAsia="Calibri"/>
            <w:sz w:val="20"/>
          </w:rPr>
          <w:t>398</w:t>
        </w:r>
        <w:r w:rsidR="0093463A" w:rsidRPr="00565897">
          <w:rPr>
            <w:rStyle w:val="Hyperlink"/>
            <w:rFonts w:eastAsia="Calibri"/>
            <w:sz w:val="20"/>
          </w:rPr>
          <w:t>81</w:t>
        </w:r>
      </w:hyperlink>
      <w:r w:rsidRPr="00565897">
        <w:rPr>
          <w:rFonts w:eastAsia="Calibri"/>
          <w:sz w:val="20"/>
        </w:rPr>
        <w:t>)</w:t>
      </w:r>
    </w:p>
    <w:p w:rsidR="00387DAF" w:rsidRPr="00565897" w:rsidRDefault="00387DAF" w:rsidP="0053032E">
      <w:pPr>
        <w:rPr>
          <w:sz w:val="20"/>
        </w:rPr>
      </w:pPr>
    </w:p>
    <w:p w:rsidR="0057402C" w:rsidRPr="00565897" w:rsidRDefault="00D527CF" w:rsidP="0053032E">
      <w:pPr>
        <w:widowControl w:val="0"/>
        <w:jc w:val="both"/>
        <w:rPr>
          <w:sz w:val="20"/>
        </w:rPr>
      </w:pPr>
      <w:r w:rsidRPr="00565897">
        <w:rPr>
          <w:sz w:val="20"/>
        </w:rPr>
        <w:pict>
          <v:rect id="_x0000_i1026" style="width:2in;height:1pt" o:hrpct="0" o:hralign="center" o:hrstd="t" o:hrnoshade="t" o:hr="t" fillcolor="black [3213]" stroked="f"/>
        </w:pict>
      </w:r>
    </w:p>
    <w:p w:rsidR="00387DAF" w:rsidRPr="00565897" w:rsidRDefault="00387DAF"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lang w:val="en-CA"/>
              </w:rPr>
            </w:pPr>
            <w:r w:rsidRPr="00565897">
              <w:rPr>
                <w:rStyle w:val="SCCFileNumberChar"/>
                <w:sz w:val="20"/>
                <w:szCs w:val="20"/>
              </w:rPr>
              <w:t>39816</w:t>
            </w:r>
          </w:p>
        </w:tc>
        <w:tc>
          <w:tcPr>
            <w:tcW w:w="4457" w:type="pct"/>
            <w:gridSpan w:val="3"/>
          </w:tcPr>
          <w:p w:rsidR="00D527CF" w:rsidRPr="00565897" w:rsidRDefault="00D527CF" w:rsidP="00D527CF">
            <w:pPr>
              <w:pStyle w:val="SCCLsocParty"/>
              <w:jc w:val="both"/>
              <w:rPr>
                <w:b/>
                <w:sz w:val="20"/>
                <w:szCs w:val="20"/>
                <w:lang w:val="en-CA"/>
              </w:rPr>
            </w:pPr>
            <w:r w:rsidRPr="00565897">
              <w:rPr>
                <w:b/>
                <w:sz w:val="20"/>
                <w:szCs w:val="20"/>
                <w:lang w:val="en-CA"/>
              </w:rPr>
              <w:t>Jetro Dejala, Richerson Paul v. Her Majesty the Queen</w:t>
            </w:r>
          </w:p>
          <w:p w:rsidR="00D527CF" w:rsidRPr="00565897" w:rsidRDefault="00D527CF" w:rsidP="00D527CF">
            <w:pPr>
              <w:jc w:val="both"/>
              <w:rPr>
                <w:sz w:val="20"/>
                <w:lang w:val="en-CA"/>
              </w:rPr>
            </w:pPr>
            <w:r w:rsidRPr="00565897">
              <w:rPr>
                <w:sz w:val="20"/>
                <w:lang w:val="en-CA"/>
              </w:rPr>
              <w:t>(Que.) (Criminal) (By Leave)</w:t>
            </w:r>
          </w:p>
        </w:tc>
      </w:tr>
      <w:tr w:rsidR="00D527CF" w:rsidRPr="00565897" w:rsidTr="00D527CF">
        <w:tc>
          <w:tcPr>
            <w:tcW w:w="5000" w:type="pct"/>
            <w:gridSpan w:val="4"/>
          </w:tcPr>
          <w:p w:rsidR="00D527CF" w:rsidRPr="00565897" w:rsidRDefault="00D527CF" w:rsidP="00D527CF">
            <w:pPr>
              <w:jc w:val="both"/>
              <w:rPr>
                <w:sz w:val="20"/>
                <w:lang w:val="en-CA"/>
              </w:rPr>
            </w:pPr>
            <w:r w:rsidRPr="00565897">
              <w:rPr>
                <w:sz w:val="20"/>
                <w:lang w:val="en-CA"/>
              </w:rPr>
              <w:t>Criminal law — Charge to jury — Evidence — Post</w:t>
            </w:r>
            <w:r w:rsidRPr="00565897">
              <w:rPr>
                <w:sz w:val="20"/>
                <w:lang w:val="en-CA"/>
              </w:rPr>
              <w:noBreakHyphen/>
              <w:t>offence conduct — Whether honourable trial judge erred in law in his jury instructions regarding circumstantial evidence of applicants’ post</w:t>
            </w:r>
            <w:r w:rsidRPr="00565897">
              <w:rPr>
                <w:sz w:val="20"/>
                <w:lang w:val="en-CA"/>
              </w:rPr>
              <w:noBreakHyphen/>
              <w:t>offence conduct.</w:t>
            </w:r>
          </w:p>
        </w:tc>
      </w:tr>
      <w:tr w:rsidR="00D527CF" w:rsidRPr="00565897" w:rsidTr="00D527CF">
        <w:tc>
          <w:tcPr>
            <w:tcW w:w="5000" w:type="pct"/>
            <w:gridSpan w:val="4"/>
          </w:tcPr>
          <w:p w:rsidR="00D527CF" w:rsidRPr="00565897" w:rsidRDefault="00D527CF" w:rsidP="00D527CF">
            <w:pPr>
              <w:jc w:val="both"/>
              <w:rPr>
                <w:sz w:val="20"/>
                <w:lang w:val="en-CA"/>
              </w:rPr>
            </w:pPr>
          </w:p>
        </w:tc>
      </w:tr>
      <w:tr w:rsidR="00D527CF" w:rsidRPr="00565897" w:rsidTr="00D527CF">
        <w:tc>
          <w:tcPr>
            <w:tcW w:w="5000" w:type="pct"/>
            <w:gridSpan w:val="4"/>
          </w:tcPr>
          <w:p w:rsidR="00D527CF" w:rsidRPr="00565897" w:rsidRDefault="00D527CF" w:rsidP="00D527CF">
            <w:pPr>
              <w:jc w:val="both"/>
              <w:rPr>
                <w:sz w:val="20"/>
                <w:lang w:val="en-CA"/>
              </w:rPr>
            </w:pPr>
            <w:r w:rsidRPr="00565897">
              <w:rPr>
                <w:sz w:val="20"/>
                <w:lang w:val="en-CA"/>
              </w:rPr>
              <w:t xml:space="preserve">On June 28, 2013, the applicants, Jetro Dejala and Richerson Paul, and two other individuals were arrested for the </w:t>
            </w:r>
            <w:proofErr w:type="gramStart"/>
            <w:r w:rsidRPr="00565897">
              <w:rPr>
                <w:sz w:val="20"/>
                <w:lang w:val="en-CA"/>
              </w:rPr>
              <w:t>first degree</w:t>
            </w:r>
            <w:proofErr w:type="gramEnd"/>
            <w:r w:rsidRPr="00565897">
              <w:rPr>
                <w:sz w:val="20"/>
                <w:lang w:val="en-CA"/>
              </w:rPr>
              <w:t xml:space="preserve"> murder of Mr. Lafond committed that day. </w:t>
            </w:r>
            <w:proofErr w:type="gramStart"/>
            <w:r w:rsidRPr="00565897">
              <w:rPr>
                <w:sz w:val="20"/>
                <w:lang w:val="en-CA"/>
              </w:rPr>
              <w:t>According to the theory of the prosecution, the four individuals had formed an intention in common to kill Mr. Lafond and had all been parties to the commission of the crime.</w:t>
            </w:r>
            <w:proofErr w:type="gramEnd"/>
            <w:r w:rsidRPr="00565897">
              <w:rPr>
                <w:sz w:val="20"/>
                <w:lang w:val="en-CA"/>
              </w:rPr>
              <w:t xml:space="preserve"> They had watched Mr. Lafond’s arrival at his home and had waited for the right time to position their vehicle strategically in order to facilitate the commission of the murder and the shooter’s escape.</w:t>
            </w:r>
          </w:p>
          <w:p w:rsidR="00D527CF" w:rsidRPr="00565897" w:rsidRDefault="00D527CF" w:rsidP="00D527CF">
            <w:pPr>
              <w:jc w:val="both"/>
              <w:rPr>
                <w:sz w:val="20"/>
                <w:lang w:val="en-CA"/>
              </w:rPr>
            </w:pPr>
          </w:p>
          <w:p w:rsidR="00D527CF" w:rsidRPr="00565897" w:rsidRDefault="00D527CF" w:rsidP="00D527CF">
            <w:pPr>
              <w:jc w:val="both"/>
              <w:rPr>
                <w:sz w:val="20"/>
                <w:lang w:val="en-CA"/>
              </w:rPr>
            </w:pPr>
            <w:r w:rsidRPr="00565897">
              <w:rPr>
                <w:sz w:val="20"/>
                <w:lang w:val="en-CA"/>
              </w:rPr>
              <w:t xml:space="preserve">A jury convicted Mr. Dejala and Mr. Paul of </w:t>
            </w:r>
            <w:proofErr w:type="gramStart"/>
            <w:r w:rsidRPr="00565897">
              <w:rPr>
                <w:sz w:val="20"/>
                <w:lang w:val="en-CA"/>
              </w:rPr>
              <w:t>first degree</w:t>
            </w:r>
            <w:proofErr w:type="gramEnd"/>
            <w:r w:rsidRPr="00565897">
              <w:rPr>
                <w:sz w:val="20"/>
                <w:lang w:val="en-CA"/>
              </w:rPr>
              <w:t xml:space="preserve"> murder, and the Court of Appeal dismissed their appeal. In the Court of Appeal’s view, the trial judge </w:t>
            </w:r>
            <w:proofErr w:type="gramStart"/>
            <w:r w:rsidRPr="00565897">
              <w:rPr>
                <w:sz w:val="20"/>
                <w:lang w:val="en-CA"/>
              </w:rPr>
              <w:t>had adequately and correctly warned</w:t>
            </w:r>
            <w:proofErr w:type="gramEnd"/>
            <w:r w:rsidRPr="00565897">
              <w:rPr>
                <w:sz w:val="20"/>
                <w:lang w:val="en-CA"/>
              </w:rPr>
              <w:t xml:space="preserve"> the jury about the risks associated with the use of post</w:t>
            </w:r>
            <w:r w:rsidRPr="00565897">
              <w:rPr>
                <w:sz w:val="20"/>
                <w:lang w:val="en-CA"/>
              </w:rPr>
              <w:noBreakHyphen/>
              <w:t>offence conduct evidence. The jury could reasonably conclude that there had been a common plan to murder Mr. Lafond and that Mr. Dejala and Mr. Paul had been parties to it.</w:t>
            </w:r>
          </w:p>
          <w:p w:rsidR="00D527CF" w:rsidRPr="00565897" w:rsidRDefault="00D527CF" w:rsidP="00D527CF">
            <w:pPr>
              <w:jc w:val="both"/>
              <w:rPr>
                <w:sz w:val="20"/>
                <w:lang w:val="en-CA"/>
              </w:rPr>
            </w:pP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lastRenderedPageBreak/>
              <w:t>March 2, 2017</w:t>
            </w:r>
          </w:p>
          <w:p w:rsidR="00D527CF" w:rsidRPr="00565897" w:rsidRDefault="00D527CF" w:rsidP="00D527CF">
            <w:pPr>
              <w:jc w:val="both"/>
              <w:rPr>
                <w:sz w:val="20"/>
                <w:lang w:val="en-CA"/>
              </w:rPr>
            </w:pPr>
            <w:r w:rsidRPr="00565897">
              <w:rPr>
                <w:sz w:val="20"/>
                <w:lang w:val="en-CA"/>
              </w:rPr>
              <w:t>Quebec Superior Court</w:t>
            </w:r>
          </w:p>
          <w:p w:rsidR="00D527CF" w:rsidRPr="00565897" w:rsidRDefault="00D527CF" w:rsidP="00D527CF">
            <w:pPr>
              <w:jc w:val="both"/>
              <w:rPr>
                <w:sz w:val="20"/>
                <w:lang w:val="en-CA"/>
              </w:rPr>
            </w:pPr>
            <w:r w:rsidRPr="00565897">
              <w:rPr>
                <w:sz w:val="20"/>
                <w:lang w:val="en-CA"/>
              </w:rPr>
              <w:t>(Boucher J.)</w:t>
            </w:r>
          </w:p>
          <w:p w:rsidR="00D527CF" w:rsidRPr="00565897" w:rsidRDefault="00D527CF" w:rsidP="00D527CF">
            <w:pPr>
              <w:jc w:val="both"/>
              <w:rPr>
                <w:sz w:val="20"/>
                <w:lang w:val="en-CA"/>
              </w:rPr>
            </w:pP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Convictions for first degree murder returned by jury</w:t>
            </w:r>
          </w:p>
          <w:p w:rsidR="00D527CF" w:rsidRPr="00565897" w:rsidRDefault="00D527CF" w:rsidP="00D527CF">
            <w:pPr>
              <w:jc w:val="both"/>
              <w:rPr>
                <w:sz w:val="20"/>
                <w:lang w:val="en-CA"/>
              </w:rPr>
            </w:pP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t>February 15, 2021</w:t>
            </w:r>
          </w:p>
          <w:p w:rsidR="00D527CF" w:rsidRPr="00565897" w:rsidRDefault="00D527CF" w:rsidP="00D527CF">
            <w:pPr>
              <w:jc w:val="both"/>
              <w:rPr>
                <w:sz w:val="20"/>
                <w:lang w:val="en-CA"/>
              </w:rPr>
            </w:pPr>
            <w:r w:rsidRPr="00565897">
              <w:rPr>
                <w:sz w:val="20"/>
                <w:lang w:val="en-CA"/>
              </w:rPr>
              <w:t>Quebec Court of Appeal (Montréal)</w:t>
            </w:r>
          </w:p>
          <w:p w:rsidR="00D527CF" w:rsidRPr="00565897" w:rsidRDefault="00D527CF" w:rsidP="00D527CF">
            <w:pPr>
              <w:jc w:val="both"/>
              <w:rPr>
                <w:sz w:val="20"/>
                <w:lang w:val="en-CA"/>
              </w:rPr>
            </w:pPr>
            <w:r w:rsidRPr="00565897">
              <w:rPr>
                <w:sz w:val="20"/>
                <w:lang w:val="en-CA"/>
              </w:rPr>
              <w:t>(Chamberland, Hilton and Marcotte JJ.A.)</w:t>
            </w:r>
          </w:p>
          <w:p w:rsidR="00D527CF" w:rsidRPr="00565897" w:rsidRDefault="00D527CF" w:rsidP="00D527CF">
            <w:pPr>
              <w:jc w:val="both"/>
              <w:rPr>
                <w:sz w:val="20"/>
                <w:lang w:val="en-CA"/>
              </w:rPr>
            </w:pPr>
            <w:hyperlink r:id="rId15" w:history="1">
              <w:r w:rsidRPr="00565897">
                <w:rPr>
                  <w:rStyle w:val="Hyperlink"/>
                  <w:sz w:val="20"/>
                  <w:lang w:val="en-CA"/>
                </w:rPr>
                <w:t>2021 QCCA 248</w:t>
              </w:r>
            </w:hyperlink>
            <w:r w:rsidRPr="00565897">
              <w:rPr>
                <w:sz w:val="20"/>
                <w:lang w:val="en-CA"/>
              </w:rPr>
              <w:t xml:space="preserve"> (500</w:t>
            </w:r>
            <w:r w:rsidRPr="00565897">
              <w:rPr>
                <w:sz w:val="20"/>
                <w:lang w:val="en-CA"/>
              </w:rPr>
              <w:noBreakHyphen/>
              <w:t>10</w:t>
            </w:r>
            <w:r w:rsidRPr="00565897">
              <w:rPr>
                <w:sz w:val="20"/>
                <w:lang w:val="en-CA"/>
              </w:rPr>
              <w:noBreakHyphen/>
              <w:t>006402</w:t>
            </w:r>
            <w:r w:rsidRPr="00565897">
              <w:rPr>
                <w:sz w:val="20"/>
                <w:lang w:val="en-CA"/>
              </w:rPr>
              <w:noBreakHyphen/>
              <w:t>174;500</w:t>
            </w:r>
            <w:r w:rsidRPr="00565897">
              <w:rPr>
                <w:sz w:val="20"/>
                <w:lang w:val="en-CA"/>
              </w:rPr>
              <w:noBreakHyphen/>
              <w:t>10-006532</w:t>
            </w:r>
            <w:r w:rsidRPr="00565897">
              <w:rPr>
                <w:sz w:val="20"/>
                <w:lang w:val="en-CA"/>
              </w:rPr>
              <w:noBreakHyphen/>
              <w:t>178)</w:t>
            </w:r>
          </w:p>
          <w:p w:rsidR="00D527CF" w:rsidRPr="00565897" w:rsidRDefault="00D527CF" w:rsidP="00D527CF">
            <w:pPr>
              <w:jc w:val="both"/>
              <w:rPr>
                <w:sz w:val="20"/>
                <w:lang w:val="en-CA"/>
              </w:rPr>
            </w:pP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Appeals dismissed</w:t>
            </w:r>
          </w:p>
          <w:p w:rsidR="00D527CF" w:rsidRPr="00565897" w:rsidRDefault="00D527CF" w:rsidP="00D527CF">
            <w:pPr>
              <w:jc w:val="both"/>
              <w:rPr>
                <w:sz w:val="20"/>
                <w:lang w:val="en-CA"/>
              </w:rPr>
            </w:pP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t>August 30, 2021</w:t>
            </w:r>
          </w:p>
          <w:p w:rsidR="00D527CF" w:rsidRPr="00565897" w:rsidRDefault="00D527CF" w:rsidP="00D527CF">
            <w:pPr>
              <w:jc w:val="both"/>
              <w:rPr>
                <w:sz w:val="20"/>
                <w:lang w:val="en-CA"/>
              </w:rPr>
            </w:pPr>
            <w:r w:rsidRPr="00565897">
              <w:rPr>
                <w:sz w:val="20"/>
                <w:lang w:val="en-CA"/>
              </w:rPr>
              <w:t>Supreme Court of Canada</w:t>
            </w: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Application for leave to appeal and motion to extend time filed</w:t>
            </w:r>
          </w:p>
        </w:tc>
      </w:tr>
    </w:tbl>
    <w:p w:rsidR="00D527CF" w:rsidRPr="00565897" w:rsidRDefault="00D527CF" w:rsidP="00D527CF">
      <w:pPr>
        <w:jc w:val="both"/>
        <w:rPr>
          <w:sz w:val="20"/>
          <w:lang w:val="en-CA"/>
        </w:rPr>
      </w:pPr>
    </w:p>
    <w:p w:rsidR="00D527CF" w:rsidRPr="00565897" w:rsidRDefault="00D527CF" w:rsidP="00D527CF">
      <w:pPr>
        <w:jc w:val="both"/>
        <w:rPr>
          <w:sz w:val="20"/>
          <w:lang w:val="en-CA"/>
        </w:rPr>
      </w:pPr>
      <w:r w:rsidRPr="00565897">
        <w:rPr>
          <w:sz w:val="20"/>
        </w:rPr>
        <w:pict>
          <v:rect id="_x0000_i1028" style="width:2in;height:1pt" o:hrpct="0" o:hralign="center" o:hrstd="t" o:hrnoshade="t" o:hr="t" fillcolor="black [3213]" stroked="f"/>
        </w:pict>
      </w:r>
    </w:p>
    <w:p w:rsidR="00D527CF" w:rsidRPr="00565897" w:rsidRDefault="00D527CF" w:rsidP="00D527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39816</w:t>
            </w:r>
          </w:p>
        </w:tc>
        <w:tc>
          <w:tcPr>
            <w:tcW w:w="4457" w:type="pct"/>
            <w:gridSpan w:val="3"/>
          </w:tcPr>
          <w:p w:rsidR="00D527CF" w:rsidRPr="00565897" w:rsidRDefault="00D527CF" w:rsidP="00D527CF">
            <w:pPr>
              <w:pStyle w:val="SCCLsocParty"/>
              <w:jc w:val="both"/>
              <w:rPr>
                <w:b/>
                <w:sz w:val="20"/>
                <w:szCs w:val="20"/>
              </w:rPr>
            </w:pPr>
            <w:r w:rsidRPr="00565897">
              <w:rPr>
                <w:b/>
                <w:sz w:val="20"/>
                <w:szCs w:val="20"/>
              </w:rPr>
              <w:t>Jetro Dejala, Richerson Paul c. Sa Majesté la Reine</w:t>
            </w:r>
          </w:p>
          <w:p w:rsidR="00D527CF" w:rsidRPr="00565897" w:rsidRDefault="00D527CF" w:rsidP="00D527CF">
            <w:pPr>
              <w:jc w:val="both"/>
              <w:rPr>
                <w:sz w:val="20"/>
              </w:rPr>
            </w:pPr>
            <w:r w:rsidRPr="00565897">
              <w:rPr>
                <w:sz w:val="20"/>
              </w:rPr>
              <w:t>(Qc) (Criminelle) (Autorisation)</w:t>
            </w: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Droit criminel — Exposé au jury — Preuve — Comportements post-délictuels — L’honorable juge de première instance a</w:t>
            </w:r>
            <w:r w:rsidRPr="00565897">
              <w:rPr>
                <w:sz w:val="20"/>
                <w:lang w:val="fr-CA"/>
              </w:rPr>
              <w:noBreakHyphen/>
              <w:t>t</w:t>
            </w:r>
            <w:r w:rsidRPr="00565897">
              <w:rPr>
                <w:sz w:val="20"/>
                <w:lang w:val="fr-CA"/>
              </w:rPr>
              <w:noBreakHyphen/>
              <w:t>il erré en droit dans ses directives au jury concernant la preuve circonstancielle de comportements post</w:t>
            </w:r>
            <w:r w:rsidRPr="00565897">
              <w:rPr>
                <w:sz w:val="20"/>
                <w:lang w:val="fr-CA"/>
              </w:rPr>
              <w:noBreakHyphen/>
              <w:t>délictuels des demandeurs?</w:t>
            </w:r>
          </w:p>
        </w:tc>
      </w:tr>
      <w:tr w:rsidR="00D527CF" w:rsidRPr="00565897" w:rsidTr="00D527CF">
        <w:tc>
          <w:tcPr>
            <w:tcW w:w="5000" w:type="pct"/>
            <w:gridSpan w:val="4"/>
          </w:tcPr>
          <w:p w:rsidR="00D527CF" w:rsidRPr="00565897" w:rsidRDefault="00D527CF" w:rsidP="00D527CF">
            <w:pPr>
              <w:jc w:val="both"/>
              <w:rPr>
                <w:sz w:val="20"/>
                <w:lang w:val="fr-CA"/>
              </w:rPr>
            </w:pP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Le 28 juin 2013, les demandeurs, Jetro Dejala et Richerson Paul, ainsi que deux autres individus sont arrêtés pour le meurtre au premier degré de M. Lafond commis le jour même. Selon la théorie de la poursuite, les quatre individus ont formé ensemble le projet de tuer M. Lafond, et ont tous participé à la perpétration du crime. Ils ont surveillé l’arrivée de M. Lafond à son domicile et ont attendu le moment opportun pour positionner leur véhicule de manière stratégique afin de faciliter la commission du meurtre et la fuite du tireur.</w:t>
            </w:r>
          </w:p>
          <w:p w:rsidR="00D527CF" w:rsidRPr="00565897" w:rsidRDefault="00D527CF" w:rsidP="00D527CF">
            <w:pPr>
              <w:jc w:val="both"/>
              <w:rPr>
                <w:sz w:val="20"/>
                <w:lang w:val="fr-CA"/>
              </w:rPr>
            </w:pPr>
          </w:p>
          <w:p w:rsidR="00D527CF" w:rsidRPr="00565897" w:rsidRDefault="00D527CF" w:rsidP="00D527CF">
            <w:pPr>
              <w:jc w:val="both"/>
              <w:rPr>
                <w:sz w:val="20"/>
              </w:rPr>
            </w:pPr>
            <w:r w:rsidRPr="00565897">
              <w:rPr>
                <w:sz w:val="20"/>
                <w:lang w:val="fr-CA"/>
              </w:rPr>
              <w:t>Un jury déclare MM. Dejala et Paul coupables de meurtre au premier degré, et la Cour d’appel rejette leur appel. Selon la Cour d’appel, le juge du procès a suffisamment et correctement mis en garde le jury contre les risques associés à l’utilisation de la preuve des comportements post</w:t>
            </w:r>
            <w:r w:rsidRPr="00565897">
              <w:rPr>
                <w:sz w:val="20"/>
                <w:lang w:val="fr-CA"/>
              </w:rPr>
              <w:noBreakHyphen/>
              <w:t>délictuels. Le jury pouvait raisonnablement conclure qu’il y avait un projet criminel commun de commettre le meurtre de M. Lafond et que MM. </w:t>
            </w:r>
            <w:r w:rsidRPr="00565897">
              <w:rPr>
                <w:sz w:val="20"/>
              </w:rPr>
              <w:t>Dejala et Paul avaient participé à ce projet.</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Le 2 mars 2017</w:t>
            </w:r>
          </w:p>
          <w:p w:rsidR="00D527CF" w:rsidRPr="00565897" w:rsidRDefault="00D527CF" w:rsidP="00D527CF">
            <w:pPr>
              <w:jc w:val="both"/>
              <w:rPr>
                <w:sz w:val="20"/>
                <w:lang w:val="fr-CA"/>
              </w:rPr>
            </w:pPr>
            <w:r w:rsidRPr="00565897">
              <w:rPr>
                <w:sz w:val="20"/>
                <w:lang w:val="fr-CA"/>
              </w:rPr>
              <w:t>Cour supérieure du Québec</w:t>
            </w:r>
          </w:p>
          <w:p w:rsidR="00D527CF" w:rsidRPr="00565897" w:rsidRDefault="00D527CF" w:rsidP="00D527CF">
            <w:pPr>
              <w:jc w:val="both"/>
              <w:rPr>
                <w:sz w:val="20"/>
              </w:rPr>
            </w:pPr>
            <w:r w:rsidRPr="00565897">
              <w:rPr>
                <w:sz w:val="20"/>
              </w:rPr>
              <w:t>(Le juge Boucher)</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Verdicts de culpabilité pour meurtre au premier degré prononcés par le jury</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Le 15 février 2021</w:t>
            </w:r>
          </w:p>
          <w:p w:rsidR="00D527CF" w:rsidRPr="00565897" w:rsidRDefault="00D527CF" w:rsidP="00D527CF">
            <w:pPr>
              <w:jc w:val="both"/>
              <w:rPr>
                <w:sz w:val="20"/>
                <w:lang w:val="fr-CA"/>
              </w:rPr>
            </w:pPr>
            <w:r w:rsidRPr="00565897">
              <w:rPr>
                <w:sz w:val="20"/>
                <w:lang w:val="fr-CA"/>
              </w:rPr>
              <w:t>Cour d’appel du Québec (Montréal)</w:t>
            </w:r>
          </w:p>
          <w:p w:rsidR="00D527CF" w:rsidRPr="00565897" w:rsidRDefault="00D527CF" w:rsidP="00D527CF">
            <w:pPr>
              <w:jc w:val="both"/>
              <w:rPr>
                <w:sz w:val="20"/>
                <w:lang w:val="fr-CA"/>
              </w:rPr>
            </w:pPr>
            <w:r w:rsidRPr="00565897">
              <w:rPr>
                <w:sz w:val="20"/>
                <w:lang w:val="fr-CA"/>
              </w:rPr>
              <w:t>(Les juges Chamberland, Hilton et Marcotte)</w:t>
            </w:r>
          </w:p>
          <w:p w:rsidR="00D527CF" w:rsidRPr="00565897" w:rsidRDefault="00D527CF" w:rsidP="00D527CF">
            <w:pPr>
              <w:jc w:val="both"/>
              <w:rPr>
                <w:sz w:val="20"/>
              </w:rPr>
            </w:pPr>
            <w:hyperlink r:id="rId16" w:history="1">
              <w:r w:rsidRPr="00565897">
                <w:rPr>
                  <w:rStyle w:val="Hyperlink"/>
                  <w:sz w:val="20"/>
                </w:rPr>
                <w:t>2021 QCCA 248</w:t>
              </w:r>
            </w:hyperlink>
            <w:r w:rsidRPr="00565897">
              <w:rPr>
                <w:sz w:val="20"/>
              </w:rPr>
              <w:t xml:space="preserve"> (500</w:t>
            </w:r>
            <w:r w:rsidRPr="00565897">
              <w:rPr>
                <w:sz w:val="20"/>
              </w:rPr>
              <w:noBreakHyphen/>
              <w:t>10</w:t>
            </w:r>
            <w:r w:rsidRPr="00565897">
              <w:rPr>
                <w:sz w:val="20"/>
              </w:rPr>
              <w:noBreakHyphen/>
              <w:t>006402</w:t>
            </w:r>
            <w:r w:rsidRPr="00565897">
              <w:rPr>
                <w:sz w:val="20"/>
              </w:rPr>
              <w:noBreakHyphen/>
              <w:t>174;500</w:t>
            </w:r>
            <w:r w:rsidRPr="00565897">
              <w:rPr>
                <w:sz w:val="20"/>
              </w:rPr>
              <w:noBreakHyphen/>
              <w:t>10-006532</w:t>
            </w:r>
            <w:r w:rsidRPr="00565897">
              <w:rPr>
                <w:sz w:val="20"/>
              </w:rPr>
              <w:noBreakHyphen/>
              <w:t>178)</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Appels rejetés</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Le 30 août 2021</w:t>
            </w:r>
          </w:p>
          <w:p w:rsidR="00D527CF" w:rsidRPr="00565897" w:rsidRDefault="00D527CF" w:rsidP="00D527CF">
            <w:pPr>
              <w:jc w:val="both"/>
              <w:rPr>
                <w:sz w:val="20"/>
                <w:lang w:val="fr-CA"/>
              </w:rPr>
            </w:pPr>
            <w:r w:rsidRPr="00565897">
              <w:rPr>
                <w:sz w:val="20"/>
                <w:lang w:val="fr-CA"/>
              </w:rPr>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lang w:val="fr-CA"/>
              </w:rPr>
            </w:pPr>
            <w:r w:rsidRPr="00565897">
              <w:rPr>
                <w:sz w:val="20"/>
                <w:lang w:val="fr-CA"/>
              </w:rPr>
              <w:t xml:space="preserve">Demande d’autorisation d’appel et requête en prorogation de </w:t>
            </w:r>
            <w:proofErr w:type="gramStart"/>
            <w:r w:rsidRPr="00565897">
              <w:rPr>
                <w:sz w:val="20"/>
                <w:lang w:val="fr-CA"/>
              </w:rPr>
              <w:t>délai déposées</w:t>
            </w:r>
            <w:proofErr w:type="gramEnd"/>
          </w:p>
        </w:tc>
      </w:tr>
    </w:tbl>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rPr>
        <w:pict>
          <v:rect id="_x0000_i1029" style="width:2in;height:1pt" o:hrpct="0" o:hralign="center" o:hrstd="t" o:hrnoshade="t" o:hr="t" fillcolor="black [3213]" stroked="f"/>
        </w:pict>
      </w:r>
    </w:p>
    <w:p w:rsidR="00387DAF" w:rsidRPr="00565897" w:rsidRDefault="00387DAF" w:rsidP="00D527CF">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lang w:val="en-CA"/>
              </w:rPr>
            </w:pPr>
            <w:r w:rsidRPr="00565897">
              <w:rPr>
                <w:rStyle w:val="SCCFileNumberChar"/>
                <w:sz w:val="20"/>
                <w:szCs w:val="20"/>
              </w:rPr>
              <w:t>39878</w:t>
            </w:r>
          </w:p>
        </w:tc>
        <w:tc>
          <w:tcPr>
            <w:tcW w:w="4457" w:type="pct"/>
            <w:gridSpan w:val="3"/>
          </w:tcPr>
          <w:p w:rsidR="00D527CF" w:rsidRPr="00565897" w:rsidRDefault="00D527CF" w:rsidP="00D527CF">
            <w:pPr>
              <w:pStyle w:val="SCCLsocParty"/>
              <w:jc w:val="both"/>
              <w:rPr>
                <w:b/>
                <w:sz w:val="20"/>
                <w:szCs w:val="20"/>
                <w:lang w:val="en-CA"/>
              </w:rPr>
            </w:pPr>
            <w:r w:rsidRPr="00565897">
              <w:rPr>
                <w:b/>
                <w:sz w:val="20"/>
                <w:szCs w:val="20"/>
                <w:lang w:val="en-CA"/>
              </w:rPr>
              <w:t>Nadia Martin v. Her Majesty the Queen</w:t>
            </w:r>
          </w:p>
          <w:p w:rsidR="00D527CF" w:rsidRPr="00565897" w:rsidRDefault="00D527CF" w:rsidP="00D527CF">
            <w:pPr>
              <w:jc w:val="both"/>
              <w:rPr>
                <w:sz w:val="20"/>
                <w:lang w:val="en-CA"/>
              </w:rPr>
            </w:pPr>
            <w:r w:rsidRPr="00565897">
              <w:rPr>
                <w:sz w:val="20"/>
                <w:lang w:val="en-CA"/>
              </w:rPr>
              <w:lastRenderedPageBreak/>
              <w:t>(Que.) (Criminal) (By Leave)</w:t>
            </w:r>
          </w:p>
        </w:tc>
      </w:tr>
      <w:tr w:rsidR="00D527CF" w:rsidRPr="00565897" w:rsidTr="00D527CF">
        <w:tc>
          <w:tcPr>
            <w:tcW w:w="5000" w:type="pct"/>
            <w:gridSpan w:val="4"/>
          </w:tcPr>
          <w:p w:rsidR="00D527CF" w:rsidRPr="00565897" w:rsidRDefault="00D527CF" w:rsidP="00D527CF">
            <w:pPr>
              <w:jc w:val="both"/>
              <w:rPr>
                <w:sz w:val="20"/>
                <w:lang w:val="en-CA"/>
              </w:rPr>
            </w:pPr>
            <w:proofErr w:type="gramStart"/>
            <w:r w:rsidRPr="00565897">
              <w:rPr>
                <w:sz w:val="20"/>
                <w:lang w:val="en-CA"/>
              </w:rPr>
              <w:lastRenderedPageBreak/>
              <w:t xml:space="preserve">Criminal law — </w:t>
            </w:r>
            <w:r w:rsidRPr="00565897">
              <w:rPr>
                <w:i/>
                <w:sz w:val="20"/>
                <w:lang w:val="en-CA"/>
              </w:rPr>
              <w:t>Charter of Rights and Freedoms</w:t>
            </w:r>
            <w:r w:rsidRPr="00565897">
              <w:rPr>
                <w:sz w:val="20"/>
                <w:lang w:val="en-CA"/>
              </w:rPr>
              <w:t xml:space="preserve"> — Search and seizure — Evidence — Blood samples — Whether Quebec Court of Appeal perpetuated Superior Court’s error by reviewing trial judge’s assessment of facts in absence of palpable and overriding error — Whether Quebec Court of Appeal erred in law in finding that there was no unreasonable seizure within meaning of s. 8 of </w:t>
            </w:r>
            <w:r w:rsidRPr="00565897">
              <w:rPr>
                <w:i/>
                <w:sz w:val="20"/>
                <w:lang w:val="en-CA"/>
              </w:rPr>
              <w:t>Charter</w:t>
            </w:r>
            <w:r w:rsidRPr="00565897">
              <w:rPr>
                <w:sz w:val="20"/>
                <w:lang w:val="en-CA"/>
              </w:rPr>
              <w:t xml:space="preserve"> — Whether Quebec Court of Appeal erred in law in finding that blood samples had always remained in hospital’s possession and under its control after being sealed — Whether Quebec Court of Appeal erred in law in finding that Constable Lachance had acted in accordance with legal framework established by </w:t>
            </w:r>
            <w:r w:rsidRPr="00565897">
              <w:rPr>
                <w:i/>
                <w:sz w:val="20"/>
                <w:lang w:val="en-CA"/>
              </w:rPr>
              <w:t>Criminal Code</w:t>
            </w:r>
            <w:r w:rsidRPr="00565897">
              <w:rPr>
                <w:sz w:val="20"/>
                <w:lang w:val="en-CA"/>
              </w:rPr>
              <w:t>.</w:t>
            </w:r>
            <w:proofErr w:type="gramEnd"/>
          </w:p>
        </w:tc>
      </w:tr>
      <w:tr w:rsidR="00D527CF" w:rsidRPr="00565897" w:rsidTr="00D527CF">
        <w:tc>
          <w:tcPr>
            <w:tcW w:w="5000" w:type="pct"/>
            <w:gridSpan w:val="4"/>
          </w:tcPr>
          <w:p w:rsidR="00D527CF" w:rsidRPr="00565897" w:rsidRDefault="00D527CF" w:rsidP="00D527CF">
            <w:pPr>
              <w:jc w:val="both"/>
              <w:rPr>
                <w:sz w:val="20"/>
                <w:lang w:val="en-CA"/>
              </w:rPr>
            </w:pPr>
          </w:p>
        </w:tc>
      </w:tr>
      <w:tr w:rsidR="00D527CF" w:rsidRPr="00565897" w:rsidTr="00D527CF">
        <w:tc>
          <w:tcPr>
            <w:tcW w:w="5000" w:type="pct"/>
            <w:gridSpan w:val="4"/>
          </w:tcPr>
          <w:p w:rsidR="00D527CF" w:rsidRPr="00565897" w:rsidRDefault="00D527CF" w:rsidP="00D527CF">
            <w:pPr>
              <w:jc w:val="both"/>
              <w:rPr>
                <w:sz w:val="20"/>
                <w:lang w:val="en-CA"/>
              </w:rPr>
            </w:pPr>
            <w:r w:rsidRPr="00565897">
              <w:rPr>
                <w:sz w:val="20"/>
                <w:lang w:val="en-CA"/>
              </w:rPr>
              <w:t xml:space="preserve">On June 10, 2017, the applicant, Nadia Martin, was involved in a motor vehicle accident. She </w:t>
            </w:r>
            <w:proofErr w:type="gramStart"/>
            <w:r w:rsidRPr="00565897">
              <w:rPr>
                <w:sz w:val="20"/>
                <w:lang w:val="en-CA"/>
              </w:rPr>
              <w:t>was arrested at the scene for impaired driving and taken by ambulance to a hospital</w:t>
            </w:r>
            <w:proofErr w:type="gramEnd"/>
            <w:r w:rsidRPr="00565897">
              <w:rPr>
                <w:sz w:val="20"/>
                <w:lang w:val="en-CA"/>
              </w:rPr>
              <w:t xml:space="preserve">. The physician told the police officers, who wanted blood samples from the </w:t>
            </w:r>
            <w:proofErr w:type="gramStart"/>
            <w:r w:rsidRPr="00565897">
              <w:rPr>
                <w:sz w:val="20"/>
                <w:lang w:val="en-CA"/>
              </w:rPr>
              <w:t>applicant, that</w:t>
            </w:r>
            <w:proofErr w:type="gramEnd"/>
            <w:r w:rsidRPr="00565897">
              <w:rPr>
                <w:sz w:val="20"/>
                <w:lang w:val="en-CA"/>
              </w:rPr>
              <w:t xml:space="preserve"> she was not in any condition to validly consent to having blood drawn. When a nurse took blood samples from the applicant, Constable Lachance asked the nurse for samples from the vials. The samples were sealed, identified with the applicant’s name and placed in a locked refrigerator at the hospital. Four days after the event, a search warrant </w:t>
            </w:r>
            <w:proofErr w:type="gramStart"/>
            <w:r w:rsidRPr="00565897">
              <w:rPr>
                <w:sz w:val="20"/>
                <w:lang w:val="en-CA"/>
              </w:rPr>
              <w:t>was issued</w:t>
            </w:r>
            <w:proofErr w:type="gramEnd"/>
            <w:r w:rsidRPr="00565897">
              <w:rPr>
                <w:sz w:val="20"/>
                <w:lang w:val="en-CA"/>
              </w:rPr>
              <w:t xml:space="preserve"> and Constable Lachance seized the samples, which were then analyzed to determine the applicant’s blood alcohol level. </w:t>
            </w:r>
          </w:p>
          <w:p w:rsidR="00D527CF" w:rsidRPr="00565897" w:rsidRDefault="00D527CF" w:rsidP="00D527CF">
            <w:pPr>
              <w:jc w:val="both"/>
              <w:rPr>
                <w:sz w:val="20"/>
                <w:lang w:val="en-CA"/>
              </w:rPr>
            </w:pPr>
          </w:p>
          <w:p w:rsidR="00D527CF" w:rsidRPr="00565897" w:rsidRDefault="00D527CF" w:rsidP="00D527CF">
            <w:pPr>
              <w:jc w:val="both"/>
              <w:rPr>
                <w:sz w:val="20"/>
                <w:lang w:val="en-CA"/>
              </w:rPr>
            </w:pPr>
            <w:r w:rsidRPr="00565897">
              <w:rPr>
                <w:sz w:val="20"/>
                <w:lang w:val="en-CA"/>
              </w:rPr>
              <w:t xml:space="preserve">At her trial for driving with a blood alcohol level exceeding 80 mg of alcohol in 100 ml of blood, the applicant moved to exclude the blood sample evidence. The trial judge granted the motion and excluded the blood sample evidence, and the applicant </w:t>
            </w:r>
            <w:proofErr w:type="gramStart"/>
            <w:r w:rsidRPr="00565897">
              <w:rPr>
                <w:sz w:val="20"/>
                <w:lang w:val="en-CA"/>
              </w:rPr>
              <w:t>was acquitted</w:t>
            </w:r>
            <w:proofErr w:type="gramEnd"/>
            <w:r w:rsidRPr="00565897">
              <w:rPr>
                <w:sz w:val="20"/>
                <w:lang w:val="en-CA"/>
              </w:rPr>
              <w:t>. The Superior Court granted the motion brought by the prosecution, found the samples admissible and ordered a new trial. The Court of Appeal dismissed the applicant’s appeal.</w:t>
            </w:r>
          </w:p>
          <w:p w:rsidR="00D527CF" w:rsidRPr="00565897" w:rsidRDefault="00D527CF" w:rsidP="00D527CF">
            <w:pPr>
              <w:jc w:val="both"/>
              <w:rPr>
                <w:sz w:val="20"/>
                <w:lang w:val="en-CA"/>
              </w:rPr>
            </w:pP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t>May 22, 2019</w:t>
            </w:r>
          </w:p>
          <w:p w:rsidR="00D527CF" w:rsidRPr="00565897" w:rsidRDefault="00D527CF" w:rsidP="00D527CF">
            <w:pPr>
              <w:jc w:val="both"/>
              <w:rPr>
                <w:sz w:val="20"/>
                <w:lang w:val="en-CA"/>
              </w:rPr>
            </w:pPr>
            <w:r w:rsidRPr="00565897">
              <w:rPr>
                <w:sz w:val="20"/>
                <w:lang w:val="en-CA"/>
              </w:rPr>
              <w:t>Court of Québec</w:t>
            </w:r>
          </w:p>
          <w:p w:rsidR="00D527CF" w:rsidRPr="00565897" w:rsidRDefault="00D527CF" w:rsidP="00D527CF">
            <w:pPr>
              <w:jc w:val="both"/>
              <w:rPr>
                <w:sz w:val="20"/>
                <w:lang w:val="en-CA"/>
              </w:rPr>
            </w:pPr>
            <w:r w:rsidRPr="00565897">
              <w:rPr>
                <w:sz w:val="20"/>
                <w:lang w:val="en-CA"/>
              </w:rPr>
              <w:t>(Judge Boillat)</w:t>
            </w:r>
          </w:p>
          <w:p w:rsidR="00D527CF" w:rsidRPr="00565897" w:rsidRDefault="00D527CF" w:rsidP="00D527CF">
            <w:pPr>
              <w:jc w:val="both"/>
              <w:rPr>
                <w:sz w:val="20"/>
                <w:lang w:val="en-CA"/>
              </w:rPr>
            </w:pPr>
            <w:r w:rsidRPr="00565897">
              <w:rPr>
                <w:sz w:val="20"/>
                <w:lang w:val="en-CA"/>
              </w:rPr>
              <w:t>150</w:t>
            </w:r>
            <w:r w:rsidRPr="00565897">
              <w:rPr>
                <w:sz w:val="20"/>
                <w:lang w:val="en-CA"/>
              </w:rPr>
              <w:noBreakHyphen/>
              <w:t>01</w:t>
            </w:r>
            <w:r w:rsidRPr="00565897">
              <w:rPr>
                <w:sz w:val="20"/>
                <w:lang w:val="en-CA"/>
              </w:rPr>
              <w:noBreakHyphen/>
              <w:t>054062</w:t>
            </w:r>
            <w:r w:rsidRPr="00565897">
              <w:rPr>
                <w:sz w:val="20"/>
                <w:lang w:val="en-CA"/>
              </w:rPr>
              <w:noBreakHyphen/>
              <w:t>170 (unreported)</w:t>
            </w:r>
          </w:p>
          <w:p w:rsidR="00D527CF" w:rsidRPr="00565897" w:rsidRDefault="00D527CF" w:rsidP="00D527CF">
            <w:pPr>
              <w:jc w:val="both"/>
              <w:rPr>
                <w:sz w:val="20"/>
                <w:lang w:val="en-CA"/>
              </w:rPr>
            </w:pP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 xml:space="preserve">Motion to exclude evidence under ss. 7, 8 and 24(2) of </w:t>
            </w:r>
            <w:r w:rsidRPr="00565897">
              <w:rPr>
                <w:i/>
                <w:sz w:val="20"/>
                <w:lang w:val="en-CA"/>
              </w:rPr>
              <w:t>Charter</w:t>
            </w:r>
            <w:r w:rsidRPr="00565897">
              <w:rPr>
                <w:sz w:val="20"/>
                <w:lang w:val="en-CA"/>
              </w:rPr>
              <w:t xml:space="preserve"> granted, blood sample evidence excluded and applicant acquitted</w:t>
            </w:r>
          </w:p>
          <w:p w:rsidR="00D527CF" w:rsidRPr="00565897" w:rsidRDefault="00D527CF" w:rsidP="00D527CF">
            <w:pPr>
              <w:jc w:val="both"/>
              <w:rPr>
                <w:sz w:val="20"/>
                <w:lang w:val="en-CA"/>
              </w:rPr>
            </w:pP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t>May 15, 2020</w:t>
            </w:r>
          </w:p>
          <w:p w:rsidR="00D527CF" w:rsidRPr="00565897" w:rsidRDefault="00D527CF" w:rsidP="00D527CF">
            <w:pPr>
              <w:jc w:val="both"/>
              <w:rPr>
                <w:sz w:val="20"/>
                <w:lang w:val="en-CA"/>
              </w:rPr>
            </w:pPr>
            <w:r w:rsidRPr="00565897">
              <w:rPr>
                <w:sz w:val="20"/>
                <w:lang w:val="en-CA"/>
              </w:rPr>
              <w:t>Quebec Superior Court</w:t>
            </w:r>
          </w:p>
          <w:p w:rsidR="00D527CF" w:rsidRPr="00565897" w:rsidRDefault="00D527CF" w:rsidP="00D527CF">
            <w:pPr>
              <w:jc w:val="both"/>
              <w:rPr>
                <w:sz w:val="20"/>
                <w:lang w:val="en-CA"/>
              </w:rPr>
            </w:pPr>
            <w:r w:rsidRPr="00565897">
              <w:rPr>
                <w:sz w:val="20"/>
                <w:lang w:val="en-CA"/>
              </w:rPr>
              <w:t>(Grenier J.)</w:t>
            </w:r>
          </w:p>
          <w:p w:rsidR="00D527CF" w:rsidRPr="00565897" w:rsidRDefault="00D527CF" w:rsidP="00D527CF">
            <w:pPr>
              <w:jc w:val="both"/>
              <w:rPr>
                <w:sz w:val="20"/>
                <w:lang w:val="en-CA"/>
              </w:rPr>
            </w:pPr>
            <w:hyperlink r:id="rId17" w:history="1">
              <w:r w:rsidRPr="00565897">
                <w:rPr>
                  <w:rStyle w:val="Hyperlink"/>
                  <w:sz w:val="20"/>
                  <w:lang w:val="en-CA"/>
                </w:rPr>
                <w:t>2020 QCCS 1579</w:t>
              </w:r>
            </w:hyperlink>
            <w:r w:rsidRPr="00565897">
              <w:rPr>
                <w:sz w:val="20"/>
                <w:lang w:val="en-CA"/>
              </w:rPr>
              <w:t xml:space="preserve"> </w:t>
            </w:r>
          </w:p>
          <w:p w:rsidR="00D527CF" w:rsidRPr="00565897" w:rsidRDefault="00D527CF" w:rsidP="00D527CF">
            <w:pPr>
              <w:jc w:val="both"/>
              <w:rPr>
                <w:sz w:val="20"/>
                <w:lang w:val="en-CA"/>
              </w:rPr>
            </w:pP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Respondent’s appeal allowed, acquittal set aside and new trial ordered</w:t>
            </w:r>
          </w:p>
          <w:p w:rsidR="00D527CF" w:rsidRPr="00565897" w:rsidRDefault="00D527CF" w:rsidP="00D527CF">
            <w:pPr>
              <w:jc w:val="both"/>
              <w:rPr>
                <w:sz w:val="20"/>
                <w:lang w:val="en-CA"/>
              </w:rPr>
            </w:pP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t>July 6, 2021</w:t>
            </w:r>
          </w:p>
          <w:p w:rsidR="00D527CF" w:rsidRPr="00565897" w:rsidRDefault="00D527CF" w:rsidP="00D527CF">
            <w:pPr>
              <w:jc w:val="both"/>
              <w:rPr>
                <w:sz w:val="20"/>
                <w:lang w:val="en-CA"/>
              </w:rPr>
            </w:pPr>
            <w:r w:rsidRPr="00565897">
              <w:rPr>
                <w:sz w:val="20"/>
                <w:lang w:val="en-CA"/>
              </w:rPr>
              <w:t>Quebec Court of Appeal (Québec)</w:t>
            </w:r>
          </w:p>
          <w:p w:rsidR="00D527CF" w:rsidRPr="00565897" w:rsidRDefault="00D527CF" w:rsidP="00D527CF">
            <w:pPr>
              <w:jc w:val="both"/>
              <w:rPr>
                <w:sz w:val="20"/>
                <w:lang w:val="fr-CA"/>
              </w:rPr>
            </w:pPr>
            <w:r w:rsidRPr="00565897">
              <w:rPr>
                <w:sz w:val="20"/>
                <w:lang w:val="fr-CA"/>
              </w:rPr>
              <w:t>(Ruel, Rancourt and Beaupré JJ.A.)</w:t>
            </w:r>
          </w:p>
          <w:p w:rsidR="00D527CF" w:rsidRPr="00565897" w:rsidRDefault="00D527CF" w:rsidP="00D527CF">
            <w:pPr>
              <w:jc w:val="both"/>
              <w:rPr>
                <w:sz w:val="20"/>
                <w:lang w:val="en-CA"/>
              </w:rPr>
            </w:pPr>
            <w:hyperlink r:id="rId18" w:history="1">
              <w:r w:rsidRPr="00565897">
                <w:rPr>
                  <w:rStyle w:val="Hyperlink"/>
                  <w:sz w:val="20"/>
                  <w:lang w:val="en-CA"/>
                </w:rPr>
                <w:t>2021 QCCA 1101</w:t>
              </w:r>
            </w:hyperlink>
            <w:r w:rsidRPr="00565897">
              <w:rPr>
                <w:sz w:val="20"/>
                <w:lang w:val="en-CA"/>
              </w:rPr>
              <w:t xml:space="preserve"> </w:t>
            </w:r>
          </w:p>
          <w:p w:rsidR="00D527CF" w:rsidRPr="00565897" w:rsidRDefault="00D527CF" w:rsidP="00D527CF">
            <w:pPr>
              <w:jc w:val="both"/>
              <w:rPr>
                <w:sz w:val="20"/>
                <w:lang w:val="en-CA"/>
              </w:rPr>
            </w:pP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Applicant’s appeal dismissed</w:t>
            </w:r>
          </w:p>
        </w:tc>
      </w:tr>
      <w:tr w:rsidR="00D527CF" w:rsidRPr="00565897" w:rsidTr="00D527CF">
        <w:tc>
          <w:tcPr>
            <w:tcW w:w="2427" w:type="pct"/>
            <w:gridSpan w:val="2"/>
          </w:tcPr>
          <w:p w:rsidR="00D527CF" w:rsidRPr="00565897" w:rsidRDefault="00D527CF" w:rsidP="00D527CF">
            <w:pPr>
              <w:jc w:val="both"/>
              <w:rPr>
                <w:sz w:val="20"/>
                <w:lang w:val="en-CA"/>
              </w:rPr>
            </w:pPr>
            <w:r w:rsidRPr="00565897">
              <w:rPr>
                <w:sz w:val="20"/>
                <w:lang w:val="en-CA"/>
              </w:rPr>
              <w:t>September 29, 2021</w:t>
            </w:r>
          </w:p>
          <w:p w:rsidR="00D527CF" w:rsidRPr="00565897" w:rsidRDefault="00D527CF" w:rsidP="00D527CF">
            <w:pPr>
              <w:jc w:val="both"/>
              <w:rPr>
                <w:sz w:val="20"/>
                <w:lang w:val="en-CA"/>
              </w:rPr>
            </w:pPr>
            <w:r w:rsidRPr="00565897">
              <w:rPr>
                <w:sz w:val="20"/>
                <w:lang w:val="en-CA"/>
              </w:rPr>
              <w:t>Supreme Court of Canada</w:t>
            </w:r>
          </w:p>
        </w:tc>
        <w:tc>
          <w:tcPr>
            <w:tcW w:w="243" w:type="pct"/>
          </w:tcPr>
          <w:p w:rsidR="00D527CF" w:rsidRPr="00565897" w:rsidRDefault="00D527CF" w:rsidP="00D527CF">
            <w:pPr>
              <w:jc w:val="both"/>
              <w:rPr>
                <w:sz w:val="20"/>
                <w:lang w:val="en-CA"/>
              </w:rPr>
            </w:pPr>
          </w:p>
        </w:tc>
        <w:tc>
          <w:tcPr>
            <w:tcW w:w="2330" w:type="pct"/>
          </w:tcPr>
          <w:p w:rsidR="00D527CF" w:rsidRPr="00565897" w:rsidRDefault="00D527CF" w:rsidP="00D527CF">
            <w:pPr>
              <w:jc w:val="both"/>
              <w:rPr>
                <w:sz w:val="20"/>
                <w:lang w:val="en-CA"/>
              </w:rPr>
            </w:pPr>
            <w:r w:rsidRPr="00565897">
              <w:rPr>
                <w:sz w:val="20"/>
                <w:lang w:val="en-CA"/>
              </w:rPr>
              <w:t>Application for leave to appeal filed</w:t>
            </w:r>
          </w:p>
          <w:p w:rsidR="00D527CF" w:rsidRPr="00565897" w:rsidRDefault="00D527CF" w:rsidP="00D527CF">
            <w:pPr>
              <w:jc w:val="both"/>
              <w:rPr>
                <w:sz w:val="20"/>
                <w:lang w:val="en-CA"/>
              </w:rPr>
            </w:pPr>
          </w:p>
        </w:tc>
      </w:tr>
    </w:tbl>
    <w:p w:rsidR="00D527CF" w:rsidRPr="00565897" w:rsidRDefault="00D527CF" w:rsidP="00D527CF">
      <w:pPr>
        <w:jc w:val="both"/>
        <w:rPr>
          <w:sz w:val="20"/>
          <w:lang w:val="en-CA"/>
        </w:rPr>
      </w:pPr>
    </w:p>
    <w:p w:rsidR="00D527CF" w:rsidRPr="00565897" w:rsidRDefault="00D527CF" w:rsidP="00D527CF">
      <w:pPr>
        <w:jc w:val="both"/>
        <w:rPr>
          <w:sz w:val="20"/>
          <w:lang w:val="en-CA"/>
        </w:rPr>
      </w:pPr>
      <w:r w:rsidRPr="00565897">
        <w:rPr>
          <w:sz w:val="20"/>
        </w:rPr>
        <w:pict>
          <v:rect id="_x0000_i1030" style="width:2in;height:1pt" o:hrpct="0" o:hralign="center" o:hrstd="t" o:hrnoshade="t" o:hr="t" fillcolor="black [3213]" stroked="f"/>
        </w:pict>
      </w:r>
    </w:p>
    <w:p w:rsidR="00D527CF" w:rsidRPr="00565897" w:rsidRDefault="00D527CF" w:rsidP="00D527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39878</w:t>
            </w:r>
          </w:p>
        </w:tc>
        <w:tc>
          <w:tcPr>
            <w:tcW w:w="4457" w:type="pct"/>
            <w:gridSpan w:val="3"/>
          </w:tcPr>
          <w:p w:rsidR="00D527CF" w:rsidRPr="00565897" w:rsidRDefault="00D527CF" w:rsidP="00D527CF">
            <w:pPr>
              <w:pStyle w:val="SCCLsocParty"/>
              <w:jc w:val="both"/>
              <w:rPr>
                <w:b/>
                <w:sz w:val="20"/>
                <w:szCs w:val="20"/>
              </w:rPr>
            </w:pPr>
            <w:r w:rsidRPr="00565897">
              <w:rPr>
                <w:b/>
                <w:sz w:val="20"/>
                <w:szCs w:val="20"/>
              </w:rPr>
              <w:t>Nadia Martin c. Sa Majesté la Reine</w:t>
            </w:r>
          </w:p>
          <w:p w:rsidR="00D527CF" w:rsidRPr="00565897" w:rsidRDefault="00D527CF" w:rsidP="00D527CF">
            <w:pPr>
              <w:jc w:val="both"/>
              <w:rPr>
                <w:sz w:val="20"/>
              </w:rPr>
            </w:pPr>
            <w:r w:rsidRPr="00565897">
              <w:rPr>
                <w:sz w:val="20"/>
              </w:rPr>
              <w:t>(Qc) (Criminelle) (Autorisation)</w:t>
            </w: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 xml:space="preserve">Droit criminel — </w:t>
            </w:r>
            <w:r w:rsidRPr="00565897">
              <w:rPr>
                <w:i/>
                <w:sz w:val="20"/>
                <w:lang w:val="fr-CA"/>
              </w:rPr>
              <w:t>Charte des droits et libertés</w:t>
            </w:r>
            <w:r w:rsidRPr="00565897">
              <w:rPr>
                <w:sz w:val="20"/>
                <w:lang w:val="fr-CA"/>
              </w:rPr>
              <w:t xml:space="preserve"> — Fouille et saisie — Preuve — Échantillons sanguins — La Cour d’appel du Québec perpétue</w:t>
            </w:r>
            <w:r w:rsidRPr="00565897">
              <w:rPr>
                <w:sz w:val="20"/>
                <w:lang w:val="fr-CA"/>
              </w:rPr>
              <w:noBreakHyphen/>
              <w:t>t</w:t>
            </w:r>
            <w:r w:rsidRPr="00565897">
              <w:rPr>
                <w:sz w:val="20"/>
                <w:lang w:val="fr-CA"/>
              </w:rPr>
              <w:noBreakHyphen/>
              <w:t>elle l’erreur de la Cour supérieure en révisant l’appréciation des faits de la juge de première instance en l’absence d’erreur manifeste et dominante? — La Cour d’appel du Québec a</w:t>
            </w:r>
            <w:r w:rsidRPr="00565897">
              <w:rPr>
                <w:sz w:val="20"/>
                <w:lang w:val="fr-CA"/>
              </w:rPr>
              <w:noBreakHyphen/>
              <w:t>t</w:t>
            </w:r>
            <w:r w:rsidRPr="00565897">
              <w:rPr>
                <w:sz w:val="20"/>
                <w:lang w:val="fr-CA"/>
              </w:rPr>
              <w:noBreakHyphen/>
              <w:t xml:space="preserve">elle erré en droit en concluant qu’il n’y a pas eu saisie abusive au sens de l’article 8 de la </w:t>
            </w:r>
            <w:r w:rsidRPr="00565897">
              <w:rPr>
                <w:i/>
                <w:sz w:val="20"/>
                <w:lang w:val="fr-CA"/>
              </w:rPr>
              <w:t>Charte</w:t>
            </w:r>
            <w:r w:rsidRPr="00565897">
              <w:rPr>
                <w:sz w:val="20"/>
                <w:lang w:val="fr-CA"/>
              </w:rPr>
              <w:t>? — La Cour d’appel du Québec a</w:t>
            </w:r>
            <w:r w:rsidRPr="00565897">
              <w:rPr>
                <w:sz w:val="20"/>
                <w:lang w:val="fr-CA"/>
              </w:rPr>
              <w:noBreakHyphen/>
              <w:t>t</w:t>
            </w:r>
            <w:r w:rsidRPr="00565897">
              <w:rPr>
                <w:sz w:val="20"/>
                <w:lang w:val="fr-CA"/>
              </w:rPr>
              <w:noBreakHyphen/>
              <w:t>elle erré en droit en concluant que les échantillons sanguins sont toujours demeurés en la possession et sous le contrôle de l’hôpital après leur mise sous scellé? — La Cour d’appel du Québec a</w:t>
            </w:r>
            <w:r w:rsidRPr="00565897">
              <w:rPr>
                <w:sz w:val="20"/>
                <w:lang w:val="fr-CA"/>
              </w:rPr>
              <w:noBreakHyphen/>
              <w:t>t</w:t>
            </w:r>
            <w:r w:rsidRPr="00565897">
              <w:rPr>
                <w:sz w:val="20"/>
                <w:lang w:val="fr-CA"/>
              </w:rPr>
              <w:noBreakHyphen/>
              <w:t xml:space="preserve">elle erré en droit en concluant que l’action de l’agent Lachance était conforme au cadre juridique établi par le </w:t>
            </w:r>
            <w:r w:rsidRPr="00565897">
              <w:rPr>
                <w:i/>
                <w:sz w:val="20"/>
                <w:lang w:val="fr-CA"/>
              </w:rPr>
              <w:t>Code criminel</w:t>
            </w:r>
            <w:r w:rsidRPr="00565897">
              <w:rPr>
                <w:sz w:val="20"/>
                <w:lang w:val="fr-CA"/>
              </w:rPr>
              <w:t>?</w:t>
            </w:r>
          </w:p>
        </w:tc>
      </w:tr>
      <w:tr w:rsidR="00D527CF" w:rsidRPr="00565897" w:rsidTr="00D527CF">
        <w:tc>
          <w:tcPr>
            <w:tcW w:w="5000" w:type="pct"/>
            <w:gridSpan w:val="4"/>
          </w:tcPr>
          <w:p w:rsidR="00D527CF" w:rsidRPr="00565897" w:rsidRDefault="00D527CF" w:rsidP="00D527CF">
            <w:pPr>
              <w:jc w:val="both"/>
              <w:rPr>
                <w:sz w:val="20"/>
                <w:lang w:val="fr-CA"/>
              </w:rPr>
            </w:pP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 xml:space="preserve">Le 10 juin 2017, la demanderesse, Nadia Martin, est impliquée dans un accident de la route. Sur les lieux, elle est arrêtée pour conduite avec les facultés affaiblies et est transportée en ambulance à l’hôpital. </w:t>
            </w:r>
            <w:proofErr w:type="gramStart"/>
            <w:r w:rsidRPr="00565897">
              <w:rPr>
                <w:sz w:val="20"/>
                <w:lang w:val="fr-CA"/>
              </w:rPr>
              <w:t>La</w:t>
            </w:r>
            <w:proofErr w:type="gramEnd"/>
            <w:r w:rsidRPr="00565897">
              <w:rPr>
                <w:sz w:val="20"/>
                <w:lang w:val="fr-CA"/>
              </w:rPr>
              <w:t xml:space="preserve"> médecin informe les policiers, qui désirent obtenir des échantillons sanguins de la demanderesse, que cette dernière n’est pas dans un état </w:t>
            </w:r>
            <w:r w:rsidRPr="00565897">
              <w:rPr>
                <w:sz w:val="20"/>
                <w:lang w:val="fr-CA"/>
              </w:rPr>
              <w:lastRenderedPageBreak/>
              <w:t xml:space="preserve">lui permettant de consentir valablement à une prise de sang. Lorsque des échantillons sanguins sont prélevés sur la demanderesse par une infirmière, l’agent Lachance demande à l’infirmière des échantillons des fioles. Les échantillons sont scellés, identifiés au nom de la demanderesse et placés dans un réfrigérateur cadenassé de l’hôpital. Quatre jours après l’événement, un mandat de perquisition est émis et l’agent Lachance procède à la saisie des échantillons, qui sont ensuite analysés pour déterminer l’alcoolémie de la demanderesse. </w:t>
            </w:r>
          </w:p>
          <w:p w:rsidR="00D527CF" w:rsidRPr="00565897" w:rsidRDefault="00D527CF" w:rsidP="00D527CF">
            <w:pPr>
              <w:jc w:val="both"/>
              <w:rPr>
                <w:sz w:val="20"/>
                <w:lang w:val="fr-CA"/>
              </w:rPr>
            </w:pPr>
          </w:p>
          <w:p w:rsidR="00D527CF" w:rsidRPr="00565897" w:rsidRDefault="00D527CF" w:rsidP="00D527CF">
            <w:pPr>
              <w:jc w:val="both"/>
              <w:rPr>
                <w:sz w:val="20"/>
              </w:rPr>
            </w:pPr>
            <w:r w:rsidRPr="00565897">
              <w:rPr>
                <w:sz w:val="20"/>
                <w:lang w:val="fr-CA"/>
              </w:rPr>
              <w:t xml:space="preserve">Lors de son procès pour conduite avec une alcoolémie supérieure à 80 mg par 100 ml de sang, la demanderesse présente une requête en exclusion de la preuve des échantillons sanguins. La juge de première instance accueille la requête et exclut la preuve des échantillons sanguins; la demanderesse est acquittée. La Cour supérieure accueille la requête de la poursuite, déclare admissible les échantillons et ordonne un nouveau procès. </w:t>
            </w:r>
            <w:r w:rsidRPr="00565897">
              <w:rPr>
                <w:sz w:val="20"/>
              </w:rPr>
              <w:t>La Cour d’appel rejette l’appel de la demanderesse.</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lastRenderedPageBreak/>
              <w:t>Le 22 mai 2019</w:t>
            </w:r>
          </w:p>
          <w:p w:rsidR="00D527CF" w:rsidRPr="00565897" w:rsidRDefault="00D527CF" w:rsidP="00D527CF">
            <w:pPr>
              <w:jc w:val="both"/>
              <w:rPr>
                <w:sz w:val="20"/>
                <w:lang w:val="fr-CA"/>
              </w:rPr>
            </w:pPr>
            <w:r w:rsidRPr="00565897">
              <w:rPr>
                <w:sz w:val="20"/>
                <w:lang w:val="fr-CA"/>
              </w:rPr>
              <w:t>Cour du Québec</w:t>
            </w:r>
          </w:p>
          <w:p w:rsidR="00D527CF" w:rsidRPr="00565897" w:rsidRDefault="00D527CF" w:rsidP="00D527CF">
            <w:pPr>
              <w:jc w:val="both"/>
              <w:rPr>
                <w:sz w:val="20"/>
                <w:lang w:val="fr-CA"/>
              </w:rPr>
            </w:pPr>
            <w:r w:rsidRPr="00565897">
              <w:rPr>
                <w:sz w:val="20"/>
                <w:lang w:val="fr-CA"/>
              </w:rPr>
              <w:t>(La juge Boillat)</w:t>
            </w:r>
          </w:p>
          <w:p w:rsidR="00D527CF" w:rsidRPr="00565897" w:rsidRDefault="00D527CF" w:rsidP="00D527CF">
            <w:pPr>
              <w:jc w:val="both"/>
              <w:rPr>
                <w:sz w:val="20"/>
              </w:rPr>
            </w:pPr>
            <w:r w:rsidRPr="00565897">
              <w:rPr>
                <w:sz w:val="20"/>
              </w:rPr>
              <w:t>150</w:t>
            </w:r>
            <w:r w:rsidRPr="00565897">
              <w:rPr>
                <w:sz w:val="20"/>
              </w:rPr>
              <w:noBreakHyphen/>
              <w:t>01</w:t>
            </w:r>
            <w:r w:rsidRPr="00565897">
              <w:rPr>
                <w:sz w:val="20"/>
              </w:rPr>
              <w:noBreakHyphen/>
              <w:t>054062</w:t>
            </w:r>
            <w:r w:rsidRPr="00565897">
              <w:rPr>
                <w:sz w:val="20"/>
              </w:rPr>
              <w:noBreakHyphen/>
              <w:t>170 (Non</w:t>
            </w:r>
            <w:r w:rsidRPr="00565897">
              <w:rPr>
                <w:sz w:val="20"/>
              </w:rPr>
              <w:noBreakHyphen/>
              <w:t>répertorié)</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lang w:val="fr-CA"/>
              </w:rPr>
              <w:t xml:space="preserve">Requête en exclusion de la preuve en vertu </w:t>
            </w:r>
            <w:proofErr w:type="gramStart"/>
            <w:r w:rsidRPr="00565897">
              <w:rPr>
                <w:sz w:val="20"/>
                <w:lang w:val="fr-CA"/>
              </w:rPr>
              <w:t>des art</w:t>
            </w:r>
            <w:proofErr w:type="gramEnd"/>
            <w:r w:rsidRPr="00565897">
              <w:rPr>
                <w:sz w:val="20"/>
                <w:lang w:val="fr-CA"/>
              </w:rPr>
              <w:t xml:space="preserve">. 7, 8 et 24(2) de la </w:t>
            </w:r>
            <w:r w:rsidRPr="00565897">
              <w:rPr>
                <w:i/>
                <w:sz w:val="20"/>
                <w:lang w:val="fr-CA"/>
              </w:rPr>
              <w:t>Charte</w:t>
            </w:r>
            <w:r w:rsidRPr="00565897">
              <w:rPr>
                <w:sz w:val="20"/>
                <w:lang w:val="fr-CA"/>
              </w:rPr>
              <w:t xml:space="preserve"> accueillie; preuve des échantillons sanguins exclue. </w:t>
            </w:r>
            <w:r w:rsidRPr="00565897">
              <w:rPr>
                <w:sz w:val="20"/>
              </w:rPr>
              <w:t>Demanderesse acquittée.</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Le 15 mai 2020</w:t>
            </w:r>
          </w:p>
          <w:p w:rsidR="00D527CF" w:rsidRPr="00565897" w:rsidRDefault="00D527CF" w:rsidP="00D527CF">
            <w:pPr>
              <w:jc w:val="both"/>
              <w:rPr>
                <w:sz w:val="20"/>
                <w:lang w:val="fr-CA"/>
              </w:rPr>
            </w:pPr>
            <w:r w:rsidRPr="00565897">
              <w:rPr>
                <w:sz w:val="20"/>
                <w:lang w:val="fr-CA"/>
              </w:rPr>
              <w:t>Cour supérieure du Québec</w:t>
            </w:r>
          </w:p>
          <w:p w:rsidR="00D527CF" w:rsidRPr="00565897" w:rsidRDefault="00D527CF" w:rsidP="00D527CF">
            <w:pPr>
              <w:jc w:val="both"/>
              <w:rPr>
                <w:sz w:val="20"/>
              </w:rPr>
            </w:pPr>
            <w:r w:rsidRPr="00565897">
              <w:rPr>
                <w:sz w:val="20"/>
              </w:rPr>
              <w:t>(Le juge Grenier)</w:t>
            </w:r>
          </w:p>
          <w:p w:rsidR="00D527CF" w:rsidRPr="00565897" w:rsidRDefault="00D527CF" w:rsidP="00D527CF">
            <w:pPr>
              <w:jc w:val="both"/>
              <w:rPr>
                <w:sz w:val="20"/>
              </w:rPr>
            </w:pPr>
            <w:hyperlink r:id="rId19" w:history="1">
              <w:r w:rsidRPr="00565897">
                <w:rPr>
                  <w:rStyle w:val="Hyperlink"/>
                  <w:sz w:val="20"/>
                </w:rPr>
                <w:t>2020 QCCS 1579</w:t>
              </w:r>
            </w:hyperlink>
            <w:r w:rsidRPr="00565897">
              <w:rPr>
                <w:sz w:val="20"/>
              </w:rPr>
              <w:t xml:space="preserve"> </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Appel de l’intimée accueilli; verdict d’acquittement annulé et nouveau procès ordonné.</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Le 6 juillet 2021</w:t>
            </w:r>
          </w:p>
          <w:p w:rsidR="00D527CF" w:rsidRPr="00565897" w:rsidRDefault="00D527CF" w:rsidP="00D527CF">
            <w:pPr>
              <w:jc w:val="both"/>
              <w:rPr>
                <w:sz w:val="20"/>
                <w:lang w:val="fr-CA"/>
              </w:rPr>
            </w:pPr>
            <w:r w:rsidRPr="00565897">
              <w:rPr>
                <w:sz w:val="20"/>
                <w:lang w:val="fr-CA"/>
              </w:rPr>
              <w:t>Cour d’appel du Québec (Québec)</w:t>
            </w:r>
          </w:p>
          <w:p w:rsidR="00D527CF" w:rsidRPr="00565897" w:rsidRDefault="00D527CF" w:rsidP="00D527CF">
            <w:pPr>
              <w:jc w:val="both"/>
              <w:rPr>
                <w:sz w:val="20"/>
                <w:lang w:val="fr-CA"/>
              </w:rPr>
            </w:pPr>
            <w:r w:rsidRPr="00565897">
              <w:rPr>
                <w:sz w:val="20"/>
                <w:lang w:val="fr-CA"/>
              </w:rPr>
              <w:t>(Les juges Ruel, Rancourt et Beaupré)</w:t>
            </w:r>
          </w:p>
          <w:p w:rsidR="00D527CF" w:rsidRPr="00565897" w:rsidRDefault="00D527CF" w:rsidP="00D527CF">
            <w:pPr>
              <w:jc w:val="both"/>
              <w:rPr>
                <w:sz w:val="20"/>
              </w:rPr>
            </w:pPr>
            <w:hyperlink r:id="rId20" w:history="1">
              <w:r w:rsidRPr="00565897">
                <w:rPr>
                  <w:rStyle w:val="Hyperlink"/>
                  <w:sz w:val="20"/>
                </w:rPr>
                <w:t>2021 QCCA 1101</w:t>
              </w:r>
            </w:hyperlink>
            <w:r w:rsidRPr="00565897">
              <w:rPr>
                <w:sz w:val="20"/>
              </w:rPr>
              <w:t xml:space="preserve"> </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Appel de la demanderesse rejeté.</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Le 29 septembre 2021</w:t>
            </w:r>
          </w:p>
          <w:p w:rsidR="00D527CF" w:rsidRPr="00565897" w:rsidRDefault="00D527CF" w:rsidP="00D527CF">
            <w:pPr>
              <w:jc w:val="both"/>
              <w:rPr>
                <w:sz w:val="20"/>
                <w:lang w:val="fr-CA"/>
              </w:rPr>
            </w:pPr>
            <w:r w:rsidRPr="00565897">
              <w:rPr>
                <w:sz w:val="20"/>
                <w:lang w:val="fr-CA"/>
              </w:rPr>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rPr>
            </w:pPr>
            <w:r w:rsidRPr="00565897">
              <w:rPr>
                <w:sz w:val="20"/>
              </w:rPr>
              <w:t>Demande d'autorisation d'appel déposée.</w:t>
            </w:r>
          </w:p>
          <w:p w:rsidR="00D527CF" w:rsidRPr="00565897" w:rsidRDefault="00D527CF" w:rsidP="00D527CF">
            <w:pPr>
              <w:jc w:val="both"/>
              <w:rPr>
                <w:sz w:val="20"/>
              </w:rPr>
            </w:pPr>
          </w:p>
        </w:tc>
      </w:tr>
    </w:tbl>
    <w:p w:rsidR="00D527CF" w:rsidRPr="00565897" w:rsidRDefault="00D527CF" w:rsidP="00D527CF">
      <w:pPr>
        <w:jc w:val="both"/>
        <w:rPr>
          <w:sz w:val="20"/>
        </w:rPr>
      </w:pPr>
    </w:p>
    <w:p w:rsidR="00D527CF" w:rsidRPr="00565897" w:rsidRDefault="00D527CF" w:rsidP="00D527CF">
      <w:pPr>
        <w:jc w:val="both"/>
        <w:rPr>
          <w:sz w:val="20"/>
        </w:rPr>
      </w:pPr>
      <w:r w:rsidRPr="00565897">
        <w:rPr>
          <w:sz w:val="20"/>
        </w:rPr>
        <w:pict>
          <v:rect id="_x0000_i1031" style="width:2in;height:1pt" o:hrpct="0" o:hralign="center" o:hrstd="t" o:hrnoshade="t" o:hr="t" fillcolor="black [3213]" stroked="f"/>
        </w:pict>
      </w:r>
    </w:p>
    <w:p w:rsidR="00A4278F" w:rsidRPr="00565897" w:rsidRDefault="00A4278F" w:rsidP="00D527CF">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39862</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Alexandru Tanase v. College of Dental Hygienists of Ontario</w:t>
            </w:r>
          </w:p>
          <w:p w:rsidR="00D527CF" w:rsidRPr="00565897" w:rsidRDefault="00D527CF" w:rsidP="00D527CF">
            <w:pPr>
              <w:jc w:val="both"/>
              <w:rPr>
                <w:sz w:val="20"/>
              </w:rPr>
            </w:pPr>
            <w:r w:rsidRPr="00565897">
              <w:rPr>
                <w:sz w:val="20"/>
              </w:rPr>
              <w:t>(Ont.) (Civil) (By Leave)</w:t>
            </w:r>
          </w:p>
        </w:tc>
      </w:tr>
      <w:tr w:rsidR="00D527CF" w:rsidRPr="00565897" w:rsidTr="00D527CF">
        <w:tc>
          <w:tcPr>
            <w:tcW w:w="5000" w:type="pct"/>
            <w:gridSpan w:val="4"/>
          </w:tcPr>
          <w:p w:rsidR="00D527CF" w:rsidRPr="00565897" w:rsidRDefault="00D527CF" w:rsidP="00D527CF">
            <w:pPr>
              <w:jc w:val="both"/>
              <w:rPr>
                <w:sz w:val="20"/>
              </w:rPr>
            </w:pPr>
            <w:r w:rsidRPr="00565897">
              <w:rPr>
                <w:sz w:val="20"/>
              </w:rPr>
              <w:t xml:space="preserve">Charter of Rights — Constitutional law — Right to liberty, s. 7 — Cruel and unusual treatment, s. 12 — Scope of rights — Dental hygienist found guilty of professional misconduct for treating spouse resulting in revocation of license to practice — Whether statutory provision mandating professional discipline penalties can ever engage ss. 7 or 12 of </w:t>
            </w:r>
            <w:r w:rsidRPr="00565897">
              <w:rPr>
                <w:i/>
                <w:sz w:val="20"/>
              </w:rPr>
              <w:t>Charter</w:t>
            </w:r>
            <w:r w:rsidRPr="00565897">
              <w:rPr>
                <w:sz w:val="20"/>
              </w:rPr>
              <w:t xml:space="preserve"> — If so, whether s. 51(5) of the </w:t>
            </w:r>
            <w:r w:rsidRPr="00565897">
              <w:rPr>
                <w:i/>
                <w:sz w:val="20"/>
              </w:rPr>
              <w:t>Health Professions Procedural Code</w:t>
            </w:r>
            <w:r w:rsidRPr="00565897">
              <w:rPr>
                <w:sz w:val="20"/>
              </w:rPr>
              <w:t xml:space="preserve"> (the “Code”), being Schedule 2 to the </w:t>
            </w:r>
            <w:r w:rsidRPr="00565897">
              <w:rPr>
                <w:i/>
                <w:sz w:val="20"/>
              </w:rPr>
              <w:t>Regulated Health Professions Act</w:t>
            </w:r>
            <w:r w:rsidRPr="00565897">
              <w:rPr>
                <w:sz w:val="20"/>
              </w:rPr>
              <w:t xml:space="preserve">, 1991, S.O. 1991, c. 18, infringes ss. 7 or 12 of </w:t>
            </w:r>
            <w:r w:rsidRPr="00565897">
              <w:rPr>
                <w:i/>
                <w:sz w:val="20"/>
              </w:rPr>
              <w:t>Charter</w:t>
            </w:r>
            <w:r w:rsidRPr="00565897">
              <w:rPr>
                <w:sz w:val="20"/>
              </w:rPr>
              <w:t xml:space="preserve"> — If so, whether that infringement justified under s. 1.</w:t>
            </w:r>
          </w:p>
          <w:p w:rsidR="00D527CF" w:rsidRPr="00565897" w:rsidRDefault="00D527CF" w:rsidP="00D527CF">
            <w:pPr>
              <w:jc w:val="both"/>
              <w:rPr>
                <w:sz w:val="20"/>
              </w:rPr>
            </w:pPr>
          </w:p>
        </w:tc>
      </w:tr>
      <w:tr w:rsidR="00D527CF" w:rsidRPr="00565897" w:rsidTr="00D527CF">
        <w:tc>
          <w:tcPr>
            <w:tcW w:w="5000" w:type="pct"/>
            <w:gridSpan w:val="4"/>
          </w:tcPr>
          <w:p w:rsidR="00D527CF" w:rsidRPr="00565897" w:rsidRDefault="00D527CF" w:rsidP="00D527CF">
            <w:pPr>
              <w:jc w:val="both"/>
              <w:rPr>
                <w:sz w:val="20"/>
              </w:rPr>
            </w:pPr>
            <w:r w:rsidRPr="00565897">
              <w:rPr>
                <w:sz w:val="20"/>
              </w:rPr>
              <w:t>The applicant is a dental hygienist who entered into a sexual relationship with S.M., a woman he was treating. Eventually they married and the applicant continued to treat S.M. following their marriage.</w:t>
            </w:r>
          </w:p>
          <w:p w:rsidR="00D527CF" w:rsidRPr="00565897" w:rsidRDefault="00D527CF" w:rsidP="00D527CF">
            <w:pPr>
              <w:jc w:val="both"/>
              <w:rPr>
                <w:sz w:val="20"/>
              </w:rPr>
            </w:pPr>
          </w:p>
          <w:p w:rsidR="00D527CF" w:rsidRPr="00565897" w:rsidRDefault="00D527CF" w:rsidP="00D527CF">
            <w:pPr>
              <w:jc w:val="both"/>
              <w:rPr>
                <w:sz w:val="20"/>
              </w:rPr>
            </w:pPr>
            <w:r w:rsidRPr="00565897">
              <w:rPr>
                <w:sz w:val="20"/>
              </w:rPr>
              <w:t xml:space="preserve">A complaint was made to the College of Dental Hygienists of Ontario and a Discipline Committee was convened. The Committee found the applicant guilty of professional misconduct for treating his spouse, revoked his registration as required under the </w:t>
            </w:r>
            <w:r w:rsidRPr="00565897">
              <w:rPr>
                <w:i/>
                <w:sz w:val="20"/>
              </w:rPr>
              <w:t>Code</w:t>
            </w:r>
            <w:r w:rsidRPr="00565897">
              <w:rPr>
                <w:sz w:val="20"/>
              </w:rPr>
              <w:t xml:space="preserve"> and issued a reprimand. The Divisional Court dismissed the applicant’s appeal. His appeal to the Court of Appeal was also dismissed.</w:t>
            </w:r>
          </w:p>
        </w:tc>
      </w:tr>
      <w:tr w:rsidR="00D527CF" w:rsidRPr="00565897" w:rsidTr="00D527CF">
        <w:tc>
          <w:tcPr>
            <w:tcW w:w="5000" w:type="pct"/>
            <w:gridSpan w:val="4"/>
          </w:tcPr>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June 19, 2018</w:t>
            </w:r>
          </w:p>
          <w:p w:rsidR="00D527CF" w:rsidRPr="00565897" w:rsidRDefault="00D527CF" w:rsidP="00D527CF">
            <w:pPr>
              <w:jc w:val="both"/>
              <w:rPr>
                <w:sz w:val="20"/>
              </w:rPr>
            </w:pPr>
            <w:r w:rsidRPr="00565897">
              <w:rPr>
                <w:sz w:val="20"/>
              </w:rPr>
              <w:t xml:space="preserve">Discipline Committee of the College of Dental </w:t>
            </w:r>
          </w:p>
          <w:p w:rsidR="00D527CF" w:rsidRPr="00565897" w:rsidRDefault="00D527CF" w:rsidP="00D527CF">
            <w:pPr>
              <w:jc w:val="both"/>
              <w:rPr>
                <w:sz w:val="20"/>
              </w:rPr>
            </w:pPr>
            <w:r w:rsidRPr="00565897">
              <w:rPr>
                <w:sz w:val="20"/>
              </w:rPr>
              <w:t>Hygienists of Ontario</w:t>
            </w:r>
          </w:p>
          <w:p w:rsidR="00D527CF" w:rsidRPr="00565897" w:rsidRDefault="00D527CF" w:rsidP="00D527CF">
            <w:pPr>
              <w:jc w:val="both"/>
              <w:rPr>
                <w:sz w:val="20"/>
              </w:rPr>
            </w:pPr>
            <w:r w:rsidRPr="00565897">
              <w:rPr>
                <w:sz w:val="20"/>
              </w:rPr>
              <w:t>(J. Vinay, Chair)</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 xml:space="preserve">Finding of professional misconduct and revocation of license to practice as dental hygienist.  </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September 9, 2019</w:t>
            </w:r>
          </w:p>
          <w:p w:rsidR="00D527CF" w:rsidRPr="00565897" w:rsidRDefault="00D527CF" w:rsidP="00D527CF">
            <w:pPr>
              <w:jc w:val="both"/>
              <w:rPr>
                <w:sz w:val="20"/>
              </w:rPr>
            </w:pPr>
            <w:r w:rsidRPr="00565897">
              <w:rPr>
                <w:sz w:val="20"/>
              </w:rPr>
              <w:lastRenderedPageBreak/>
              <w:t>Divisional Court of Ontario</w:t>
            </w:r>
          </w:p>
          <w:p w:rsidR="00D527CF" w:rsidRPr="00565897" w:rsidRDefault="00D527CF" w:rsidP="00D527CF">
            <w:pPr>
              <w:jc w:val="both"/>
              <w:rPr>
                <w:sz w:val="20"/>
              </w:rPr>
            </w:pPr>
            <w:r w:rsidRPr="00565897">
              <w:rPr>
                <w:sz w:val="20"/>
              </w:rPr>
              <w:t>(Thorburn, Edwards and Favreau JJ.)</w:t>
            </w:r>
          </w:p>
          <w:p w:rsidR="00D527CF" w:rsidRPr="00565897" w:rsidRDefault="00D527CF" w:rsidP="00D527CF">
            <w:pPr>
              <w:jc w:val="both"/>
              <w:rPr>
                <w:sz w:val="20"/>
              </w:rPr>
            </w:pPr>
            <w:hyperlink r:id="rId21" w:history="1">
              <w:r w:rsidRPr="00565897">
                <w:rPr>
                  <w:rStyle w:val="Hyperlink"/>
                  <w:sz w:val="20"/>
                </w:rPr>
                <w:t>2019 ONSC 5153</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Appeal dismissed.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lastRenderedPageBreak/>
              <w:t>July 5, 2021</w:t>
            </w:r>
          </w:p>
          <w:p w:rsidR="00D527CF" w:rsidRPr="00565897" w:rsidRDefault="00D527CF" w:rsidP="00D527CF">
            <w:pPr>
              <w:jc w:val="both"/>
              <w:rPr>
                <w:sz w:val="20"/>
              </w:rPr>
            </w:pPr>
            <w:r w:rsidRPr="00565897">
              <w:rPr>
                <w:sz w:val="20"/>
              </w:rPr>
              <w:t>Court of Appeal for Ontario</w:t>
            </w:r>
          </w:p>
          <w:p w:rsidR="00D527CF" w:rsidRPr="00565897" w:rsidRDefault="00D527CF" w:rsidP="00D527CF">
            <w:pPr>
              <w:jc w:val="both"/>
              <w:rPr>
                <w:sz w:val="20"/>
              </w:rPr>
            </w:pPr>
            <w:r w:rsidRPr="00565897">
              <w:rPr>
                <w:sz w:val="20"/>
              </w:rPr>
              <w:t xml:space="preserve">(Feldman, MacPherson, Juriansz, Huscroft and </w:t>
            </w:r>
          </w:p>
          <w:p w:rsidR="00D527CF" w:rsidRPr="00565897" w:rsidRDefault="00D527CF" w:rsidP="00D527CF">
            <w:pPr>
              <w:jc w:val="both"/>
              <w:rPr>
                <w:sz w:val="20"/>
              </w:rPr>
            </w:pPr>
            <w:r w:rsidRPr="00565897">
              <w:rPr>
                <w:sz w:val="20"/>
              </w:rPr>
              <w:t>Jamal JJ.A.)</w:t>
            </w:r>
          </w:p>
          <w:p w:rsidR="00D527CF" w:rsidRPr="00565897" w:rsidRDefault="00D527CF" w:rsidP="00D527CF">
            <w:pPr>
              <w:jc w:val="both"/>
              <w:rPr>
                <w:sz w:val="20"/>
              </w:rPr>
            </w:pPr>
            <w:hyperlink r:id="rId22" w:history="1">
              <w:r w:rsidRPr="00565897">
                <w:rPr>
                  <w:rStyle w:val="Hyperlink"/>
                  <w:sz w:val="20"/>
                </w:rPr>
                <w:t>2021 ONCA 482</w:t>
              </w:r>
            </w:hyperlink>
          </w:p>
          <w:p w:rsidR="00D527CF" w:rsidRPr="00565897" w:rsidRDefault="00D527CF" w:rsidP="00D527CF">
            <w:pPr>
              <w:jc w:val="both"/>
              <w:rPr>
                <w:sz w:val="20"/>
              </w:rPr>
            </w:pPr>
            <w:r w:rsidRPr="00565897">
              <w:rPr>
                <w:sz w:val="20"/>
              </w:rPr>
              <w:t xml:space="preserve">File No.: C68512 </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Appeal dismissed.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September 29, 2021</w:t>
            </w:r>
          </w:p>
          <w:p w:rsidR="00D527CF" w:rsidRPr="00565897" w:rsidRDefault="00D527CF" w:rsidP="00D527CF">
            <w:pPr>
              <w:jc w:val="both"/>
              <w:rPr>
                <w:sz w:val="20"/>
              </w:rPr>
            </w:pPr>
            <w:r w:rsidRPr="00565897">
              <w:rPr>
                <w:sz w:val="20"/>
              </w:rPr>
              <w:t>Supreme Court of Canada</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Application for leave to appeal filed.</w:t>
            </w:r>
          </w:p>
          <w:p w:rsidR="00D527CF" w:rsidRPr="00565897" w:rsidRDefault="00D527CF" w:rsidP="00D527CF">
            <w:pPr>
              <w:jc w:val="both"/>
              <w:rPr>
                <w:sz w:val="20"/>
              </w:rPr>
            </w:pPr>
          </w:p>
        </w:tc>
      </w:tr>
    </w:tbl>
    <w:p w:rsidR="00D527CF" w:rsidRPr="00565897" w:rsidRDefault="00D527CF" w:rsidP="00D527CF">
      <w:pPr>
        <w:jc w:val="both"/>
        <w:rPr>
          <w:sz w:val="20"/>
        </w:rPr>
      </w:pPr>
    </w:p>
    <w:p w:rsidR="00D527CF" w:rsidRPr="00565897" w:rsidRDefault="00D527CF" w:rsidP="00D527CF">
      <w:pPr>
        <w:jc w:val="both"/>
        <w:rPr>
          <w:sz w:val="20"/>
        </w:rPr>
      </w:pPr>
      <w:r w:rsidRPr="00565897">
        <w:rPr>
          <w:sz w:val="20"/>
        </w:rPr>
        <w:pict>
          <v:rect id="_x0000_i1032" style="width:2in;height:1pt" o:hrpct="0" o:hralign="center" o:hrstd="t" o:hrnoshade="t" o:hr="t" fillcolor="black [3213]" stroked="f"/>
        </w:pict>
      </w:r>
    </w:p>
    <w:p w:rsidR="00D527CF" w:rsidRPr="00565897" w:rsidRDefault="00D527CF" w:rsidP="00D527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39862</w:t>
            </w:r>
          </w:p>
        </w:tc>
        <w:tc>
          <w:tcPr>
            <w:tcW w:w="4457" w:type="pct"/>
            <w:gridSpan w:val="3"/>
          </w:tcPr>
          <w:p w:rsidR="00D527CF" w:rsidRPr="00565897" w:rsidRDefault="00D527CF" w:rsidP="00D527CF">
            <w:pPr>
              <w:pStyle w:val="SCCLsocParty"/>
              <w:jc w:val="both"/>
              <w:rPr>
                <w:b/>
                <w:sz w:val="20"/>
                <w:szCs w:val="20"/>
              </w:rPr>
            </w:pPr>
            <w:r w:rsidRPr="00565897">
              <w:rPr>
                <w:b/>
                <w:sz w:val="20"/>
                <w:szCs w:val="20"/>
              </w:rPr>
              <w:t>Alexandru Tanase c. Ordre des hygiénistes dentaires de l’Ontario</w:t>
            </w:r>
          </w:p>
          <w:p w:rsidR="00D527CF" w:rsidRPr="00565897" w:rsidRDefault="00D527CF" w:rsidP="00D527CF">
            <w:pPr>
              <w:jc w:val="both"/>
              <w:rPr>
                <w:sz w:val="20"/>
                <w:lang w:val="fr-CA"/>
              </w:rPr>
            </w:pPr>
            <w:r w:rsidRPr="00565897">
              <w:rPr>
                <w:sz w:val="20"/>
                <w:lang w:val="fr-CA"/>
              </w:rPr>
              <w:t>(Ont.) (Civile) (Sur autorisation)</w:t>
            </w: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Charte des droits — Droit constitutionnel — Droit à la liberté, art. 7 — Traitement cruel et inusité, art. 12 — Portée des droits — Déclaration de culpabilité pour faute professionnelle d’un hygiéniste dentaire pour avoir traité sa conjointe entraînant la révocation de son permis de pratique — Une disposition législative imposant des sanctions disciplinaires professionnelles peut</w:t>
            </w:r>
            <w:r w:rsidRPr="00565897">
              <w:rPr>
                <w:sz w:val="20"/>
                <w:lang w:val="fr-CA"/>
              </w:rPr>
              <w:noBreakHyphen/>
              <w:t xml:space="preserve">elle mettre en cause les art. 7 et 12 de la </w:t>
            </w:r>
            <w:r w:rsidRPr="00565897">
              <w:rPr>
                <w:i/>
                <w:sz w:val="20"/>
                <w:lang w:val="fr-CA"/>
              </w:rPr>
              <w:t>Charte</w:t>
            </w:r>
            <w:r w:rsidRPr="00565897">
              <w:rPr>
                <w:sz w:val="20"/>
                <w:lang w:val="fr-CA"/>
              </w:rPr>
              <w:t xml:space="preserve">? — Si oui, le par. 51(5) du </w:t>
            </w:r>
            <w:r w:rsidRPr="00565897">
              <w:rPr>
                <w:i/>
                <w:sz w:val="20"/>
                <w:lang w:val="fr-CA"/>
              </w:rPr>
              <w:t xml:space="preserve">Code des professions de la santé </w:t>
            </w:r>
            <w:r w:rsidRPr="00565897">
              <w:rPr>
                <w:sz w:val="20"/>
                <w:lang w:val="fr-CA"/>
              </w:rPr>
              <w:t>(le « </w:t>
            </w:r>
            <w:r w:rsidRPr="00565897">
              <w:rPr>
                <w:i/>
                <w:sz w:val="20"/>
                <w:lang w:val="fr-CA"/>
              </w:rPr>
              <w:t>Code</w:t>
            </w:r>
            <w:r w:rsidRPr="00565897">
              <w:rPr>
                <w:sz w:val="20"/>
                <w:lang w:val="fr-CA"/>
              </w:rPr>
              <w:t xml:space="preserve"> »), qui constitue l’annexe 2 de la </w:t>
            </w:r>
            <w:r w:rsidRPr="00565897">
              <w:rPr>
                <w:i/>
                <w:sz w:val="20"/>
                <w:lang w:val="fr-CA"/>
              </w:rPr>
              <w:t>Loi de 1991 sur les professions de la santé réglementées</w:t>
            </w:r>
            <w:r w:rsidRPr="00565897">
              <w:rPr>
                <w:sz w:val="20"/>
                <w:lang w:val="fr-CA"/>
              </w:rPr>
              <w:t>, L.O. 1991, c. 18, contrevient</w:t>
            </w:r>
            <w:r w:rsidRPr="00565897">
              <w:rPr>
                <w:sz w:val="20"/>
                <w:lang w:val="fr-CA"/>
              </w:rPr>
              <w:noBreakHyphen/>
              <w:t xml:space="preserve">il </w:t>
            </w:r>
            <w:proofErr w:type="gramStart"/>
            <w:r w:rsidRPr="00565897">
              <w:rPr>
                <w:sz w:val="20"/>
                <w:lang w:val="fr-CA"/>
              </w:rPr>
              <w:t>aux art</w:t>
            </w:r>
            <w:proofErr w:type="gramEnd"/>
            <w:r w:rsidRPr="00565897">
              <w:rPr>
                <w:sz w:val="20"/>
                <w:lang w:val="fr-CA"/>
              </w:rPr>
              <w:t xml:space="preserve">. 7 et 12 de la </w:t>
            </w:r>
            <w:r w:rsidRPr="00565897">
              <w:rPr>
                <w:i/>
                <w:sz w:val="20"/>
                <w:lang w:val="fr-CA"/>
              </w:rPr>
              <w:t>Charte</w:t>
            </w:r>
            <w:r w:rsidRPr="00565897">
              <w:rPr>
                <w:sz w:val="20"/>
                <w:lang w:val="fr-CA"/>
              </w:rPr>
              <w:t>? — Si oui, l’atteinte est</w:t>
            </w:r>
            <w:r w:rsidRPr="00565897">
              <w:rPr>
                <w:sz w:val="20"/>
                <w:lang w:val="fr-CA"/>
              </w:rPr>
              <w:noBreakHyphen/>
              <w:t>elle justifiée au regard de l’article premier?</w:t>
            </w:r>
          </w:p>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lang w:val="fr-CA"/>
              </w:rPr>
              <w:t>Le demandeur est un hygiéniste dentaire qui a entretenu une relation de nature sexuelle avec S.M., une femme qu’il traitait. Subséquemment, ils se sont mariés et le demandeur a continué de traiter S.M. après leur mariage.</w:t>
            </w:r>
          </w:p>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lang w:val="fr-CA"/>
              </w:rPr>
              <w:t xml:space="preserve">Une plainte a été formulée auprès de l’Ordre des hygiénistes dentaires de l’Ontario et le Comité de discipline a été convoqué. Ce dernier a déclaré le demandeur coupable de faute professionnelle pour avoir traité sa conjointe, puis, il a ordonné la révocation de son certificat d’inscription comme l’exige le </w:t>
            </w:r>
            <w:r w:rsidRPr="00565897">
              <w:rPr>
                <w:i/>
                <w:sz w:val="20"/>
                <w:lang w:val="fr-CA"/>
              </w:rPr>
              <w:t>Code</w:t>
            </w:r>
            <w:r w:rsidRPr="00565897">
              <w:rPr>
                <w:sz w:val="20"/>
                <w:lang w:val="fr-CA"/>
              </w:rPr>
              <w:t xml:space="preserve"> et a formulé une réprimande. La Cour divisionnaire a rejeté l’appel du demandeur. Son appel devant Cour d’appel a également été rejeté.</w:t>
            </w:r>
          </w:p>
        </w:tc>
      </w:tr>
      <w:tr w:rsidR="00D527CF" w:rsidRPr="00565897" w:rsidTr="00D527CF">
        <w:tc>
          <w:tcPr>
            <w:tcW w:w="5000" w:type="pct"/>
            <w:gridSpan w:val="4"/>
          </w:tcPr>
          <w:p w:rsidR="00D527CF" w:rsidRPr="00565897" w:rsidRDefault="00D527CF" w:rsidP="00D527CF">
            <w:pPr>
              <w:jc w:val="both"/>
              <w:rPr>
                <w:sz w:val="20"/>
                <w:lang w:val="fr-CA"/>
              </w:rPr>
            </w:pPr>
          </w:p>
        </w:tc>
      </w:tr>
      <w:tr w:rsidR="00D527CF" w:rsidRPr="00565897" w:rsidTr="00D527CF">
        <w:trPr>
          <w:trHeight w:val="1170"/>
        </w:trPr>
        <w:tc>
          <w:tcPr>
            <w:tcW w:w="2427" w:type="pct"/>
            <w:gridSpan w:val="2"/>
          </w:tcPr>
          <w:p w:rsidR="00D527CF" w:rsidRPr="00565897" w:rsidRDefault="00D527CF" w:rsidP="00D527CF">
            <w:pPr>
              <w:jc w:val="both"/>
              <w:rPr>
                <w:sz w:val="20"/>
                <w:lang w:val="fr-CA"/>
              </w:rPr>
            </w:pPr>
            <w:r w:rsidRPr="00565897">
              <w:rPr>
                <w:sz w:val="20"/>
                <w:lang w:val="fr-CA"/>
              </w:rPr>
              <w:t>June 19, 2018</w:t>
            </w:r>
          </w:p>
          <w:p w:rsidR="00D527CF" w:rsidRPr="00565897" w:rsidRDefault="00D527CF" w:rsidP="00D527CF">
            <w:pPr>
              <w:jc w:val="both"/>
              <w:rPr>
                <w:sz w:val="20"/>
                <w:lang w:val="fr-CA"/>
              </w:rPr>
            </w:pPr>
            <w:r w:rsidRPr="00565897">
              <w:rPr>
                <w:sz w:val="20"/>
                <w:lang w:val="fr-CA"/>
              </w:rPr>
              <w:t xml:space="preserve">Comité de discipline de l’Ordre des hygiénistes dentaires de l’Ontario </w:t>
            </w:r>
          </w:p>
          <w:p w:rsidR="00D527CF" w:rsidRPr="00565897" w:rsidRDefault="00D527CF" w:rsidP="00D527CF">
            <w:pPr>
              <w:jc w:val="both"/>
              <w:rPr>
                <w:sz w:val="20"/>
              </w:rPr>
            </w:pPr>
            <w:r w:rsidRPr="00565897">
              <w:rPr>
                <w:sz w:val="20"/>
              </w:rPr>
              <w:t>(Vinay, Président)</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Conclusion de faute professionnelle et révocation du permis de pratique à titre d’hygiéniste dentaire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9 septembre 2019</w:t>
            </w:r>
          </w:p>
          <w:p w:rsidR="00D527CF" w:rsidRPr="00565897" w:rsidRDefault="00D527CF" w:rsidP="00D527CF">
            <w:pPr>
              <w:jc w:val="both"/>
              <w:rPr>
                <w:sz w:val="20"/>
                <w:lang w:val="fr-CA"/>
              </w:rPr>
            </w:pPr>
            <w:r w:rsidRPr="00565897">
              <w:rPr>
                <w:sz w:val="20"/>
                <w:lang w:val="fr-CA"/>
              </w:rPr>
              <w:t>Cour divisionnaire de l’Ontario</w:t>
            </w:r>
          </w:p>
          <w:p w:rsidR="00D527CF" w:rsidRPr="00565897" w:rsidRDefault="00D527CF" w:rsidP="00D527CF">
            <w:pPr>
              <w:jc w:val="both"/>
              <w:rPr>
                <w:sz w:val="20"/>
                <w:lang w:val="fr-CA"/>
              </w:rPr>
            </w:pPr>
            <w:r w:rsidRPr="00565897">
              <w:rPr>
                <w:sz w:val="20"/>
                <w:lang w:val="fr-CA"/>
              </w:rPr>
              <w:t>(Juges Thorburn, Edwards et Favreau)</w:t>
            </w:r>
          </w:p>
          <w:p w:rsidR="00D527CF" w:rsidRPr="00565897" w:rsidRDefault="00D527CF" w:rsidP="00D527CF">
            <w:pPr>
              <w:jc w:val="both"/>
              <w:rPr>
                <w:sz w:val="20"/>
              </w:rPr>
            </w:pPr>
            <w:hyperlink r:id="rId23" w:history="1">
              <w:r w:rsidRPr="00565897">
                <w:rPr>
                  <w:rStyle w:val="Hyperlink"/>
                  <w:sz w:val="20"/>
                </w:rPr>
                <w:t>2019 ONSC 5153</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Appel rejeté</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5 juillet 2021</w:t>
            </w:r>
          </w:p>
          <w:p w:rsidR="00D527CF" w:rsidRPr="00565897" w:rsidRDefault="00D527CF" w:rsidP="00D527CF">
            <w:pPr>
              <w:jc w:val="both"/>
              <w:rPr>
                <w:sz w:val="20"/>
                <w:lang w:val="fr-CA"/>
              </w:rPr>
            </w:pPr>
            <w:r w:rsidRPr="00565897">
              <w:rPr>
                <w:sz w:val="20"/>
                <w:lang w:val="fr-CA"/>
              </w:rPr>
              <w:t>Cour d’appel de l’Ontario</w:t>
            </w:r>
          </w:p>
          <w:p w:rsidR="00D527CF" w:rsidRPr="00565897" w:rsidRDefault="00D527CF" w:rsidP="00D527CF">
            <w:pPr>
              <w:jc w:val="both"/>
              <w:rPr>
                <w:sz w:val="20"/>
                <w:lang w:val="fr-CA"/>
              </w:rPr>
            </w:pPr>
            <w:r w:rsidRPr="00565897">
              <w:rPr>
                <w:sz w:val="20"/>
                <w:lang w:val="fr-CA"/>
              </w:rPr>
              <w:t>(Juges Feldman, MacPherson, Juriansz, Huscroft et Jamal)</w:t>
            </w:r>
          </w:p>
          <w:p w:rsidR="00D527CF" w:rsidRPr="00565897" w:rsidRDefault="00D527CF" w:rsidP="00D527CF">
            <w:pPr>
              <w:jc w:val="both"/>
              <w:rPr>
                <w:sz w:val="20"/>
              </w:rPr>
            </w:pPr>
            <w:hyperlink r:id="rId24" w:history="1">
              <w:r w:rsidRPr="00565897">
                <w:rPr>
                  <w:rStyle w:val="Hyperlink"/>
                  <w:sz w:val="20"/>
                </w:rPr>
                <w:t>2021 ONCA 482</w:t>
              </w:r>
            </w:hyperlink>
          </w:p>
          <w:p w:rsidR="00D527CF" w:rsidRPr="00565897" w:rsidRDefault="00D527CF" w:rsidP="00D527CF">
            <w:pPr>
              <w:jc w:val="both"/>
              <w:rPr>
                <w:sz w:val="20"/>
              </w:rPr>
            </w:pPr>
            <w:r w:rsidRPr="00565897">
              <w:rPr>
                <w:sz w:val="20"/>
              </w:rPr>
              <w:t xml:space="preserve">Dossier : C68512 </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Appel rejeté</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29 septembre 2021</w:t>
            </w:r>
          </w:p>
          <w:p w:rsidR="00D527CF" w:rsidRPr="00565897" w:rsidRDefault="00D527CF" w:rsidP="00D527CF">
            <w:pPr>
              <w:jc w:val="both"/>
              <w:rPr>
                <w:sz w:val="20"/>
                <w:lang w:val="fr-CA"/>
              </w:rPr>
            </w:pPr>
            <w:r w:rsidRPr="00565897">
              <w:rPr>
                <w:sz w:val="20"/>
                <w:lang w:val="fr-CA"/>
              </w:rPr>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rPr>
            </w:pPr>
            <w:r w:rsidRPr="00565897">
              <w:rPr>
                <w:sz w:val="20"/>
                <w:lang w:val="fr-CA"/>
              </w:rPr>
              <w:t>Demande d’autorisation déposée</w:t>
            </w:r>
          </w:p>
          <w:p w:rsidR="00D527CF" w:rsidRPr="00565897" w:rsidRDefault="00D527CF" w:rsidP="00D527CF">
            <w:pPr>
              <w:jc w:val="both"/>
              <w:rPr>
                <w:sz w:val="20"/>
              </w:rPr>
            </w:pPr>
          </w:p>
        </w:tc>
      </w:tr>
    </w:tbl>
    <w:p w:rsidR="00D527CF" w:rsidRPr="00565897" w:rsidRDefault="00D527CF" w:rsidP="00D527CF">
      <w:pPr>
        <w:jc w:val="both"/>
        <w:rPr>
          <w:sz w:val="20"/>
        </w:rPr>
      </w:pPr>
    </w:p>
    <w:p w:rsidR="00A4278F" w:rsidRPr="00565897" w:rsidRDefault="00D527CF" w:rsidP="00D527CF">
      <w:pPr>
        <w:widowControl w:val="0"/>
        <w:tabs>
          <w:tab w:val="left" w:pos="3840"/>
        </w:tabs>
        <w:jc w:val="both"/>
        <w:rPr>
          <w:sz w:val="20"/>
          <w:lang w:val="fr-CA"/>
        </w:rPr>
      </w:pPr>
      <w:r w:rsidRPr="00565897">
        <w:rPr>
          <w:sz w:val="20"/>
        </w:rPr>
        <w:pict>
          <v:rect id="_x0000_i1033" style="width:2in;height:1pt" o:hrpct="0" o:hralign="center" o:hrstd="t" o:hrnoshade="t" o:hr="t" fillcolor="black [3213]" stroked="f"/>
        </w:pict>
      </w:r>
    </w:p>
    <w:p w:rsidR="00D527CF" w:rsidRPr="00565897" w:rsidRDefault="00D527CF" w:rsidP="00D527CF">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39866</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Satyam Patel v. Saskatchewan Health Authority and Charles Lamb</w:t>
            </w:r>
          </w:p>
          <w:p w:rsidR="00D527CF" w:rsidRPr="00565897" w:rsidRDefault="00D527CF" w:rsidP="00D527CF">
            <w:pPr>
              <w:jc w:val="both"/>
              <w:rPr>
                <w:sz w:val="20"/>
              </w:rPr>
            </w:pPr>
            <w:r w:rsidRPr="00565897">
              <w:rPr>
                <w:sz w:val="20"/>
              </w:rPr>
              <w:t>(Sask.) (Civil) (By Leave)</w:t>
            </w:r>
          </w:p>
        </w:tc>
      </w:tr>
      <w:tr w:rsidR="00D527CF" w:rsidRPr="00565897" w:rsidTr="00D527CF">
        <w:tc>
          <w:tcPr>
            <w:tcW w:w="5000" w:type="pct"/>
            <w:gridSpan w:val="4"/>
          </w:tcPr>
          <w:p w:rsidR="00D527CF" w:rsidRPr="00565897" w:rsidRDefault="00D527CF" w:rsidP="00D527CF">
            <w:pPr>
              <w:jc w:val="both"/>
              <w:rPr>
                <w:sz w:val="20"/>
              </w:rPr>
            </w:pPr>
            <w:r w:rsidRPr="00565897">
              <w:rPr>
                <w:sz w:val="20"/>
              </w:rPr>
              <w:t>Civil procedure — Vexatious litigant proceedings — Standing — Whether it is a breach of procedural fairness for a court to rule on a matter relying on a legal principle not raised by either party and without an oral hearing — Whether it is appropriate for judge in Canada to rely on facts that have not been properly pleaded and do not form part of the record — What is the test for granting standing in particular adding an outside party to a vexatious litigant application —Whether it is appropriate for a plaintiff in an unrelated matter to be added as a party to a vexatious litigant application against the party they have named as a defendant in a private lawsuit or is this a collateral attack.</w:t>
            </w:r>
          </w:p>
        </w:tc>
      </w:tr>
      <w:tr w:rsidR="00D527CF" w:rsidRPr="00565897" w:rsidTr="00D527CF">
        <w:tc>
          <w:tcPr>
            <w:tcW w:w="5000" w:type="pct"/>
            <w:gridSpan w:val="4"/>
          </w:tcPr>
          <w:p w:rsidR="00D527CF" w:rsidRPr="00565897" w:rsidRDefault="00D527CF" w:rsidP="00D527CF">
            <w:pPr>
              <w:jc w:val="both"/>
              <w:rPr>
                <w:sz w:val="20"/>
              </w:rPr>
            </w:pPr>
          </w:p>
          <w:p w:rsidR="00D527CF" w:rsidRPr="00565897" w:rsidRDefault="00D527CF" w:rsidP="00D527CF">
            <w:pPr>
              <w:jc w:val="both"/>
              <w:rPr>
                <w:sz w:val="20"/>
              </w:rPr>
            </w:pPr>
            <w:r w:rsidRPr="00565897">
              <w:rPr>
                <w:sz w:val="20"/>
              </w:rPr>
              <w:t>The applicant, Dr. Patel had his surgical privileges suspended by the respondent, Saskatchewan Health Authority (“SHA”). The respondent, Mr. Lamb, is a former patient of Dr. Patel who is pursuing a medical malpractice claim against him. SHA sought to have Dr. Patel declared a vexatious litigant to preclude him from instituting further proceedings without leave of the court. Mr. Lamb sought to be added as an applicant to SHA’s application or in the alternative, to be granted intervenor status.</w:t>
            </w:r>
          </w:p>
          <w:p w:rsidR="00D527CF" w:rsidRPr="00565897" w:rsidRDefault="00D527CF" w:rsidP="00D527CF">
            <w:pPr>
              <w:jc w:val="both"/>
              <w:rPr>
                <w:sz w:val="20"/>
              </w:rPr>
            </w:pPr>
          </w:p>
          <w:p w:rsidR="00D527CF" w:rsidRPr="00565897" w:rsidRDefault="00D527CF" w:rsidP="00D527CF">
            <w:pPr>
              <w:jc w:val="both"/>
              <w:rPr>
                <w:sz w:val="20"/>
              </w:rPr>
            </w:pPr>
            <w:r w:rsidRPr="00565897">
              <w:rPr>
                <w:sz w:val="20"/>
              </w:rPr>
              <w:t>The chambers judge ordered that Mr. Lamb should be added as a party to SHA’s application to have Dr. Patel declared to be a vexatious litigant. The Court of Appeal dismissed Dr. Patel’s application for leave to appeal.</w:t>
            </w:r>
          </w:p>
        </w:tc>
      </w:tr>
      <w:tr w:rsidR="00D527CF" w:rsidRPr="00565897" w:rsidTr="00D527CF">
        <w:tc>
          <w:tcPr>
            <w:tcW w:w="5000" w:type="pct"/>
            <w:gridSpan w:val="4"/>
          </w:tcPr>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June 21, 2021</w:t>
            </w:r>
          </w:p>
          <w:p w:rsidR="00D527CF" w:rsidRPr="00565897" w:rsidRDefault="00D527CF" w:rsidP="00D527CF">
            <w:pPr>
              <w:jc w:val="both"/>
              <w:rPr>
                <w:sz w:val="20"/>
              </w:rPr>
            </w:pPr>
            <w:r w:rsidRPr="00565897">
              <w:rPr>
                <w:sz w:val="20"/>
              </w:rPr>
              <w:t>Court of Queen’s Bench of Saskatchewan</w:t>
            </w:r>
          </w:p>
          <w:p w:rsidR="00D527CF" w:rsidRPr="00565897" w:rsidRDefault="00D527CF" w:rsidP="00D527CF">
            <w:pPr>
              <w:jc w:val="both"/>
              <w:rPr>
                <w:sz w:val="20"/>
              </w:rPr>
            </w:pPr>
            <w:r w:rsidRPr="00565897">
              <w:rPr>
                <w:sz w:val="20"/>
              </w:rPr>
              <w:t>(Layh J.)</w:t>
            </w:r>
          </w:p>
          <w:p w:rsidR="00D527CF" w:rsidRPr="00565897" w:rsidRDefault="00D527CF" w:rsidP="00D527CF">
            <w:pPr>
              <w:jc w:val="both"/>
              <w:rPr>
                <w:sz w:val="20"/>
              </w:rPr>
            </w:pPr>
            <w:r w:rsidRPr="00565897">
              <w:rPr>
                <w:sz w:val="20"/>
              </w:rPr>
              <w:t>QBG 2144/2020</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Mr. Lamb’s request to be added as party to the Saskatchewan Health Authority’s application to declare the applicant a vexatious litigant granted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July 29, 2021</w:t>
            </w:r>
          </w:p>
          <w:p w:rsidR="00D527CF" w:rsidRPr="00565897" w:rsidRDefault="00D527CF" w:rsidP="00D527CF">
            <w:pPr>
              <w:jc w:val="both"/>
              <w:rPr>
                <w:sz w:val="20"/>
              </w:rPr>
            </w:pPr>
            <w:r w:rsidRPr="00565897">
              <w:rPr>
                <w:sz w:val="20"/>
              </w:rPr>
              <w:t>Court of Appeal for Saskatchewan</w:t>
            </w:r>
          </w:p>
          <w:p w:rsidR="00D527CF" w:rsidRPr="00565897" w:rsidRDefault="00D527CF" w:rsidP="00D527CF">
            <w:pPr>
              <w:jc w:val="both"/>
              <w:rPr>
                <w:sz w:val="20"/>
              </w:rPr>
            </w:pPr>
            <w:r w:rsidRPr="00565897">
              <w:rPr>
                <w:sz w:val="20"/>
              </w:rPr>
              <w:t>(Barrington-Foote J.A.)</w:t>
            </w:r>
          </w:p>
          <w:p w:rsidR="00D527CF" w:rsidRPr="00565897" w:rsidRDefault="00D527CF" w:rsidP="00D527CF">
            <w:pPr>
              <w:jc w:val="both"/>
              <w:rPr>
                <w:sz w:val="20"/>
              </w:rPr>
            </w:pPr>
            <w:hyperlink r:id="rId25" w:history="1">
              <w:r w:rsidRPr="00565897">
                <w:rPr>
                  <w:rStyle w:val="Hyperlink"/>
                  <w:sz w:val="20"/>
                </w:rPr>
                <w:t>2021 SKCA 105</w:t>
              </w:r>
            </w:hyperlink>
            <w:r w:rsidRPr="00565897">
              <w:rPr>
                <w:sz w:val="20"/>
              </w:rPr>
              <w:t>; CACV3857</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application for leave to appeal dismissed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September 29, 2021</w:t>
            </w:r>
          </w:p>
          <w:p w:rsidR="00D527CF" w:rsidRPr="00565897" w:rsidRDefault="00D527CF" w:rsidP="00D527CF">
            <w:pPr>
              <w:jc w:val="both"/>
              <w:rPr>
                <w:sz w:val="20"/>
              </w:rPr>
            </w:pPr>
            <w:r w:rsidRPr="00565897">
              <w:rPr>
                <w:sz w:val="20"/>
              </w:rPr>
              <w:t>Supreme Court of Canada</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Application for leave to appeal filed</w:t>
            </w:r>
          </w:p>
          <w:p w:rsidR="00D527CF" w:rsidRPr="00565897" w:rsidRDefault="00D527CF" w:rsidP="00D527CF">
            <w:pPr>
              <w:jc w:val="both"/>
              <w:rPr>
                <w:sz w:val="20"/>
              </w:rPr>
            </w:pPr>
          </w:p>
        </w:tc>
      </w:tr>
    </w:tbl>
    <w:p w:rsidR="00D527CF" w:rsidRPr="00565897" w:rsidRDefault="00D527CF" w:rsidP="00D527CF">
      <w:pPr>
        <w:jc w:val="both"/>
        <w:rPr>
          <w:sz w:val="20"/>
        </w:rPr>
      </w:pPr>
    </w:p>
    <w:p w:rsidR="00D527CF" w:rsidRPr="00565897" w:rsidRDefault="00D527CF" w:rsidP="00D527CF">
      <w:pPr>
        <w:jc w:val="both"/>
        <w:rPr>
          <w:sz w:val="20"/>
        </w:rPr>
      </w:pPr>
      <w:r w:rsidRPr="00565897">
        <w:rPr>
          <w:sz w:val="20"/>
        </w:rPr>
        <w:pict>
          <v:rect id="_x0000_i1034" style="width:2in;height:1pt" o:hrpct="0" o:hralign="center" o:hrstd="t" o:hrnoshade="t" o:hr="t" fillcolor="black [3213]" stroked="f"/>
        </w:pict>
      </w:r>
    </w:p>
    <w:p w:rsidR="00D527CF" w:rsidRPr="00565897" w:rsidRDefault="00D527CF" w:rsidP="00D527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39866</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Satyam Patel c. Saskatchewan Health Authority and Charles Lamb</w:t>
            </w:r>
          </w:p>
          <w:p w:rsidR="00D527CF" w:rsidRPr="00565897" w:rsidRDefault="00D527CF" w:rsidP="00D527CF">
            <w:pPr>
              <w:jc w:val="both"/>
              <w:rPr>
                <w:sz w:val="20"/>
              </w:rPr>
            </w:pPr>
            <w:r w:rsidRPr="00565897">
              <w:rPr>
                <w:sz w:val="20"/>
              </w:rPr>
              <w:t>(Sask.) (Civile) (Sur autorisation)</w:t>
            </w: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Procédure civile — Procédures intentées par un plaideur quérulent — Qualité pour agir — Est</w:t>
            </w:r>
            <w:r w:rsidRPr="00565897">
              <w:rPr>
                <w:sz w:val="20"/>
                <w:lang w:val="fr-CA"/>
              </w:rPr>
              <w:noBreakHyphen/>
              <w:t>il contraire à l’équité procédurale qu’un tribunal statue sur une question en se fondant sur un principe juridique qu’aucune des parties n’a soulevé et sans audience? — Est</w:t>
            </w:r>
            <w:r w:rsidRPr="00565897">
              <w:rPr>
                <w:sz w:val="20"/>
                <w:lang w:val="fr-CA"/>
              </w:rPr>
              <w:noBreakHyphen/>
              <w:t>il approprié qu’un juge au Canada se fonde sur des faits qui n’ont pas été adéquatement plaidés et qui ne font pas partie du dossier? — Quel est le test pour accorder la qualité pour agir, notamment pour ajouter une partie à la demande pour qu’un plaideur soit déclaré quérulent? — Est</w:t>
            </w:r>
            <w:r w:rsidRPr="00565897">
              <w:rPr>
                <w:sz w:val="20"/>
                <w:lang w:val="fr-CA"/>
              </w:rPr>
              <w:noBreakHyphen/>
              <w:t>il approprié qu’un demandeur dans une affaire distincte soit ajouté comme partie à la demande pour qu’un plaideur soit déclaré quérulent contre la partie qu’il a nommée comme défendeur dans une poursuite privée ou s’agit</w:t>
            </w:r>
            <w:r w:rsidRPr="00565897">
              <w:rPr>
                <w:sz w:val="20"/>
                <w:lang w:val="fr-CA"/>
              </w:rPr>
              <w:noBreakHyphen/>
              <w:t xml:space="preserve">il d’une attaque collatérale? </w:t>
            </w:r>
          </w:p>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lang w:val="fr-CA"/>
              </w:rPr>
              <w:t>Le demandeur, D</w:t>
            </w:r>
            <w:r w:rsidRPr="00565897">
              <w:rPr>
                <w:sz w:val="20"/>
                <w:vertAlign w:val="superscript"/>
                <w:lang w:val="fr-CA"/>
              </w:rPr>
              <w:t>r</w:t>
            </w:r>
            <w:r w:rsidRPr="00565897">
              <w:rPr>
                <w:sz w:val="20"/>
                <w:lang w:val="fr-CA"/>
              </w:rPr>
              <w:t xml:space="preserve"> Patel, s’est fait retirer ses privilèges chirurgicaux par l’intimée, la Saskatchewan Health Authority (« SHA »). L’intimé, M. Lamb, est un ancien patient du D</w:t>
            </w:r>
            <w:r w:rsidRPr="00565897">
              <w:rPr>
                <w:sz w:val="20"/>
                <w:vertAlign w:val="superscript"/>
                <w:lang w:val="fr-CA"/>
              </w:rPr>
              <w:t>r</w:t>
            </w:r>
            <w:r w:rsidRPr="00565897">
              <w:rPr>
                <w:sz w:val="20"/>
                <w:lang w:val="fr-CA"/>
              </w:rPr>
              <w:t xml:space="preserve"> Patel contre qui il a intenté un recours pour faute médicale. La SHA a demandé que le D</w:t>
            </w:r>
            <w:r w:rsidRPr="00565897">
              <w:rPr>
                <w:sz w:val="20"/>
                <w:vertAlign w:val="superscript"/>
                <w:lang w:val="fr-CA"/>
              </w:rPr>
              <w:t xml:space="preserve">r </w:t>
            </w:r>
            <w:r w:rsidRPr="00565897">
              <w:rPr>
                <w:sz w:val="20"/>
                <w:lang w:val="fr-CA"/>
              </w:rPr>
              <w:t>Patel soit déclaré plaideur quérulent afin de l’empêcher d’engager d’autres procédures sans l’autorisation de la Cour. M. Lamb a demandé à être ajouté comme demandeur dans la demande de la SHA ou, subsidiairement, à obtenir le statut d’intervenant.</w:t>
            </w:r>
          </w:p>
        </w:tc>
      </w:tr>
      <w:tr w:rsidR="00D527CF" w:rsidRPr="00565897" w:rsidTr="00D527CF">
        <w:tc>
          <w:tcPr>
            <w:tcW w:w="5000" w:type="pct"/>
            <w:gridSpan w:val="4"/>
          </w:tcPr>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lang w:val="fr-CA"/>
              </w:rPr>
              <w:t>Le juge en son cabinet a ordonné que M. Lamb soit ajouté comme partie dans la demande de la SHA pour que le D</w:t>
            </w:r>
            <w:r w:rsidRPr="00565897">
              <w:rPr>
                <w:sz w:val="20"/>
                <w:vertAlign w:val="superscript"/>
                <w:lang w:val="fr-CA"/>
              </w:rPr>
              <w:t xml:space="preserve">r </w:t>
            </w:r>
            <w:r w:rsidRPr="00565897">
              <w:rPr>
                <w:sz w:val="20"/>
                <w:lang w:val="fr-CA"/>
              </w:rPr>
              <w:t>Patel soit déclaré plaideur quérulent. La Cour d’appel a rejeté la demande d’autorisation d’appel du D</w:t>
            </w:r>
            <w:r w:rsidRPr="00565897">
              <w:rPr>
                <w:sz w:val="20"/>
                <w:vertAlign w:val="superscript"/>
                <w:lang w:val="fr-CA"/>
              </w:rPr>
              <w:t>r</w:t>
            </w:r>
            <w:r w:rsidRPr="00565897">
              <w:rPr>
                <w:sz w:val="20"/>
                <w:lang w:val="fr-CA"/>
              </w:rPr>
              <w:t xml:space="preserve"> Patel. .</w:t>
            </w:r>
          </w:p>
        </w:tc>
      </w:tr>
      <w:tr w:rsidR="00D527CF" w:rsidRPr="00565897" w:rsidTr="00D527CF">
        <w:tc>
          <w:tcPr>
            <w:tcW w:w="5000" w:type="pct"/>
            <w:gridSpan w:val="4"/>
          </w:tcPr>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21 juin 2021</w:t>
            </w:r>
          </w:p>
          <w:p w:rsidR="00D527CF" w:rsidRPr="00565897" w:rsidRDefault="00D527CF" w:rsidP="00D527CF">
            <w:pPr>
              <w:jc w:val="both"/>
              <w:rPr>
                <w:sz w:val="20"/>
                <w:lang w:val="fr-CA"/>
              </w:rPr>
            </w:pPr>
            <w:r w:rsidRPr="00565897">
              <w:rPr>
                <w:sz w:val="20"/>
                <w:lang w:val="fr-CA"/>
              </w:rPr>
              <w:t>Cour du banc de la Reine de la Saskatchewan</w:t>
            </w:r>
          </w:p>
          <w:p w:rsidR="00D527CF" w:rsidRPr="00565897" w:rsidRDefault="00D527CF" w:rsidP="00D527CF">
            <w:pPr>
              <w:jc w:val="both"/>
              <w:rPr>
                <w:sz w:val="20"/>
              </w:rPr>
            </w:pPr>
            <w:r w:rsidRPr="00565897">
              <w:rPr>
                <w:sz w:val="20"/>
              </w:rPr>
              <w:lastRenderedPageBreak/>
              <w:t>(Juge Layh)</w:t>
            </w:r>
          </w:p>
          <w:p w:rsidR="00D527CF" w:rsidRPr="00565897" w:rsidRDefault="00D527CF" w:rsidP="00D527CF">
            <w:pPr>
              <w:jc w:val="both"/>
              <w:rPr>
                <w:sz w:val="20"/>
              </w:rPr>
            </w:pPr>
            <w:r w:rsidRPr="00565897">
              <w:rPr>
                <w:sz w:val="20"/>
              </w:rPr>
              <w:t>QBG 2144/2020</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Demande de M. Lamb pour être ajouté comme partie à la demande de la Saskatchewan Health Authority </w:t>
            </w:r>
            <w:r w:rsidRPr="00565897">
              <w:rPr>
                <w:sz w:val="20"/>
                <w:lang w:val="fr-CA"/>
              </w:rPr>
              <w:lastRenderedPageBreak/>
              <w:t xml:space="preserve">pour que le demandeur soit déclaré plaideur quérulent accueillie </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lastRenderedPageBreak/>
              <w:t>29 juillet 2021</w:t>
            </w:r>
          </w:p>
          <w:p w:rsidR="00D527CF" w:rsidRPr="00565897" w:rsidRDefault="00D527CF" w:rsidP="00D527CF">
            <w:pPr>
              <w:jc w:val="both"/>
              <w:rPr>
                <w:sz w:val="20"/>
                <w:lang w:val="fr-CA"/>
              </w:rPr>
            </w:pPr>
            <w:r w:rsidRPr="00565897">
              <w:rPr>
                <w:sz w:val="20"/>
                <w:lang w:val="fr-CA"/>
              </w:rPr>
              <w:t>Cour d’appel de la Saskatchewan</w:t>
            </w:r>
          </w:p>
          <w:p w:rsidR="00D527CF" w:rsidRPr="00565897" w:rsidRDefault="00D527CF" w:rsidP="00D527CF">
            <w:pPr>
              <w:jc w:val="both"/>
              <w:rPr>
                <w:sz w:val="20"/>
              </w:rPr>
            </w:pPr>
            <w:r w:rsidRPr="00565897">
              <w:rPr>
                <w:sz w:val="20"/>
              </w:rPr>
              <w:t>(Juge Barrington</w:t>
            </w:r>
            <w:r w:rsidRPr="00565897">
              <w:rPr>
                <w:sz w:val="20"/>
              </w:rPr>
              <w:noBreakHyphen/>
              <w:t>Foote)</w:t>
            </w:r>
          </w:p>
          <w:p w:rsidR="00D527CF" w:rsidRPr="00565897" w:rsidRDefault="00D527CF" w:rsidP="00D527CF">
            <w:pPr>
              <w:jc w:val="both"/>
              <w:rPr>
                <w:sz w:val="20"/>
              </w:rPr>
            </w:pPr>
            <w:hyperlink r:id="rId26" w:history="1">
              <w:r w:rsidRPr="00565897">
                <w:rPr>
                  <w:rStyle w:val="Hyperlink"/>
                  <w:sz w:val="20"/>
                </w:rPr>
                <w:t>2021 SKCA 105</w:t>
              </w:r>
            </w:hyperlink>
            <w:r w:rsidRPr="00565897">
              <w:rPr>
                <w:sz w:val="20"/>
              </w:rPr>
              <w:t>; CACV3857</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Demande d’autorisation d’appel par le demandeur rejetée </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29 septembre 2021</w:t>
            </w:r>
          </w:p>
          <w:p w:rsidR="00D527CF" w:rsidRPr="00565897" w:rsidRDefault="00D527CF" w:rsidP="00D527CF">
            <w:pPr>
              <w:jc w:val="both"/>
              <w:rPr>
                <w:sz w:val="20"/>
                <w:lang w:val="fr-CA"/>
              </w:rPr>
            </w:pPr>
            <w:r w:rsidRPr="00565897">
              <w:rPr>
                <w:sz w:val="20"/>
                <w:lang w:val="fr-CA"/>
              </w:rPr>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rPr>
            </w:pPr>
            <w:r w:rsidRPr="00565897">
              <w:rPr>
                <w:sz w:val="20"/>
              </w:rPr>
              <w:t>Demande d’autorisation d’appel</w:t>
            </w:r>
          </w:p>
          <w:p w:rsidR="00D527CF" w:rsidRPr="00565897" w:rsidRDefault="00D527CF" w:rsidP="00D527CF">
            <w:pPr>
              <w:jc w:val="both"/>
              <w:rPr>
                <w:sz w:val="20"/>
              </w:rPr>
            </w:pPr>
          </w:p>
        </w:tc>
      </w:tr>
    </w:tbl>
    <w:p w:rsidR="00D527CF" w:rsidRPr="00565897" w:rsidRDefault="00D527CF" w:rsidP="00D527CF">
      <w:pPr>
        <w:jc w:val="both"/>
        <w:rPr>
          <w:sz w:val="20"/>
        </w:rPr>
      </w:pPr>
    </w:p>
    <w:p w:rsidR="00D527CF" w:rsidRPr="00565897" w:rsidRDefault="00D527CF" w:rsidP="00D527CF">
      <w:pPr>
        <w:jc w:val="both"/>
        <w:rPr>
          <w:sz w:val="20"/>
        </w:rPr>
      </w:pPr>
      <w:r w:rsidRPr="00565897">
        <w:rPr>
          <w:sz w:val="20"/>
        </w:rPr>
        <w:pict>
          <v:rect id="_x0000_i1035" style="width:2in;height:1pt" o:hrpct="0" o:hralign="center" o:hrstd="t" o:hrnoshade="t" o:hr="t" fillcolor="black [3213]" stroked="f"/>
        </w:pict>
      </w:r>
    </w:p>
    <w:p w:rsidR="00A4278F" w:rsidRPr="00565897" w:rsidRDefault="00A4278F" w:rsidP="00D527CF">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39896</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Satyam Patel v. Saskatchewan Health Authority, Practitioner Staff Appeals Tribunal and Charles Lamb</w:t>
            </w:r>
          </w:p>
          <w:p w:rsidR="00D527CF" w:rsidRPr="00565897" w:rsidRDefault="00D527CF" w:rsidP="00D527CF">
            <w:pPr>
              <w:jc w:val="both"/>
              <w:rPr>
                <w:sz w:val="20"/>
              </w:rPr>
            </w:pPr>
            <w:r w:rsidRPr="00565897">
              <w:rPr>
                <w:sz w:val="20"/>
              </w:rPr>
              <w:t>(Sask.) (Civil) (By Leave)</w:t>
            </w:r>
          </w:p>
        </w:tc>
      </w:tr>
      <w:tr w:rsidR="00D527CF" w:rsidRPr="00565897" w:rsidTr="00D527CF">
        <w:tc>
          <w:tcPr>
            <w:tcW w:w="5000" w:type="pct"/>
            <w:gridSpan w:val="4"/>
          </w:tcPr>
          <w:p w:rsidR="00D527CF" w:rsidRPr="00565897" w:rsidRDefault="00D527CF" w:rsidP="00D527CF">
            <w:pPr>
              <w:jc w:val="both"/>
              <w:rPr>
                <w:sz w:val="20"/>
              </w:rPr>
            </w:pPr>
            <w:r w:rsidRPr="00565897">
              <w:rPr>
                <w:sz w:val="20"/>
              </w:rPr>
              <w:t>Administrative law — Tribunals — Judicial review — Whether a court should as part of its judicial function arising from its supervisory role, independently consider issues of mootness, unreasonable delay, judicial independence, and punitive costs against successful litigants in circumstances where recourse to an administrative tribunal is an inadequate alternative remedy.</w:t>
            </w:r>
          </w:p>
          <w:p w:rsidR="00D527CF" w:rsidRPr="00565897" w:rsidRDefault="00D527CF" w:rsidP="00D527CF">
            <w:pPr>
              <w:jc w:val="both"/>
              <w:rPr>
                <w:sz w:val="20"/>
              </w:rPr>
            </w:pPr>
          </w:p>
        </w:tc>
      </w:tr>
      <w:tr w:rsidR="00D527CF" w:rsidRPr="00565897" w:rsidTr="00D527CF">
        <w:tc>
          <w:tcPr>
            <w:tcW w:w="5000" w:type="pct"/>
            <w:gridSpan w:val="4"/>
          </w:tcPr>
          <w:p w:rsidR="00D527CF" w:rsidRPr="00565897" w:rsidRDefault="00D527CF" w:rsidP="00D527CF">
            <w:pPr>
              <w:jc w:val="both"/>
              <w:rPr>
                <w:sz w:val="20"/>
              </w:rPr>
            </w:pPr>
            <w:r w:rsidRPr="00565897">
              <w:rPr>
                <w:sz w:val="20"/>
              </w:rPr>
              <w:t>The applicant, Dr. Patel, an orthopaedic surgeon and the respondent, Saskatchewan Health Authority (“SHA”) are involved in proceedings before the respondent, the Practitioners Staff Appeals Tribunal (“PSAT”) that relate to the suspension of Dr. Patel’s hospital privileges. Five appeals were heard together and resulted in one decision. Two appeals were dismissed, one was allowed in part and two were quashed.</w:t>
            </w:r>
          </w:p>
        </w:tc>
      </w:tr>
      <w:tr w:rsidR="00D527CF" w:rsidRPr="00565897" w:rsidTr="00D527CF">
        <w:tc>
          <w:tcPr>
            <w:tcW w:w="5000" w:type="pct"/>
            <w:gridSpan w:val="4"/>
          </w:tcPr>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October 10, 2019</w:t>
            </w:r>
          </w:p>
          <w:p w:rsidR="00D527CF" w:rsidRPr="00565897" w:rsidRDefault="00D527CF" w:rsidP="00D527CF">
            <w:pPr>
              <w:jc w:val="both"/>
              <w:rPr>
                <w:sz w:val="20"/>
              </w:rPr>
            </w:pPr>
            <w:r w:rsidRPr="00565897">
              <w:rPr>
                <w:sz w:val="20"/>
              </w:rPr>
              <w:t>Court of Queen’s Bench of Saskatchewan</w:t>
            </w:r>
          </w:p>
          <w:p w:rsidR="00D527CF" w:rsidRPr="00565897" w:rsidRDefault="00D527CF" w:rsidP="00D527CF">
            <w:pPr>
              <w:jc w:val="both"/>
              <w:rPr>
                <w:sz w:val="20"/>
              </w:rPr>
            </w:pPr>
            <w:r w:rsidRPr="00565897">
              <w:rPr>
                <w:sz w:val="20"/>
              </w:rPr>
              <w:t>(Scherman J.)</w:t>
            </w:r>
          </w:p>
          <w:p w:rsidR="00D527CF" w:rsidRPr="00565897" w:rsidRDefault="00D527CF" w:rsidP="00D527CF">
            <w:pPr>
              <w:jc w:val="both"/>
              <w:rPr>
                <w:sz w:val="20"/>
              </w:rPr>
            </w:pPr>
            <w:r w:rsidRPr="00565897">
              <w:rPr>
                <w:sz w:val="20"/>
              </w:rPr>
              <w:t>QBG 953/2019</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notice of appeal struck</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November 7, 2019</w:t>
            </w:r>
          </w:p>
          <w:p w:rsidR="00D527CF" w:rsidRPr="00565897" w:rsidRDefault="00D527CF" w:rsidP="00D527CF">
            <w:pPr>
              <w:jc w:val="both"/>
              <w:rPr>
                <w:sz w:val="20"/>
              </w:rPr>
            </w:pPr>
            <w:r w:rsidRPr="00565897">
              <w:rPr>
                <w:sz w:val="20"/>
              </w:rPr>
              <w:t>Court of Queen’s Bench of Saskatchewan</w:t>
            </w:r>
          </w:p>
          <w:p w:rsidR="00D527CF" w:rsidRPr="00565897" w:rsidRDefault="00D527CF" w:rsidP="00D527CF">
            <w:pPr>
              <w:jc w:val="both"/>
              <w:rPr>
                <w:sz w:val="20"/>
              </w:rPr>
            </w:pPr>
            <w:r w:rsidRPr="00565897">
              <w:rPr>
                <w:sz w:val="20"/>
              </w:rPr>
              <w:t>(Scherman J.)</w:t>
            </w:r>
          </w:p>
          <w:p w:rsidR="00D527CF" w:rsidRPr="00565897" w:rsidRDefault="00D527CF" w:rsidP="00D527CF">
            <w:pPr>
              <w:jc w:val="both"/>
              <w:rPr>
                <w:sz w:val="20"/>
              </w:rPr>
            </w:pPr>
            <w:hyperlink r:id="rId27" w:history="1">
              <w:r w:rsidRPr="00565897">
                <w:rPr>
                  <w:rStyle w:val="Hyperlink"/>
                  <w:sz w:val="20"/>
                </w:rPr>
                <w:t>2019 SKQB 291</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application for judicial review dismissed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July 22, 2020</w:t>
            </w:r>
          </w:p>
          <w:p w:rsidR="00D527CF" w:rsidRPr="00565897" w:rsidRDefault="00D527CF" w:rsidP="00D527CF">
            <w:pPr>
              <w:jc w:val="both"/>
              <w:rPr>
                <w:sz w:val="20"/>
              </w:rPr>
            </w:pPr>
            <w:r w:rsidRPr="00565897">
              <w:rPr>
                <w:sz w:val="20"/>
              </w:rPr>
              <w:t>Court of Queen’s Bench of Saskatchewan</w:t>
            </w:r>
          </w:p>
          <w:p w:rsidR="00D527CF" w:rsidRPr="00565897" w:rsidRDefault="00D527CF" w:rsidP="00D527CF">
            <w:pPr>
              <w:jc w:val="both"/>
              <w:rPr>
                <w:sz w:val="20"/>
              </w:rPr>
            </w:pPr>
            <w:r w:rsidRPr="00565897">
              <w:rPr>
                <w:sz w:val="20"/>
              </w:rPr>
              <w:t>(Scherman J.)</w:t>
            </w:r>
          </w:p>
          <w:p w:rsidR="00D527CF" w:rsidRPr="00565897" w:rsidRDefault="00D527CF" w:rsidP="00D527CF">
            <w:pPr>
              <w:jc w:val="both"/>
              <w:rPr>
                <w:sz w:val="20"/>
              </w:rPr>
            </w:pPr>
            <w:hyperlink r:id="rId28" w:history="1">
              <w:r w:rsidRPr="00565897">
                <w:rPr>
                  <w:rStyle w:val="Hyperlink"/>
                  <w:sz w:val="20"/>
                </w:rPr>
                <w:t>2020 SKQB 194</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application to have Scherman J. recused granted</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November 19, 2020</w:t>
            </w:r>
          </w:p>
          <w:p w:rsidR="00D527CF" w:rsidRPr="00565897" w:rsidRDefault="00D527CF" w:rsidP="00D527CF">
            <w:pPr>
              <w:jc w:val="both"/>
              <w:rPr>
                <w:sz w:val="20"/>
              </w:rPr>
            </w:pPr>
            <w:r w:rsidRPr="00565897">
              <w:rPr>
                <w:sz w:val="20"/>
              </w:rPr>
              <w:t>Court of Queen’s Bench of Saskatchewan</w:t>
            </w:r>
          </w:p>
          <w:p w:rsidR="00D527CF" w:rsidRPr="00565897" w:rsidRDefault="00D527CF" w:rsidP="00D527CF">
            <w:pPr>
              <w:jc w:val="both"/>
              <w:rPr>
                <w:sz w:val="20"/>
              </w:rPr>
            </w:pPr>
            <w:r w:rsidRPr="00565897">
              <w:rPr>
                <w:sz w:val="20"/>
              </w:rPr>
              <w:t>(McCreary J.)</w:t>
            </w:r>
          </w:p>
          <w:p w:rsidR="00D527CF" w:rsidRPr="00565897" w:rsidRDefault="00D527CF" w:rsidP="00D527CF">
            <w:pPr>
              <w:jc w:val="both"/>
              <w:rPr>
                <w:sz w:val="20"/>
              </w:rPr>
            </w:pPr>
            <w:r w:rsidRPr="00565897">
              <w:rPr>
                <w:sz w:val="20"/>
              </w:rPr>
              <w:t>QBG 1793/2020</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 xml:space="preserve">Saskatchewan Health Authority’s application to be added as respondent granted </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November 30, 2020</w:t>
            </w:r>
          </w:p>
          <w:p w:rsidR="00D527CF" w:rsidRPr="00565897" w:rsidRDefault="00D527CF" w:rsidP="00D527CF">
            <w:pPr>
              <w:jc w:val="both"/>
              <w:rPr>
                <w:sz w:val="20"/>
              </w:rPr>
            </w:pPr>
            <w:r w:rsidRPr="00565897">
              <w:rPr>
                <w:sz w:val="20"/>
              </w:rPr>
              <w:t>Court of Queen’s Bench of Saskatchewan</w:t>
            </w:r>
          </w:p>
          <w:p w:rsidR="00D527CF" w:rsidRPr="00565897" w:rsidRDefault="00D527CF" w:rsidP="00D527CF">
            <w:pPr>
              <w:jc w:val="both"/>
              <w:rPr>
                <w:sz w:val="20"/>
              </w:rPr>
            </w:pPr>
            <w:r w:rsidRPr="00565897">
              <w:rPr>
                <w:sz w:val="20"/>
              </w:rPr>
              <w:t>(McCreary J.)</w:t>
            </w:r>
          </w:p>
          <w:p w:rsidR="00D527CF" w:rsidRPr="00565897" w:rsidRDefault="00D527CF" w:rsidP="00D527CF">
            <w:pPr>
              <w:jc w:val="both"/>
              <w:rPr>
                <w:sz w:val="20"/>
              </w:rPr>
            </w:pPr>
            <w:r w:rsidRPr="00565897">
              <w:rPr>
                <w:sz w:val="20"/>
              </w:rPr>
              <w:t>QBG1792/2020</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application to enforce summons dismissed</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August 31, 2021</w:t>
            </w:r>
          </w:p>
          <w:p w:rsidR="00D527CF" w:rsidRPr="00565897" w:rsidRDefault="00D527CF" w:rsidP="00D527CF">
            <w:pPr>
              <w:jc w:val="both"/>
              <w:rPr>
                <w:sz w:val="20"/>
              </w:rPr>
            </w:pPr>
            <w:r w:rsidRPr="00565897">
              <w:rPr>
                <w:sz w:val="20"/>
              </w:rPr>
              <w:t>Court of Appeal for Saskatchewan</w:t>
            </w:r>
          </w:p>
          <w:p w:rsidR="00D527CF" w:rsidRPr="00565897" w:rsidRDefault="00D527CF" w:rsidP="00D527CF">
            <w:pPr>
              <w:jc w:val="both"/>
              <w:rPr>
                <w:sz w:val="20"/>
              </w:rPr>
            </w:pPr>
            <w:r w:rsidRPr="00565897">
              <w:rPr>
                <w:sz w:val="20"/>
              </w:rPr>
              <w:t>(Caldwell, Whitmore and Kalmakoff JJ.A.)</w:t>
            </w:r>
          </w:p>
          <w:p w:rsidR="00D527CF" w:rsidRPr="00565897" w:rsidRDefault="00D527CF" w:rsidP="00D527CF">
            <w:pPr>
              <w:jc w:val="both"/>
              <w:rPr>
                <w:sz w:val="20"/>
              </w:rPr>
            </w:pPr>
            <w:hyperlink r:id="rId29" w:history="1">
              <w:r w:rsidRPr="00565897">
                <w:rPr>
                  <w:rStyle w:val="Hyperlink"/>
                  <w:sz w:val="20"/>
                </w:rPr>
                <w:t>2021 SKCA 115</w:t>
              </w:r>
            </w:hyperlink>
            <w:r w:rsidRPr="00565897">
              <w:rPr>
                <w:sz w:val="20"/>
              </w:rPr>
              <w:t xml:space="preserve">; CACV 3517; CACV3527; CACV3679; CACV3751; CACV3752 </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Appeals in CACV3517 and CACV3527, dismissed; Appeal in CACV3679, allowed in part; Appeals in CACV3751 and CACV3752, quashed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lastRenderedPageBreak/>
              <w:t>October 29, 2021</w:t>
            </w:r>
          </w:p>
          <w:p w:rsidR="00D527CF" w:rsidRPr="00565897" w:rsidRDefault="00D527CF" w:rsidP="00D527CF">
            <w:pPr>
              <w:jc w:val="both"/>
              <w:rPr>
                <w:sz w:val="20"/>
              </w:rPr>
            </w:pPr>
            <w:r w:rsidRPr="00565897">
              <w:rPr>
                <w:sz w:val="20"/>
              </w:rPr>
              <w:t>Supreme Court of Canada</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Application for leave to appeal filed</w:t>
            </w:r>
          </w:p>
          <w:p w:rsidR="00D527CF" w:rsidRPr="00565897" w:rsidRDefault="00D527CF" w:rsidP="00D527CF">
            <w:pPr>
              <w:jc w:val="both"/>
              <w:rPr>
                <w:sz w:val="20"/>
              </w:rPr>
            </w:pPr>
          </w:p>
        </w:tc>
      </w:tr>
    </w:tbl>
    <w:p w:rsidR="00D527CF" w:rsidRPr="00565897" w:rsidRDefault="00D527CF" w:rsidP="00D527CF">
      <w:pPr>
        <w:jc w:val="both"/>
        <w:rPr>
          <w:sz w:val="20"/>
        </w:rPr>
      </w:pPr>
    </w:p>
    <w:p w:rsidR="00D527CF" w:rsidRPr="00565897" w:rsidRDefault="00D527CF" w:rsidP="00D527CF">
      <w:pPr>
        <w:jc w:val="both"/>
        <w:rPr>
          <w:sz w:val="20"/>
        </w:rPr>
      </w:pPr>
      <w:r w:rsidRPr="00565897">
        <w:rPr>
          <w:sz w:val="20"/>
        </w:rPr>
        <w:pict>
          <v:rect id="_x0000_i1036" style="width:2in;height:1pt" o:hrpct="0" o:hralign="center" o:hrstd="t" o:hrnoshade="t" o:hr="t" fillcolor="black [3213]" stroked="f"/>
        </w:pict>
      </w:r>
    </w:p>
    <w:p w:rsidR="00D527CF" w:rsidRPr="00565897" w:rsidRDefault="00D527CF" w:rsidP="00D527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39896</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Satyam Patel c. Saskatchewan Health Authority, Practitioner Staff Appeals Tribunal et Charles Lamb</w:t>
            </w:r>
          </w:p>
          <w:p w:rsidR="00D527CF" w:rsidRPr="00565897" w:rsidRDefault="00D527CF" w:rsidP="00D527CF">
            <w:pPr>
              <w:jc w:val="both"/>
              <w:rPr>
                <w:sz w:val="20"/>
              </w:rPr>
            </w:pPr>
            <w:r w:rsidRPr="00565897">
              <w:rPr>
                <w:sz w:val="20"/>
              </w:rPr>
              <w:t>(Sask.) (Civile) (Sur autorisation)</w:t>
            </w: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Droit administratif — Tribunaux — Contrôle judiciaire — Une cour de justice devrait</w:t>
            </w:r>
            <w:r w:rsidRPr="00565897">
              <w:rPr>
                <w:sz w:val="20"/>
                <w:lang w:val="fr-CA"/>
              </w:rPr>
              <w:noBreakHyphen/>
              <w:t xml:space="preserve">elle, dans le cadre de son rôle de supervision, examiner indépendamment les questions de savoir si l’enjeu du litige est théorique, du délai déraisonnable, de l’indépendance judiciaire et des dépens punitifs contre des parties qui ont eu gain de cause dans des circonstances où le recours à un tribunal administratif n’est pas une solution de rechange adéquate? </w:t>
            </w:r>
          </w:p>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lang w:val="fr-CA"/>
              </w:rPr>
              <w:t>Le demandeur, D</w:t>
            </w:r>
            <w:r w:rsidRPr="00565897">
              <w:rPr>
                <w:sz w:val="20"/>
                <w:vertAlign w:val="superscript"/>
                <w:lang w:val="fr-CA"/>
              </w:rPr>
              <w:t>r</w:t>
            </w:r>
            <w:r w:rsidRPr="00565897">
              <w:rPr>
                <w:sz w:val="20"/>
                <w:lang w:val="fr-CA"/>
              </w:rPr>
              <w:t xml:space="preserve"> Patel, un chirurgien orthopédiste et l’intimée, la Saskatchewan Health Authority (« SHA »), sont partis à des procédures devant l’intimé, le Practitioners Staff Appeals Tribunal (« PSAT ») qui ont trait à la suspension des privilèges hospitaliers du D</w:t>
            </w:r>
            <w:r w:rsidRPr="00565897">
              <w:rPr>
                <w:sz w:val="20"/>
                <w:vertAlign w:val="superscript"/>
                <w:lang w:val="fr-CA"/>
              </w:rPr>
              <w:t>r</w:t>
            </w:r>
            <w:r w:rsidRPr="00565897">
              <w:rPr>
                <w:sz w:val="20"/>
                <w:lang w:val="fr-CA"/>
              </w:rPr>
              <w:t> Patel. Cinq appels ont été entendus conjointement et ont donné lieu à une seule décision. Deux des appels ont été rejetés, un d’entre eux a été accueilli en partie et les deux autres ont été annulés.</w:t>
            </w:r>
          </w:p>
        </w:tc>
      </w:tr>
      <w:tr w:rsidR="00D527CF" w:rsidRPr="00565897" w:rsidTr="00D527CF">
        <w:tc>
          <w:tcPr>
            <w:tcW w:w="5000" w:type="pct"/>
            <w:gridSpan w:val="4"/>
          </w:tcPr>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10 octobre 2019</w:t>
            </w:r>
          </w:p>
          <w:p w:rsidR="00D527CF" w:rsidRPr="00565897" w:rsidRDefault="00D527CF" w:rsidP="00D527CF">
            <w:pPr>
              <w:jc w:val="both"/>
              <w:rPr>
                <w:sz w:val="20"/>
                <w:lang w:val="fr-CA"/>
              </w:rPr>
            </w:pPr>
            <w:r w:rsidRPr="00565897">
              <w:rPr>
                <w:sz w:val="20"/>
                <w:lang w:val="fr-CA"/>
              </w:rPr>
              <w:t>Cour du banc de la Reine de la Saskatchewan</w:t>
            </w:r>
          </w:p>
          <w:p w:rsidR="00D527CF" w:rsidRPr="00565897" w:rsidRDefault="00D527CF" w:rsidP="00D527CF">
            <w:pPr>
              <w:jc w:val="both"/>
              <w:rPr>
                <w:sz w:val="20"/>
              </w:rPr>
            </w:pPr>
            <w:r w:rsidRPr="00565897">
              <w:rPr>
                <w:sz w:val="20"/>
              </w:rPr>
              <w:t>(Juge Scherman)</w:t>
            </w:r>
          </w:p>
          <w:p w:rsidR="00D527CF" w:rsidRPr="00565897" w:rsidRDefault="00D527CF" w:rsidP="00D527CF">
            <w:pPr>
              <w:jc w:val="both"/>
              <w:rPr>
                <w:sz w:val="20"/>
              </w:rPr>
            </w:pPr>
            <w:r w:rsidRPr="00565897">
              <w:rPr>
                <w:sz w:val="20"/>
              </w:rPr>
              <w:t>QBG 953/2019</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Avis d’appel du demandeur annulé</w:t>
            </w:r>
          </w:p>
        </w:tc>
      </w:tr>
      <w:tr w:rsidR="00D527CF" w:rsidRPr="00565897" w:rsidTr="00D527CF">
        <w:trPr>
          <w:trHeight w:val="1233"/>
        </w:trPr>
        <w:tc>
          <w:tcPr>
            <w:tcW w:w="2427" w:type="pct"/>
            <w:gridSpan w:val="2"/>
          </w:tcPr>
          <w:p w:rsidR="00D527CF" w:rsidRPr="00565897" w:rsidRDefault="00D527CF" w:rsidP="00D527CF">
            <w:pPr>
              <w:jc w:val="both"/>
              <w:rPr>
                <w:sz w:val="20"/>
                <w:lang w:val="fr-CA"/>
              </w:rPr>
            </w:pPr>
            <w:r w:rsidRPr="00565897">
              <w:rPr>
                <w:sz w:val="20"/>
                <w:lang w:val="fr-CA"/>
              </w:rPr>
              <w:t>7 novembre 2019</w:t>
            </w:r>
          </w:p>
          <w:p w:rsidR="00D527CF" w:rsidRPr="00565897" w:rsidRDefault="00D527CF" w:rsidP="00D527CF">
            <w:pPr>
              <w:jc w:val="both"/>
              <w:rPr>
                <w:sz w:val="20"/>
                <w:lang w:val="fr-CA"/>
              </w:rPr>
            </w:pPr>
            <w:r w:rsidRPr="00565897">
              <w:rPr>
                <w:sz w:val="20"/>
                <w:lang w:val="fr-CA"/>
              </w:rPr>
              <w:t xml:space="preserve">Cour du banc de la Reine de la Saskatchewan </w:t>
            </w:r>
          </w:p>
          <w:p w:rsidR="00D527CF" w:rsidRPr="00565897" w:rsidRDefault="00D527CF" w:rsidP="00D527CF">
            <w:pPr>
              <w:jc w:val="both"/>
              <w:rPr>
                <w:sz w:val="20"/>
                <w:lang w:val="fr-CA"/>
              </w:rPr>
            </w:pPr>
            <w:r w:rsidRPr="00565897">
              <w:rPr>
                <w:sz w:val="20"/>
                <w:lang w:val="fr-CA"/>
              </w:rPr>
              <w:t>(Juge Scherman)</w:t>
            </w:r>
          </w:p>
          <w:p w:rsidR="00D527CF" w:rsidRPr="00565897" w:rsidRDefault="00D527CF" w:rsidP="00D527CF">
            <w:pPr>
              <w:jc w:val="both"/>
              <w:rPr>
                <w:sz w:val="20"/>
                <w:lang w:val="fr-CA"/>
              </w:rPr>
            </w:pPr>
            <w:hyperlink r:id="rId30" w:history="1">
              <w:r w:rsidRPr="00565897">
                <w:rPr>
                  <w:rStyle w:val="Hyperlink"/>
                  <w:sz w:val="20"/>
                  <w:lang w:val="fr-CA"/>
                </w:rPr>
                <w:t>2019 SKQB 291</w:t>
              </w:r>
            </w:hyperlink>
          </w:p>
          <w:p w:rsidR="00D527CF" w:rsidRPr="00565897" w:rsidRDefault="00D527CF" w:rsidP="00D527CF">
            <w:pPr>
              <w:jc w:val="both"/>
              <w:rPr>
                <w:sz w:val="20"/>
                <w:lang w:val="fr-CA"/>
              </w:rPr>
            </w:pP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lang w:val="fr-CA"/>
              </w:rPr>
            </w:pPr>
            <w:r w:rsidRPr="00565897">
              <w:rPr>
                <w:sz w:val="20"/>
                <w:lang w:val="fr-CA"/>
              </w:rPr>
              <w:t xml:space="preserve">Demande du demandeur en contrôle judiciaire rejetée </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22 juillet 2020</w:t>
            </w:r>
          </w:p>
          <w:p w:rsidR="00D527CF" w:rsidRPr="00565897" w:rsidRDefault="00D527CF" w:rsidP="00D527CF">
            <w:pPr>
              <w:jc w:val="both"/>
              <w:rPr>
                <w:sz w:val="20"/>
                <w:lang w:val="fr-CA"/>
              </w:rPr>
            </w:pPr>
            <w:r w:rsidRPr="00565897">
              <w:rPr>
                <w:sz w:val="20"/>
                <w:lang w:val="fr-CA"/>
              </w:rPr>
              <w:t xml:space="preserve">Cour du banc de la Reine de la Saskatchewan </w:t>
            </w:r>
          </w:p>
          <w:p w:rsidR="00D527CF" w:rsidRPr="00565897" w:rsidRDefault="00D527CF" w:rsidP="00D527CF">
            <w:pPr>
              <w:jc w:val="both"/>
              <w:rPr>
                <w:sz w:val="20"/>
              </w:rPr>
            </w:pPr>
            <w:r w:rsidRPr="00565897">
              <w:rPr>
                <w:sz w:val="20"/>
              </w:rPr>
              <w:t>(Juge Scherman)</w:t>
            </w:r>
          </w:p>
          <w:p w:rsidR="00D527CF" w:rsidRPr="00565897" w:rsidRDefault="00D527CF" w:rsidP="00D527CF">
            <w:pPr>
              <w:jc w:val="both"/>
              <w:rPr>
                <w:sz w:val="20"/>
              </w:rPr>
            </w:pPr>
            <w:hyperlink r:id="rId31" w:history="1">
              <w:r w:rsidRPr="00565897">
                <w:rPr>
                  <w:rStyle w:val="Hyperlink"/>
                  <w:sz w:val="20"/>
                </w:rPr>
                <w:t>2020 SKQB 194</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Demande de demandeur en vue de la récusation du juge Scherman accueillie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19 novembre 2020</w:t>
            </w:r>
          </w:p>
          <w:p w:rsidR="00D527CF" w:rsidRPr="00565897" w:rsidRDefault="00D527CF" w:rsidP="00D527CF">
            <w:pPr>
              <w:jc w:val="both"/>
              <w:rPr>
                <w:sz w:val="20"/>
                <w:lang w:val="fr-CA"/>
              </w:rPr>
            </w:pPr>
            <w:r w:rsidRPr="00565897">
              <w:rPr>
                <w:sz w:val="20"/>
                <w:lang w:val="fr-CA"/>
              </w:rPr>
              <w:t xml:space="preserve">Cour du banc de la Reine de la Saskatchewan </w:t>
            </w:r>
          </w:p>
          <w:p w:rsidR="00D527CF" w:rsidRPr="00565897" w:rsidRDefault="00D527CF" w:rsidP="00D527CF">
            <w:pPr>
              <w:jc w:val="both"/>
              <w:rPr>
                <w:sz w:val="20"/>
              </w:rPr>
            </w:pPr>
            <w:r w:rsidRPr="00565897">
              <w:rPr>
                <w:sz w:val="20"/>
              </w:rPr>
              <w:t>(Juge McCreary)</w:t>
            </w:r>
          </w:p>
          <w:p w:rsidR="00D527CF" w:rsidRPr="00565897" w:rsidRDefault="00D527CF" w:rsidP="00D527CF">
            <w:pPr>
              <w:jc w:val="both"/>
              <w:rPr>
                <w:sz w:val="20"/>
              </w:rPr>
            </w:pPr>
            <w:r w:rsidRPr="00565897">
              <w:rPr>
                <w:sz w:val="20"/>
              </w:rPr>
              <w:t>QBG 1793/2020</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Demande de la Saskatchewan Health Authority pour être ajoutée comme intimée accueillie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30 novembre 2020</w:t>
            </w:r>
          </w:p>
          <w:p w:rsidR="00D527CF" w:rsidRPr="00565897" w:rsidRDefault="00D527CF" w:rsidP="00D527CF">
            <w:pPr>
              <w:jc w:val="both"/>
              <w:rPr>
                <w:sz w:val="20"/>
                <w:lang w:val="fr-CA"/>
              </w:rPr>
            </w:pPr>
            <w:r w:rsidRPr="00565897">
              <w:rPr>
                <w:sz w:val="20"/>
                <w:lang w:val="fr-CA"/>
              </w:rPr>
              <w:t xml:space="preserve">Cour du banc de la Reine de la Saskatchewan </w:t>
            </w:r>
          </w:p>
          <w:p w:rsidR="00D527CF" w:rsidRPr="00565897" w:rsidRDefault="00D527CF" w:rsidP="00D527CF">
            <w:pPr>
              <w:jc w:val="both"/>
              <w:rPr>
                <w:sz w:val="20"/>
              </w:rPr>
            </w:pPr>
            <w:r w:rsidRPr="00565897">
              <w:rPr>
                <w:sz w:val="20"/>
              </w:rPr>
              <w:t>(Juge McCreary)</w:t>
            </w:r>
          </w:p>
          <w:p w:rsidR="00D527CF" w:rsidRPr="00565897" w:rsidRDefault="00D527CF" w:rsidP="00D527CF">
            <w:pPr>
              <w:jc w:val="both"/>
              <w:rPr>
                <w:sz w:val="20"/>
              </w:rPr>
            </w:pPr>
            <w:r w:rsidRPr="00565897">
              <w:rPr>
                <w:sz w:val="20"/>
              </w:rPr>
              <w:t>QBG1792/2020</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Demande du demandeur en exécution d’une assignation rejetée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31 août 2021</w:t>
            </w:r>
          </w:p>
          <w:p w:rsidR="00D527CF" w:rsidRPr="00565897" w:rsidRDefault="00D527CF" w:rsidP="00D527CF">
            <w:pPr>
              <w:jc w:val="both"/>
              <w:rPr>
                <w:sz w:val="20"/>
                <w:lang w:val="fr-CA"/>
              </w:rPr>
            </w:pPr>
            <w:r w:rsidRPr="00565897">
              <w:rPr>
                <w:sz w:val="20"/>
                <w:lang w:val="fr-CA"/>
              </w:rPr>
              <w:t>Cour d’appel de la Saskatchewan</w:t>
            </w:r>
          </w:p>
          <w:p w:rsidR="00D527CF" w:rsidRPr="00565897" w:rsidRDefault="00D527CF" w:rsidP="00D527CF">
            <w:pPr>
              <w:jc w:val="both"/>
              <w:rPr>
                <w:sz w:val="20"/>
              </w:rPr>
            </w:pPr>
            <w:r w:rsidRPr="00565897">
              <w:rPr>
                <w:sz w:val="20"/>
              </w:rPr>
              <w:t>(Juges Caldwell, Whitmore et Kalmakoff)</w:t>
            </w:r>
          </w:p>
          <w:p w:rsidR="00D527CF" w:rsidRPr="00565897" w:rsidRDefault="00D527CF" w:rsidP="00D527CF">
            <w:pPr>
              <w:jc w:val="both"/>
              <w:rPr>
                <w:sz w:val="20"/>
              </w:rPr>
            </w:pPr>
            <w:hyperlink r:id="rId32" w:history="1">
              <w:r w:rsidRPr="00565897">
                <w:rPr>
                  <w:rStyle w:val="Hyperlink"/>
                  <w:sz w:val="20"/>
                </w:rPr>
                <w:t>2021 SKCA 115</w:t>
              </w:r>
            </w:hyperlink>
            <w:r w:rsidRPr="00565897">
              <w:rPr>
                <w:sz w:val="20"/>
              </w:rPr>
              <w:t xml:space="preserve">; CACV3517; CACV3527; CACV3679; CACV3751; CACV3752 </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Appels dans les dossiers CACV3517 et CACV3527 rejetés; appel dans le dossier CACV3679 accueilli en partie; appels dans les dossiers CACV3751 et CACV3752 annulés</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29 octobre 2021</w:t>
            </w:r>
          </w:p>
          <w:p w:rsidR="00D527CF" w:rsidRPr="00565897" w:rsidRDefault="00D527CF" w:rsidP="00D527CF">
            <w:pPr>
              <w:jc w:val="both"/>
              <w:rPr>
                <w:sz w:val="20"/>
                <w:lang w:val="fr-CA"/>
              </w:rPr>
            </w:pPr>
            <w:r w:rsidRPr="00565897">
              <w:rPr>
                <w:sz w:val="20"/>
                <w:lang w:val="fr-CA"/>
              </w:rPr>
              <w:lastRenderedPageBreak/>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rPr>
            </w:pPr>
            <w:r w:rsidRPr="00565897">
              <w:rPr>
                <w:sz w:val="20"/>
              </w:rPr>
              <w:t>Demande d’autorisation d’appel déposée</w:t>
            </w:r>
          </w:p>
          <w:p w:rsidR="00D527CF" w:rsidRPr="00565897" w:rsidRDefault="00D527CF" w:rsidP="00D527CF">
            <w:pPr>
              <w:jc w:val="both"/>
              <w:rPr>
                <w:sz w:val="20"/>
              </w:rPr>
            </w:pPr>
          </w:p>
        </w:tc>
      </w:tr>
    </w:tbl>
    <w:p w:rsidR="00D527CF" w:rsidRPr="00565897" w:rsidRDefault="00D527CF" w:rsidP="00D527CF">
      <w:pPr>
        <w:jc w:val="both"/>
        <w:rPr>
          <w:sz w:val="20"/>
        </w:rPr>
      </w:pPr>
    </w:p>
    <w:p w:rsidR="00D527CF" w:rsidRPr="00565897" w:rsidRDefault="00D527CF" w:rsidP="00D527CF">
      <w:pPr>
        <w:jc w:val="both"/>
        <w:rPr>
          <w:sz w:val="20"/>
        </w:rPr>
      </w:pPr>
      <w:r w:rsidRPr="00565897">
        <w:rPr>
          <w:sz w:val="20"/>
        </w:rPr>
        <w:pict>
          <v:rect id="_x0000_i1037" style="width:2in;height:1pt" o:hrpct="0" o:hralign="center" o:hrstd="t" o:hrnoshade="t" o:hr="t" fillcolor="black [3213]" stroked="f"/>
        </w:pict>
      </w:r>
    </w:p>
    <w:p w:rsidR="00A4278F" w:rsidRPr="00565897" w:rsidRDefault="00A4278F" w:rsidP="00D527CF">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39870</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Weber Contract Services Inc. v. ISH Energy Ltd.</w:t>
            </w:r>
          </w:p>
          <w:p w:rsidR="00D527CF" w:rsidRPr="00565897" w:rsidRDefault="00D527CF" w:rsidP="00D527CF">
            <w:pPr>
              <w:jc w:val="both"/>
              <w:rPr>
                <w:sz w:val="20"/>
              </w:rPr>
            </w:pPr>
            <w:r w:rsidRPr="00565897">
              <w:rPr>
                <w:sz w:val="20"/>
              </w:rPr>
              <w:t>(Alta.) (Civil) (By Leave)</w:t>
            </w:r>
          </w:p>
        </w:tc>
      </w:tr>
      <w:tr w:rsidR="00D527CF" w:rsidRPr="00565897" w:rsidTr="00D527CF">
        <w:tc>
          <w:tcPr>
            <w:tcW w:w="5000" w:type="pct"/>
            <w:gridSpan w:val="4"/>
          </w:tcPr>
          <w:p w:rsidR="00D527CF" w:rsidRPr="00565897" w:rsidRDefault="00D527CF" w:rsidP="00D527CF">
            <w:pPr>
              <w:jc w:val="both"/>
              <w:rPr>
                <w:sz w:val="20"/>
              </w:rPr>
            </w:pPr>
            <w:r w:rsidRPr="00565897">
              <w:rPr>
                <w:sz w:val="20"/>
              </w:rPr>
              <w:t xml:space="preserve">Appeals — Standards of review — Torts — Contracts — Do standards of appellate review constitute sufficient grounds not to grant an appeal from a decision that </w:t>
            </w:r>
            <w:r w:rsidRPr="00565897">
              <w:rPr>
                <w:color w:val="000000" w:themeColor="text1"/>
                <w:sz w:val="20"/>
              </w:rPr>
              <w:t>changes legislated expectations of the oil and gas industry — Whether exoneration of owner for</w:t>
            </w:r>
            <w:r w:rsidRPr="00565897">
              <w:rPr>
                <w:sz w:val="20"/>
              </w:rPr>
              <w:t xml:space="preserve"> failure of pipeline infrastructure weighs in the balance — Where court can refuse to consider material issue if evidence has been adduced simply because parties do not address the issue — Standard of appellate review applicable to trial judge’s choice not to consider or address key element of the case?</w:t>
            </w:r>
          </w:p>
        </w:tc>
      </w:tr>
      <w:tr w:rsidR="00D527CF" w:rsidRPr="00565897" w:rsidTr="00D527CF">
        <w:tc>
          <w:tcPr>
            <w:tcW w:w="5000" w:type="pct"/>
            <w:gridSpan w:val="4"/>
          </w:tcPr>
          <w:p w:rsidR="00D527CF" w:rsidRPr="00565897" w:rsidRDefault="00D527CF" w:rsidP="00D527CF">
            <w:pPr>
              <w:jc w:val="both"/>
              <w:rPr>
                <w:sz w:val="20"/>
              </w:rPr>
            </w:pPr>
          </w:p>
          <w:p w:rsidR="00D527CF" w:rsidRPr="00565897" w:rsidRDefault="00D527CF" w:rsidP="00D527CF">
            <w:pPr>
              <w:widowControl w:val="0"/>
              <w:jc w:val="both"/>
              <w:rPr>
                <w:sz w:val="20"/>
              </w:rPr>
            </w:pPr>
            <w:r w:rsidRPr="00565897">
              <w:rPr>
                <w:sz w:val="20"/>
              </w:rPr>
              <w:t>ISH Energy Ltd. contracted Weber Contract Services Inc. to operate its crude oil field in British Columbia. The pipeline system leaked crude oil emulsion. ISH commenced an action against Weber in negligence and for breach of contract for the costs of cleaning up the spill and repairing the pipeline system. The trial judge awarded $24,372,897.87 in damages. A majority of the Court of Appeal dismissed an appeal.</w:t>
            </w:r>
          </w:p>
        </w:tc>
      </w:tr>
      <w:tr w:rsidR="00D527CF" w:rsidRPr="00565897" w:rsidTr="00D527CF">
        <w:tc>
          <w:tcPr>
            <w:tcW w:w="5000" w:type="pct"/>
            <w:gridSpan w:val="4"/>
          </w:tcPr>
          <w:p w:rsidR="00D527CF" w:rsidRPr="00565897" w:rsidRDefault="00D527CF" w:rsidP="00D527CF">
            <w:pPr>
              <w:widowControl w:val="0"/>
              <w:jc w:val="both"/>
              <w:rPr>
                <w:sz w:val="20"/>
                <w:lang w:val="en"/>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March 19, 2019</w:t>
            </w:r>
          </w:p>
          <w:p w:rsidR="00D527CF" w:rsidRPr="00565897" w:rsidRDefault="00D527CF" w:rsidP="00D527CF">
            <w:pPr>
              <w:jc w:val="both"/>
              <w:rPr>
                <w:sz w:val="20"/>
              </w:rPr>
            </w:pPr>
            <w:r w:rsidRPr="00565897">
              <w:rPr>
                <w:sz w:val="20"/>
              </w:rPr>
              <w:t>Court of Queen’s Bench of Alberta</w:t>
            </w:r>
          </w:p>
          <w:p w:rsidR="00D527CF" w:rsidRPr="00565897" w:rsidRDefault="00D527CF" w:rsidP="00D527CF">
            <w:pPr>
              <w:jc w:val="both"/>
              <w:rPr>
                <w:sz w:val="20"/>
              </w:rPr>
            </w:pPr>
            <w:r w:rsidRPr="00565897">
              <w:rPr>
                <w:sz w:val="20"/>
              </w:rPr>
              <w:t>(Marriott J.)</w:t>
            </w:r>
          </w:p>
          <w:p w:rsidR="00D527CF" w:rsidRPr="00565897" w:rsidRDefault="00D527CF" w:rsidP="00D527CF">
            <w:pPr>
              <w:jc w:val="both"/>
              <w:rPr>
                <w:sz w:val="20"/>
              </w:rPr>
            </w:pPr>
            <w:hyperlink r:id="rId33" w:history="1">
              <w:r w:rsidRPr="00565897">
                <w:rPr>
                  <w:rStyle w:val="Hyperlink"/>
                  <w:sz w:val="20"/>
                </w:rPr>
                <w:t>2019 ABQB 221</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 xml:space="preserve">$24,372,897.87 awarded for breach of contract and negligence </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August 6, 2021</w:t>
            </w:r>
          </w:p>
          <w:p w:rsidR="00D527CF" w:rsidRPr="00565897" w:rsidRDefault="00D527CF" w:rsidP="00D527CF">
            <w:pPr>
              <w:jc w:val="both"/>
              <w:rPr>
                <w:sz w:val="20"/>
              </w:rPr>
            </w:pPr>
            <w:r w:rsidRPr="00565897">
              <w:rPr>
                <w:sz w:val="20"/>
              </w:rPr>
              <w:t>Court of Appeal of Alberta (Edmonton)</w:t>
            </w:r>
          </w:p>
          <w:p w:rsidR="00D527CF" w:rsidRPr="00565897" w:rsidRDefault="00D527CF" w:rsidP="00D527CF">
            <w:pPr>
              <w:jc w:val="both"/>
              <w:rPr>
                <w:sz w:val="20"/>
              </w:rPr>
            </w:pPr>
            <w:r w:rsidRPr="00565897">
              <w:rPr>
                <w:sz w:val="20"/>
              </w:rPr>
              <w:t>(O’Ferrall [dissenting], Strekaf, Khullar JJ.A.)</w:t>
            </w:r>
          </w:p>
          <w:p w:rsidR="00D527CF" w:rsidRPr="00565897" w:rsidRDefault="00D527CF" w:rsidP="00D527CF">
            <w:pPr>
              <w:jc w:val="both"/>
              <w:rPr>
                <w:sz w:val="20"/>
                <w:lang w:val="en"/>
              </w:rPr>
            </w:pPr>
            <w:hyperlink r:id="rId34" w:history="1">
              <w:r w:rsidRPr="00565897">
                <w:rPr>
                  <w:rStyle w:val="Hyperlink"/>
                  <w:sz w:val="20"/>
                </w:rPr>
                <w:t>2021 ABCA 281</w:t>
              </w:r>
            </w:hyperlink>
            <w:r w:rsidRPr="00565897">
              <w:rPr>
                <w:sz w:val="20"/>
              </w:rPr>
              <w:t>;</w:t>
            </w:r>
            <w:r w:rsidRPr="00565897">
              <w:rPr>
                <w:sz w:val="20"/>
                <w:lang w:val="en"/>
              </w:rPr>
              <w:t xml:space="preserve"> 1901</w:t>
            </w:r>
            <w:r w:rsidRPr="00565897">
              <w:rPr>
                <w:sz w:val="20"/>
                <w:lang w:val="en"/>
              </w:rPr>
              <w:noBreakHyphen/>
              <w:t>0129</w:t>
            </w:r>
            <w:r w:rsidRPr="00565897">
              <w:rPr>
                <w:sz w:val="20"/>
                <w:lang w:val="en"/>
              </w:rPr>
              <w:noBreakHyphen/>
              <w:t>AC</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Appeal dismissed</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October 4, 2021</w:t>
            </w:r>
          </w:p>
          <w:p w:rsidR="00D527CF" w:rsidRPr="00565897" w:rsidRDefault="00D527CF" w:rsidP="00D527CF">
            <w:pPr>
              <w:jc w:val="both"/>
              <w:rPr>
                <w:sz w:val="20"/>
              </w:rPr>
            </w:pPr>
            <w:r w:rsidRPr="00565897">
              <w:rPr>
                <w:sz w:val="20"/>
              </w:rPr>
              <w:t>Supreme Court of Canada</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Application for leave to appeal filed</w:t>
            </w:r>
          </w:p>
          <w:p w:rsidR="00D527CF" w:rsidRPr="00565897" w:rsidRDefault="00D527CF" w:rsidP="00D527CF">
            <w:pPr>
              <w:jc w:val="both"/>
              <w:rPr>
                <w:sz w:val="20"/>
              </w:rPr>
            </w:pPr>
          </w:p>
        </w:tc>
      </w:tr>
    </w:tbl>
    <w:p w:rsidR="00D527CF" w:rsidRPr="00565897" w:rsidRDefault="00D527CF" w:rsidP="00D527CF">
      <w:pPr>
        <w:jc w:val="both"/>
        <w:rPr>
          <w:sz w:val="20"/>
        </w:rPr>
      </w:pPr>
    </w:p>
    <w:p w:rsidR="00565897" w:rsidRPr="00565897" w:rsidRDefault="00565897" w:rsidP="00D527CF">
      <w:pPr>
        <w:jc w:val="both"/>
        <w:rPr>
          <w:sz w:val="20"/>
        </w:rPr>
      </w:pPr>
      <w:r w:rsidRPr="00565897">
        <w:rPr>
          <w:sz w:val="20"/>
        </w:rPr>
        <w:pict>
          <v:rect id="_x0000_i1038" style="width:2in;height:1pt" o:hrpct="0" o:hralign="center" o:hrstd="t" o:hrnoshade="t" o:hr="t" fillcolor="black [3213]" stroked="f"/>
        </w:pict>
      </w:r>
    </w:p>
    <w:p w:rsidR="00565897" w:rsidRPr="00565897" w:rsidRDefault="00565897" w:rsidP="00D527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39870</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Weber Contract Services Inc. c. ISH Energy Ltd.</w:t>
            </w:r>
          </w:p>
          <w:p w:rsidR="00D527CF" w:rsidRPr="00565897" w:rsidRDefault="00D527CF" w:rsidP="00565897">
            <w:pPr>
              <w:jc w:val="both"/>
              <w:rPr>
                <w:sz w:val="20"/>
              </w:rPr>
            </w:pPr>
            <w:r w:rsidRPr="00565897">
              <w:rPr>
                <w:sz w:val="20"/>
              </w:rPr>
              <w:t>(Al</w:t>
            </w:r>
            <w:r w:rsidR="00565897" w:rsidRPr="00565897">
              <w:rPr>
                <w:sz w:val="20"/>
              </w:rPr>
              <w:t>b</w:t>
            </w:r>
            <w:r w:rsidRPr="00565897">
              <w:rPr>
                <w:sz w:val="20"/>
              </w:rPr>
              <w:t>.) (Civile) (Sur autorisation)</w:t>
            </w:r>
          </w:p>
        </w:tc>
      </w:tr>
      <w:tr w:rsidR="00D527CF" w:rsidRPr="00565897" w:rsidTr="00D527CF">
        <w:tc>
          <w:tcPr>
            <w:tcW w:w="5000" w:type="pct"/>
            <w:gridSpan w:val="4"/>
            <w:shd w:val="clear" w:color="auto" w:fill="auto"/>
          </w:tcPr>
          <w:p w:rsidR="00D527CF" w:rsidRPr="00565897" w:rsidRDefault="00D527CF" w:rsidP="00D527CF">
            <w:pPr>
              <w:jc w:val="both"/>
              <w:rPr>
                <w:sz w:val="20"/>
                <w:lang w:val="fr-CA"/>
              </w:rPr>
            </w:pPr>
            <w:r w:rsidRPr="00565897">
              <w:rPr>
                <w:sz w:val="20"/>
                <w:lang w:val="fr-CA"/>
              </w:rPr>
              <w:t>Appels — Norme de contrôle — Responsabilité délictuelle — Contrats — Les normes de contrôle en appel constituent</w:t>
            </w:r>
            <w:r w:rsidRPr="00565897">
              <w:rPr>
                <w:sz w:val="20"/>
                <w:lang w:val="fr-CA"/>
              </w:rPr>
              <w:noBreakHyphen/>
              <w:t>elles un motif suffisant pour ne pas faire droit à un appel d’une décision qui modifie les attentes prévues par la législation à l’endroit de l’industrie pétrolière et gazière? — L’exonération d’un propriétaire pour la défaillance d’un système d’oléoduc pèse</w:t>
            </w:r>
            <w:r w:rsidRPr="00565897">
              <w:rPr>
                <w:sz w:val="20"/>
                <w:lang w:val="fr-CA"/>
              </w:rPr>
              <w:noBreakHyphen/>
              <w:t>t</w:t>
            </w:r>
            <w:r w:rsidRPr="00565897">
              <w:rPr>
                <w:sz w:val="20"/>
                <w:lang w:val="fr-CA"/>
              </w:rPr>
              <w:noBreakHyphen/>
              <w:t>elle dans la balance? — Un tribunal peut</w:t>
            </w:r>
            <w:r w:rsidRPr="00565897">
              <w:rPr>
                <w:sz w:val="20"/>
                <w:lang w:val="fr-CA"/>
              </w:rPr>
              <w:noBreakHyphen/>
              <w:t xml:space="preserve">il </w:t>
            </w:r>
            <w:proofErr w:type="gramStart"/>
            <w:r w:rsidRPr="00565897">
              <w:rPr>
                <w:sz w:val="20"/>
                <w:lang w:val="fr-CA"/>
              </w:rPr>
              <w:t>refuser</w:t>
            </w:r>
            <w:proofErr w:type="gramEnd"/>
            <w:r w:rsidRPr="00565897">
              <w:rPr>
                <w:sz w:val="20"/>
                <w:lang w:val="fr-CA"/>
              </w:rPr>
              <w:t xml:space="preserve"> d’examiner une question importante si la preuve a été produite, uniquement parce que les parties ne traitent pas de la question? — Quelle est la norme de contrôle en appel applicable au choix d’un juge du procès de ne pas examiner un élément clé de la cause ou de ne pas en traiter?</w:t>
            </w:r>
          </w:p>
          <w:p w:rsidR="00D527CF" w:rsidRPr="00565897" w:rsidRDefault="00D527CF" w:rsidP="00D527CF">
            <w:pPr>
              <w:jc w:val="both"/>
              <w:rPr>
                <w:sz w:val="20"/>
                <w:lang w:val="fr-CA"/>
              </w:rPr>
            </w:pPr>
          </w:p>
          <w:p w:rsidR="00D527CF" w:rsidRPr="00565897" w:rsidRDefault="00D527CF" w:rsidP="00D527CF">
            <w:pPr>
              <w:jc w:val="both"/>
              <w:rPr>
                <w:sz w:val="20"/>
                <w:lang w:val="fr-CA"/>
              </w:rPr>
            </w:pPr>
            <w:r w:rsidRPr="00565897">
              <w:rPr>
                <w:sz w:val="20"/>
                <w:lang w:val="fr-CA"/>
              </w:rPr>
              <w:t>ISH Energy Ltd. a confié à Weber Contract Services Inc. l’exploitation de son champ de pétrole brut en Colombie</w:t>
            </w:r>
            <w:r w:rsidRPr="00565897">
              <w:rPr>
                <w:sz w:val="20"/>
                <w:lang w:val="fr-CA"/>
              </w:rPr>
              <w:noBreakHyphen/>
              <w:t>Britannique. Le système d’oléoducs a laissé échapper une émulsion de pétrole brut. ISH a intenté contre Weber un recours en négligence et pour violation de contrat et réclamé le remboursement des coûts de nettoyage de la fuite et de la réparation du système d’oléoduc. La juge du procès a accordé la somme de 24 372 897,87 $ en dommages</w:t>
            </w:r>
            <w:r w:rsidRPr="00565897">
              <w:rPr>
                <w:sz w:val="20"/>
                <w:lang w:val="fr-CA"/>
              </w:rPr>
              <w:noBreakHyphen/>
              <w:t xml:space="preserve">intérêts. Les juges majoritaires de la Cour d’appel ont rejeté l’appel. </w:t>
            </w:r>
          </w:p>
        </w:tc>
      </w:tr>
      <w:tr w:rsidR="00D527CF" w:rsidRPr="00565897" w:rsidTr="00D527CF">
        <w:tc>
          <w:tcPr>
            <w:tcW w:w="5000" w:type="pct"/>
            <w:gridSpan w:val="4"/>
          </w:tcPr>
          <w:p w:rsidR="00D527CF" w:rsidRPr="00565897" w:rsidRDefault="00D527CF" w:rsidP="00D527CF">
            <w:pPr>
              <w:widowControl w:val="0"/>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19 mars 2019</w:t>
            </w:r>
          </w:p>
          <w:p w:rsidR="00D527CF" w:rsidRPr="00565897" w:rsidRDefault="00D527CF" w:rsidP="00D527CF">
            <w:pPr>
              <w:jc w:val="both"/>
              <w:rPr>
                <w:sz w:val="20"/>
                <w:lang w:val="fr-CA"/>
              </w:rPr>
            </w:pPr>
            <w:r w:rsidRPr="00565897">
              <w:rPr>
                <w:sz w:val="20"/>
                <w:lang w:val="fr-CA"/>
              </w:rPr>
              <w:t>Cour du banc de la Reine de l’Alberta</w:t>
            </w:r>
          </w:p>
          <w:p w:rsidR="00D527CF" w:rsidRPr="00565897" w:rsidRDefault="00D527CF" w:rsidP="00D527CF">
            <w:pPr>
              <w:jc w:val="both"/>
              <w:rPr>
                <w:sz w:val="20"/>
              </w:rPr>
            </w:pPr>
            <w:r w:rsidRPr="00565897">
              <w:rPr>
                <w:sz w:val="20"/>
              </w:rPr>
              <w:t>(Juge Marriott)</w:t>
            </w:r>
          </w:p>
          <w:p w:rsidR="00D527CF" w:rsidRPr="00565897" w:rsidRDefault="00D527CF" w:rsidP="00D527CF">
            <w:pPr>
              <w:jc w:val="both"/>
              <w:rPr>
                <w:sz w:val="20"/>
              </w:rPr>
            </w:pPr>
            <w:hyperlink r:id="rId35" w:history="1">
              <w:r w:rsidRPr="00565897">
                <w:rPr>
                  <w:rStyle w:val="Hyperlink"/>
                  <w:sz w:val="20"/>
                </w:rPr>
                <w:t>2019 ABQB 221</w:t>
              </w:r>
            </w:hyperlink>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24 372 897,87 $ accordés pour violation de contrat et négligence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6 août 2021</w:t>
            </w:r>
          </w:p>
          <w:p w:rsidR="00D527CF" w:rsidRPr="00565897" w:rsidRDefault="00D527CF" w:rsidP="00D527CF">
            <w:pPr>
              <w:jc w:val="both"/>
              <w:rPr>
                <w:sz w:val="20"/>
                <w:lang w:val="fr-CA"/>
              </w:rPr>
            </w:pPr>
            <w:r w:rsidRPr="00565897">
              <w:rPr>
                <w:sz w:val="20"/>
                <w:lang w:val="fr-CA"/>
              </w:rPr>
              <w:lastRenderedPageBreak/>
              <w:t>Cour d’appel de l’Alberta (Edmonton)</w:t>
            </w:r>
          </w:p>
          <w:p w:rsidR="00D527CF" w:rsidRPr="00565897" w:rsidRDefault="00D527CF" w:rsidP="00D527CF">
            <w:pPr>
              <w:jc w:val="both"/>
              <w:rPr>
                <w:sz w:val="20"/>
              </w:rPr>
            </w:pPr>
            <w:r w:rsidRPr="00565897">
              <w:rPr>
                <w:sz w:val="20"/>
              </w:rPr>
              <w:t>(Juge O’Ferrall [dissident], Strekaf et Khullar)</w:t>
            </w:r>
          </w:p>
          <w:p w:rsidR="00D527CF" w:rsidRPr="00565897" w:rsidRDefault="00D527CF" w:rsidP="00D527CF">
            <w:pPr>
              <w:jc w:val="both"/>
              <w:rPr>
                <w:sz w:val="20"/>
                <w:lang w:val="en"/>
              </w:rPr>
            </w:pPr>
            <w:hyperlink r:id="rId36" w:history="1">
              <w:r w:rsidRPr="00565897">
                <w:rPr>
                  <w:rStyle w:val="Hyperlink"/>
                  <w:sz w:val="20"/>
                </w:rPr>
                <w:t>2021 ABCA 281</w:t>
              </w:r>
            </w:hyperlink>
            <w:r w:rsidRPr="00565897">
              <w:rPr>
                <w:sz w:val="20"/>
              </w:rPr>
              <w:t>;</w:t>
            </w:r>
            <w:r w:rsidRPr="00565897">
              <w:rPr>
                <w:sz w:val="20"/>
                <w:lang w:val="en"/>
              </w:rPr>
              <w:t xml:space="preserve"> 1901</w:t>
            </w:r>
            <w:r w:rsidRPr="00565897">
              <w:rPr>
                <w:sz w:val="20"/>
                <w:lang w:val="en"/>
              </w:rPr>
              <w:noBreakHyphen/>
              <w:t>0129</w:t>
            </w:r>
            <w:r w:rsidRPr="00565897">
              <w:rPr>
                <w:sz w:val="20"/>
                <w:lang w:val="en"/>
              </w:rPr>
              <w:noBreakHyphen/>
              <w:t>AC</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Appel rejeté</w:t>
            </w: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lastRenderedPageBreak/>
              <w:t>4 octobre 2021</w:t>
            </w:r>
          </w:p>
          <w:p w:rsidR="00D527CF" w:rsidRPr="00565897" w:rsidRDefault="00D527CF" w:rsidP="00D527CF">
            <w:pPr>
              <w:jc w:val="both"/>
              <w:rPr>
                <w:sz w:val="20"/>
                <w:lang w:val="fr-CA"/>
              </w:rPr>
            </w:pPr>
            <w:r w:rsidRPr="00565897">
              <w:rPr>
                <w:sz w:val="20"/>
                <w:lang w:val="fr-CA"/>
              </w:rPr>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rPr>
            </w:pPr>
            <w:r w:rsidRPr="00565897">
              <w:rPr>
                <w:sz w:val="20"/>
                <w:lang w:val="fr-CA"/>
              </w:rPr>
              <w:t>Demande d’autorisation d’appel déposée</w:t>
            </w:r>
          </w:p>
          <w:p w:rsidR="00D527CF" w:rsidRPr="00565897" w:rsidRDefault="00D527CF" w:rsidP="00D527CF">
            <w:pPr>
              <w:jc w:val="both"/>
              <w:rPr>
                <w:sz w:val="20"/>
              </w:rPr>
            </w:pPr>
          </w:p>
        </w:tc>
      </w:tr>
    </w:tbl>
    <w:p w:rsidR="00D527CF" w:rsidRPr="00565897" w:rsidRDefault="00D527CF" w:rsidP="00D527CF">
      <w:pPr>
        <w:jc w:val="both"/>
        <w:rPr>
          <w:sz w:val="20"/>
        </w:rPr>
      </w:pPr>
    </w:p>
    <w:p w:rsidR="00565897" w:rsidRPr="00565897" w:rsidRDefault="00565897" w:rsidP="00D527CF">
      <w:pPr>
        <w:jc w:val="both"/>
        <w:rPr>
          <w:sz w:val="20"/>
        </w:rPr>
      </w:pPr>
      <w:r w:rsidRPr="00565897">
        <w:rPr>
          <w:sz w:val="20"/>
        </w:rPr>
        <w:pict>
          <v:rect id="_x0000_i1039" style="width:2in;height:1pt" o:hrpct="0" o:hralign="center" o:hrstd="t" o:hrnoshade="t" o:hr="t" fillcolor="black [3213]" stroked="f"/>
        </w:pict>
      </w:r>
    </w:p>
    <w:p w:rsidR="00A4278F" w:rsidRPr="00565897" w:rsidRDefault="00A4278F" w:rsidP="00D527CF">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39881</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Joshua Akanni Yusuf, MEERC Inc., All Saints University School of Medicine Limited, Avonelle Pinard, David Bruney, Frankie Bellot v. Theresa Yogaranie Paulpillai in her capacity as the Estate Trustee for the Estate of Richmond Gabriel Paulpillai, Theresa Yogaranie Paulpillai, Maneharran Paulpillai</w:t>
            </w:r>
          </w:p>
          <w:p w:rsidR="00D527CF" w:rsidRPr="00565897" w:rsidRDefault="00D527CF" w:rsidP="00D527CF">
            <w:pPr>
              <w:jc w:val="both"/>
              <w:rPr>
                <w:sz w:val="20"/>
              </w:rPr>
            </w:pPr>
            <w:r w:rsidRPr="00565897">
              <w:rPr>
                <w:sz w:val="20"/>
              </w:rPr>
              <w:t>(Ont.) (Civil) (By Leave)</w:t>
            </w:r>
          </w:p>
        </w:tc>
      </w:tr>
      <w:tr w:rsidR="00D527CF" w:rsidRPr="00565897" w:rsidTr="00D527CF">
        <w:tc>
          <w:tcPr>
            <w:tcW w:w="5000" w:type="pct"/>
            <w:gridSpan w:val="4"/>
          </w:tcPr>
          <w:p w:rsidR="00D527CF" w:rsidRPr="00565897" w:rsidRDefault="00D527CF" w:rsidP="00D527CF">
            <w:pPr>
              <w:jc w:val="both"/>
              <w:rPr>
                <w:sz w:val="20"/>
              </w:rPr>
            </w:pPr>
            <w:r w:rsidRPr="00565897">
              <w:rPr>
                <w:sz w:val="20"/>
              </w:rPr>
              <w:t>Human rights — Discriminatory practices — Courts — Judges — Applicant alleging racial discrimination on the part of motion judge and reviewing courts in action against respondents —How are courts to address systemic and/or individualized anti</w:t>
            </w:r>
            <w:r w:rsidRPr="00565897">
              <w:rPr>
                <w:sz w:val="20"/>
              </w:rPr>
              <w:noBreakHyphen/>
              <w:t xml:space="preserve">Black racism against the judiciary in the face of a </w:t>
            </w:r>
            <w:r w:rsidRPr="00565897">
              <w:rPr>
                <w:i/>
                <w:sz w:val="20"/>
              </w:rPr>
              <w:t>prima facie</w:t>
            </w:r>
            <w:r w:rsidRPr="00565897">
              <w:rPr>
                <w:sz w:val="20"/>
              </w:rPr>
              <w:t xml:space="preserve"> allegation of reasonable apprehension of racial bias against a judge? — Does the refusal to grant leave by the Ontario Court of Appeal and the Divisional Court of Ontario constitute a perpetuation of an abuse of process and a miscarriage of justice which warrants the intervention of the Supreme Court of Canada?</w:t>
            </w:r>
          </w:p>
          <w:p w:rsidR="00D527CF" w:rsidRPr="00565897" w:rsidRDefault="00D527CF" w:rsidP="00D527CF">
            <w:pPr>
              <w:jc w:val="both"/>
              <w:rPr>
                <w:sz w:val="20"/>
              </w:rPr>
            </w:pPr>
          </w:p>
        </w:tc>
      </w:tr>
      <w:tr w:rsidR="00D527CF" w:rsidRPr="00565897" w:rsidTr="00D527CF">
        <w:tc>
          <w:tcPr>
            <w:tcW w:w="5000" w:type="pct"/>
            <w:gridSpan w:val="4"/>
          </w:tcPr>
          <w:p w:rsidR="00D527CF" w:rsidRPr="00565897" w:rsidRDefault="00D527CF" w:rsidP="00D527CF">
            <w:pPr>
              <w:jc w:val="both"/>
              <w:rPr>
                <w:sz w:val="20"/>
              </w:rPr>
            </w:pPr>
            <w:r w:rsidRPr="00565897">
              <w:rPr>
                <w:sz w:val="20"/>
              </w:rPr>
              <w:t>The applicant, Mr. Yusuf, and Mr. Paulpillai, through their Ontario holding company, owned two medical universities in the Caribbean. When Mr. Paulpillai died, he bequeathed his share in the business to his family. The parties became embroiled in a disagreement that led to the respondents seeking relief through the Ontario courts, including damages, an order for the appointment of a monitor and injunctive relief. The parties entered into settlement negotiations that resulted in a consent order. Shortly afterward, the respondents sought to set aside the consent order over the objections of the applicants. The motion judge granted an order in favour of the respondents. The applicants’ applications for leave to appeal to the Divisional Court and to the Ontario Court of Appeal were dismissed.</w:t>
            </w:r>
          </w:p>
        </w:tc>
      </w:tr>
      <w:tr w:rsidR="00D527CF" w:rsidRPr="00565897" w:rsidTr="00D527CF">
        <w:tc>
          <w:tcPr>
            <w:tcW w:w="5000" w:type="pct"/>
            <w:gridSpan w:val="4"/>
          </w:tcPr>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February 6, 2020</w:t>
            </w:r>
          </w:p>
          <w:p w:rsidR="00D527CF" w:rsidRPr="00565897" w:rsidRDefault="00D527CF" w:rsidP="00D527CF">
            <w:pPr>
              <w:jc w:val="both"/>
              <w:rPr>
                <w:sz w:val="20"/>
              </w:rPr>
            </w:pPr>
            <w:r w:rsidRPr="00565897">
              <w:rPr>
                <w:sz w:val="20"/>
              </w:rPr>
              <w:t xml:space="preserve">Ontario Court of Justice </w:t>
            </w:r>
          </w:p>
          <w:p w:rsidR="00D527CF" w:rsidRPr="00565897" w:rsidRDefault="00D527CF" w:rsidP="00D527CF">
            <w:pPr>
              <w:jc w:val="both"/>
              <w:rPr>
                <w:sz w:val="20"/>
              </w:rPr>
            </w:pPr>
            <w:r w:rsidRPr="00565897">
              <w:rPr>
                <w:sz w:val="20"/>
              </w:rPr>
              <w:t>(Fowler</w:t>
            </w:r>
            <w:r w:rsidRPr="00565897">
              <w:rPr>
                <w:sz w:val="20"/>
              </w:rPr>
              <w:noBreakHyphen/>
              <w:t>Byrne J.)</w:t>
            </w:r>
          </w:p>
          <w:p w:rsidR="00D527CF" w:rsidRPr="00565897" w:rsidRDefault="00D527CF" w:rsidP="00D527CF">
            <w:pPr>
              <w:jc w:val="both"/>
              <w:rPr>
                <w:sz w:val="20"/>
              </w:rPr>
            </w:pPr>
            <w:r w:rsidRPr="00565897">
              <w:rPr>
                <w:sz w:val="20"/>
              </w:rPr>
              <w:t>Unreported</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Interim order appointing monitor and injunctive relief for respondents</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January 29, 2021</w:t>
            </w:r>
          </w:p>
          <w:p w:rsidR="00D527CF" w:rsidRPr="00565897" w:rsidRDefault="00D527CF" w:rsidP="00D527CF">
            <w:pPr>
              <w:jc w:val="both"/>
              <w:rPr>
                <w:sz w:val="20"/>
              </w:rPr>
            </w:pPr>
            <w:r w:rsidRPr="00565897">
              <w:rPr>
                <w:sz w:val="20"/>
              </w:rPr>
              <w:t>Ontario Divisional Court of Justice</w:t>
            </w:r>
          </w:p>
          <w:p w:rsidR="00D527CF" w:rsidRPr="00565897" w:rsidRDefault="00D527CF" w:rsidP="00D527CF">
            <w:pPr>
              <w:jc w:val="both"/>
              <w:rPr>
                <w:sz w:val="20"/>
              </w:rPr>
            </w:pPr>
            <w:r w:rsidRPr="00565897">
              <w:rPr>
                <w:sz w:val="20"/>
              </w:rPr>
              <w:t>Unreported</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application for leave to appeal dismissed</w:t>
            </w:r>
          </w:p>
        </w:tc>
      </w:tr>
      <w:tr w:rsidR="00D527CF" w:rsidRPr="00565897" w:rsidTr="00D527CF">
        <w:tc>
          <w:tcPr>
            <w:tcW w:w="2427" w:type="pct"/>
            <w:gridSpan w:val="2"/>
          </w:tcPr>
          <w:p w:rsidR="00D527CF" w:rsidRPr="00565897" w:rsidRDefault="00D527CF" w:rsidP="00D527CF">
            <w:pPr>
              <w:jc w:val="both"/>
              <w:rPr>
                <w:sz w:val="20"/>
              </w:rPr>
            </w:pPr>
            <w:r w:rsidRPr="00565897">
              <w:rPr>
                <w:sz w:val="20"/>
              </w:rPr>
              <w:t>June 21, 2021</w:t>
            </w:r>
          </w:p>
          <w:p w:rsidR="00D527CF" w:rsidRPr="00565897" w:rsidRDefault="00D527CF" w:rsidP="00D527CF">
            <w:pPr>
              <w:jc w:val="both"/>
              <w:rPr>
                <w:sz w:val="20"/>
              </w:rPr>
            </w:pPr>
            <w:r w:rsidRPr="00565897">
              <w:rPr>
                <w:sz w:val="20"/>
              </w:rPr>
              <w:t>Court of Appeal for Ontario</w:t>
            </w:r>
          </w:p>
          <w:p w:rsidR="00D527CF" w:rsidRPr="00565897" w:rsidRDefault="00D527CF" w:rsidP="00D527CF">
            <w:pPr>
              <w:jc w:val="both"/>
              <w:rPr>
                <w:sz w:val="20"/>
              </w:rPr>
            </w:pPr>
            <w:r w:rsidRPr="00565897">
              <w:rPr>
                <w:sz w:val="20"/>
              </w:rPr>
              <w:t>(Doherty, Benotto and Thorburn JJ.A.)</w:t>
            </w:r>
          </w:p>
          <w:p w:rsidR="00D527CF" w:rsidRPr="00565897" w:rsidRDefault="00D527CF" w:rsidP="00D527CF">
            <w:pPr>
              <w:jc w:val="both"/>
              <w:rPr>
                <w:sz w:val="20"/>
              </w:rPr>
            </w:pPr>
            <w:r w:rsidRPr="00565897">
              <w:rPr>
                <w:sz w:val="20"/>
              </w:rPr>
              <w:t>Unreported</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Applicants’ application for leave to appeal dismissed</w:t>
            </w:r>
          </w:p>
          <w:p w:rsidR="00D527CF" w:rsidRPr="00565897" w:rsidRDefault="00D527CF" w:rsidP="00D527CF">
            <w:pPr>
              <w:jc w:val="both"/>
              <w:rPr>
                <w:sz w:val="20"/>
              </w:rPr>
            </w:pPr>
          </w:p>
          <w:p w:rsidR="00D527CF" w:rsidRPr="00565897" w:rsidRDefault="00D527CF" w:rsidP="00D527CF">
            <w:pPr>
              <w:jc w:val="both"/>
              <w:rPr>
                <w:sz w:val="20"/>
              </w:rPr>
            </w:pPr>
          </w:p>
        </w:tc>
      </w:tr>
      <w:tr w:rsidR="00D527CF" w:rsidRPr="00565897" w:rsidTr="00D527CF">
        <w:tc>
          <w:tcPr>
            <w:tcW w:w="2427" w:type="pct"/>
            <w:gridSpan w:val="2"/>
          </w:tcPr>
          <w:p w:rsidR="00D527CF" w:rsidRPr="00565897" w:rsidRDefault="00D527CF" w:rsidP="00D527CF">
            <w:pPr>
              <w:jc w:val="both"/>
              <w:rPr>
                <w:sz w:val="20"/>
              </w:rPr>
            </w:pPr>
            <w:r w:rsidRPr="00565897">
              <w:rPr>
                <w:sz w:val="20"/>
              </w:rPr>
              <w:t>September 21, 2021</w:t>
            </w:r>
          </w:p>
          <w:p w:rsidR="00D527CF" w:rsidRPr="00565897" w:rsidRDefault="00D527CF" w:rsidP="00D527CF">
            <w:pPr>
              <w:jc w:val="both"/>
              <w:rPr>
                <w:sz w:val="20"/>
              </w:rPr>
            </w:pPr>
            <w:r w:rsidRPr="00565897">
              <w:rPr>
                <w:sz w:val="20"/>
              </w:rPr>
              <w:t>Supreme Court of Canada</w:t>
            </w: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rPr>
            </w:pPr>
            <w:r w:rsidRPr="00565897">
              <w:rPr>
                <w:sz w:val="20"/>
              </w:rPr>
              <w:t>Application for leave to appeal filed</w:t>
            </w:r>
          </w:p>
          <w:p w:rsidR="00D527CF" w:rsidRPr="00565897" w:rsidRDefault="00D527CF" w:rsidP="00D527CF">
            <w:pPr>
              <w:jc w:val="both"/>
              <w:rPr>
                <w:sz w:val="20"/>
              </w:rPr>
            </w:pPr>
          </w:p>
        </w:tc>
      </w:tr>
    </w:tbl>
    <w:p w:rsidR="00D527CF" w:rsidRPr="00565897" w:rsidRDefault="00D527CF" w:rsidP="00D527CF">
      <w:pPr>
        <w:jc w:val="both"/>
        <w:rPr>
          <w:sz w:val="20"/>
        </w:rPr>
      </w:pPr>
    </w:p>
    <w:p w:rsidR="00565897" w:rsidRPr="00565897" w:rsidRDefault="00565897" w:rsidP="00D527CF">
      <w:pPr>
        <w:jc w:val="both"/>
        <w:rPr>
          <w:sz w:val="20"/>
        </w:rPr>
      </w:pPr>
      <w:r w:rsidRPr="00565897">
        <w:rPr>
          <w:sz w:val="20"/>
        </w:rPr>
        <w:pict>
          <v:rect id="_x0000_i1040" style="width:2in;height:1pt" o:hrpct="0" o:hralign="center" o:hrstd="t" o:hrnoshade="t" o:hr="t" fillcolor="black [3213]" stroked="f"/>
        </w:pict>
      </w:r>
    </w:p>
    <w:p w:rsidR="00565897" w:rsidRPr="00565897" w:rsidRDefault="00565897" w:rsidP="00D527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27CF" w:rsidRPr="00565897" w:rsidTr="00D527CF">
        <w:tc>
          <w:tcPr>
            <w:tcW w:w="543" w:type="pct"/>
          </w:tcPr>
          <w:p w:rsidR="00D527CF" w:rsidRPr="00565897" w:rsidRDefault="00D527CF" w:rsidP="00D527CF">
            <w:pPr>
              <w:jc w:val="both"/>
              <w:rPr>
                <w:sz w:val="20"/>
              </w:rPr>
            </w:pPr>
            <w:r w:rsidRPr="00565897">
              <w:rPr>
                <w:rStyle w:val="SCCFileNumberChar"/>
                <w:sz w:val="20"/>
                <w:szCs w:val="20"/>
              </w:rPr>
              <w:t>39881</w:t>
            </w:r>
          </w:p>
        </w:tc>
        <w:tc>
          <w:tcPr>
            <w:tcW w:w="4457" w:type="pct"/>
            <w:gridSpan w:val="3"/>
          </w:tcPr>
          <w:p w:rsidR="00D527CF" w:rsidRPr="00565897" w:rsidRDefault="00D527CF" w:rsidP="00D527CF">
            <w:pPr>
              <w:pStyle w:val="SCCLsocParty"/>
              <w:jc w:val="both"/>
              <w:rPr>
                <w:b/>
                <w:sz w:val="20"/>
                <w:szCs w:val="20"/>
                <w:lang w:val="en-US"/>
              </w:rPr>
            </w:pPr>
            <w:r w:rsidRPr="00565897">
              <w:rPr>
                <w:b/>
                <w:sz w:val="20"/>
                <w:szCs w:val="20"/>
                <w:lang w:val="en-US"/>
              </w:rPr>
              <w:t>Joshua Akanni Yusuf, MEERC Inc., All Saints University School of Medicine Limited, Avonelle Pinard, David Bruney, Frankie Bellot c. Theresa Yogaranie Paulpillai en sa capacité de fiduciaire de la succession de Richmond Gabriel Paulpillai, Theresa Yogaranie Paulpillai, Maneharran Paulpillai</w:t>
            </w:r>
          </w:p>
          <w:p w:rsidR="00D527CF" w:rsidRPr="00565897" w:rsidRDefault="00D527CF" w:rsidP="00D527CF">
            <w:pPr>
              <w:jc w:val="both"/>
              <w:rPr>
                <w:sz w:val="20"/>
              </w:rPr>
            </w:pPr>
            <w:r w:rsidRPr="00565897">
              <w:rPr>
                <w:sz w:val="20"/>
              </w:rPr>
              <w:t>(Ont.) (Civile) (Sur autorisation)</w:t>
            </w:r>
          </w:p>
        </w:tc>
      </w:tr>
      <w:tr w:rsidR="00D527CF" w:rsidRPr="00565897" w:rsidTr="00D527CF">
        <w:tc>
          <w:tcPr>
            <w:tcW w:w="5000" w:type="pct"/>
            <w:gridSpan w:val="4"/>
          </w:tcPr>
          <w:p w:rsidR="00D527CF" w:rsidRPr="00565897" w:rsidRDefault="00D527CF" w:rsidP="00D527CF">
            <w:pPr>
              <w:jc w:val="both"/>
              <w:rPr>
                <w:sz w:val="20"/>
                <w:lang w:val="fr-CA"/>
              </w:rPr>
            </w:pPr>
            <w:r w:rsidRPr="00565897">
              <w:rPr>
                <w:sz w:val="20"/>
                <w:lang w:val="fr-CA"/>
              </w:rPr>
              <w:t xml:space="preserve">Droits de la personne — Pratiques discriminatoires — Tribunaux — Juges — Allégation par le demandeur de discrimination raciale par la juge des motions et les cours de révision dans le cadre d’une action contre les intimés </w:t>
            </w:r>
            <w:r w:rsidRPr="00565897">
              <w:rPr>
                <w:sz w:val="20"/>
                <w:lang w:val="fr-CA"/>
              </w:rPr>
              <w:lastRenderedPageBreak/>
              <w:t>— Comment les tribunaux doivent</w:t>
            </w:r>
            <w:r w:rsidRPr="00565897">
              <w:rPr>
                <w:sz w:val="20"/>
                <w:lang w:val="fr-CA"/>
              </w:rPr>
              <w:noBreakHyphen/>
              <w:t>ils traiter une allégation de racisme anti</w:t>
            </w:r>
            <w:r w:rsidRPr="00565897">
              <w:rPr>
                <w:sz w:val="20"/>
                <w:lang w:val="fr-CA"/>
              </w:rPr>
              <w:noBreakHyphen/>
              <w:t xml:space="preserve">Noir systémique ou individualisé à l’encontre du pouvoir judiciaire dans le cas d’une allégation </w:t>
            </w:r>
            <w:r w:rsidRPr="00565897">
              <w:rPr>
                <w:i/>
                <w:sz w:val="20"/>
                <w:lang w:val="fr-CA"/>
              </w:rPr>
              <w:t>prima facie</w:t>
            </w:r>
            <w:r w:rsidRPr="00565897">
              <w:rPr>
                <w:sz w:val="20"/>
                <w:lang w:val="fr-CA"/>
              </w:rPr>
              <w:t xml:space="preserve"> de crainte raisonnable de partialité raciale formulée contre une juge? — Le rejet de la demande d’autorisation d’appel par la Cour d’appel de l’Ontario et la Cour divisionnaire de l’Ontario constitue</w:t>
            </w:r>
            <w:r w:rsidRPr="00565897">
              <w:rPr>
                <w:sz w:val="20"/>
                <w:lang w:val="fr-CA"/>
              </w:rPr>
              <w:noBreakHyphen/>
              <w:t>t</w:t>
            </w:r>
            <w:r w:rsidRPr="00565897">
              <w:rPr>
                <w:sz w:val="20"/>
                <w:lang w:val="fr-CA"/>
              </w:rPr>
              <w:noBreakHyphen/>
              <w:t xml:space="preserve">il une perpétuation d’un abus de procédure et une erreur judiciaire qui justifient l’intervention de la Cour suprême du Canada? </w:t>
            </w:r>
          </w:p>
          <w:p w:rsidR="00D527CF" w:rsidRPr="00565897" w:rsidRDefault="00D527CF" w:rsidP="00D527CF">
            <w:pPr>
              <w:jc w:val="both"/>
              <w:rPr>
                <w:sz w:val="20"/>
                <w:lang w:val="fr-CA"/>
              </w:rPr>
            </w:pPr>
          </w:p>
          <w:p w:rsidR="00D527CF" w:rsidRPr="00565897" w:rsidRDefault="00D527CF" w:rsidP="00565897">
            <w:pPr>
              <w:jc w:val="both"/>
              <w:rPr>
                <w:sz w:val="20"/>
                <w:lang w:val="fr-CA"/>
              </w:rPr>
            </w:pPr>
            <w:r w:rsidRPr="00565897">
              <w:rPr>
                <w:sz w:val="20"/>
                <w:lang w:val="fr-CA"/>
              </w:rPr>
              <w:t>Le demandeur, M. Yusuf, et M. Paulpillai, étaient propriétaires, par l’intermédiaire de leur société de portefeuille, de deux universités à vocation médicale dans les Caraïbes. Quand M. Paulpillai est décédé, il a légué sa part de l’entreprise à sa famille. Les parties ont eu un désaccord par suite duquel les intimés se sont adressés aux tribunaux de l’Ontario pour obtenir notamment des dommages</w:t>
            </w:r>
            <w:r w:rsidRPr="00565897">
              <w:rPr>
                <w:sz w:val="20"/>
                <w:lang w:val="fr-CA"/>
              </w:rPr>
              <w:noBreakHyphen/>
              <w:t>intérêts ainsi qu’une ordonnance prévoyant la nomination d’un superviseur et une injonction. Les parties ont entrepris des négociations qui ont donné lieu à une ordonnance sur consentement. Peu de temps après, les intimés ont demandé l’annulation de l’ordonnance sur consentement, ce à quoi les demandeurs se sont opposés. La juge des motions a prononcé une ordonnance favorable aux intimés. Les demandes des demandeurs en autorisation d’appel devant la Cour divisionnaire et la Cour d’appel de l’Ontario ont été rejetées.</w:t>
            </w:r>
          </w:p>
        </w:tc>
      </w:tr>
      <w:tr w:rsidR="00D527CF" w:rsidRPr="00565897" w:rsidTr="00D527CF">
        <w:tc>
          <w:tcPr>
            <w:tcW w:w="5000" w:type="pct"/>
            <w:gridSpan w:val="4"/>
          </w:tcPr>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6 février 2020</w:t>
            </w:r>
          </w:p>
          <w:p w:rsidR="00D527CF" w:rsidRPr="00565897" w:rsidRDefault="00D527CF" w:rsidP="00D527CF">
            <w:pPr>
              <w:jc w:val="both"/>
              <w:rPr>
                <w:sz w:val="20"/>
                <w:lang w:val="fr-CA"/>
              </w:rPr>
            </w:pPr>
            <w:r w:rsidRPr="00565897">
              <w:rPr>
                <w:sz w:val="20"/>
                <w:lang w:val="fr-CA"/>
              </w:rPr>
              <w:t xml:space="preserve">Cour de justice de l’Ontario </w:t>
            </w:r>
          </w:p>
          <w:p w:rsidR="00D527CF" w:rsidRPr="00565897" w:rsidRDefault="00D527CF" w:rsidP="00D527CF">
            <w:pPr>
              <w:jc w:val="both"/>
              <w:rPr>
                <w:sz w:val="20"/>
                <w:lang w:val="fr-CA"/>
              </w:rPr>
            </w:pPr>
            <w:r w:rsidRPr="00565897">
              <w:rPr>
                <w:sz w:val="20"/>
                <w:lang w:val="fr-CA"/>
              </w:rPr>
              <w:t>(Juge Fowler</w:t>
            </w:r>
            <w:r w:rsidRPr="00565897">
              <w:rPr>
                <w:sz w:val="20"/>
                <w:lang w:val="fr-CA"/>
              </w:rPr>
              <w:noBreakHyphen/>
              <w:t>Byrne)</w:t>
            </w:r>
          </w:p>
          <w:p w:rsidR="00D527CF" w:rsidRPr="00565897" w:rsidRDefault="00D527CF" w:rsidP="00D527CF">
            <w:pPr>
              <w:jc w:val="both"/>
              <w:rPr>
                <w:sz w:val="20"/>
                <w:lang w:val="fr-CA"/>
              </w:rPr>
            </w:pPr>
            <w:r w:rsidRPr="00565897">
              <w:rPr>
                <w:sz w:val="20"/>
                <w:lang w:val="fr-CA"/>
              </w:rPr>
              <w:t>Non publiée</w:t>
            </w:r>
          </w:p>
          <w:p w:rsidR="00D527CF" w:rsidRPr="00565897" w:rsidRDefault="00D527CF" w:rsidP="00D527CF">
            <w:pPr>
              <w:jc w:val="both"/>
              <w:rPr>
                <w:sz w:val="20"/>
                <w:lang w:val="fr-CA"/>
              </w:rPr>
            </w:pP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lang w:val="fr-CA"/>
              </w:rPr>
            </w:pPr>
            <w:r w:rsidRPr="00565897">
              <w:rPr>
                <w:sz w:val="20"/>
                <w:lang w:val="fr-CA"/>
              </w:rPr>
              <w:t xml:space="preserve">Ordonnance de nomination d’un superviseur et injonction intérimaires favorables aux intimés </w:t>
            </w:r>
            <w:proofErr w:type="gramStart"/>
            <w:r w:rsidRPr="00565897">
              <w:rPr>
                <w:sz w:val="20"/>
                <w:lang w:val="fr-CA"/>
              </w:rPr>
              <w:t>prononcées</w:t>
            </w:r>
            <w:proofErr w:type="gramEnd"/>
            <w:r w:rsidRPr="00565897">
              <w:rPr>
                <w:sz w:val="20"/>
                <w:lang w:val="fr-CA"/>
              </w:rPr>
              <w:t xml:space="preserv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29 janvier 2021</w:t>
            </w:r>
          </w:p>
          <w:p w:rsidR="00D527CF" w:rsidRPr="00565897" w:rsidRDefault="00D527CF" w:rsidP="00D527CF">
            <w:pPr>
              <w:jc w:val="both"/>
              <w:rPr>
                <w:sz w:val="20"/>
                <w:lang w:val="fr-CA"/>
              </w:rPr>
            </w:pPr>
            <w:r w:rsidRPr="00565897">
              <w:rPr>
                <w:sz w:val="20"/>
                <w:lang w:val="fr-CA"/>
              </w:rPr>
              <w:t xml:space="preserve">Cour divisionnaire de justice de l’Ontario </w:t>
            </w:r>
          </w:p>
          <w:p w:rsidR="00D527CF" w:rsidRPr="00565897" w:rsidRDefault="00D527CF" w:rsidP="00D527CF">
            <w:pPr>
              <w:jc w:val="both"/>
              <w:rPr>
                <w:sz w:val="20"/>
              </w:rPr>
            </w:pPr>
            <w:r w:rsidRPr="00565897">
              <w:rPr>
                <w:sz w:val="20"/>
              </w:rPr>
              <w:t>Non publiée</w:t>
            </w:r>
          </w:p>
          <w:p w:rsidR="00D527CF" w:rsidRPr="00565897" w:rsidRDefault="00D527CF" w:rsidP="00D527CF">
            <w:pPr>
              <w:jc w:val="both"/>
              <w:rPr>
                <w:sz w:val="20"/>
              </w:rPr>
            </w:pPr>
          </w:p>
        </w:tc>
        <w:tc>
          <w:tcPr>
            <w:tcW w:w="243" w:type="pct"/>
          </w:tcPr>
          <w:p w:rsidR="00D527CF" w:rsidRPr="00565897" w:rsidRDefault="00D527CF" w:rsidP="00D527CF">
            <w:pPr>
              <w:jc w:val="both"/>
              <w:rPr>
                <w:sz w:val="20"/>
              </w:rPr>
            </w:pPr>
          </w:p>
        </w:tc>
        <w:tc>
          <w:tcPr>
            <w:tcW w:w="2330" w:type="pct"/>
          </w:tcPr>
          <w:p w:rsidR="00D527CF" w:rsidRPr="00565897" w:rsidRDefault="00D527CF" w:rsidP="00D527CF">
            <w:pPr>
              <w:jc w:val="both"/>
              <w:rPr>
                <w:sz w:val="20"/>
                <w:lang w:val="fr-CA"/>
              </w:rPr>
            </w:pPr>
            <w:r w:rsidRPr="00565897">
              <w:rPr>
                <w:sz w:val="20"/>
                <w:lang w:val="fr-CA"/>
              </w:rPr>
              <w:t xml:space="preserve">Demande d’autorisation d’appel des demandeurs rejetée </w:t>
            </w: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21 juin 2021</w:t>
            </w:r>
          </w:p>
          <w:p w:rsidR="00D527CF" w:rsidRPr="00565897" w:rsidRDefault="00D527CF" w:rsidP="00D527CF">
            <w:pPr>
              <w:jc w:val="both"/>
              <w:rPr>
                <w:sz w:val="20"/>
                <w:lang w:val="fr-CA"/>
              </w:rPr>
            </w:pPr>
            <w:r w:rsidRPr="00565897">
              <w:rPr>
                <w:sz w:val="20"/>
                <w:lang w:val="fr-CA"/>
              </w:rPr>
              <w:t>Cour d’appel de l’Ontario</w:t>
            </w:r>
          </w:p>
          <w:p w:rsidR="00D527CF" w:rsidRPr="00565897" w:rsidRDefault="00D527CF" w:rsidP="00D527CF">
            <w:pPr>
              <w:jc w:val="both"/>
              <w:rPr>
                <w:sz w:val="20"/>
                <w:lang w:val="fr-CA"/>
              </w:rPr>
            </w:pPr>
            <w:r w:rsidRPr="00565897">
              <w:rPr>
                <w:sz w:val="20"/>
                <w:lang w:val="fr-CA"/>
              </w:rPr>
              <w:t>(Juges Doherty, Benotto et Thorburn)</w:t>
            </w:r>
          </w:p>
          <w:p w:rsidR="00D527CF" w:rsidRPr="00565897" w:rsidRDefault="00D527CF" w:rsidP="00D527CF">
            <w:pPr>
              <w:jc w:val="both"/>
              <w:rPr>
                <w:sz w:val="20"/>
                <w:lang w:val="fr-CA"/>
              </w:rPr>
            </w:pPr>
            <w:r w:rsidRPr="00565897">
              <w:rPr>
                <w:sz w:val="20"/>
                <w:lang w:val="fr-CA"/>
              </w:rPr>
              <w:t>Non publiée</w:t>
            </w:r>
          </w:p>
          <w:p w:rsidR="00D527CF" w:rsidRPr="00565897" w:rsidRDefault="00D527CF" w:rsidP="00D527CF">
            <w:pPr>
              <w:jc w:val="both"/>
              <w:rPr>
                <w:sz w:val="20"/>
                <w:lang w:val="fr-CA"/>
              </w:rPr>
            </w:pP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lang w:val="fr-CA"/>
              </w:rPr>
            </w:pPr>
            <w:r w:rsidRPr="00565897">
              <w:rPr>
                <w:sz w:val="20"/>
                <w:lang w:val="fr-CA"/>
              </w:rPr>
              <w:t xml:space="preserve">Demande d’autorisation d’appel des demandeurs rejetée </w:t>
            </w:r>
          </w:p>
          <w:p w:rsidR="00D527CF" w:rsidRPr="00565897" w:rsidRDefault="00D527CF" w:rsidP="00D527CF">
            <w:pPr>
              <w:jc w:val="both"/>
              <w:rPr>
                <w:sz w:val="20"/>
                <w:lang w:val="fr-CA"/>
              </w:rPr>
            </w:pPr>
          </w:p>
        </w:tc>
      </w:tr>
      <w:tr w:rsidR="00D527CF" w:rsidRPr="00565897" w:rsidTr="00D527CF">
        <w:tc>
          <w:tcPr>
            <w:tcW w:w="2427" w:type="pct"/>
            <w:gridSpan w:val="2"/>
          </w:tcPr>
          <w:p w:rsidR="00D527CF" w:rsidRPr="00565897" w:rsidRDefault="00D527CF" w:rsidP="00D527CF">
            <w:pPr>
              <w:jc w:val="both"/>
              <w:rPr>
                <w:sz w:val="20"/>
                <w:lang w:val="fr-CA"/>
              </w:rPr>
            </w:pPr>
            <w:r w:rsidRPr="00565897">
              <w:rPr>
                <w:sz w:val="20"/>
                <w:lang w:val="fr-CA"/>
              </w:rPr>
              <w:t>21 septembre 2021</w:t>
            </w:r>
          </w:p>
          <w:p w:rsidR="00D527CF" w:rsidRPr="00565897" w:rsidRDefault="00D527CF" w:rsidP="00D527CF">
            <w:pPr>
              <w:jc w:val="both"/>
              <w:rPr>
                <w:sz w:val="20"/>
                <w:lang w:val="fr-CA"/>
              </w:rPr>
            </w:pPr>
            <w:r w:rsidRPr="00565897">
              <w:rPr>
                <w:sz w:val="20"/>
                <w:lang w:val="fr-CA"/>
              </w:rPr>
              <w:t>Cour suprême du Canada</w:t>
            </w:r>
          </w:p>
        </w:tc>
        <w:tc>
          <w:tcPr>
            <w:tcW w:w="243" w:type="pct"/>
          </w:tcPr>
          <w:p w:rsidR="00D527CF" w:rsidRPr="00565897" w:rsidRDefault="00D527CF" w:rsidP="00D527CF">
            <w:pPr>
              <w:jc w:val="both"/>
              <w:rPr>
                <w:sz w:val="20"/>
                <w:lang w:val="fr-CA"/>
              </w:rPr>
            </w:pPr>
          </w:p>
        </w:tc>
        <w:tc>
          <w:tcPr>
            <w:tcW w:w="2330" w:type="pct"/>
          </w:tcPr>
          <w:p w:rsidR="00D527CF" w:rsidRPr="00565897" w:rsidRDefault="00D527CF" w:rsidP="00D527CF">
            <w:pPr>
              <w:jc w:val="both"/>
              <w:rPr>
                <w:sz w:val="20"/>
              </w:rPr>
            </w:pPr>
            <w:r w:rsidRPr="00565897">
              <w:rPr>
                <w:sz w:val="20"/>
              </w:rPr>
              <w:t>Demande d’autorisation d’appel déposée</w:t>
            </w:r>
          </w:p>
          <w:p w:rsidR="00D527CF" w:rsidRPr="00565897" w:rsidRDefault="00D527CF" w:rsidP="00D527CF">
            <w:pPr>
              <w:jc w:val="both"/>
              <w:rPr>
                <w:sz w:val="20"/>
              </w:rPr>
            </w:pPr>
          </w:p>
        </w:tc>
      </w:tr>
    </w:tbl>
    <w:p w:rsidR="005A7B6B" w:rsidRPr="00565897" w:rsidRDefault="005A7B6B" w:rsidP="00350651">
      <w:pPr>
        <w:widowControl w:val="0"/>
        <w:jc w:val="both"/>
        <w:rPr>
          <w:sz w:val="20"/>
          <w:lang w:val="fr-CA"/>
        </w:rPr>
      </w:pPr>
    </w:p>
    <w:p w:rsidR="0028541A" w:rsidRPr="00565897" w:rsidRDefault="00D527CF" w:rsidP="00350651">
      <w:pPr>
        <w:widowControl w:val="0"/>
        <w:jc w:val="both"/>
        <w:rPr>
          <w:sz w:val="20"/>
        </w:rPr>
      </w:pPr>
      <w:r w:rsidRPr="00565897">
        <w:rPr>
          <w:sz w:val="20"/>
        </w:rPr>
        <w:pict>
          <v:rect id="_x0000_i1027" style="width:2in;height:1pt" o:hrpct="0" o:hralign="center" o:hrstd="t" o:hrnoshade="t" o:hr="t" fillcolor="black [3213]" stroked="f"/>
        </w:pict>
      </w:r>
    </w:p>
    <w:p w:rsidR="00FD3FA0" w:rsidRPr="00565897" w:rsidRDefault="00FD3FA0" w:rsidP="00350651">
      <w:pPr>
        <w:ind w:left="142" w:hanging="142"/>
        <w:jc w:val="both"/>
        <w:rPr>
          <w:sz w:val="20"/>
        </w:rPr>
      </w:pPr>
    </w:p>
    <w:p w:rsidR="008F2F11" w:rsidRPr="00565897" w:rsidRDefault="008F2F11" w:rsidP="00350651">
      <w:pPr>
        <w:ind w:left="142" w:hanging="142"/>
        <w:jc w:val="both"/>
        <w:rPr>
          <w:sz w:val="20"/>
        </w:rPr>
      </w:pPr>
    </w:p>
    <w:p w:rsidR="008F2F11" w:rsidRPr="00565897" w:rsidRDefault="008F2F11" w:rsidP="00350651">
      <w:pPr>
        <w:ind w:left="142" w:hanging="142"/>
        <w:jc w:val="both"/>
        <w:rPr>
          <w:sz w:val="20"/>
        </w:rPr>
      </w:pPr>
    </w:p>
    <w:p w:rsidR="00D3344A" w:rsidRPr="00565897" w:rsidRDefault="00D3344A" w:rsidP="00D3344A">
      <w:pPr>
        <w:widowControl w:val="0"/>
        <w:outlineLvl w:val="0"/>
      </w:pPr>
      <w:r w:rsidRPr="00565897">
        <w:t xml:space="preserve">Supreme Court of Canada / Cour suprême du </w:t>
      </w:r>
      <w:proofErr w:type="gramStart"/>
      <w:r w:rsidRPr="00565897">
        <w:t>Canad</w:t>
      </w:r>
      <w:r w:rsidR="00EE289F" w:rsidRPr="00565897">
        <w:t>a</w:t>
      </w:r>
      <w:r w:rsidRPr="00565897">
        <w:t xml:space="preserve"> :</w:t>
      </w:r>
      <w:proofErr w:type="gramEnd"/>
    </w:p>
    <w:p w:rsidR="00D3344A" w:rsidRPr="00565897" w:rsidRDefault="00D527CF" w:rsidP="00D3344A">
      <w:pPr>
        <w:widowControl w:val="0"/>
        <w:outlineLvl w:val="0"/>
        <w:rPr>
          <w:u w:val="single"/>
        </w:rPr>
      </w:pPr>
      <w:hyperlink r:id="rId37" w:history="1">
        <w:r w:rsidR="009B7391" w:rsidRPr="00565897">
          <w:rPr>
            <w:rStyle w:val="Hyperlink"/>
          </w:rPr>
          <w:t>comments-commentaires@scc-csc.ca</w:t>
        </w:r>
      </w:hyperlink>
    </w:p>
    <w:p w:rsidR="00D3344A" w:rsidRPr="00565897" w:rsidRDefault="0065588C" w:rsidP="00D3344A">
      <w:pPr>
        <w:widowControl w:val="0"/>
        <w:outlineLvl w:val="0"/>
      </w:pPr>
      <w:r w:rsidRPr="00565897">
        <w:t>613-</w:t>
      </w:r>
      <w:r w:rsidR="00D3344A" w:rsidRPr="00565897">
        <w:t>995-4330</w:t>
      </w:r>
    </w:p>
    <w:p w:rsidR="00497B5E" w:rsidRPr="00565897" w:rsidRDefault="00497B5E" w:rsidP="00497B5E">
      <w:pPr>
        <w:widowControl w:val="0"/>
        <w:rPr>
          <w:sz w:val="20"/>
        </w:rPr>
      </w:pPr>
    </w:p>
    <w:p w:rsidR="00F6251B" w:rsidRPr="006E558B" w:rsidRDefault="003F43E6" w:rsidP="00F6251B">
      <w:pPr>
        <w:pStyle w:val="Footer"/>
        <w:jc w:val="center"/>
      </w:pPr>
      <w:r w:rsidRPr="00565897">
        <w:t>- 30 -</w:t>
      </w:r>
    </w:p>
    <w:sectPr w:rsidR="00F6251B" w:rsidRPr="006E558B" w:rsidSect="00E62F93">
      <w:headerReference w:type="even" r:id="rId38"/>
      <w:headerReference w:type="default" r:id="rId39"/>
      <w:footerReference w:type="even" r:id="rId40"/>
      <w:footerReference w:type="default" r:id="rId41"/>
      <w:headerReference w:type="first" r:id="rId42"/>
      <w:footerReference w:type="first" r:id="rId4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CF" w:rsidRDefault="00D527CF" w:rsidP="0034178A">
      <w:r>
        <w:separator/>
      </w:r>
    </w:p>
  </w:endnote>
  <w:endnote w:type="continuationSeparator" w:id="0">
    <w:p w:rsidR="00D527CF" w:rsidRDefault="00D527C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F" w:rsidRDefault="00D52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F" w:rsidRPr="009F77F0" w:rsidRDefault="00D527C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F" w:rsidRDefault="00D5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CF" w:rsidRDefault="00D527CF" w:rsidP="0034178A">
      <w:r>
        <w:separator/>
      </w:r>
    </w:p>
  </w:footnote>
  <w:footnote w:type="continuationSeparator" w:id="0">
    <w:p w:rsidR="00D527CF" w:rsidRDefault="00D527C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F" w:rsidRDefault="00D52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F" w:rsidRDefault="00D52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F" w:rsidRDefault="00D52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2"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9"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5"/>
  </w:num>
  <w:num w:numId="4">
    <w:abstractNumId w:val="18"/>
  </w:num>
  <w:num w:numId="5">
    <w:abstractNumId w:val="31"/>
  </w:num>
  <w:num w:numId="6">
    <w:abstractNumId w:val="16"/>
  </w:num>
  <w:num w:numId="7">
    <w:abstractNumId w:val="14"/>
  </w:num>
  <w:num w:numId="8">
    <w:abstractNumId w:val="11"/>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0"/>
  </w:num>
  <w:num w:numId="13">
    <w:abstractNumId w:val="33"/>
  </w:num>
  <w:num w:numId="14">
    <w:abstractNumId w:val="29"/>
  </w:num>
  <w:num w:numId="15">
    <w:abstractNumId w:val="22"/>
  </w:num>
  <w:num w:numId="16">
    <w:abstractNumId w:val="36"/>
  </w:num>
  <w:num w:numId="17">
    <w:abstractNumId w:val="17"/>
  </w:num>
  <w:num w:numId="18">
    <w:abstractNumId w:val="25"/>
  </w:num>
  <w:num w:numId="19">
    <w:abstractNumId w:val="40"/>
  </w:num>
  <w:num w:numId="20">
    <w:abstractNumId w:val="19"/>
  </w:num>
  <w:num w:numId="21">
    <w:abstractNumId w:val="4"/>
  </w:num>
  <w:num w:numId="22">
    <w:abstractNumId w:val="3"/>
  </w:num>
  <w:num w:numId="23">
    <w:abstractNumId w:val="27"/>
  </w:num>
  <w:num w:numId="24">
    <w:abstractNumId w:val="26"/>
  </w:num>
  <w:num w:numId="25">
    <w:abstractNumId w:val="41"/>
  </w:num>
  <w:num w:numId="26">
    <w:abstractNumId w:val="13"/>
  </w:num>
  <w:num w:numId="27">
    <w:abstractNumId w:val="15"/>
  </w:num>
  <w:num w:numId="28">
    <w:abstractNumId w:val="30"/>
  </w:num>
  <w:num w:numId="29">
    <w:abstractNumId w:val="28"/>
  </w:num>
  <w:num w:numId="30">
    <w:abstractNumId w:val="7"/>
  </w:num>
  <w:num w:numId="31">
    <w:abstractNumId w:val="35"/>
  </w:num>
  <w:num w:numId="32">
    <w:abstractNumId w:val="21"/>
  </w:num>
  <w:num w:numId="33">
    <w:abstractNumId w:val="6"/>
  </w:num>
  <w:num w:numId="34">
    <w:abstractNumId w:val="1"/>
  </w:num>
  <w:num w:numId="35">
    <w:abstractNumId w:val="9"/>
  </w:num>
  <w:num w:numId="36">
    <w:abstractNumId w:val="10"/>
  </w:num>
  <w:num w:numId="37">
    <w:abstractNumId w:val="32"/>
  </w:num>
  <w:num w:numId="38">
    <w:abstractNumId w:val="34"/>
  </w:num>
  <w:num w:numId="39">
    <w:abstractNumId w:val="8"/>
  </w:num>
  <w:num w:numId="40">
    <w:abstractNumId w:val="12"/>
  </w:num>
  <w:num w:numId="41">
    <w:abstractNumId w:val="20"/>
  </w:num>
  <w:num w:numId="42">
    <w:abstractNumId w:val="38"/>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9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3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816" TargetMode="External"/><Relationship Id="rId13" Type="http://schemas.openxmlformats.org/officeDocument/2006/relationships/hyperlink" Target="https://www.scc-csc.ca/case-dossier/info/sum-som-eng.aspx?cas=39870" TargetMode="External"/><Relationship Id="rId18" Type="http://schemas.openxmlformats.org/officeDocument/2006/relationships/hyperlink" Target="https://www.canlii.org/fr/qc/qcca/doc/2021/2021qcca1101/2021qcca1101.html?resultIndex=4" TargetMode="External"/><Relationship Id="rId26" Type="http://schemas.openxmlformats.org/officeDocument/2006/relationships/hyperlink" Target="https://www.canlii.org/en/sk/skca/doc/2021/2021skca105/2021skca105.html?autocompleteStr=2021%20SKCA%20105&amp;autocompletePos=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anlii.org/en/on/onscdc/doc/2019/2019onsc5153/2019onsc5153.html?autocompleteStr=2019%20ONSC%205153&amp;autocompletePos=1" TargetMode="External"/><Relationship Id="rId34" Type="http://schemas.openxmlformats.org/officeDocument/2006/relationships/hyperlink" Target="https://www.canlii.org/en/ab/abca/doc/2021/2021abca281/2021abca281.html?resultIndex=1"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896" TargetMode="External"/><Relationship Id="rId17" Type="http://schemas.openxmlformats.org/officeDocument/2006/relationships/hyperlink" Target="https://www.canlii.org/fr/qc/qccs/doc/2020/2020qccs1579/2020qccs1579.html?resultIndex=14" TargetMode="External"/><Relationship Id="rId25" Type="http://schemas.openxmlformats.org/officeDocument/2006/relationships/hyperlink" Target="https://www.canlii.org/en/sk/skca/doc/2021/2021skca105/2021skca105.html?autocompleteStr=2021%20SKCA%20105&amp;autocompletePos=1" TargetMode="External"/><Relationship Id="rId33" Type="http://schemas.openxmlformats.org/officeDocument/2006/relationships/hyperlink" Target="https://www.canlii.org/en/ab/abqb/doc/2019/2019abqb221/2019abqb221.html?resultIndex=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lii.org/fr/qc/qcca/doc/2021/2021qcca248/2021qcca248.html?autocompleteStr=500-10-006402-174&amp;autocompletePos=1" TargetMode="External"/><Relationship Id="rId20" Type="http://schemas.openxmlformats.org/officeDocument/2006/relationships/hyperlink" Target="https://www.canlii.org/fr/qc/qcca/doc/2021/2021qcca1101/2021qcca1101.html?resultIndex=4" TargetMode="External"/><Relationship Id="rId29" Type="http://schemas.openxmlformats.org/officeDocument/2006/relationships/hyperlink" Target="https://www.canlii.org/en/sk/skca/doc/2021/2021skca115/2021skca115.html?autocompleteStr=2021%20SKCA%20115&amp;autocompletePos=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66" TargetMode="External"/><Relationship Id="rId24" Type="http://schemas.openxmlformats.org/officeDocument/2006/relationships/hyperlink" Target="file:///C:\Users\GORMANL\AppData\Roaming\Microsoft\Word\2021%20ONCA%20482" TargetMode="External"/><Relationship Id="rId32" Type="http://schemas.openxmlformats.org/officeDocument/2006/relationships/hyperlink" Target="https://www.canlii.org/en/sk/skca/doc/2021/2021skca115/2021skca115.html?autocompleteStr=2021%20SKCA%20115&amp;autocompletePos=1"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a/doc/2021/2021qcca248/2021qcca248.html?autocompleteStr=500-10-006402-174&amp;autocompletePos=1" TargetMode="External"/><Relationship Id="rId23" Type="http://schemas.openxmlformats.org/officeDocument/2006/relationships/hyperlink" Target="https://www.canlii.org/en/on/onscdc/doc/2019/2019onsc5153/2019onsc5153.html?autocompleteStr=2019%20ONSC%205153&amp;autocompletePos=1" TargetMode="External"/><Relationship Id="rId28" Type="http://schemas.openxmlformats.org/officeDocument/2006/relationships/hyperlink" Target="https://www.canlii.org/en/sk/skqb/doc/2020/2020skqb194/2020skqb194.html?resultIndex=1" TargetMode="External"/><Relationship Id="rId36" Type="http://schemas.openxmlformats.org/officeDocument/2006/relationships/hyperlink" Target="https://www.canlii.org/en/ab/abca/doc/2021/2021abca281/2021abca281.html?resultIndex=1" TargetMode="External"/><Relationship Id="rId10" Type="http://schemas.openxmlformats.org/officeDocument/2006/relationships/hyperlink" Target="https://www.scc-csc.ca/case-dossier/info/sum-som-eng.aspx?cas=39862" TargetMode="External"/><Relationship Id="rId19" Type="http://schemas.openxmlformats.org/officeDocument/2006/relationships/hyperlink" Target="https://www.canlii.org/fr/qc/qccs/doc/2020/2020qccs1579/2020qccs1579.html?resultIndex=14" TargetMode="External"/><Relationship Id="rId31" Type="http://schemas.openxmlformats.org/officeDocument/2006/relationships/hyperlink" Target="https://www.canlii.org/en/sk/skqb/doc/2020/2020skqb194/2020skqb194.html?resultIndex=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9878" TargetMode="External"/><Relationship Id="rId14" Type="http://schemas.openxmlformats.org/officeDocument/2006/relationships/hyperlink" Target="https://www.scc-csc.ca/case-dossier/info/sum-som-eng.aspx?cas=39881" TargetMode="External"/><Relationship Id="rId22" Type="http://schemas.openxmlformats.org/officeDocument/2006/relationships/hyperlink" Target="file:///C:\Users\GORMANL\AppData\Roaming\Microsoft\Word\2021%20ONCA%20482" TargetMode="External"/><Relationship Id="rId27" Type="http://schemas.openxmlformats.org/officeDocument/2006/relationships/hyperlink" Target="https://www.canlii.org/en/sk/skqb/doc/2019/2019skqb291/2019skqb291.html?resultIndex=1" TargetMode="External"/><Relationship Id="rId30" Type="http://schemas.openxmlformats.org/officeDocument/2006/relationships/hyperlink" Target="https://www.canlii.org/en/sk/skqb/doc/2019/2019skqb291/2019skqb291.html?resultIndex=1" TargetMode="External"/><Relationship Id="rId35" Type="http://schemas.openxmlformats.org/officeDocument/2006/relationships/hyperlink" Target="https://www.canlii.org/en/ab/abqb/doc/2019/2019abqb221/2019abqb221.html?resultIndex=1"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B798-15B7-4612-A382-E7C19ED6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5047</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2022-02-21T14:16:00Z</dcterms:modified>
</cp:coreProperties>
</file>