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440ACC" w:rsidRDefault="001C4415" w:rsidP="001C4415">
      <w:pPr>
        <w:pStyle w:val="Header"/>
        <w:jc w:val="center"/>
        <w:rPr>
          <w:b/>
          <w:sz w:val="32"/>
        </w:rPr>
      </w:pPr>
      <w:r w:rsidRPr="00440ACC">
        <w:rPr>
          <w:b/>
          <w:sz w:val="32"/>
        </w:rPr>
        <w:t>Supreme Court of Canada / Cour suprême du Canada</w:t>
      </w:r>
    </w:p>
    <w:p w:rsidR="001C4415" w:rsidRPr="00440ACC" w:rsidRDefault="001C4415" w:rsidP="001C4415">
      <w:pPr>
        <w:widowControl w:val="0"/>
        <w:rPr>
          <w:i/>
        </w:rPr>
      </w:pPr>
    </w:p>
    <w:p w:rsidR="001C4415" w:rsidRPr="00440ACC" w:rsidRDefault="001C4415" w:rsidP="001C4415">
      <w:pPr>
        <w:widowControl w:val="0"/>
        <w:rPr>
          <w:i/>
        </w:rPr>
      </w:pPr>
    </w:p>
    <w:p w:rsidR="001C4415" w:rsidRPr="00440ACC" w:rsidRDefault="001C4415" w:rsidP="001C4415">
      <w:pPr>
        <w:widowControl w:val="0"/>
        <w:rPr>
          <w:i/>
        </w:rPr>
      </w:pPr>
      <w:r w:rsidRPr="00440ACC">
        <w:rPr>
          <w:i/>
        </w:rPr>
        <w:t>(le français suit)</w:t>
      </w:r>
    </w:p>
    <w:p w:rsidR="001C4415" w:rsidRPr="00440ACC" w:rsidRDefault="001C4415" w:rsidP="001C4415">
      <w:pPr>
        <w:widowControl w:val="0"/>
      </w:pPr>
    </w:p>
    <w:p w:rsidR="001C4415" w:rsidRPr="00440ACC" w:rsidRDefault="000347C1" w:rsidP="00214729">
      <w:pPr>
        <w:widowControl w:val="0"/>
        <w:jc w:val="center"/>
        <w:rPr>
          <w:b/>
        </w:rPr>
      </w:pPr>
      <w:r w:rsidRPr="00440ACC">
        <w:fldChar w:fldCharType="begin"/>
      </w:r>
      <w:r w:rsidR="00FA7412" w:rsidRPr="00440ACC">
        <w:instrText xml:space="preserve"> SEQ CHAPTER \h \r 1</w:instrText>
      </w:r>
      <w:r w:rsidRPr="00440ACC">
        <w:fldChar w:fldCharType="end"/>
      </w:r>
      <w:r w:rsidR="006545ED" w:rsidRPr="00440ACC">
        <w:rPr>
          <w:b/>
        </w:rPr>
        <w:t>REASONS FOR J</w:t>
      </w:r>
      <w:r w:rsidR="00455BB9" w:rsidRPr="00440ACC">
        <w:rPr>
          <w:b/>
        </w:rPr>
        <w:t>UDGMENT</w:t>
      </w:r>
      <w:r w:rsidR="00FA7412" w:rsidRPr="00440ACC">
        <w:rPr>
          <w:b/>
        </w:rPr>
        <w:t xml:space="preserve"> TO BE RENDERED IN APPEA</w:t>
      </w:r>
      <w:r w:rsidR="00342E49" w:rsidRPr="00440ACC">
        <w:rPr>
          <w:b/>
        </w:rPr>
        <w:t>L</w:t>
      </w:r>
    </w:p>
    <w:p w:rsidR="005A7C1B" w:rsidRPr="00440ACC" w:rsidRDefault="005A7C1B" w:rsidP="005A7C1B">
      <w:pPr>
        <w:widowControl w:val="0"/>
      </w:pPr>
    </w:p>
    <w:p w:rsidR="00EC79B0" w:rsidRPr="00440ACC" w:rsidRDefault="00440ACC" w:rsidP="00EC79B0">
      <w:pPr>
        <w:widowControl w:val="0"/>
        <w:rPr>
          <w:b/>
        </w:rPr>
      </w:pPr>
      <w:r w:rsidRPr="00440ACC">
        <w:rPr>
          <w:b/>
        </w:rPr>
        <w:t>June</w:t>
      </w:r>
      <w:r w:rsidR="00C86395" w:rsidRPr="00440ACC">
        <w:rPr>
          <w:b/>
        </w:rPr>
        <w:t xml:space="preserve"> </w:t>
      </w:r>
      <w:r w:rsidRPr="00440ACC">
        <w:rPr>
          <w:b/>
        </w:rPr>
        <w:t>6</w:t>
      </w:r>
      <w:r w:rsidR="00EC79B0" w:rsidRPr="00440ACC">
        <w:rPr>
          <w:b/>
        </w:rPr>
        <w:t>, 20</w:t>
      </w:r>
      <w:r w:rsidR="00690520" w:rsidRPr="00440ACC">
        <w:rPr>
          <w:b/>
        </w:rPr>
        <w:t>2</w:t>
      </w:r>
      <w:r w:rsidR="00B1627A" w:rsidRPr="00440ACC">
        <w:rPr>
          <w:b/>
        </w:rPr>
        <w:t>2</w:t>
      </w:r>
    </w:p>
    <w:p w:rsidR="00EC79B0" w:rsidRPr="00440ACC" w:rsidRDefault="00EC79B0" w:rsidP="00EC79B0">
      <w:pPr>
        <w:widowControl w:val="0"/>
        <w:rPr>
          <w:b/>
        </w:rPr>
      </w:pPr>
      <w:r w:rsidRPr="00440ACC">
        <w:rPr>
          <w:b/>
        </w:rPr>
        <w:t>For immediate release</w:t>
      </w:r>
    </w:p>
    <w:p w:rsidR="00EC79B0" w:rsidRPr="00440ACC" w:rsidRDefault="00EC79B0" w:rsidP="00EC79B0">
      <w:pPr>
        <w:widowControl w:val="0"/>
      </w:pPr>
    </w:p>
    <w:p w:rsidR="00EC79B0" w:rsidRPr="00440ACC" w:rsidRDefault="00EC79B0" w:rsidP="00EC79B0">
      <w:pPr>
        <w:widowControl w:val="0"/>
        <w:rPr>
          <w:lang w:val="fr-CA"/>
        </w:rPr>
      </w:pPr>
      <w:r w:rsidRPr="00440ACC">
        <w:rPr>
          <w:b/>
        </w:rPr>
        <w:t>OTTAWA</w:t>
      </w:r>
      <w:r w:rsidRPr="00440ACC">
        <w:t xml:space="preserve"> –</w:t>
      </w:r>
      <w:r w:rsidR="00C73BB2" w:rsidRPr="00440ACC">
        <w:t xml:space="preserve"> On </w:t>
      </w:r>
      <w:r w:rsidR="00A13327" w:rsidRPr="00440ACC">
        <w:t>December</w:t>
      </w:r>
      <w:r w:rsidR="00C73BB2" w:rsidRPr="00440ACC">
        <w:t xml:space="preserve"> </w:t>
      </w:r>
      <w:r w:rsidR="00440ACC" w:rsidRPr="00440ACC">
        <w:t>7</w:t>
      </w:r>
      <w:r w:rsidR="00C73BB2" w:rsidRPr="00440ACC">
        <w:t>, 20</w:t>
      </w:r>
      <w:r w:rsidR="002674CC" w:rsidRPr="00440ACC">
        <w:t>2</w:t>
      </w:r>
      <w:r w:rsidR="00B1627A" w:rsidRPr="00440ACC">
        <w:t>1</w:t>
      </w:r>
      <w:r w:rsidR="00C73BB2" w:rsidRPr="00440ACC">
        <w:t xml:space="preserve">, the Supreme Court of Canada </w:t>
      </w:r>
      <w:r w:rsidR="00782B59" w:rsidRPr="00440ACC">
        <w:t>allowed</w:t>
      </w:r>
      <w:r w:rsidR="00C73BB2" w:rsidRPr="00440ACC">
        <w:t xml:space="preserve"> the appeal</w:t>
      </w:r>
      <w:r w:rsidR="00AE3866" w:rsidRPr="00440ACC">
        <w:t xml:space="preserve">, </w:t>
      </w:r>
      <w:r w:rsidR="00C73BB2" w:rsidRPr="00440ACC">
        <w:t>with reasons to follow in the following appeal. The reasons for judgment will be delivered at 9:45 a.m. E</w:t>
      </w:r>
      <w:r w:rsidR="00AE3866" w:rsidRPr="00440ACC">
        <w:t>D</w:t>
      </w:r>
      <w:r w:rsidR="00C73BB2" w:rsidRPr="00440ACC">
        <w:t xml:space="preserve">T on </w:t>
      </w:r>
      <w:r w:rsidR="009C7B0C" w:rsidRPr="00440ACC">
        <w:t>Friday</w:t>
      </w:r>
      <w:r w:rsidR="00C73BB2" w:rsidRPr="00440ACC">
        <w:t xml:space="preserve">, </w:t>
      </w:r>
      <w:r w:rsidR="002B4219" w:rsidRPr="00440ACC">
        <w:t>June</w:t>
      </w:r>
      <w:r w:rsidR="00C73BB2" w:rsidRPr="00440ACC">
        <w:t xml:space="preserve"> </w:t>
      </w:r>
      <w:r w:rsidR="00440ACC" w:rsidRPr="00440ACC">
        <w:t>10</w:t>
      </w:r>
      <w:r w:rsidR="00C73BB2" w:rsidRPr="00440ACC">
        <w:t>, 20</w:t>
      </w:r>
      <w:r w:rsidR="00690520" w:rsidRPr="00440ACC">
        <w:t>2</w:t>
      </w:r>
      <w:r w:rsidR="00B1627A" w:rsidRPr="00440ACC">
        <w:t>2</w:t>
      </w:r>
      <w:r w:rsidR="00C73BB2" w:rsidRPr="00440ACC">
        <w:t xml:space="preserve">. </w:t>
      </w:r>
      <w:r w:rsidR="00C73BB2" w:rsidRPr="00440ACC">
        <w:rPr>
          <w:lang w:val="fr-CA"/>
        </w:rPr>
        <w:t>T</w:t>
      </w:r>
      <w:r w:rsidR="00455BB9" w:rsidRPr="00440ACC">
        <w:rPr>
          <w:lang w:val="fr-CA"/>
        </w:rPr>
        <w:t>his</w:t>
      </w:r>
      <w:r w:rsidRPr="00440ACC">
        <w:rPr>
          <w:lang w:val="fr-CA"/>
        </w:rPr>
        <w:t xml:space="preserve"> list is subject to change.</w:t>
      </w:r>
    </w:p>
    <w:p w:rsidR="001C4415" w:rsidRPr="00440ACC" w:rsidRDefault="001C4415" w:rsidP="001C4415">
      <w:pPr>
        <w:widowControl w:val="0"/>
        <w:rPr>
          <w:lang w:val="fr-CA"/>
        </w:rPr>
      </w:pPr>
    </w:p>
    <w:p w:rsidR="00AB491A" w:rsidRPr="00440ACC" w:rsidRDefault="00AB491A" w:rsidP="001C4415">
      <w:pPr>
        <w:widowControl w:val="0"/>
        <w:rPr>
          <w:lang w:val="fr-CA"/>
        </w:rPr>
      </w:pPr>
    </w:p>
    <w:p w:rsidR="001335A1" w:rsidRPr="00440ACC" w:rsidRDefault="001335A1" w:rsidP="001335A1">
      <w:pPr>
        <w:widowControl w:val="0"/>
        <w:jc w:val="center"/>
        <w:rPr>
          <w:b/>
          <w:lang w:val="fr-CA"/>
        </w:rPr>
      </w:pPr>
      <w:r w:rsidRPr="00440ACC">
        <w:rPr>
          <w:b/>
          <w:lang w:val="fr-CA"/>
        </w:rPr>
        <w:t>PROCHAIN</w:t>
      </w:r>
      <w:r w:rsidR="006545ED" w:rsidRPr="00440ACC">
        <w:rPr>
          <w:b/>
          <w:lang w:val="fr-CA"/>
        </w:rPr>
        <w:t>S MOTIFS DE</w:t>
      </w:r>
      <w:r w:rsidRPr="00440ACC">
        <w:rPr>
          <w:b/>
          <w:lang w:val="fr-CA"/>
        </w:rPr>
        <w:t xml:space="preserve"> JUGEMENT</w:t>
      </w:r>
      <w:r w:rsidR="00455BB9" w:rsidRPr="00440ACC">
        <w:rPr>
          <w:b/>
          <w:lang w:val="fr-CA"/>
        </w:rPr>
        <w:t xml:space="preserve"> SUR APPEL</w:t>
      </w:r>
    </w:p>
    <w:p w:rsidR="001335A1" w:rsidRPr="00440ACC" w:rsidRDefault="001335A1" w:rsidP="001335A1">
      <w:pPr>
        <w:widowControl w:val="0"/>
        <w:rPr>
          <w:lang w:val="fr-CA"/>
        </w:rPr>
      </w:pPr>
    </w:p>
    <w:p w:rsidR="00EC79B0" w:rsidRPr="00440ACC" w:rsidRDefault="00EC79B0" w:rsidP="00EC79B0">
      <w:pPr>
        <w:widowControl w:val="0"/>
        <w:rPr>
          <w:b/>
          <w:lang w:val="fr-CA"/>
        </w:rPr>
      </w:pPr>
      <w:r w:rsidRPr="00440ACC">
        <w:rPr>
          <w:b/>
          <w:lang w:val="fr-CA"/>
        </w:rPr>
        <w:t xml:space="preserve">Le </w:t>
      </w:r>
      <w:r w:rsidR="00440ACC" w:rsidRPr="00440ACC">
        <w:rPr>
          <w:b/>
          <w:lang w:val="fr-CA"/>
        </w:rPr>
        <w:t>6</w:t>
      </w:r>
      <w:r w:rsidR="002674CC" w:rsidRPr="00440ACC">
        <w:rPr>
          <w:b/>
          <w:lang w:val="fr-CA"/>
        </w:rPr>
        <w:t xml:space="preserve"> </w:t>
      </w:r>
      <w:r w:rsidR="00440ACC" w:rsidRPr="00440ACC">
        <w:rPr>
          <w:b/>
          <w:lang w:val="fr-CA"/>
        </w:rPr>
        <w:t>juin</w:t>
      </w:r>
      <w:r w:rsidR="00B1627A" w:rsidRPr="00440ACC">
        <w:rPr>
          <w:b/>
          <w:lang w:val="fr-CA"/>
        </w:rPr>
        <w:t xml:space="preserve"> </w:t>
      </w:r>
      <w:r w:rsidR="0086609D" w:rsidRPr="00440ACC">
        <w:rPr>
          <w:b/>
          <w:lang w:val="fr-CA"/>
        </w:rPr>
        <w:t>20</w:t>
      </w:r>
      <w:r w:rsidR="00690520" w:rsidRPr="00440ACC">
        <w:rPr>
          <w:b/>
          <w:lang w:val="fr-CA"/>
        </w:rPr>
        <w:t>2</w:t>
      </w:r>
      <w:r w:rsidR="00B1627A" w:rsidRPr="00440ACC">
        <w:rPr>
          <w:b/>
          <w:lang w:val="fr-CA"/>
        </w:rPr>
        <w:t>2</w:t>
      </w:r>
    </w:p>
    <w:p w:rsidR="00EC79B0" w:rsidRPr="00440ACC" w:rsidRDefault="00EC79B0" w:rsidP="00EC79B0">
      <w:pPr>
        <w:widowControl w:val="0"/>
        <w:rPr>
          <w:b/>
          <w:lang w:val="fr-CA"/>
        </w:rPr>
      </w:pPr>
      <w:r w:rsidRPr="00440ACC">
        <w:rPr>
          <w:b/>
          <w:lang w:val="fr-CA"/>
        </w:rPr>
        <w:t>Pour diffusion immédiate</w:t>
      </w:r>
    </w:p>
    <w:p w:rsidR="00EC79B0" w:rsidRPr="00440ACC" w:rsidRDefault="00EC79B0" w:rsidP="00EC79B0">
      <w:pPr>
        <w:widowControl w:val="0"/>
        <w:rPr>
          <w:lang w:val="fr-CA"/>
        </w:rPr>
      </w:pPr>
    </w:p>
    <w:p w:rsidR="00EC79B0" w:rsidRPr="00440ACC" w:rsidRDefault="00EC79B0" w:rsidP="00EC79B0">
      <w:pPr>
        <w:widowControl w:val="0"/>
        <w:rPr>
          <w:lang w:val="fr-CA"/>
        </w:rPr>
      </w:pPr>
      <w:r w:rsidRPr="00440ACC">
        <w:rPr>
          <w:b/>
          <w:lang w:val="fr-CA"/>
        </w:rPr>
        <w:t>OTTAWA</w:t>
      </w:r>
      <w:r w:rsidR="00C73BB2" w:rsidRPr="00440ACC">
        <w:rPr>
          <w:lang w:val="fr-CA"/>
        </w:rPr>
        <w:t xml:space="preserve"> – Le </w:t>
      </w:r>
      <w:r w:rsidR="00440ACC" w:rsidRPr="00440ACC">
        <w:rPr>
          <w:lang w:val="fr-CA"/>
        </w:rPr>
        <w:t>7</w:t>
      </w:r>
      <w:r w:rsidR="00C73BB2" w:rsidRPr="00440ACC">
        <w:rPr>
          <w:lang w:val="fr-CA"/>
        </w:rPr>
        <w:t xml:space="preserve"> </w:t>
      </w:r>
      <w:r w:rsidR="00A13327" w:rsidRPr="00440ACC">
        <w:rPr>
          <w:lang w:val="fr-CA"/>
        </w:rPr>
        <w:t>déc</w:t>
      </w:r>
      <w:r w:rsidR="00B1627A" w:rsidRPr="00440ACC">
        <w:rPr>
          <w:lang w:val="fr-CA"/>
        </w:rPr>
        <w:t>embre</w:t>
      </w:r>
      <w:r w:rsidR="00C73BB2" w:rsidRPr="00440ACC">
        <w:rPr>
          <w:lang w:val="fr-CA"/>
        </w:rPr>
        <w:t xml:space="preserve"> 20</w:t>
      </w:r>
      <w:r w:rsidR="002674CC" w:rsidRPr="00440ACC">
        <w:rPr>
          <w:lang w:val="fr-CA"/>
        </w:rPr>
        <w:t>2</w:t>
      </w:r>
      <w:r w:rsidR="00B1627A" w:rsidRPr="00440ACC">
        <w:rPr>
          <w:lang w:val="fr-CA"/>
        </w:rPr>
        <w:t>1</w:t>
      </w:r>
      <w:r w:rsidR="00C73BB2" w:rsidRPr="00440ACC">
        <w:rPr>
          <w:lang w:val="fr-CA"/>
        </w:rPr>
        <w:t xml:space="preserve">, la Cour suprême du Canada a </w:t>
      </w:r>
      <w:r w:rsidR="00782B59" w:rsidRPr="00440ACC">
        <w:rPr>
          <w:lang w:val="fr-CA"/>
        </w:rPr>
        <w:t xml:space="preserve">accueilli </w:t>
      </w:r>
      <w:r w:rsidR="00C73BB2" w:rsidRPr="00440ACC">
        <w:rPr>
          <w:lang w:val="fr-CA"/>
        </w:rPr>
        <w:t>l</w:t>
      </w:r>
      <w:r w:rsidR="00A463BE" w:rsidRPr="00440ACC">
        <w:rPr>
          <w:lang w:val="fr-CA"/>
        </w:rPr>
        <w:t>’</w:t>
      </w:r>
      <w:r w:rsidR="00C73BB2" w:rsidRPr="00440ACC">
        <w:rPr>
          <w:lang w:val="fr-CA"/>
        </w:rPr>
        <w:t>appel</w:t>
      </w:r>
      <w:r w:rsidR="00AE3866" w:rsidRPr="00440ACC">
        <w:rPr>
          <w:lang w:val="fr-CA"/>
        </w:rPr>
        <w:t xml:space="preserve">, </w:t>
      </w:r>
      <w:r w:rsidR="00DB5074" w:rsidRPr="00440ACC">
        <w:rPr>
          <w:lang w:val="fr-CA"/>
        </w:rPr>
        <w:t>avec</w:t>
      </w:r>
      <w:r w:rsidR="00C73BB2" w:rsidRPr="00440ACC">
        <w:rPr>
          <w:lang w:val="fr-CA"/>
        </w:rPr>
        <w:t xml:space="preserve"> motifs à suivre </w:t>
      </w:r>
      <w:r w:rsidR="00C73BB2" w:rsidRPr="00440ACC">
        <w:rPr>
          <w:szCs w:val="24"/>
          <w:lang w:val="fr-CA"/>
        </w:rPr>
        <w:t>dans</w:t>
      </w:r>
      <w:r w:rsidR="001A02D9" w:rsidRPr="00440ACC">
        <w:rPr>
          <w:szCs w:val="24"/>
          <w:lang w:val="fr-CA"/>
        </w:rPr>
        <w:t xml:space="preserve"> l</w:t>
      </w:r>
      <w:r w:rsidR="00A463BE" w:rsidRPr="00440ACC">
        <w:rPr>
          <w:szCs w:val="24"/>
          <w:lang w:val="fr-CA"/>
        </w:rPr>
        <w:t>’</w:t>
      </w:r>
      <w:r w:rsidR="00C73BB2" w:rsidRPr="00440ACC">
        <w:rPr>
          <w:szCs w:val="24"/>
          <w:lang w:val="fr-CA"/>
        </w:rPr>
        <w:t>appel</w:t>
      </w:r>
      <w:r w:rsidR="00C73BB2" w:rsidRPr="00440ACC">
        <w:rPr>
          <w:lang w:val="fr-CA"/>
        </w:rPr>
        <w:t xml:space="preserve"> suivant. Ses motifs</w:t>
      </w:r>
      <w:r w:rsidR="006F57A6" w:rsidRPr="00440ACC">
        <w:rPr>
          <w:lang w:val="fr-CA"/>
        </w:rPr>
        <w:t xml:space="preserve"> de jugement seront déposés le </w:t>
      </w:r>
      <w:r w:rsidR="009C7B0C" w:rsidRPr="00440ACC">
        <w:rPr>
          <w:lang w:val="fr-CA"/>
        </w:rPr>
        <w:t>v</w:t>
      </w:r>
      <w:r w:rsidR="006F57A6" w:rsidRPr="00440ACC">
        <w:rPr>
          <w:lang w:val="fr-CA"/>
        </w:rPr>
        <w:t>e</w:t>
      </w:r>
      <w:r w:rsidR="009C7B0C" w:rsidRPr="00440ACC">
        <w:rPr>
          <w:lang w:val="fr-CA"/>
        </w:rPr>
        <w:t>ndre</w:t>
      </w:r>
      <w:r w:rsidR="006F57A6" w:rsidRPr="00440ACC">
        <w:rPr>
          <w:lang w:val="fr-CA"/>
        </w:rPr>
        <w:t>di</w:t>
      </w:r>
      <w:r w:rsidR="00C73BB2" w:rsidRPr="00440ACC">
        <w:rPr>
          <w:lang w:val="fr-CA"/>
        </w:rPr>
        <w:t xml:space="preserve"> </w:t>
      </w:r>
      <w:r w:rsidR="00440ACC" w:rsidRPr="00440ACC">
        <w:rPr>
          <w:lang w:val="fr-CA"/>
        </w:rPr>
        <w:t>10</w:t>
      </w:r>
      <w:r w:rsidR="00C73BB2" w:rsidRPr="00440ACC">
        <w:rPr>
          <w:lang w:val="fr-CA"/>
        </w:rPr>
        <w:t xml:space="preserve"> </w:t>
      </w:r>
      <w:r w:rsidR="002B4219" w:rsidRPr="00440ACC">
        <w:rPr>
          <w:lang w:val="fr-CA"/>
        </w:rPr>
        <w:t>juin</w:t>
      </w:r>
      <w:r w:rsidR="00C73BB2" w:rsidRPr="00440ACC">
        <w:rPr>
          <w:lang w:val="fr-CA"/>
        </w:rPr>
        <w:t xml:space="preserve"> 20</w:t>
      </w:r>
      <w:r w:rsidR="00690520" w:rsidRPr="00440ACC">
        <w:rPr>
          <w:lang w:val="fr-CA"/>
        </w:rPr>
        <w:t>2</w:t>
      </w:r>
      <w:r w:rsidR="00B1627A" w:rsidRPr="00440ACC">
        <w:rPr>
          <w:lang w:val="fr-CA"/>
        </w:rPr>
        <w:t>2</w:t>
      </w:r>
      <w:r w:rsidR="00C73BB2" w:rsidRPr="00440ACC">
        <w:rPr>
          <w:lang w:val="fr-CA"/>
        </w:rPr>
        <w:t>, à 9 h 45 H</w:t>
      </w:r>
      <w:r w:rsidR="00AE3866" w:rsidRPr="00440ACC">
        <w:rPr>
          <w:lang w:val="fr-CA"/>
        </w:rPr>
        <w:t>A</w:t>
      </w:r>
      <w:r w:rsidR="00C73BB2" w:rsidRPr="00440ACC">
        <w:rPr>
          <w:lang w:val="fr-CA"/>
        </w:rPr>
        <w:t xml:space="preserve">E. </w:t>
      </w:r>
      <w:r w:rsidRPr="00440ACC">
        <w:rPr>
          <w:lang w:val="fr-CA"/>
        </w:rPr>
        <w:t>Cette liste est sujette à modifications.</w:t>
      </w:r>
    </w:p>
    <w:p w:rsidR="001335A1" w:rsidRPr="00440ACC" w:rsidRDefault="001335A1" w:rsidP="001335A1">
      <w:pPr>
        <w:widowControl w:val="0"/>
        <w:rPr>
          <w:szCs w:val="24"/>
          <w:lang w:val="fr-CA"/>
        </w:rPr>
      </w:pPr>
    </w:p>
    <w:p w:rsidR="0043481E" w:rsidRPr="00440ACC" w:rsidRDefault="00440ACC" w:rsidP="001335A1">
      <w:pPr>
        <w:widowControl w:val="0"/>
        <w:rPr>
          <w:szCs w:val="24"/>
          <w:lang w:val="fr-CA"/>
        </w:rPr>
      </w:pPr>
      <w:r w:rsidRPr="00440ACC">
        <w:rPr>
          <w:sz w:val="20"/>
        </w:rPr>
        <w:pict>
          <v:rect id="_x0000_i1025" style="width:2in;height:1pt" o:hrpct="0" o:hralign="center" o:hrstd="t" o:hrnoshade="t" o:hr="t" fillcolor="black [3213]" stroked="f"/>
        </w:pict>
      </w:r>
    </w:p>
    <w:p w:rsidR="001335A1" w:rsidRPr="00440ACC" w:rsidRDefault="001335A1" w:rsidP="001335A1">
      <w:pPr>
        <w:widowControl w:val="0"/>
        <w:rPr>
          <w:szCs w:val="24"/>
          <w:lang w:val="fr-CA"/>
        </w:rPr>
      </w:pPr>
    </w:p>
    <w:p w:rsidR="002674CC" w:rsidRPr="00440ACC" w:rsidRDefault="00440ACC" w:rsidP="002674CC">
      <w:pPr>
        <w:widowControl w:val="0"/>
        <w:rPr>
          <w:szCs w:val="24"/>
        </w:rPr>
      </w:pPr>
      <w:r w:rsidRPr="00440ACC">
        <w:rPr>
          <w:i/>
          <w:iCs/>
          <w:szCs w:val="24"/>
        </w:rPr>
        <w:t>Her Majesty the Queen v. Kevin Eric Goforth</w:t>
      </w:r>
      <w:r w:rsidR="00B1627A" w:rsidRPr="00440ACC">
        <w:rPr>
          <w:i/>
          <w:iCs/>
          <w:szCs w:val="24"/>
        </w:rPr>
        <w:t xml:space="preserve"> </w:t>
      </w:r>
      <w:r w:rsidR="002B4219" w:rsidRPr="00440ACC">
        <w:rPr>
          <w:szCs w:val="24"/>
        </w:rPr>
        <w:t>(</w:t>
      </w:r>
      <w:r w:rsidRPr="00440ACC">
        <w:rPr>
          <w:szCs w:val="24"/>
        </w:rPr>
        <w:t>Sask</w:t>
      </w:r>
      <w:r w:rsidR="002B4219" w:rsidRPr="00440ACC">
        <w:rPr>
          <w:szCs w:val="24"/>
        </w:rPr>
        <w:t>.)</w:t>
      </w:r>
      <w:r w:rsidR="002674CC" w:rsidRPr="00440ACC">
        <w:rPr>
          <w:szCs w:val="24"/>
        </w:rPr>
        <w:t xml:space="preserve"> (</w:t>
      </w:r>
      <w:hyperlink r:id="rId7" w:history="1">
        <w:r w:rsidR="002674CC" w:rsidRPr="00440ACC">
          <w:rPr>
            <w:rStyle w:val="Hyperlink"/>
            <w:szCs w:val="24"/>
          </w:rPr>
          <w:t>3</w:t>
        </w:r>
        <w:r w:rsidR="00AE3866" w:rsidRPr="00440ACC">
          <w:rPr>
            <w:rStyle w:val="Hyperlink"/>
            <w:szCs w:val="24"/>
          </w:rPr>
          <w:t>9</w:t>
        </w:r>
        <w:r w:rsidR="00A13327" w:rsidRPr="00440ACC">
          <w:rPr>
            <w:rStyle w:val="Hyperlink"/>
            <w:szCs w:val="24"/>
          </w:rPr>
          <w:t>5</w:t>
        </w:r>
        <w:r w:rsidRPr="00440ACC">
          <w:rPr>
            <w:rStyle w:val="Hyperlink"/>
            <w:szCs w:val="24"/>
          </w:rPr>
          <w:t>6</w:t>
        </w:r>
        <w:r w:rsidR="002B4219" w:rsidRPr="00440ACC">
          <w:rPr>
            <w:rStyle w:val="Hyperlink"/>
            <w:szCs w:val="24"/>
          </w:rPr>
          <w:t>8</w:t>
        </w:r>
      </w:hyperlink>
      <w:r w:rsidR="002674CC" w:rsidRPr="00440ACC">
        <w:rPr>
          <w:szCs w:val="24"/>
        </w:rPr>
        <w:t>)</w:t>
      </w:r>
    </w:p>
    <w:p w:rsidR="002674CC" w:rsidRPr="00440ACC" w:rsidRDefault="002674CC" w:rsidP="00340C6D">
      <w:pPr>
        <w:jc w:val="both"/>
        <w:rPr>
          <w:sz w:val="20"/>
        </w:rPr>
      </w:pPr>
    </w:p>
    <w:p w:rsidR="00B1627A" w:rsidRPr="00440ACC" w:rsidRDefault="00B1627A" w:rsidP="00340C6D">
      <w:pPr>
        <w:jc w:val="both"/>
        <w:rPr>
          <w:sz w:val="20"/>
        </w:rPr>
      </w:pPr>
    </w:p>
    <w:p w:rsidR="00440ACC" w:rsidRPr="00440ACC" w:rsidRDefault="00440ACC" w:rsidP="00021096">
      <w:pPr>
        <w:widowControl w:val="0"/>
        <w:ind w:left="567" w:hanging="567"/>
        <w:jc w:val="both"/>
        <w:rPr>
          <w:b/>
          <w:i/>
          <w:sz w:val="20"/>
          <w:lang w:val="en-CA"/>
        </w:rPr>
      </w:pPr>
      <w:r w:rsidRPr="00440ACC">
        <w:rPr>
          <w:b/>
          <w:sz w:val="20"/>
          <w:lang w:val="en-CA"/>
        </w:rPr>
        <w:fldChar w:fldCharType="begin"/>
      </w:r>
      <w:r w:rsidRPr="00440ACC">
        <w:rPr>
          <w:b/>
          <w:sz w:val="20"/>
        </w:rPr>
        <w:instrText xml:space="preserve"> SEQ CHAPTER \h \r 1</w:instrText>
      </w:r>
      <w:r w:rsidRPr="00440ACC">
        <w:rPr>
          <w:b/>
          <w:sz w:val="20"/>
        </w:rPr>
        <w:fldChar w:fldCharType="end"/>
      </w:r>
      <w:r w:rsidRPr="00440ACC">
        <w:rPr>
          <w:b/>
          <w:sz w:val="20"/>
          <w:lang w:val="en-CA"/>
        </w:rPr>
        <w:t>39568</w:t>
      </w:r>
      <w:r w:rsidRPr="00440ACC">
        <w:rPr>
          <w:b/>
          <w:sz w:val="20"/>
          <w:lang w:val="en-CA"/>
        </w:rPr>
        <w:tab/>
      </w:r>
      <w:bookmarkStart w:id="0" w:name="3"/>
      <w:bookmarkEnd w:id="0"/>
      <w:r w:rsidRPr="00440ACC">
        <w:rPr>
          <w:b/>
          <w:sz w:val="20"/>
          <w:lang w:val="en-CA"/>
        </w:rPr>
        <w:tab/>
      </w:r>
      <w:r w:rsidRPr="00440ACC">
        <w:rPr>
          <w:b/>
          <w:i/>
          <w:sz w:val="20"/>
          <w:lang w:val="en-CA"/>
        </w:rPr>
        <w:t>Her Majesty the Queen v. Kevin Eric Goforth</w:t>
      </w:r>
    </w:p>
    <w:p w:rsidR="00440ACC" w:rsidRPr="00440ACC" w:rsidRDefault="00440ACC" w:rsidP="00440ACC">
      <w:pPr>
        <w:widowControl w:val="0"/>
        <w:ind w:left="360" w:firstLine="360"/>
        <w:jc w:val="both"/>
        <w:rPr>
          <w:sz w:val="20"/>
          <w:lang w:val="en-CA"/>
        </w:rPr>
      </w:pPr>
      <w:r w:rsidRPr="00440ACC">
        <w:rPr>
          <w:sz w:val="20"/>
          <w:lang w:val="en-CA"/>
        </w:rPr>
        <w:t>(Sask.) (Criminal) (As of Right)</w:t>
      </w:r>
    </w:p>
    <w:p w:rsidR="00440ACC" w:rsidRPr="00440ACC" w:rsidRDefault="00440ACC">
      <w:pPr>
        <w:widowControl w:val="0"/>
        <w:jc w:val="both"/>
        <w:rPr>
          <w:sz w:val="20"/>
          <w:lang w:val="en-CA"/>
        </w:rPr>
      </w:pPr>
    </w:p>
    <w:p w:rsidR="00440ACC" w:rsidRPr="00440ACC" w:rsidRDefault="00440ACC" w:rsidP="00A84C77">
      <w:pPr>
        <w:widowControl w:val="0"/>
        <w:jc w:val="both"/>
        <w:rPr>
          <w:sz w:val="20"/>
          <w:lang w:val="en-CA"/>
        </w:rPr>
      </w:pPr>
      <w:bookmarkStart w:id="1" w:name="QuickMark_1"/>
      <w:bookmarkEnd w:id="1"/>
      <w:r w:rsidRPr="00440ACC">
        <w:rPr>
          <w:sz w:val="20"/>
          <w:lang w:val="en-CA"/>
        </w:rPr>
        <w:t>(</w:t>
      </w:r>
      <w:r w:rsidRPr="00440ACC">
        <w:rPr>
          <w:smallCaps/>
          <w:sz w:val="20"/>
          <w:lang w:val="en-CA"/>
        </w:rPr>
        <w:t>Publication Ban</w:t>
      </w:r>
      <w:r w:rsidRPr="00440ACC">
        <w:rPr>
          <w:sz w:val="20"/>
          <w:lang w:val="en-CA"/>
        </w:rPr>
        <w:t>)</w:t>
      </w:r>
    </w:p>
    <w:p w:rsidR="00440ACC" w:rsidRPr="00440ACC" w:rsidRDefault="00440ACC">
      <w:pPr>
        <w:widowControl w:val="0"/>
        <w:jc w:val="both"/>
        <w:rPr>
          <w:sz w:val="20"/>
          <w:lang w:val="en-CA"/>
        </w:rPr>
      </w:pPr>
    </w:p>
    <w:p w:rsidR="00440ACC" w:rsidRPr="00440ACC" w:rsidRDefault="00440ACC" w:rsidP="00021096">
      <w:pPr>
        <w:widowControl w:val="0"/>
        <w:spacing w:after="240"/>
        <w:jc w:val="both"/>
        <w:rPr>
          <w:sz w:val="20"/>
        </w:rPr>
      </w:pPr>
      <w:r w:rsidRPr="00440ACC">
        <w:rPr>
          <w:sz w:val="20"/>
          <w:lang w:val="en-CA"/>
        </w:rPr>
        <w:t xml:space="preserve">Criminal law - Appeals - Charge to jury - Offences - Failure to provide necessaries of life - Elements of </w:t>
      </w:r>
      <w:r w:rsidRPr="00440ACC">
        <w:rPr>
          <w:i/>
          <w:sz w:val="20"/>
          <w:lang w:val="en-CA"/>
        </w:rPr>
        <w:t>mens rea</w:t>
      </w:r>
      <w:r w:rsidRPr="00440ACC">
        <w:rPr>
          <w:sz w:val="20"/>
          <w:lang w:val="en-CA"/>
        </w:rPr>
        <w:t xml:space="preserve"> - Whether the Court of Appeal erred by finding the trial judge failed to provide adequate directions to the jury when relating the evidence to the </w:t>
      </w:r>
      <w:r w:rsidRPr="00440ACC">
        <w:rPr>
          <w:i/>
          <w:sz w:val="20"/>
          <w:lang w:val="en-CA"/>
        </w:rPr>
        <w:t>mens rea</w:t>
      </w:r>
      <w:r w:rsidRPr="00440ACC">
        <w:rPr>
          <w:sz w:val="20"/>
          <w:lang w:val="en-CA"/>
        </w:rPr>
        <w:t xml:space="preserve"> of the predicate offence of failing to provide the necessaries of life - Whether the Court of Appeal erred by finding the respondent’s personal characteristics were relevant factors in the objective </w:t>
      </w:r>
      <w:r w:rsidRPr="00440ACC">
        <w:rPr>
          <w:i/>
          <w:sz w:val="20"/>
          <w:lang w:val="en-CA"/>
        </w:rPr>
        <w:t xml:space="preserve">mens rea </w:t>
      </w:r>
      <w:r w:rsidRPr="00440ACC">
        <w:rPr>
          <w:sz w:val="20"/>
          <w:lang w:val="en-CA"/>
        </w:rPr>
        <w:t xml:space="preserve">analysis - Whether the Court of Appeal erred by finding the trial judge’s </w:t>
      </w:r>
      <w:r w:rsidRPr="00440ACC">
        <w:rPr>
          <w:i/>
          <w:sz w:val="20"/>
        </w:rPr>
        <w:t xml:space="preserve">mens rea </w:t>
      </w:r>
      <w:r w:rsidRPr="00440ACC">
        <w:rPr>
          <w:sz w:val="20"/>
        </w:rPr>
        <w:t>instructions may have confused the jury</w:t>
      </w:r>
      <w:r w:rsidRPr="00440ACC">
        <w:rPr>
          <w:sz w:val="20"/>
          <w:lang w:val="en-CA"/>
        </w:rPr>
        <w:t xml:space="preserve"> - Whether the Court of Appeal erred by applying an incorrect standard to its review of the jury instructions - </w:t>
      </w:r>
      <w:r w:rsidRPr="00440ACC">
        <w:rPr>
          <w:i/>
          <w:sz w:val="20"/>
          <w:lang w:val="en-CA"/>
        </w:rPr>
        <w:t>Criminal Code</w:t>
      </w:r>
      <w:r w:rsidRPr="00440ACC">
        <w:rPr>
          <w:sz w:val="20"/>
          <w:lang w:val="en-CA"/>
        </w:rPr>
        <w:t>, R.S.C. 1985, c. C-46, s. 215.</w:t>
      </w:r>
    </w:p>
    <w:p w:rsidR="00440ACC" w:rsidRPr="00440ACC" w:rsidRDefault="00440ACC" w:rsidP="00021096">
      <w:pPr>
        <w:widowControl w:val="0"/>
        <w:jc w:val="both"/>
        <w:rPr>
          <w:sz w:val="20"/>
        </w:rPr>
      </w:pPr>
      <w:r w:rsidRPr="00440ACC">
        <w:rPr>
          <w:sz w:val="20"/>
        </w:rPr>
        <w:t xml:space="preserve">The respondent, Mr. Goforth, and his wife were jointly charged with the second-degree murder of a four-year-old child they had been fostering (“older child”), and with unlawfully causing bodily harm to a second two-year-old foster child (“younger child”). The predicate offence underlying both charges was failing to provide the necessaries of life, contrary to s. 215 of the </w:t>
      </w:r>
      <w:r w:rsidRPr="00440ACC">
        <w:rPr>
          <w:i/>
          <w:sz w:val="20"/>
        </w:rPr>
        <w:t>Criminal Code</w:t>
      </w:r>
      <w:r w:rsidRPr="00440ACC">
        <w:rPr>
          <w:sz w:val="20"/>
        </w:rPr>
        <w:t xml:space="preserve">. A jury convicted both accused of unlawfully causing bodily harm to the younger child, and found Ms. Goforth guilty of the second-degree murder of the older child. The jury found Mr. Goforth guilty of the lesser and included offence of manslaughter in relation to the death of the older child. Mr. Goforth appealed his convictions. </w:t>
      </w:r>
    </w:p>
    <w:p w:rsidR="00440ACC" w:rsidRPr="00440ACC" w:rsidRDefault="00440ACC" w:rsidP="00021096">
      <w:pPr>
        <w:widowControl w:val="0"/>
        <w:jc w:val="both"/>
        <w:rPr>
          <w:sz w:val="20"/>
        </w:rPr>
      </w:pPr>
    </w:p>
    <w:p w:rsidR="00440ACC" w:rsidRPr="00440ACC" w:rsidRDefault="00440ACC" w:rsidP="00021096">
      <w:pPr>
        <w:widowControl w:val="0"/>
        <w:jc w:val="both"/>
        <w:rPr>
          <w:sz w:val="20"/>
        </w:rPr>
      </w:pPr>
      <w:r w:rsidRPr="00440ACC">
        <w:rPr>
          <w:sz w:val="20"/>
        </w:rPr>
        <w:t xml:space="preserve">A majority of the Court of Appeal for Saskatchewan allowed the appeal, set aside Mr. Goforth’s convictions, and ordered a new trial. The majority did not find error in the trial judge’s charge to the jury in relation to the </w:t>
      </w:r>
      <w:r w:rsidRPr="00440ACC">
        <w:rPr>
          <w:i/>
          <w:sz w:val="20"/>
        </w:rPr>
        <w:t xml:space="preserve">actus reus </w:t>
      </w:r>
      <w:r w:rsidRPr="00440ACC">
        <w:rPr>
          <w:sz w:val="20"/>
        </w:rPr>
        <w:t xml:space="preserve">of the offence of failing to provide the necessaries of life, but concluded that the trial judge’s explanation of </w:t>
      </w:r>
      <w:r w:rsidRPr="00440ACC">
        <w:rPr>
          <w:i/>
          <w:sz w:val="20"/>
        </w:rPr>
        <w:t>mens rea</w:t>
      </w:r>
      <w:r w:rsidRPr="00440ACC">
        <w:rPr>
          <w:sz w:val="20"/>
        </w:rPr>
        <w:t xml:space="preserve"> </w:t>
      </w:r>
      <w:r w:rsidRPr="00440ACC">
        <w:rPr>
          <w:sz w:val="20"/>
        </w:rPr>
        <w:lastRenderedPageBreak/>
        <w:t xml:space="preserve">contained material legal error and that the charge failed to adequately relate the evidence to the </w:t>
      </w:r>
      <w:r w:rsidRPr="00440ACC">
        <w:rPr>
          <w:i/>
          <w:sz w:val="20"/>
        </w:rPr>
        <w:t xml:space="preserve">mens rea </w:t>
      </w:r>
      <w:r w:rsidRPr="00440ACC">
        <w:rPr>
          <w:sz w:val="20"/>
        </w:rPr>
        <w:t>requirements of s. 215. In dissent, Caldwell J.A. would have dismissed the appeal and upheld the convictions.</w:t>
      </w:r>
    </w:p>
    <w:p w:rsidR="00440ACC" w:rsidRPr="00440ACC" w:rsidRDefault="00440ACC" w:rsidP="00021096">
      <w:pPr>
        <w:widowControl w:val="0"/>
        <w:jc w:val="both"/>
        <w:rPr>
          <w:sz w:val="20"/>
        </w:rPr>
      </w:pPr>
    </w:p>
    <w:p w:rsidR="00440ACC" w:rsidRPr="00440ACC" w:rsidRDefault="00440ACC" w:rsidP="00021096">
      <w:pPr>
        <w:widowControl w:val="0"/>
        <w:jc w:val="both"/>
        <w:rPr>
          <w:sz w:val="20"/>
        </w:rPr>
      </w:pPr>
      <w:r w:rsidRPr="00440ACC">
        <w:rPr>
          <w:sz w:val="20"/>
        </w:rPr>
        <w:pict>
          <v:rect id="_x0000_i1028" style="width:2in;height:1pt" o:hrpct="0" o:hralign="center" o:hrstd="t" o:hrnoshade="t" o:hr="t" fillcolor="black [3213]" stroked="f"/>
        </w:pict>
      </w:r>
    </w:p>
    <w:p w:rsidR="00440ACC" w:rsidRPr="00440ACC" w:rsidRDefault="00440ACC" w:rsidP="00021096">
      <w:pPr>
        <w:widowControl w:val="0"/>
        <w:jc w:val="both"/>
        <w:rPr>
          <w:sz w:val="20"/>
        </w:rPr>
      </w:pPr>
    </w:p>
    <w:p w:rsidR="00440ACC" w:rsidRPr="00440ACC" w:rsidRDefault="00440ACC" w:rsidP="00E6292E">
      <w:pPr>
        <w:pStyle w:val="SCCLsocParty"/>
        <w:rPr>
          <w:b/>
          <w:i w:val="0"/>
          <w:sz w:val="20"/>
          <w:szCs w:val="20"/>
        </w:rPr>
      </w:pPr>
      <w:r w:rsidRPr="00440ACC">
        <w:rPr>
          <w:b/>
          <w:i w:val="0"/>
          <w:sz w:val="20"/>
          <w:szCs w:val="20"/>
        </w:rPr>
        <w:fldChar w:fldCharType="begin"/>
      </w:r>
      <w:r w:rsidRPr="00440ACC">
        <w:rPr>
          <w:b/>
          <w:i w:val="0"/>
          <w:sz w:val="20"/>
          <w:szCs w:val="20"/>
        </w:rPr>
        <w:instrText xml:space="preserve"> SEQ CHAPTER \h \r 1</w:instrText>
      </w:r>
      <w:r w:rsidRPr="00440ACC">
        <w:rPr>
          <w:b/>
          <w:i w:val="0"/>
          <w:sz w:val="20"/>
          <w:szCs w:val="20"/>
        </w:rPr>
        <w:fldChar w:fldCharType="end"/>
      </w:r>
      <w:r w:rsidRPr="00440ACC">
        <w:rPr>
          <w:b/>
          <w:i w:val="0"/>
          <w:sz w:val="20"/>
          <w:szCs w:val="20"/>
        </w:rPr>
        <w:t>39568</w:t>
      </w:r>
      <w:r w:rsidRPr="00440ACC">
        <w:rPr>
          <w:b/>
          <w:i w:val="0"/>
          <w:sz w:val="20"/>
          <w:szCs w:val="20"/>
        </w:rPr>
        <w:tab/>
      </w:r>
      <w:r w:rsidRPr="00440ACC">
        <w:rPr>
          <w:b/>
          <w:sz w:val="20"/>
          <w:szCs w:val="20"/>
        </w:rPr>
        <w:t>Sa Majesté la Reine c. Kevin Eric Goforth</w:t>
      </w:r>
    </w:p>
    <w:p w:rsidR="00440ACC" w:rsidRPr="00440ACC" w:rsidRDefault="00440ACC" w:rsidP="00440ACC">
      <w:pPr>
        <w:widowControl w:val="0"/>
        <w:ind w:left="360" w:firstLine="360"/>
        <w:jc w:val="both"/>
        <w:rPr>
          <w:sz w:val="20"/>
          <w:lang w:val="fr-CA"/>
        </w:rPr>
      </w:pPr>
      <w:r w:rsidRPr="00440ACC">
        <w:rPr>
          <w:sz w:val="20"/>
          <w:lang w:val="fr-CA"/>
        </w:rPr>
        <w:t>(Sask.) (Criminelle) (De plein droit)</w:t>
      </w:r>
    </w:p>
    <w:p w:rsidR="00440ACC" w:rsidRPr="00440ACC" w:rsidRDefault="00440ACC">
      <w:pPr>
        <w:widowControl w:val="0"/>
        <w:jc w:val="both"/>
        <w:rPr>
          <w:sz w:val="20"/>
          <w:lang w:val="fr-CA"/>
        </w:rPr>
      </w:pPr>
    </w:p>
    <w:p w:rsidR="00440ACC" w:rsidRPr="00440ACC" w:rsidRDefault="00440ACC" w:rsidP="00A84C77">
      <w:pPr>
        <w:widowControl w:val="0"/>
        <w:jc w:val="both"/>
        <w:rPr>
          <w:sz w:val="20"/>
          <w:lang w:val="fr-CA"/>
        </w:rPr>
      </w:pPr>
      <w:r w:rsidRPr="00440ACC">
        <w:rPr>
          <w:sz w:val="20"/>
          <w:lang w:val="fr-CA"/>
        </w:rPr>
        <w:t>(O</w:t>
      </w:r>
      <w:r w:rsidRPr="00440ACC">
        <w:rPr>
          <w:smallCaps/>
          <w:sz w:val="20"/>
          <w:lang w:val="fr-CA"/>
        </w:rPr>
        <w:t>rdonnance de non-publication</w:t>
      </w:r>
      <w:r w:rsidRPr="00440ACC">
        <w:rPr>
          <w:sz w:val="20"/>
          <w:lang w:val="fr-CA"/>
        </w:rPr>
        <w:t>)</w:t>
      </w:r>
    </w:p>
    <w:p w:rsidR="00440ACC" w:rsidRPr="00440ACC" w:rsidRDefault="00440ACC">
      <w:pPr>
        <w:widowControl w:val="0"/>
        <w:jc w:val="both"/>
        <w:rPr>
          <w:sz w:val="20"/>
          <w:lang w:val="fr-CA"/>
        </w:rPr>
      </w:pPr>
    </w:p>
    <w:p w:rsidR="00440ACC" w:rsidRPr="00440ACC" w:rsidRDefault="00440ACC">
      <w:pPr>
        <w:widowControl w:val="0"/>
        <w:jc w:val="both"/>
        <w:rPr>
          <w:sz w:val="20"/>
          <w:lang w:val="fr-CA"/>
        </w:rPr>
      </w:pPr>
      <w:r w:rsidRPr="00440ACC">
        <w:rPr>
          <w:sz w:val="20"/>
          <w:lang w:val="fr-CA"/>
        </w:rPr>
        <w:t xml:space="preserve">Droit criminel - Appels - Exposé au jury - Infractions - Omission de fournir les choses nécessaires à l’existence - Éléments de la </w:t>
      </w:r>
      <w:r w:rsidRPr="00440ACC">
        <w:rPr>
          <w:i/>
          <w:sz w:val="20"/>
          <w:lang w:val="fr-CA"/>
        </w:rPr>
        <w:t>mens rea</w:t>
      </w:r>
      <w:r w:rsidRPr="00440ACC">
        <w:rPr>
          <w:sz w:val="20"/>
          <w:lang w:val="fr-CA"/>
        </w:rPr>
        <w:t xml:space="preserve"> - La Cour d’appel a-t-elle conclu à tort que la juge du procès avait omis de fournir au jury des directives adéquates relativement à la preuve de </w:t>
      </w:r>
      <w:r w:rsidRPr="00440ACC">
        <w:rPr>
          <w:i/>
          <w:sz w:val="20"/>
          <w:lang w:val="fr-CA"/>
        </w:rPr>
        <w:t>mens rea</w:t>
      </w:r>
      <w:r w:rsidRPr="00440ACC">
        <w:rPr>
          <w:sz w:val="20"/>
          <w:lang w:val="fr-CA"/>
        </w:rPr>
        <w:t xml:space="preserve"> dans l’infraction sous-jacente d’omission de fournir les choses nécessaires à l’existence? - La Cour d’appel a-t-elle commis une erreur en concluant que les caractéristiques personnelles de l’intimé étaient des considérations pertinentes dans l’analyse de la </w:t>
      </w:r>
      <w:r w:rsidRPr="00440ACC">
        <w:rPr>
          <w:i/>
          <w:sz w:val="20"/>
          <w:lang w:val="fr-CA"/>
        </w:rPr>
        <w:t>mens rea</w:t>
      </w:r>
      <w:r w:rsidRPr="00440ACC">
        <w:rPr>
          <w:sz w:val="20"/>
          <w:lang w:val="fr-CA"/>
        </w:rPr>
        <w:t xml:space="preserve"> objective? - La Cour d’appel a-t-elle conclu à tort que les directives de la juge du procès pouvaient avoir entraîné la confusion du jury? - La Cour d’appel a-t-elle commis une erreur en appliquant une mauvaise norme à son contrôle dans son examen des directives adressées au jury? - </w:t>
      </w:r>
      <w:r w:rsidRPr="00440ACC">
        <w:rPr>
          <w:i/>
          <w:sz w:val="20"/>
          <w:lang w:val="fr-CA"/>
        </w:rPr>
        <w:t>Code criminel</w:t>
      </w:r>
      <w:r w:rsidRPr="00440ACC">
        <w:rPr>
          <w:sz w:val="20"/>
          <w:lang w:val="fr-CA"/>
        </w:rPr>
        <w:t xml:space="preserve">, L.R.C. 1985, c. C-46, art. 215. </w:t>
      </w:r>
    </w:p>
    <w:p w:rsidR="00440ACC" w:rsidRPr="00440ACC" w:rsidRDefault="00440ACC">
      <w:pPr>
        <w:widowControl w:val="0"/>
        <w:jc w:val="both"/>
        <w:rPr>
          <w:sz w:val="20"/>
          <w:lang w:val="fr-CA"/>
        </w:rPr>
      </w:pPr>
    </w:p>
    <w:p w:rsidR="00440ACC" w:rsidRPr="00440ACC" w:rsidRDefault="00440ACC" w:rsidP="006D3B39">
      <w:pPr>
        <w:widowControl w:val="0"/>
        <w:spacing w:before="60" w:after="60" w:line="0" w:lineRule="atLeast"/>
        <w:jc w:val="both"/>
        <w:rPr>
          <w:sz w:val="20"/>
          <w:lang w:val="fr-CA"/>
        </w:rPr>
      </w:pPr>
      <w:r w:rsidRPr="00440ACC">
        <w:rPr>
          <w:sz w:val="20"/>
          <w:lang w:val="fr-CA"/>
        </w:rPr>
        <w:t xml:space="preserve">L’intimé, M. Goforth, et son épouse ont été accusés conjointement du meurtre au deuxième degré d’un enfant de quatre ans dont ils étaient les parents d’accueil (« enfant plus vieux »), et d’infliction illégale de lésions corporelles à un deuxième enfant de deux ans en foyer d’accueil (« enfant plus jeune »). L’infraction sous-jacente aux deux accusations est l’omission de fournir les choses nécessaires à l’existence, en violation de l’art. 215 du </w:t>
      </w:r>
      <w:r w:rsidRPr="00440ACC">
        <w:rPr>
          <w:i/>
          <w:sz w:val="20"/>
          <w:lang w:val="fr-CA"/>
        </w:rPr>
        <w:t>Code criminel</w:t>
      </w:r>
      <w:r w:rsidRPr="00440ACC">
        <w:rPr>
          <w:sz w:val="20"/>
          <w:lang w:val="fr-CA"/>
        </w:rPr>
        <w:t>. Un jury a déclaré les deux accusés coupables d’avoir infligé illégalement des lésions corporelles à l’enfant plus jeune et déclaré M</w:t>
      </w:r>
      <w:r w:rsidRPr="00440ACC">
        <w:rPr>
          <w:sz w:val="20"/>
          <w:vertAlign w:val="superscript"/>
          <w:lang w:val="fr-CA"/>
        </w:rPr>
        <w:t>me</w:t>
      </w:r>
      <w:r w:rsidRPr="00440ACC">
        <w:rPr>
          <w:sz w:val="20"/>
          <w:lang w:val="fr-CA"/>
        </w:rPr>
        <w:t xml:space="preserve"> Goforth coupable du meurtre au deuxième degré de l’enfant plus vieux. Le jury a déclaré M. Goforth coupable de l’infraction moindre et incluse d’homicide involontaire relativement à la mort de l’enfant plus vieux. M. Goforth a interjeté appel de ses déclarations de culpabilité. </w:t>
      </w:r>
    </w:p>
    <w:p w:rsidR="00440ACC" w:rsidRPr="00440ACC" w:rsidRDefault="00440ACC" w:rsidP="006D3B39">
      <w:pPr>
        <w:widowControl w:val="0"/>
        <w:spacing w:before="60" w:after="60" w:line="0" w:lineRule="atLeast"/>
        <w:jc w:val="both"/>
        <w:rPr>
          <w:sz w:val="20"/>
          <w:lang w:val="fr-CA"/>
        </w:rPr>
      </w:pPr>
    </w:p>
    <w:p w:rsidR="00440ACC" w:rsidRPr="00440ACC" w:rsidRDefault="00440ACC" w:rsidP="00A33503">
      <w:pPr>
        <w:widowControl w:val="0"/>
        <w:spacing w:before="60" w:after="60" w:line="0" w:lineRule="atLeast"/>
        <w:jc w:val="both"/>
        <w:rPr>
          <w:sz w:val="20"/>
          <w:lang w:val="fr-CA"/>
        </w:rPr>
      </w:pPr>
      <w:r w:rsidRPr="00440ACC">
        <w:rPr>
          <w:sz w:val="20"/>
          <w:lang w:val="fr-CA"/>
        </w:rPr>
        <w:t xml:space="preserve">Les juges majoritaires de la Cour d’appel de la Saskatchewan ont accueilli l’appel, annulé les déclarations de culpabilité de M. Goforth et ordonné la tenue d’un nouveau procès. Ils n’ont pas conclu qu’il y avait une erreur dans l’exposé que la juge du procès a fait au jury concernant </w:t>
      </w:r>
      <w:proofErr w:type="gramStart"/>
      <w:r w:rsidRPr="00440ACC">
        <w:rPr>
          <w:sz w:val="20"/>
          <w:lang w:val="fr-CA"/>
        </w:rPr>
        <w:t>l’</w:t>
      </w:r>
      <w:r w:rsidRPr="00440ACC">
        <w:rPr>
          <w:i/>
          <w:sz w:val="20"/>
          <w:lang w:val="fr-CA"/>
        </w:rPr>
        <w:t>actus</w:t>
      </w:r>
      <w:proofErr w:type="gramEnd"/>
      <w:r w:rsidRPr="00440ACC">
        <w:rPr>
          <w:i/>
          <w:sz w:val="20"/>
          <w:lang w:val="fr-CA"/>
        </w:rPr>
        <w:t xml:space="preserve"> reus </w:t>
      </w:r>
      <w:r w:rsidRPr="00440ACC">
        <w:rPr>
          <w:sz w:val="20"/>
          <w:lang w:val="fr-CA"/>
        </w:rPr>
        <w:t xml:space="preserve">de l’infraction de ne pas avoir fourni les choses nécessaires à l’existence, mais ils ont conclu que l’explication de la </w:t>
      </w:r>
      <w:r w:rsidRPr="00440ACC">
        <w:rPr>
          <w:i/>
          <w:sz w:val="20"/>
          <w:lang w:val="fr-CA"/>
        </w:rPr>
        <w:t>mens rea</w:t>
      </w:r>
      <w:r w:rsidRPr="00440ACC">
        <w:rPr>
          <w:sz w:val="20"/>
          <w:lang w:val="fr-CA"/>
        </w:rPr>
        <w:t xml:space="preserve"> donnée par la juge du procès comportait une importante erreur de droit et que l’exposé n’établissait pas adéquatement de lien entre la preuve et les exigences de l’art. 215 en matière de </w:t>
      </w:r>
      <w:r w:rsidRPr="00440ACC">
        <w:rPr>
          <w:i/>
          <w:sz w:val="20"/>
          <w:lang w:val="fr-CA"/>
        </w:rPr>
        <w:t>mens rea</w:t>
      </w:r>
      <w:r w:rsidRPr="00440ACC">
        <w:rPr>
          <w:sz w:val="20"/>
          <w:lang w:val="fr-CA"/>
        </w:rPr>
        <w:t xml:space="preserve">. Le juge d’appel Caldwell, dissident, aurait rejeté l’appel et maintenu les déclarations de culpabilité. </w:t>
      </w:r>
    </w:p>
    <w:p w:rsidR="00A13327" w:rsidRPr="00440ACC" w:rsidRDefault="00A13327" w:rsidP="00340C6D">
      <w:pPr>
        <w:jc w:val="both"/>
        <w:rPr>
          <w:sz w:val="20"/>
          <w:lang w:val="fr-CA"/>
        </w:rPr>
      </w:pPr>
    </w:p>
    <w:p w:rsidR="00A13327" w:rsidRPr="00440ACC" w:rsidRDefault="00440ACC" w:rsidP="00340C6D">
      <w:pPr>
        <w:jc w:val="both"/>
        <w:rPr>
          <w:sz w:val="20"/>
          <w:lang w:val="fr-CA"/>
        </w:rPr>
      </w:pPr>
      <w:r w:rsidRPr="00440ACC">
        <w:rPr>
          <w:sz w:val="20"/>
        </w:rPr>
        <w:pict>
          <v:rect id="_x0000_i1027" style="width:2in;height:1pt" o:hrpct="0" o:hralign="center" o:hrstd="t" o:hrnoshade="t" o:hr="t" fillcolor="black [3213]" stroked="f"/>
        </w:pict>
      </w:r>
    </w:p>
    <w:p w:rsidR="00782B59" w:rsidRPr="00440ACC" w:rsidRDefault="00782B59" w:rsidP="00340C6D">
      <w:pPr>
        <w:jc w:val="both"/>
        <w:rPr>
          <w:szCs w:val="24"/>
          <w:lang w:val="fr-CA"/>
        </w:rPr>
      </w:pPr>
    </w:p>
    <w:p w:rsidR="00ED67FB" w:rsidRPr="00440ACC" w:rsidRDefault="00ED67FB" w:rsidP="00340C6D">
      <w:pPr>
        <w:jc w:val="both"/>
        <w:rPr>
          <w:szCs w:val="24"/>
          <w:lang w:val="fr-CA"/>
        </w:rPr>
      </w:pPr>
    </w:p>
    <w:p w:rsidR="00072A63" w:rsidRPr="00440ACC" w:rsidRDefault="00072A63" w:rsidP="00EC79B0">
      <w:pPr>
        <w:jc w:val="both"/>
        <w:rPr>
          <w:szCs w:val="24"/>
          <w:lang w:val="fr-CA"/>
        </w:rPr>
      </w:pPr>
    </w:p>
    <w:p w:rsidR="001C4415" w:rsidRPr="00440ACC" w:rsidRDefault="001C4415" w:rsidP="001C4415">
      <w:pPr>
        <w:widowControl w:val="0"/>
        <w:outlineLvl w:val="0"/>
      </w:pPr>
      <w:r w:rsidRPr="00440ACC">
        <w:t xml:space="preserve">Supreme Court of Canada / Cour suprême du </w:t>
      </w:r>
      <w:proofErr w:type="gramStart"/>
      <w:r w:rsidRPr="00440ACC">
        <w:t>Canada :</w:t>
      </w:r>
      <w:proofErr w:type="gramEnd"/>
      <w:r w:rsidRPr="00440ACC">
        <w:t xml:space="preserve"> </w:t>
      </w:r>
    </w:p>
    <w:p w:rsidR="001C4415" w:rsidRPr="00440ACC" w:rsidRDefault="00440ACC" w:rsidP="001C4415">
      <w:pPr>
        <w:widowControl w:val="0"/>
        <w:outlineLvl w:val="0"/>
      </w:pPr>
      <w:hyperlink r:id="rId8" w:history="1">
        <w:r w:rsidR="001C4415" w:rsidRPr="00440ACC">
          <w:rPr>
            <w:rStyle w:val="Hyperlink"/>
          </w:rPr>
          <w:t>comments-commentaires@scc-csc.ca</w:t>
        </w:r>
      </w:hyperlink>
    </w:p>
    <w:p w:rsidR="001C4415" w:rsidRPr="00440ACC" w:rsidRDefault="001C4415" w:rsidP="001C4415">
      <w:pPr>
        <w:widowControl w:val="0"/>
        <w:outlineLvl w:val="0"/>
      </w:pPr>
      <w:r w:rsidRPr="00440ACC">
        <w:t>(613) 995-4330</w:t>
      </w:r>
    </w:p>
    <w:p w:rsidR="001C4415" w:rsidRPr="00440ACC" w:rsidRDefault="001C4415" w:rsidP="001C4415">
      <w:pPr>
        <w:widowControl w:val="0"/>
        <w:rPr>
          <w:sz w:val="20"/>
        </w:rPr>
      </w:pPr>
    </w:p>
    <w:p w:rsidR="0036476C" w:rsidRPr="00A8502B" w:rsidRDefault="001C4415" w:rsidP="0036476C">
      <w:pPr>
        <w:pStyle w:val="Footer"/>
        <w:jc w:val="center"/>
        <w:rPr>
          <w:lang w:val="fr-CA"/>
        </w:rPr>
      </w:pPr>
      <w:r w:rsidRPr="00440ACC">
        <w:rPr>
          <w:lang w:val="fr-CA"/>
        </w:rPr>
        <w:t xml:space="preserve">- 30 </w:t>
      </w:r>
      <w:r w:rsidR="003C1B6E" w:rsidRPr="00440ACC">
        <w:rPr>
          <w:lang w:val="fr-CA"/>
        </w:rPr>
        <w:t>-</w:t>
      </w:r>
      <w:bookmarkStart w:id="2" w:name="_GoBack"/>
      <w:bookmarkEnd w:id="2"/>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63052E"/>
    <w:multiLevelType w:val="hybridMultilevel"/>
    <w:tmpl w:val="487E6972"/>
    <w:lvl w:ilvl="0" w:tplc="030067C4">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71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21DA"/>
    <w:rsid w:val="000A30BB"/>
    <w:rsid w:val="000A33B2"/>
    <w:rsid w:val="000A401F"/>
    <w:rsid w:val="000A7900"/>
    <w:rsid w:val="000B0E38"/>
    <w:rsid w:val="000B216A"/>
    <w:rsid w:val="000B6CE0"/>
    <w:rsid w:val="000C1225"/>
    <w:rsid w:val="000C466B"/>
    <w:rsid w:val="000C7C9D"/>
    <w:rsid w:val="000D17A5"/>
    <w:rsid w:val="000D25C5"/>
    <w:rsid w:val="000D4096"/>
    <w:rsid w:val="000D413D"/>
    <w:rsid w:val="000D682D"/>
    <w:rsid w:val="000E1FA5"/>
    <w:rsid w:val="000E33A8"/>
    <w:rsid w:val="000E457A"/>
    <w:rsid w:val="000F2225"/>
    <w:rsid w:val="000F2F73"/>
    <w:rsid w:val="000F5730"/>
    <w:rsid w:val="000F7714"/>
    <w:rsid w:val="001002A7"/>
    <w:rsid w:val="00100BC4"/>
    <w:rsid w:val="00103400"/>
    <w:rsid w:val="00105085"/>
    <w:rsid w:val="001065AF"/>
    <w:rsid w:val="00114B52"/>
    <w:rsid w:val="00114D6F"/>
    <w:rsid w:val="00116CE5"/>
    <w:rsid w:val="001170D1"/>
    <w:rsid w:val="00127E76"/>
    <w:rsid w:val="00131418"/>
    <w:rsid w:val="001335A1"/>
    <w:rsid w:val="001364D9"/>
    <w:rsid w:val="0013792F"/>
    <w:rsid w:val="00141A4B"/>
    <w:rsid w:val="001439C6"/>
    <w:rsid w:val="00143A58"/>
    <w:rsid w:val="001448DF"/>
    <w:rsid w:val="00145925"/>
    <w:rsid w:val="00145B0A"/>
    <w:rsid w:val="001476BD"/>
    <w:rsid w:val="001503AF"/>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02D9"/>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4BAD"/>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27D7"/>
    <w:rsid w:val="00253698"/>
    <w:rsid w:val="0025452B"/>
    <w:rsid w:val="002617BB"/>
    <w:rsid w:val="0026289A"/>
    <w:rsid w:val="00264AA1"/>
    <w:rsid w:val="002667BA"/>
    <w:rsid w:val="002667ED"/>
    <w:rsid w:val="00266A8B"/>
    <w:rsid w:val="002674CC"/>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219"/>
    <w:rsid w:val="002B4D23"/>
    <w:rsid w:val="002B4F4E"/>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18B"/>
    <w:rsid w:val="003B038F"/>
    <w:rsid w:val="003B10C6"/>
    <w:rsid w:val="003B3AD5"/>
    <w:rsid w:val="003B4E7E"/>
    <w:rsid w:val="003B6ECB"/>
    <w:rsid w:val="003B7075"/>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CC7"/>
    <w:rsid w:val="0042330C"/>
    <w:rsid w:val="00423876"/>
    <w:rsid w:val="00424E50"/>
    <w:rsid w:val="00425FF3"/>
    <w:rsid w:val="00426675"/>
    <w:rsid w:val="00426798"/>
    <w:rsid w:val="00426F87"/>
    <w:rsid w:val="00427239"/>
    <w:rsid w:val="00432DE1"/>
    <w:rsid w:val="00433466"/>
    <w:rsid w:val="0043481E"/>
    <w:rsid w:val="00440ACC"/>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C076F"/>
    <w:rsid w:val="004C1A5A"/>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20A3C"/>
    <w:rsid w:val="00525362"/>
    <w:rsid w:val="00525B8E"/>
    <w:rsid w:val="00531567"/>
    <w:rsid w:val="00532A0E"/>
    <w:rsid w:val="00534E1E"/>
    <w:rsid w:val="00537187"/>
    <w:rsid w:val="00537545"/>
    <w:rsid w:val="005400BA"/>
    <w:rsid w:val="0054378D"/>
    <w:rsid w:val="00545B3E"/>
    <w:rsid w:val="005511F1"/>
    <w:rsid w:val="00551845"/>
    <w:rsid w:val="00552278"/>
    <w:rsid w:val="0055520C"/>
    <w:rsid w:val="00560D32"/>
    <w:rsid w:val="005631B8"/>
    <w:rsid w:val="00563EF8"/>
    <w:rsid w:val="005717F4"/>
    <w:rsid w:val="00572E24"/>
    <w:rsid w:val="00575FA2"/>
    <w:rsid w:val="00580897"/>
    <w:rsid w:val="00580EBF"/>
    <w:rsid w:val="00581503"/>
    <w:rsid w:val="00591F70"/>
    <w:rsid w:val="005932DF"/>
    <w:rsid w:val="00594A5F"/>
    <w:rsid w:val="00595150"/>
    <w:rsid w:val="00595922"/>
    <w:rsid w:val="005973D8"/>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44B6"/>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545ED"/>
    <w:rsid w:val="006630E5"/>
    <w:rsid w:val="00666E0D"/>
    <w:rsid w:val="0067017D"/>
    <w:rsid w:val="00676709"/>
    <w:rsid w:val="00680968"/>
    <w:rsid w:val="00682A71"/>
    <w:rsid w:val="00685A30"/>
    <w:rsid w:val="00690520"/>
    <w:rsid w:val="006942C4"/>
    <w:rsid w:val="006A3523"/>
    <w:rsid w:val="006A58E0"/>
    <w:rsid w:val="006A6C0C"/>
    <w:rsid w:val="006B4B4E"/>
    <w:rsid w:val="006B5529"/>
    <w:rsid w:val="006C4A8F"/>
    <w:rsid w:val="006C5AA6"/>
    <w:rsid w:val="006C7633"/>
    <w:rsid w:val="006D2CD6"/>
    <w:rsid w:val="006D2DF8"/>
    <w:rsid w:val="006D69C4"/>
    <w:rsid w:val="006E1781"/>
    <w:rsid w:val="006E3A6A"/>
    <w:rsid w:val="006E416A"/>
    <w:rsid w:val="006E5414"/>
    <w:rsid w:val="006E6156"/>
    <w:rsid w:val="006E7CC3"/>
    <w:rsid w:val="006E7FD1"/>
    <w:rsid w:val="006F1899"/>
    <w:rsid w:val="006F1A6D"/>
    <w:rsid w:val="006F202E"/>
    <w:rsid w:val="006F3B04"/>
    <w:rsid w:val="006F57A6"/>
    <w:rsid w:val="006F6171"/>
    <w:rsid w:val="006F636B"/>
    <w:rsid w:val="006F73CC"/>
    <w:rsid w:val="006F7FC8"/>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6CBA"/>
    <w:rsid w:val="00767B87"/>
    <w:rsid w:val="00772636"/>
    <w:rsid w:val="00777C18"/>
    <w:rsid w:val="007805CD"/>
    <w:rsid w:val="00780B16"/>
    <w:rsid w:val="00782B59"/>
    <w:rsid w:val="0078318A"/>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1B42"/>
    <w:rsid w:val="007D20F6"/>
    <w:rsid w:val="007D4862"/>
    <w:rsid w:val="007D5D5B"/>
    <w:rsid w:val="007D6B10"/>
    <w:rsid w:val="007E7DF1"/>
    <w:rsid w:val="007F29FE"/>
    <w:rsid w:val="007F3D16"/>
    <w:rsid w:val="007F45A9"/>
    <w:rsid w:val="00800066"/>
    <w:rsid w:val="00803329"/>
    <w:rsid w:val="00807EAE"/>
    <w:rsid w:val="00811E14"/>
    <w:rsid w:val="00815249"/>
    <w:rsid w:val="00815E69"/>
    <w:rsid w:val="00815F42"/>
    <w:rsid w:val="008203B9"/>
    <w:rsid w:val="00820A00"/>
    <w:rsid w:val="008227A7"/>
    <w:rsid w:val="0083044B"/>
    <w:rsid w:val="008313A9"/>
    <w:rsid w:val="00831AFC"/>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1C40"/>
    <w:rsid w:val="008B305D"/>
    <w:rsid w:val="008B5FA3"/>
    <w:rsid w:val="008B5FDB"/>
    <w:rsid w:val="008B6308"/>
    <w:rsid w:val="008C2F61"/>
    <w:rsid w:val="008C5D03"/>
    <w:rsid w:val="008D2829"/>
    <w:rsid w:val="008D3DE1"/>
    <w:rsid w:val="008D557C"/>
    <w:rsid w:val="008D5B1F"/>
    <w:rsid w:val="008D6BC4"/>
    <w:rsid w:val="008E0CF4"/>
    <w:rsid w:val="008E5108"/>
    <w:rsid w:val="008E5D30"/>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5849"/>
    <w:rsid w:val="00946EC7"/>
    <w:rsid w:val="00955BCE"/>
    <w:rsid w:val="009603A2"/>
    <w:rsid w:val="00962301"/>
    <w:rsid w:val="00970CA2"/>
    <w:rsid w:val="00970EDF"/>
    <w:rsid w:val="00972F05"/>
    <w:rsid w:val="00972F9B"/>
    <w:rsid w:val="00975F1B"/>
    <w:rsid w:val="0097705F"/>
    <w:rsid w:val="009773EE"/>
    <w:rsid w:val="009813C5"/>
    <w:rsid w:val="009907CD"/>
    <w:rsid w:val="0099092D"/>
    <w:rsid w:val="009927A8"/>
    <w:rsid w:val="00992E03"/>
    <w:rsid w:val="00993EF1"/>
    <w:rsid w:val="00995BAC"/>
    <w:rsid w:val="009A229C"/>
    <w:rsid w:val="009A7FCE"/>
    <w:rsid w:val="009B06DD"/>
    <w:rsid w:val="009B603F"/>
    <w:rsid w:val="009B68EF"/>
    <w:rsid w:val="009B72F4"/>
    <w:rsid w:val="009C0D0F"/>
    <w:rsid w:val="009C2A17"/>
    <w:rsid w:val="009C3750"/>
    <w:rsid w:val="009C643F"/>
    <w:rsid w:val="009C7B0C"/>
    <w:rsid w:val="009C7B71"/>
    <w:rsid w:val="009D109B"/>
    <w:rsid w:val="009D30BC"/>
    <w:rsid w:val="009E15E2"/>
    <w:rsid w:val="009E23BF"/>
    <w:rsid w:val="009E478A"/>
    <w:rsid w:val="009E6E2B"/>
    <w:rsid w:val="009E7F8F"/>
    <w:rsid w:val="009F18D7"/>
    <w:rsid w:val="009F1E2B"/>
    <w:rsid w:val="009F5005"/>
    <w:rsid w:val="009F5F96"/>
    <w:rsid w:val="009F74D0"/>
    <w:rsid w:val="00A06BFF"/>
    <w:rsid w:val="00A129AE"/>
    <w:rsid w:val="00A12B84"/>
    <w:rsid w:val="00A13112"/>
    <w:rsid w:val="00A13327"/>
    <w:rsid w:val="00A17FF7"/>
    <w:rsid w:val="00A20D09"/>
    <w:rsid w:val="00A21A0F"/>
    <w:rsid w:val="00A253E7"/>
    <w:rsid w:val="00A2764E"/>
    <w:rsid w:val="00A40505"/>
    <w:rsid w:val="00A409CF"/>
    <w:rsid w:val="00A42C03"/>
    <w:rsid w:val="00A45E77"/>
    <w:rsid w:val="00A463BE"/>
    <w:rsid w:val="00A47417"/>
    <w:rsid w:val="00A52FC3"/>
    <w:rsid w:val="00A539FF"/>
    <w:rsid w:val="00A60F48"/>
    <w:rsid w:val="00A63227"/>
    <w:rsid w:val="00A64DFD"/>
    <w:rsid w:val="00A709E8"/>
    <w:rsid w:val="00A8420B"/>
    <w:rsid w:val="00A8502B"/>
    <w:rsid w:val="00A86226"/>
    <w:rsid w:val="00A86D9C"/>
    <w:rsid w:val="00A920FB"/>
    <w:rsid w:val="00A9462E"/>
    <w:rsid w:val="00A96F68"/>
    <w:rsid w:val="00A97C36"/>
    <w:rsid w:val="00AA6478"/>
    <w:rsid w:val="00AB491A"/>
    <w:rsid w:val="00AB4EFD"/>
    <w:rsid w:val="00AB6E49"/>
    <w:rsid w:val="00AB7298"/>
    <w:rsid w:val="00AB76F5"/>
    <w:rsid w:val="00AC0E55"/>
    <w:rsid w:val="00AC1EBB"/>
    <w:rsid w:val="00AC29C3"/>
    <w:rsid w:val="00AC3DA6"/>
    <w:rsid w:val="00AD28E3"/>
    <w:rsid w:val="00AE3866"/>
    <w:rsid w:val="00AE57A4"/>
    <w:rsid w:val="00AE77AE"/>
    <w:rsid w:val="00AF291D"/>
    <w:rsid w:val="00AF51A0"/>
    <w:rsid w:val="00AF5D67"/>
    <w:rsid w:val="00B00765"/>
    <w:rsid w:val="00B0211B"/>
    <w:rsid w:val="00B0252F"/>
    <w:rsid w:val="00B02858"/>
    <w:rsid w:val="00B10539"/>
    <w:rsid w:val="00B108B3"/>
    <w:rsid w:val="00B10F2E"/>
    <w:rsid w:val="00B11D20"/>
    <w:rsid w:val="00B11D74"/>
    <w:rsid w:val="00B14DCE"/>
    <w:rsid w:val="00B15276"/>
    <w:rsid w:val="00B1627A"/>
    <w:rsid w:val="00B17303"/>
    <w:rsid w:val="00B26A2D"/>
    <w:rsid w:val="00B348B0"/>
    <w:rsid w:val="00B435C2"/>
    <w:rsid w:val="00B46027"/>
    <w:rsid w:val="00B46448"/>
    <w:rsid w:val="00B46917"/>
    <w:rsid w:val="00B50803"/>
    <w:rsid w:val="00B57CEE"/>
    <w:rsid w:val="00B622BC"/>
    <w:rsid w:val="00B67B8C"/>
    <w:rsid w:val="00B7734D"/>
    <w:rsid w:val="00B80672"/>
    <w:rsid w:val="00B8086C"/>
    <w:rsid w:val="00B809D3"/>
    <w:rsid w:val="00B80A40"/>
    <w:rsid w:val="00B81F9B"/>
    <w:rsid w:val="00B84353"/>
    <w:rsid w:val="00B87097"/>
    <w:rsid w:val="00B90B28"/>
    <w:rsid w:val="00B92053"/>
    <w:rsid w:val="00BA5D3E"/>
    <w:rsid w:val="00BB4305"/>
    <w:rsid w:val="00BB4CC8"/>
    <w:rsid w:val="00BB5F43"/>
    <w:rsid w:val="00BC097C"/>
    <w:rsid w:val="00BC4F13"/>
    <w:rsid w:val="00BD0BD6"/>
    <w:rsid w:val="00BD2EF8"/>
    <w:rsid w:val="00BD4D56"/>
    <w:rsid w:val="00BD762D"/>
    <w:rsid w:val="00BE1594"/>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10C3"/>
    <w:rsid w:val="00C23058"/>
    <w:rsid w:val="00C23E02"/>
    <w:rsid w:val="00C26855"/>
    <w:rsid w:val="00C26ED7"/>
    <w:rsid w:val="00C309BB"/>
    <w:rsid w:val="00C30AEA"/>
    <w:rsid w:val="00C343BF"/>
    <w:rsid w:val="00C34DBC"/>
    <w:rsid w:val="00C3754A"/>
    <w:rsid w:val="00C40A6D"/>
    <w:rsid w:val="00C443AF"/>
    <w:rsid w:val="00C51144"/>
    <w:rsid w:val="00C54C7F"/>
    <w:rsid w:val="00C55365"/>
    <w:rsid w:val="00C56B06"/>
    <w:rsid w:val="00C65E58"/>
    <w:rsid w:val="00C724D2"/>
    <w:rsid w:val="00C72BFA"/>
    <w:rsid w:val="00C73BB2"/>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E1B9F"/>
    <w:rsid w:val="00CE6F80"/>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3A55"/>
    <w:rsid w:val="00D74667"/>
    <w:rsid w:val="00D75A2B"/>
    <w:rsid w:val="00D8474E"/>
    <w:rsid w:val="00D86814"/>
    <w:rsid w:val="00D8701B"/>
    <w:rsid w:val="00D93AE3"/>
    <w:rsid w:val="00D94FA0"/>
    <w:rsid w:val="00DA1A84"/>
    <w:rsid w:val="00DA2EAA"/>
    <w:rsid w:val="00DA6A86"/>
    <w:rsid w:val="00DB2F91"/>
    <w:rsid w:val="00DB406B"/>
    <w:rsid w:val="00DB5074"/>
    <w:rsid w:val="00DB531C"/>
    <w:rsid w:val="00DC32EB"/>
    <w:rsid w:val="00DC42B7"/>
    <w:rsid w:val="00DC4589"/>
    <w:rsid w:val="00DC4734"/>
    <w:rsid w:val="00DC4E25"/>
    <w:rsid w:val="00DC6C1E"/>
    <w:rsid w:val="00DD4383"/>
    <w:rsid w:val="00DD78FE"/>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E6A"/>
    <w:rsid w:val="00E76F19"/>
    <w:rsid w:val="00E77DF7"/>
    <w:rsid w:val="00E802FE"/>
    <w:rsid w:val="00E823D3"/>
    <w:rsid w:val="00E828F0"/>
    <w:rsid w:val="00E82DB5"/>
    <w:rsid w:val="00E8450A"/>
    <w:rsid w:val="00E857F1"/>
    <w:rsid w:val="00E93DBE"/>
    <w:rsid w:val="00E9584F"/>
    <w:rsid w:val="00EA2FA7"/>
    <w:rsid w:val="00EA389B"/>
    <w:rsid w:val="00EB1B1D"/>
    <w:rsid w:val="00EB5BC7"/>
    <w:rsid w:val="00EB6CB3"/>
    <w:rsid w:val="00EC0B90"/>
    <w:rsid w:val="00EC103C"/>
    <w:rsid w:val="00EC79B0"/>
    <w:rsid w:val="00ED1C3A"/>
    <w:rsid w:val="00ED2D18"/>
    <w:rsid w:val="00ED4D5F"/>
    <w:rsid w:val="00ED67B7"/>
    <w:rsid w:val="00ED67FB"/>
    <w:rsid w:val="00EE1079"/>
    <w:rsid w:val="00EE1D6B"/>
    <w:rsid w:val="00EE642E"/>
    <w:rsid w:val="00EE677E"/>
    <w:rsid w:val="00EE77E0"/>
    <w:rsid w:val="00EF0BD7"/>
    <w:rsid w:val="00EF778F"/>
    <w:rsid w:val="00EF7999"/>
    <w:rsid w:val="00F006DA"/>
    <w:rsid w:val="00F020DF"/>
    <w:rsid w:val="00F03BFD"/>
    <w:rsid w:val="00F118D3"/>
    <w:rsid w:val="00F1242C"/>
    <w:rsid w:val="00F128C3"/>
    <w:rsid w:val="00F1711D"/>
    <w:rsid w:val="00F223F4"/>
    <w:rsid w:val="00F23EAF"/>
    <w:rsid w:val="00F25C3E"/>
    <w:rsid w:val="00F269BB"/>
    <w:rsid w:val="00F277B7"/>
    <w:rsid w:val="00F317F9"/>
    <w:rsid w:val="00F33A4A"/>
    <w:rsid w:val="00F353AE"/>
    <w:rsid w:val="00F36D46"/>
    <w:rsid w:val="00F43DC9"/>
    <w:rsid w:val="00F441EF"/>
    <w:rsid w:val="00F443E2"/>
    <w:rsid w:val="00F52595"/>
    <w:rsid w:val="00F530EE"/>
    <w:rsid w:val="00F54B30"/>
    <w:rsid w:val="00F57324"/>
    <w:rsid w:val="00F63FCE"/>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3E5C"/>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1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CaseDescriptor">
    <w:name w:val="SCC.CaseDescriptor"/>
    <w:basedOn w:val="Normal"/>
    <w:link w:val="SCCCaseDescriptorChar"/>
    <w:qFormat/>
    <w:rsid w:val="00ED67FB"/>
    <w:rPr>
      <w:b/>
      <w:lang w:val="fr-CA" w:eastAsia="en-CA"/>
    </w:rPr>
  </w:style>
  <w:style w:type="character" w:customStyle="1" w:styleId="SCCCaseDescriptorChar">
    <w:name w:val="SCC.CaseDescriptor Char"/>
    <w:basedOn w:val="DefaultParagraphFont"/>
    <w:link w:val="SCCCaseDescriptor"/>
    <w:rsid w:val="00ED67FB"/>
    <w:rPr>
      <w:b/>
      <w:sz w:val="24"/>
      <w:lang w:val="fr-CA" w:eastAsia="en-CA"/>
    </w:rPr>
  </w:style>
  <w:style w:type="paragraph" w:customStyle="1" w:styleId="SCCBanSummary">
    <w:name w:val="SCC.BanSummary"/>
    <w:basedOn w:val="Normal"/>
    <w:next w:val="Normal"/>
    <w:link w:val="SCCBanSummaryChar"/>
    <w:rsid w:val="00782B59"/>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782B59"/>
    <w:rPr>
      <w:rFonts w:eastAsiaTheme="minorHAnsi" w:cstheme="minorBidi"/>
      <w:smallCaps/>
      <w:sz w:val="24"/>
      <w:szCs w:val="22"/>
      <w:lang w:val="en-CA"/>
    </w:rPr>
  </w:style>
  <w:style w:type="paragraph" w:customStyle="1" w:styleId="SCCFileNumber">
    <w:name w:val="SCC.FileNumber"/>
    <w:basedOn w:val="Normal"/>
    <w:next w:val="Normal"/>
    <w:link w:val="SCCFileNumberChar"/>
    <w:rsid w:val="00782B5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782B59"/>
    <w:rPr>
      <w:rFonts w:eastAsiaTheme="minorHAnsi" w:cstheme="minorBidi"/>
      <w:b/>
      <w:sz w:val="24"/>
      <w:szCs w:val="22"/>
      <w:lang w:val="en-CA"/>
    </w:rPr>
  </w:style>
  <w:style w:type="paragraph" w:customStyle="1" w:styleId="SCCLsocOtherPartySeparator">
    <w:name w:val="SCC.Lsoc.OtherPartySeparator"/>
    <w:basedOn w:val="Normal"/>
    <w:next w:val="Normal"/>
    <w:link w:val="SCCLsocOtherPartySeparatorChar"/>
    <w:rsid w:val="002B4219"/>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2B4219"/>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956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5888</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2020-03-26T23:41:00Z</dcterms:created>
  <dcterms:modified xsi:type="dcterms:W3CDTF">2022-05-25T13:31:00Z</dcterms:modified>
</cp:coreProperties>
</file>