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83DF6" w:rsidRDefault="002A192B" w:rsidP="002A192B">
      <w:pPr>
        <w:pStyle w:val="Header"/>
        <w:jc w:val="center"/>
        <w:rPr>
          <w:b/>
          <w:sz w:val="32"/>
        </w:rPr>
      </w:pPr>
      <w:r w:rsidRPr="00D83DF6">
        <w:rPr>
          <w:b/>
          <w:sz w:val="32"/>
        </w:rPr>
        <w:t>Supreme Court of Canada / Cour suprême du Canada</w:t>
      </w:r>
    </w:p>
    <w:p w:rsidR="002A192B" w:rsidRPr="00D83DF6" w:rsidRDefault="002A192B" w:rsidP="002A192B">
      <w:pPr>
        <w:widowControl w:val="0"/>
        <w:rPr>
          <w:i/>
        </w:rPr>
      </w:pPr>
    </w:p>
    <w:p w:rsidR="002A192B" w:rsidRPr="00D83DF6" w:rsidRDefault="002A192B" w:rsidP="002A192B">
      <w:pPr>
        <w:widowControl w:val="0"/>
        <w:rPr>
          <w:i/>
        </w:rPr>
      </w:pPr>
    </w:p>
    <w:p w:rsidR="001C4415" w:rsidRPr="00D83DF6" w:rsidRDefault="001C4415" w:rsidP="001C4415">
      <w:pPr>
        <w:widowControl w:val="0"/>
        <w:rPr>
          <w:i/>
          <w:sz w:val="20"/>
        </w:rPr>
      </w:pPr>
      <w:r w:rsidRPr="00D83DF6">
        <w:rPr>
          <w:i/>
          <w:sz w:val="20"/>
        </w:rPr>
        <w:t>(</w:t>
      </w:r>
      <w:r w:rsidR="003C50BF" w:rsidRPr="00D83DF6">
        <w:rPr>
          <w:i/>
          <w:sz w:val="20"/>
        </w:rPr>
        <w:t>Le</w:t>
      </w:r>
      <w:r w:rsidRPr="00D83DF6">
        <w:rPr>
          <w:i/>
          <w:sz w:val="20"/>
        </w:rPr>
        <w:t xml:space="preserve"> français suit)</w:t>
      </w:r>
    </w:p>
    <w:p w:rsidR="001C4415" w:rsidRPr="00D83DF6" w:rsidRDefault="001C4415" w:rsidP="001C4415">
      <w:pPr>
        <w:widowControl w:val="0"/>
      </w:pPr>
    </w:p>
    <w:p w:rsidR="001C4415" w:rsidRPr="00D83DF6" w:rsidRDefault="000347C1" w:rsidP="00214729">
      <w:pPr>
        <w:widowControl w:val="0"/>
        <w:jc w:val="center"/>
        <w:rPr>
          <w:b/>
        </w:rPr>
      </w:pPr>
      <w:r w:rsidRPr="00D83DF6">
        <w:fldChar w:fldCharType="begin"/>
      </w:r>
      <w:r w:rsidR="00FA7412" w:rsidRPr="00D83DF6">
        <w:instrText xml:space="preserve"> SEQ CHAPTER \h \r 1</w:instrText>
      </w:r>
      <w:r w:rsidRPr="00D83DF6">
        <w:fldChar w:fldCharType="end"/>
      </w:r>
      <w:r w:rsidR="00455BB9" w:rsidRPr="00D83DF6">
        <w:rPr>
          <w:b/>
        </w:rPr>
        <w:t>JUDGMENT</w:t>
      </w:r>
      <w:r w:rsidR="00FA7412" w:rsidRPr="00D83DF6">
        <w:rPr>
          <w:b/>
        </w:rPr>
        <w:t xml:space="preserve"> TO BE RENDERED IN APPEA</w:t>
      </w:r>
      <w:r w:rsidR="00CC2799" w:rsidRPr="00D83DF6">
        <w:rPr>
          <w:b/>
        </w:rPr>
        <w:t>L</w:t>
      </w:r>
    </w:p>
    <w:p w:rsidR="005A7C1B" w:rsidRPr="00D83DF6" w:rsidRDefault="005A7C1B" w:rsidP="005A7C1B">
      <w:pPr>
        <w:widowControl w:val="0"/>
      </w:pPr>
    </w:p>
    <w:p w:rsidR="00EC79B0" w:rsidRPr="00D83DF6" w:rsidRDefault="00D83DF6" w:rsidP="00EC79B0">
      <w:pPr>
        <w:widowControl w:val="0"/>
      </w:pPr>
      <w:r w:rsidRPr="00D83DF6">
        <w:rPr>
          <w:b/>
        </w:rPr>
        <w:t>June</w:t>
      </w:r>
      <w:r w:rsidR="00C86395" w:rsidRPr="00D83DF6">
        <w:rPr>
          <w:b/>
        </w:rPr>
        <w:t xml:space="preserve"> </w:t>
      </w:r>
      <w:r w:rsidRPr="00D83DF6">
        <w:rPr>
          <w:b/>
        </w:rPr>
        <w:t>13</w:t>
      </w:r>
      <w:r w:rsidR="00EC79B0" w:rsidRPr="00D83DF6">
        <w:rPr>
          <w:b/>
        </w:rPr>
        <w:t>, 2</w:t>
      </w:r>
      <w:r w:rsidR="00E6600C" w:rsidRPr="00D83DF6">
        <w:rPr>
          <w:b/>
        </w:rPr>
        <w:t>0</w:t>
      </w:r>
      <w:r w:rsidR="009544E9" w:rsidRPr="00D83DF6">
        <w:rPr>
          <w:b/>
        </w:rPr>
        <w:t>2</w:t>
      </w:r>
      <w:r w:rsidR="00B2287D" w:rsidRPr="00D83DF6">
        <w:rPr>
          <w:b/>
        </w:rPr>
        <w:t>2</w:t>
      </w:r>
      <w:bookmarkStart w:id="0" w:name="_GoBack"/>
      <w:bookmarkEnd w:id="0"/>
    </w:p>
    <w:p w:rsidR="00EC79B0" w:rsidRPr="00D83DF6" w:rsidRDefault="00EC79B0" w:rsidP="00EC79B0">
      <w:pPr>
        <w:widowControl w:val="0"/>
        <w:rPr>
          <w:b/>
        </w:rPr>
      </w:pPr>
      <w:r w:rsidRPr="00D83DF6">
        <w:rPr>
          <w:b/>
        </w:rPr>
        <w:t>For immediate release</w:t>
      </w:r>
    </w:p>
    <w:p w:rsidR="00EC79B0" w:rsidRPr="00D83DF6" w:rsidRDefault="00EC79B0" w:rsidP="00EC79B0">
      <w:pPr>
        <w:widowControl w:val="0"/>
      </w:pPr>
    </w:p>
    <w:p w:rsidR="00EC79B0" w:rsidRPr="00D83DF6" w:rsidRDefault="00EC79B0" w:rsidP="00EC79B0">
      <w:pPr>
        <w:widowControl w:val="0"/>
        <w:rPr>
          <w:lang w:val="fr-CA"/>
        </w:rPr>
      </w:pPr>
      <w:r w:rsidRPr="00D83DF6">
        <w:rPr>
          <w:b/>
        </w:rPr>
        <w:t>OTTAWA</w:t>
      </w:r>
      <w:r w:rsidRPr="00D83DF6">
        <w:t xml:space="preserve"> – The Supreme Court of Canad</w:t>
      </w:r>
      <w:r w:rsidR="00455BB9" w:rsidRPr="00D83DF6">
        <w:t>a announced today that judgment</w:t>
      </w:r>
      <w:r w:rsidRPr="00D83DF6">
        <w:t xml:space="preserve"> in the following appeal will be delivered at 9:45 a.m. E</w:t>
      </w:r>
      <w:r w:rsidR="00762B23" w:rsidRPr="00D83DF6">
        <w:t>D</w:t>
      </w:r>
      <w:r w:rsidR="00DC6C1E" w:rsidRPr="00D83DF6">
        <w:t>T</w:t>
      </w:r>
      <w:r w:rsidR="00D74667" w:rsidRPr="00D83DF6">
        <w:t xml:space="preserve"> on</w:t>
      </w:r>
      <w:r w:rsidR="00DC6C1E" w:rsidRPr="00D83DF6">
        <w:t xml:space="preserve"> </w:t>
      </w:r>
      <w:r w:rsidR="00F5120E" w:rsidRPr="00D83DF6">
        <w:t>Fri</w:t>
      </w:r>
      <w:r w:rsidR="00FC36F6" w:rsidRPr="00D83DF6">
        <w:t>day</w:t>
      </w:r>
      <w:r w:rsidR="000A7900" w:rsidRPr="00D83DF6">
        <w:t xml:space="preserve">, </w:t>
      </w:r>
      <w:r w:rsidR="00D83DF6" w:rsidRPr="00D83DF6">
        <w:t>June</w:t>
      </w:r>
      <w:r w:rsidR="004E605A" w:rsidRPr="00D83DF6">
        <w:t xml:space="preserve"> </w:t>
      </w:r>
      <w:r w:rsidR="00D83DF6" w:rsidRPr="00D83DF6">
        <w:t>17</w:t>
      </w:r>
      <w:r w:rsidR="00E63199" w:rsidRPr="00D83DF6">
        <w:t>, 2</w:t>
      </w:r>
      <w:r w:rsidR="0086609D" w:rsidRPr="00D83DF6">
        <w:t>0</w:t>
      </w:r>
      <w:r w:rsidR="009544E9" w:rsidRPr="00D83DF6">
        <w:t>2</w:t>
      </w:r>
      <w:r w:rsidR="00B2287D" w:rsidRPr="00D83DF6">
        <w:t>2</w:t>
      </w:r>
      <w:r w:rsidR="00455BB9" w:rsidRPr="00D83DF6">
        <w:t xml:space="preserve">. </w:t>
      </w:r>
      <w:r w:rsidR="00455BB9" w:rsidRPr="00D83DF6">
        <w:rPr>
          <w:lang w:val="fr-CA"/>
        </w:rPr>
        <w:t>This</w:t>
      </w:r>
      <w:r w:rsidRPr="00D83DF6">
        <w:rPr>
          <w:lang w:val="fr-CA"/>
        </w:rPr>
        <w:t xml:space="preserve"> list is subject to change.</w:t>
      </w:r>
    </w:p>
    <w:p w:rsidR="001F76DD" w:rsidRPr="00D83DF6" w:rsidRDefault="001F76DD" w:rsidP="001C4415">
      <w:pPr>
        <w:widowControl w:val="0"/>
        <w:rPr>
          <w:szCs w:val="24"/>
          <w:lang w:val="fr-CA"/>
        </w:rPr>
      </w:pPr>
    </w:p>
    <w:p w:rsidR="001C4415" w:rsidRPr="00D83DF6" w:rsidRDefault="001C4415" w:rsidP="001C4415">
      <w:pPr>
        <w:widowControl w:val="0"/>
        <w:rPr>
          <w:lang w:val="fr-CA"/>
        </w:rPr>
      </w:pPr>
    </w:p>
    <w:p w:rsidR="001335A1" w:rsidRPr="00D83DF6" w:rsidRDefault="001335A1" w:rsidP="001335A1">
      <w:pPr>
        <w:widowControl w:val="0"/>
        <w:jc w:val="center"/>
        <w:rPr>
          <w:b/>
          <w:lang w:val="fr-CA"/>
        </w:rPr>
      </w:pPr>
      <w:r w:rsidRPr="00D83DF6">
        <w:rPr>
          <w:b/>
          <w:lang w:val="fr-CA"/>
        </w:rPr>
        <w:t>PROCHAIN JUGEMENT</w:t>
      </w:r>
      <w:r w:rsidR="00455BB9" w:rsidRPr="00D83DF6">
        <w:rPr>
          <w:b/>
          <w:lang w:val="fr-CA"/>
        </w:rPr>
        <w:t xml:space="preserve"> SUR APPEL</w:t>
      </w:r>
    </w:p>
    <w:p w:rsidR="001335A1" w:rsidRPr="00D83DF6" w:rsidRDefault="001335A1" w:rsidP="001335A1">
      <w:pPr>
        <w:widowControl w:val="0"/>
        <w:rPr>
          <w:lang w:val="fr-CA"/>
        </w:rPr>
      </w:pPr>
    </w:p>
    <w:p w:rsidR="00EC79B0" w:rsidRPr="00D83DF6" w:rsidRDefault="00EC79B0" w:rsidP="00EC79B0">
      <w:pPr>
        <w:widowControl w:val="0"/>
        <w:rPr>
          <w:lang w:val="fr-CA"/>
        </w:rPr>
      </w:pPr>
      <w:r w:rsidRPr="00D83DF6">
        <w:rPr>
          <w:b/>
          <w:lang w:val="fr-CA"/>
        </w:rPr>
        <w:t xml:space="preserve">Le </w:t>
      </w:r>
      <w:r w:rsidR="00D83DF6" w:rsidRPr="00D83DF6">
        <w:rPr>
          <w:b/>
          <w:lang w:val="fr-CA"/>
        </w:rPr>
        <w:t>13</w:t>
      </w:r>
      <w:r w:rsidR="00FA5450" w:rsidRPr="00D83DF6">
        <w:rPr>
          <w:b/>
          <w:lang w:val="fr-CA"/>
        </w:rPr>
        <w:t xml:space="preserve"> </w:t>
      </w:r>
      <w:r w:rsidR="00D83DF6" w:rsidRPr="00D83DF6">
        <w:rPr>
          <w:b/>
          <w:lang w:val="fr-CA"/>
        </w:rPr>
        <w:t>juin</w:t>
      </w:r>
      <w:r w:rsidR="00C86395" w:rsidRPr="00D83DF6">
        <w:rPr>
          <w:b/>
          <w:lang w:val="fr-CA"/>
        </w:rPr>
        <w:t xml:space="preserve"> </w:t>
      </w:r>
      <w:r w:rsidR="0086609D" w:rsidRPr="00D83DF6">
        <w:rPr>
          <w:b/>
          <w:lang w:val="fr-CA"/>
        </w:rPr>
        <w:t>20</w:t>
      </w:r>
      <w:r w:rsidR="009544E9" w:rsidRPr="00D83DF6">
        <w:rPr>
          <w:b/>
          <w:lang w:val="fr-CA"/>
        </w:rPr>
        <w:t>2</w:t>
      </w:r>
      <w:r w:rsidR="00B2287D" w:rsidRPr="00D83DF6">
        <w:rPr>
          <w:b/>
          <w:lang w:val="fr-CA"/>
        </w:rPr>
        <w:t>2</w:t>
      </w:r>
    </w:p>
    <w:p w:rsidR="00EC79B0" w:rsidRPr="00D83DF6" w:rsidRDefault="00EC79B0" w:rsidP="00EC79B0">
      <w:pPr>
        <w:widowControl w:val="0"/>
        <w:rPr>
          <w:b/>
          <w:lang w:val="fr-CA"/>
        </w:rPr>
      </w:pPr>
      <w:r w:rsidRPr="00D83DF6">
        <w:rPr>
          <w:b/>
          <w:lang w:val="fr-CA"/>
        </w:rPr>
        <w:t>Pour diffusion immédiate</w:t>
      </w:r>
    </w:p>
    <w:p w:rsidR="00EC79B0" w:rsidRPr="00D83DF6" w:rsidRDefault="00EC79B0" w:rsidP="00EC79B0">
      <w:pPr>
        <w:widowControl w:val="0"/>
        <w:rPr>
          <w:lang w:val="fr-CA"/>
        </w:rPr>
      </w:pPr>
    </w:p>
    <w:p w:rsidR="00EC79B0" w:rsidRPr="00D83DF6" w:rsidRDefault="00EC79B0" w:rsidP="00EC79B0">
      <w:pPr>
        <w:widowControl w:val="0"/>
        <w:rPr>
          <w:lang w:val="fr-CA"/>
        </w:rPr>
      </w:pPr>
      <w:r w:rsidRPr="00D83DF6">
        <w:rPr>
          <w:b/>
          <w:lang w:val="fr-CA"/>
        </w:rPr>
        <w:t>OTTAWA</w:t>
      </w:r>
      <w:r w:rsidRPr="00D83DF6">
        <w:rPr>
          <w:lang w:val="fr-CA"/>
        </w:rPr>
        <w:t xml:space="preserve"> – La Cour suprême du Canada annonce que jugement ser</w:t>
      </w:r>
      <w:r w:rsidR="00204750" w:rsidRPr="00D83DF6">
        <w:rPr>
          <w:lang w:val="fr-CA"/>
        </w:rPr>
        <w:t>a</w:t>
      </w:r>
      <w:r w:rsidRPr="00D83DF6">
        <w:rPr>
          <w:lang w:val="fr-CA"/>
        </w:rPr>
        <w:t xml:space="preserve"> rendu dans </w:t>
      </w:r>
      <w:r w:rsidR="001F1643" w:rsidRPr="00D83DF6">
        <w:rPr>
          <w:lang w:val="fr-CA"/>
        </w:rPr>
        <w:t>l</w:t>
      </w:r>
      <w:r w:rsidR="00204750" w:rsidRPr="00D83DF6">
        <w:rPr>
          <w:lang w:val="fr-CA"/>
        </w:rPr>
        <w:t>’</w:t>
      </w:r>
      <w:r w:rsidR="001F1643" w:rsidRPr="00D83DF6">
        <w:rPr>
          <w:lang w:val="fr-CA"/>
        </w:rPr>
        <w:t xml:space="preserve">appel </w:t>
      </w:r>
      <w:r w:rsidRPr="00D83DF6">
        <w:rPr>
          <w:lang w:val="fr-CA"/>
        </w:rPr>
        <w:t xml:space="preserve">suivant le </w:t>
      </w:r>
      <w:r w:rsidR="00F5120E" w:rsidRPr="00D83DF6">
        <w:rPr>
          <w:lang w:val="fr-CA"/>
        </w:rPr>
        <w:t>v</w:t>
      </w:r>
      <w:r w:rsidR="00FC36F6" w:rsidRPr="00D83DF6">
        <w:rPr>
          <w:lang w:val="fr-CA"/>
        </w:rPr>
        <w:t>e</w:t>
      </w:r>
      <w:r w:rsidR="00F5120E" w:rsidRPr="00D83DF6">
        <w:rPr>
          <w:lang w:val="fr-CA"/>
        </w:rPr>
        <w:t>ndre</w:t>
      </w:r>
      <w:r w:rsidR="00FC36F6" w:rsidRPr="00D83DF6">
        <w:rPr>
          <w:lang w:val="fr-CA"/>
        </w:rPr>
        <w:t>di</w:t>
      </w:r>
      <w:r w:rsidR="007C1648" w:rsidRPr="00D83DF6">
        <w:rPr>
          <w:lang w:val="fr-CA"/>
        </w:rPr>
        <w:t xml:space="preserve"> </w:t>
      </w:r>
      <w:r w:rsidR="00D83DF6" w:rsidRPr="00D83DF6">
        <w:rPr>
          <w:lang w:val="fr-CA"/>
        </w:rPr>
        <w:t>17</w:t>
      </w:r>
      <w:r w:rsidR="00F62251" w:rsidRPr="00D83DF6">
        <w:rPr>
          <w:lang w:val="fr-CA"/>
        </w:rPr>
        <w:t xml:space="preserve"> </w:t>
      </w:r>
      <w:r w:rsidR="00D83DF6" w:rsidRPr="00D83DF6">
        <w:rPr>
          <w:lang w:val="fr-CA"/>
        </w:rPr>
        <w:t>juin</w:t>
      </w:r>
      <w:r w:rsidR="00282563" w:rsidRPr="00D83DF6">
        <w:rPr>
          <w:lang w:val="fr-CA"/>
        </w:rPr>
        <w:t xml:space="preserve"> </w:t>
      </w:r>
      <w:r w:rsidRPr="00D83DF6">
        <w:rPr>
          <w:lang w:val="fr-CA"/>
        </w:rPr>
        <w:t>20</w:t>
      </w:r>
      <w:r w:rsidR="009544E9" w:rsidRPr="00D83DF6">
        <w:rPr>
          <w:lang w:val="fr-CA"/>
        </w:rPr>
        <w:t>2</w:t>
      </w:r>
      <w:r w:rsidR="00B2287D" w:rsidRPr="00D83DF6">
        <w:rPr>
          <w:lang w:val="fr-CA"/>
        </w:rPr>
        <w:t>2</w:t>
      </w:r>
      <w:r w:rsidRPr="00D83DF6">
        <w:rPr>
          <w:lang w:val="fr-CA"/>
        </w:rPr>
        <w:t>, à 9 h 45 H</w:t>
      </w:r>
      <w:r w:rsidR="00762B23" w:rsidRPr="00D83DF6">
        <w:rPr>
          <w:lang w:val="fr-CA"/>
        </w:rPr>
        <w:t>A</w:t>
      </w:r>
      <w:r w:rsidRPr="00D83DF6">
        <w:rPr>
          <w:lang w:val="fr-CA"/>
        </w:rPr>
        <w:t>E. Cette liste est sujette à modifications.</w:t>
      </w:r>
    </w:p>
    <w:p w:rsidR="001F76DD" w:rsidRPr="00D83DF6" w:rsidRDefault="001F76DD" w:rsidP="00E92006">
      <w:pPr>
        <w:widowControl w:val="0"/>
        <w:jc w:val="both"/>
        <w:rPr>
          <w:szCs w:val="24"/>
          <w:lang w:val="fr-CA"/>
        </w:rPr>
      </w:pPr>
    </w:p>
    <w:p w:rsidR="00EF4622" w:rsidRPr="00D83DF6" w:rsidRDefault="00D83DF6" w:rsidP="00E92006">
      <w:pPr>
        <w:widowControl w:val="0"/>
        <w:jc w:val="both"/>
        <w:rPr>
          <w:szCs w:val="24"/>
          <w:lang w:val="fr-CA"/>
        </w:rPr>
      </w:pPr>
      <w:r w:rsidRPr="00D83DF6">
        <w:rPr>
          <w:sz w:val="20"/>
        </w:rPr>
        <w:pict>
          <v:rect id="_x0000_i1025" style="width:2in;height:1pt" o:hrpct="0" o:hralign="center" o:hrstd="t" o:hrnoshade="t" o:hr="t" fillcolor="black [3213]" stroked="f"/>
        </w:pict>
      </w:r>
    </w:p>
    <w:p w:rsidR="001335A1" w:rsidRPr="00D83DF6" w:rsidRDefault="001335A1" w:rsidP="001335A1">
      <w:pPr>
        <w:widowControl w:val="0"/>
        <w:rPr>
          <w:szCs w:val="24"/>
          <w:lang w:val="fr-CA"/>
        </w:rPr>
      </w:pPr>
    </w:p>
    <w:p w:rsidR="00772636" w:rsidRPr="00D83DF6" w:rsidRDefault="00D83DF6" w:rsidP="00772636">
      <w:pPr>
        <w:jc w:val="both"/>
        <w:rPr>
          <w:szCs w:val="24"/>
        </w:rPr>
      </w:pPr>
      <w:r w:rsidRPr="00D83DF6">
        <w:rPr>
          <w:i/>
          <w:szCs w:val="24"/>
        </w:rPr>
        <w:t>Attorney General of Canada, et al. v. Collins Family Trust, et al.</w:t>
      </w:r>
      <w:r w:rsidR="00735BE0" w:rsidRPr="00D83DF6">
        <w:rPr>
          <w:i/>
          <w:szCs w:val="24"/>
        </w:rPr>
        <w:t xml:space="preserve"> </w:t>
      </w:r>
      <w:r w:rsidR="00772636" w:rsidRPr="00D83DF6">
        <w:rPr>
          <w:szCs w:val="24"/>
          <w:lang w:val="fr-CA"/>
        </w:rPr>
        <w:t>(</w:t>
      </w:r>
      <w:r w:rsidRPr="00D83DF6">
        <w:rPr>
          <w:szCs w:val="24"/>
          <w:lang w:val="fr-CA"/>
        </w:rPr>
        <w:t>B.C.</w:t>
      </w:r>
      <w:r w:rsidR="00772636" w:rsidRPr="00D83DF6">
        <w:rPr>
          <w:szCs w:val="24"/>
          <w:lang w:val="fr-CA"/>
        </w:rPr>
        <w:t xml:space="preserve">) </w:t>
      </w:r>
      <w:r w:rsidR="00772636" w:rsidRPr="00D83DF6">
        <w:t>(</w:t>
      </w:r>
      <w:hyperlink r:id="rId7" w:history="1">
        <w:r w:rsidR="00772636" w:rsidRPr="00D83DF6">
          <w:rPr>
            <w:rStyle w:val="Hyperlink"/>
          </w:rPr>
          <w:t>3</w:t>
        </w:r>
        <w:r w:rsidR="000E38C2" w:rsidRPr="00D83DF6">
          <w:rPr>
            <w:rStyle w:val="Hyperlink"/>
          </w:rPr>
          <w:t>9</w:t>
        </w:r>
        <w:r w:rsidRPr="00D83DF6">
          <w:rPr>
            <w:rStyle w:val="Hyperlink"/>
          </w:rPr>
          <w:t>383</w:t>
        </w:r>
      </w:hyperlink>
      <w:r w:rsidR="00772636" w:rsidRPr="00D83DF6">
        <w:t>)</w:t>
      </w:r>
    </w:p>
    <w:p w:rsidR="000E38C2" w:rsidRPr="00D83DF6" w:rsidRDefault="000E38C2" w:rsidP="00340C6D">
      <w:pPr>
        <w:jc w:val="both"/>
        <w:rPr>
          <w:sz w:val="20"/>
        </w:rPr>
      </w:pPr>
    </w:p>
    <w:p w:rsidR="00710E8B" w:rsidRPr="00D83DF6" w:rsidRDefault="00710E8B" w:rsidP="00340C6D">
      <w:pPr>
        <w:jc w:val="both"/>
        <w:rPr>
          <w:sz w:val="20"/>
        </w:rPr>
      </w:pPr>
    </w:p>
    <w:bookmarkStart w:id="1" w:name="1"/>
    <w:bookmarkEnd w:id="1"/>
    <w:p w:rsidR="00D83DF6" w:rsidRPr="00D83DF6" w:rsidRDefault="00D83DF6" w:rsidP="00D83DF6">
      <w:pPr>
        <w:widowControl w:val="0"/>
        <w:ind w:left="720" w:hanging="720"/>
        <w:jc w:val="both"/>
        <w:rPr>
          <w:b/>
          <w:i/>
          <w:sz w:val="20"/>
          <w:lang w:val="en-CA"/>
        </w:rPr>
      </w:pPr>
      <w:r w:rsidRPr="00D83DF6">
        <w:rPr>
          <w:b/>
          <w:sz w:val="20"/>
          <w:lang w:val="en-CA"/>
        </w:rPr>
        <w:fldChar w:fldCharType="begin"/>
      </w:r>
      <w:r w:rsidRPr="00D83DF6">
        <w:rPr>
          <w:b/>
          <w:sz w:val="20"/>
        </w:rPr>
        <w:instrText xml:space="preserve"> SEQ CHAPTER \h \r 1</w:instrText>
      </w:r>
      <w:r w:rsidRPr="00D83DF6">
        <w:rPr>
          <w:b/>
          <w:sz w:val="20"/>
        </w:rPr>
        <w:fldChar w:fldCharType="end"/>
      </w:r>
      <w:r w:rsidRPr="00D83DF6">
        <w:rPr>
          <w:b/>
          <w:sz w:val="20"/>
          <w:lang w:val="en-CA"/>
        </w:rPr>
        <w:t>39383</w:t>
      </w:r>
      <w:r w:rsidRPr="00D83DF6">
        <w:rPr>
          <w:sz w:val="20"/>
          <w:lang w:val="en-CA"/>
        </w:rPr>
        <w:tab/>
      </w:r>
      <w:bookmarkStart w:id="2" w:name="3"/>
      <w:bookmarkEnd w:id="2"/>
      <w:r w:rsidRPr="00D83DF6">
        <w:rPr>
          <w:b/>
          <w:i/>
          <w:sz w:val="20"/>
        </w:rPr>
        <w:t xml:space="preserve">Attorney </w:t>
      </w:r>
      <w:r w:rsidRPr="00D83DF6">
        <w:rPr>
          <w:b/>
          <w:i/>
          <w:sz w:val="20"/>
          <w:lang w:val="en-CA"/>
        </w:rPr>
        <w:t>General</w:t>
      </w:r>
      <w:r w:rsidRPr="00D83DF6">
        <w:rPr>
          <w:b/>
          <w:i/>
          <w:sz w:val="20"/>
        </w:rPr>
        <w:t xml:space="preserve"> of Canada</w:t>
      </w:r>
      <w:r w:rsidRPr="00D83DF6">
        <w:rPr>
          <w:b/>
          <w:i/>
          <w:sz w:val="20"/>
          <w:lang w:val="en-CA"/>
        </w:rPr>
        <w:t xml:space="preserve"> v. </w:t>
      </w:r>
      <w:r w:rsidRPr="00D83DF6">
        <w:rPr>
          <w:b/>
          <w:i/>
          <w:sz w:val="20"/>
        </w:rPr>
        <w:t xml:space="preserve">Collins Family Trust; Attorney General of Canada v. Cochran Family Trust </w:t>
      </w:r>
    </w:p>
    <w:p w:rsidR="00D83DF6" w:rsidRPr="00D83DF6" w:rsidRDefault="00D83DF6" w:rsidP="00D83DF6">
      <w:pPr>
        <w:widowControl w:val="0"/>
        <w:ind w:left="1440" w:hanging="731"/>
        <w:jc w:val="both"/>
        <w:rPr>
          <w:sz w:val="20"/>
          <w:lang w:val="en-CA"/>
        </w:rPr>
      </w:pPr>
      <w:r w:rsidRPr="00D83DF6">
        <w:rPr>
          <w:sz w:val="20"/>
          <w:lang w:val="en-CA"/>
        </w:rPr>
        <w:t>(B.C.) (Civil) (By Leave)</w:t>
      </w:r>
    </w:p>
    <w:p w:rsidR="00D83DF6" w:rsidRPr="00D83DF6" w:rsidRDefault="00D83DF6" w:rsidP="00D83DF6">
      <w:pPr>
        <w:widowControl w:val="0"/>
        <w:jc w:val="both"/>
        <w:rPr>
          <w:sz w:val="20"/>
          <w:lang w:val="en-CA"/>
        </w:rPr>
      </w:pPr>
      <w:bookmarkStart w:id="3" w:name="QuickMark_1"/>
      <w:bookmarkEnd w:id="3"/>
    </w:p>
    <w:p w:rsidR="00D83DF6" w:rsidRPr="00D83DF6" w:rsidRDefault="00D83DF6" w:rsidP="00D83DF6">
      <w:pPr>
        <w:widowControl w:val="0"/>
        <w:tabs>
          <w:tab w:val="left" w:pos="720"/>
        </w:tabs>
        <w:jc w:val="both"/>
        <w:textAlignment w:val="baseline"/>
        <w:rPr>
          <w:i/>
          <w:sz w:val="20"/>
        </w:rPr>
      </w:pPr>
      <w:r w:rsidRPr="00D83DF6">
        <w:rPr>
          <w:sz w:val="20"/>
        </w:rPr>
        <w:t xml:space="preserve">Taxation </w:t>
      </w:r>
      <w:r w:rsidRPr="00D83DF6">
        <w:rPr>
          <w:color w:val="000000"/>
          <w:sz w:val="20"/>
        </w:rPr>
        <w:t xml:space="preserve">- </w:t>
      </w:r>
      <w:r w:rsidRPr="00D83DF6">
        <w:rPr>
          <w:sz w:val="20"/>
        </w:rPr>
        <w:t xml:space="preserve">Equity </w:t>
      </w:r>
      <w:r w:rsidRPr="00D83DF6">
        <w:rPr>
          <w:color w:val="000000"/>
          <w:sz w:val="20"/>
        </w:rPr>
        <w:t xml:space="preserve">- </w:t>
      </w:r>
      <w:r w:rsidRPr="00D83DF6">
        <w:rPr>
          <w:sz w:val="20"/>
        </w:rPr>
        <w:t xml:space="preserve">Remedies </w:t>
      </w:r>
      <w:r w:rsidRPr="00D83DF6">
        <w:rPr>
          <w:color w:val="000000"/>
          <w:sz w:val="20"/>
        </w:rPr>
        <w:t xml:space="preserve">- </w:t>
      </w:r>
      <w:r w:rsidRPr="00D83DF6">
        <w:rPr>
          <w:sz w:val="20"/>
        </w:rPr>
        <w:t xml:space="preserve">Equitable rescission </w:t>
      </w:r>
      <w:r w:rsidRPr="00D83DF6">
        <w:rPr>
          <w:color w:val="000000"/>
          <w:sz w:val="20"/>
        </w:rPr>
        <w:t xml:space="preserve">- Tax professionals devise plans to shelter corporations’ assets from potential future creditors - </w:t>
      </w:r>
      <w:r w:rsidRPr="00D83DF6">
        <w:rPr>
          <w:sz w:val="20"/>
        </w:rPr>
        <w:t xml:space="preserve">Corporations implement plan and each in part issues dividends to family trusts - </w:t>
      </w:r>
      <w:r w:rsidRPr="00D83DF6">
        <w:rPr>
          <w:color w:val="000000"/>
          <w:sz w:val="20"/>
        </w:rPr>
        <w:t xml:space="preserve">Plans consistent with Canada Revenue Agency’s interpretation of </w:t>
      </w:r>
      <w:hyperlink r:id="rId8" w:anchor="sec75subsec2_smooth" w:history="1">
        <w:r w:rsidRPr="00D83DF6">
          <w:rPr>
            <w:rFonts w:eastAsiaTheme="majorEastAsia"/>
            <w:sz w:val="20"/>
          </w:rPr>
          <w:t>s. 75(2)</w:t>
        </w:r>
      </w:hyperlink>
      <w:r w:rsidRPr="00D83DF6">
        <w:rPr>
          <w:sz w:val="20"/>
        </w:rPr>
        <w:t xml:space="preserve"> of </w:t>
      </w:r>
      <w:r w:rsidRPr="00D83DF6">
        <w:rPr>
          <w:i/>
          <w:color w:val="000000"/>
          <w:sz w:val="20"/>
        </w:rPr>
        <w:t xml:space="preserve">Income Tax Act </w:t>
      </w:r>
      <w:r w:rsidRPr="00D83DF6">
        <w:rPr>
          <w:color w:val="000000"/>
          <w:sz w:val="20"/>
        </w:rPr>
        <w:t>-</w:t>
      </w:r>
      <w:r w:rsidRPr="00D83DF6">
        <w:rPr>
          <w:sz w:val="20"/>
        </w:rPr>
        <w:t xml:space="preserve">Tax Court of Canada adopts narrower interpretation of s. 75(2) - </w:t>
      </w:r>
      <w:r w:rsidRPr="00D83DF6">
        <w:rPr>
          <w:color w:val="000000"/>
          <w:sz w:val="20"/>
        </w:rPr>
        <w:t>Dividends to family trusts trigger unanticipated income tax liabilities - Whether equitable remedy of rescission available to unwind transactions - W</w:t>
      </w:r>
      <w:r w:rsidRPr="00D83DF6">
        <w:rPr>
          <w:color w:val="000000"/>
          <w:spacing w:val="-1"/>
          <w:sz w:val="20"/>
        </w:rPr>
        <w:t xml:space="preserve">hat is the test for equitable recission </w:t>
      </w:r>
      <w:r w:rsidRPr="00D83DF6">
        <w:rPr>
          <w:color w:val="000000"/>
          <w:sz w:val="20"/>
        </w:rPr>
        <w:t>- Whether equitable relief should be granted when alternative remedies are available?</w:t>
      </w:r>
    </w:p>
    <w:p w:rsidR="00D83DF6" w:rsidRPr="00D83DF6" w:rsidRDefault="00D83DF6" w:rsidP="00D83DF6">
      <w:pPr>
        <w:widowControl w:val="0"/>
        <w:jc w:val="both"/>
        <w:rPr>
          <w:sz w:val="20"/>
        </w:rPr>
      </w:pPr>
    </w:p>
    <w:p w:rsidR="00D83DF6" w:rsidRPr="00D83DF6" w:rsidRDefault="00D83DF6" w:rsidP="00D83DF6">
      <w:pPr>
        <w:jc w:val="both"/>
        <w:rPr>
          <w:sz w:val="20"/>
        </w:rPr>
      </w:pPr>
      <w:r w:rsidRPr="00D83DF6">
        <w:rPr>
          <w:sz w:val="20"/>
        </w:rPr>
        <w:t xml:space="preserve">Two corporations implemented a plan devised by a tax professional to protect corporate assets from future creditors. The plans were intended not to incur income tax liability. In part, the plans involved each corporation issuing dividends to a newly-created family trust. The effectiveness of the plan depended on a widely-accepted interpretation of </w:t>
      </w:r>
      <w:r w:rsidRPr="00D83DF6">
        <w:rPr>
          <w:rFonts w:eastAsiaTheme="majorEastAsia"/>
          <w:sz w:val="20"/>
        </w:rPr>
        <w:t xml:space="preserve">s. 75(2) </w:t>
      </w:r>
      <w:r w:rsidRPr="00D83DF6">
        <w:rPr>
          <w:sz w:val="20"/>
        </w:rPr>
        <w:t xml:space="preserve">of </w:t>
      </w:r>
      <w:r w:rsidRPr="00D83DF6">
        <w:rPr>
          <w:rFonts w:eastAsiaTheme="majorEastAsia"/>
          <w:sz w:val="20"/>
        </w:rPr>
        <w:t xml:space="preserve">the </w:t>
      </w:r>
      <w:r w:rsidRPr="00D83DF6">
        <w:rPr>
          <w:rFonts w:eastAsiaTheme="majorEastAsia"/>
          <w:i/>
          <w:sz w:val="20"/>
        </w:rPr>
        <w:t>Income Tax Act</w:t>
      </w:r>
      <w:hyperlink r:id="rId9" w:history="1">
        <w:r w:rsidRPr="00D83DF6">
          <w:rPr>
            <w:rFonts w:eastAsiaTheme="majorEastAsia"/>
            <w:sz w:val="20"/>
          </w:rPr>
          <w:t>, R.S.C., 1985, c. 1 (5th Supp</w:t>
        </w:r>
      </w:hyperlink>
      <w:r w:rsidRPr="00D83DF6">
        <w:rPr>
          <w:sz w:val="20"/>
        </w:rPr>
        <w:t xml:space="preserve">.). At the time the plans were implemented, the interpretation was shared by Canada Revenue Agency. </w:t>
      </w:r>
      <w:r w:rsidRPr="00D83DF6">
        <w:rPr>
          <w:i/>
          <w:sz w:val="20"/>
        </w:rPr>
        <w:t>Sommerer v. Canada</w:t>
      </w:r>
      <w:r w:rsidRPr="00D83DF6">
        <w:rPr>
          <w:sz w:val="20"/>
        </w:rPr>
        <w:t xml:space="preserve">, 2011 TCC 21, affirmed </w:t>
      </w:r>
      <w:hyperlink r:id="rId10" w:history="1">
        <w:r w:rsidRPr="00D83DF6">
          <w:rPr>
            <w:sz w:val="20"/>
          </w:rPr>
          <w:t>2012 FCA 207</w:t>
        </w:r>
      </w:hyperlink>
      <w:r w:rsidRPr="00D83DF6">
        <w:rPr>
          <w:sz w:val="20"/>
        </w:rPr>
        <w:t xml:space="preserve">, subsequently adopted a narrower interpretation of </w:t>
      </w:r>
      <w:hyperlink r:id="rId11" w:anchor="sec75subsec2_smooth" w:history="1">
        <w:r w:rsidRPr="00D83DF6">
          <w:rPr>
            <w:rFonts w:eastAsiaTheme="majorEastAsia"/>
            <w:sz w:val="20"/>
          </w:rPr>
          <w:t>s. 75(2)</w:t>
        </w:r>
      </w:hyperlink>
      <w:r w:rsidRPr="00D83DF6">
        <w:rPr>
          <w:rFonts w:eastAsiaTheme="majorEastAsia"/>
          <w:sz w:val="20"/>
        </w:rPr>
        <w:t>.</w:t>
      </w:r>
      <w:r w:rsidRPr="00D83DF6">
        <w:rPr>
          <w:sz w:val="20"/>
        </w:rPr>
        <w:t xml:space="preserve"> Canada Revenue Agency issued notices of reassessment to each family trust for the taxation years in which dividends were paid. Objections to the reassessments were unsuccessful. The Supreme Court of British Columbia granted equitable recission of the payments of dividends. The Court of Appeal dismissed an appeal.</w:t>
      </w:r>
    </w:p>
    <w:p w:rsidR="00D83DF6" w:rsidRPr="00D83DF6" w:rsidRDefault="00D83DF6" w:rsidP="00D83DF6">
      <w:pPr>
        <w:jc w:val="both"/>
        <w:rPr>
          <w:sz w:val="20"/>
        </w:rPr>
      </w:pPr>
    </w:p>
    <w:p w:rsidR="00D83DF6" w:rsidRPr="00D83DF6" w:rsidRDefault="00D83DF6" w:rsidP="00D83DF6">
      <w:pPr>
        <w:jc w:val="both"/>
        <w:rPr>
          <w:sz w:val="20"/>
        </w:rPr>
      </w:pPr>
      <w:r w:rsidRPr="00D83DF6">
        <w:rPr>
          <w:sz w:val="20"/>
        </w:rPr>
        <w:pict>
          <v:rect id="_x0000_i1028" style="width:2in;height:1pt" o:hrpct="0" o:hralign="center" o:hrstd="t" o:hrnoshade="t" o:hr="t" fillcolor="black [3213]" stroked="f"/>
        </w:pict>
      </w:r>
    </w:p>
    <w:p w:rsidR="00D83DF6" w:rsidRPr="00D83DF6" w:rsidRDefault="00D83DF6" w:rsidP="00D83DF6">
      <w:pPr>
        <w:jc w:val="both"/>
        <w:rPr>
          <w:sz w:val="20"/>
        </w:rPr>
      </w:pPr>
    </w:p>
    <w:p w:rsidR="00D83DF6" w:rsidRPr="00D83DF6" w:rsidRDefault="00D83DF6" w:rsidP="00D83DF6">
      <w:pPr>
        <w:pStyle w:val="SCCLsocParty"/>
        <w:ind w:left="720" w:hanging="720"/>
        <w:rPr>
          <w:b/>
          <w:i w:val="0"/>
          <w:sz w:val="20"/>
          <w:szCs w:val="20"/>
        </w:rPr>
      </w:pPr>
      <w:r w:rsidRPr="00D83DF6">
        <w:rPr>
          <w:rStyle w:val="SCCFileNumberChar"/>
          <w:i w:val="0"/>
          <w:sz w:val="20"/>
          <w:szCs w:val="20"/>
          <w:lang w:val="fr-CA"/>
        </w:rPr>
        <w:t>39383</w:t>
      </w:r>
      <w:r w:rsidRPr="00D83DF6">
        <w:rPr>
          <w:rStyle w:val="SCCFileNumberChar"/>
          <w:i w:val="0"/>
          <w:sz w:val="20"/>
          <w:szCs w:val="20"/>
          <w:lang w:val="fr-CA"/>
        </w:rPr>
        <w:tab/>
      </w:r>
      <w:r w:rsidRPr="00D83DF6">
        <w:rPr>
          <w:b/>
          <w:sz w:val="20"/>
          <w:szCs w:val="20"/>
        </w:rPr>
        <w:t>Procureur général du Canada c. Collins Family Trust; Procureur général du Canada c. Cochran Family Trust</w:t>
      </w:r>
    </w:p>
    <w:p w:rsidR="00D83DF6" w:rsidRPr="00D83DF6" w:rsidRDefault="00D83DF6" w:rsidP="00D83DF6">
      <w:pPr>
        <w:ind w:left="360" w:firstLine="360"/>
        <w:jc w:val="both"/>
        <w:rPr>
          <w:sz w:val="20"/>
          <w:lang w:val="fr-CA"/>
        </w:rPr>
      </w:pPr>
      <w:r w:rsidRPr="00D83DF6">
        <w:rPr>
          <w:sz w:val="20"/>
          <w:lang w:val="fr-CA"/>
        </w:rPr>
        <w:t>(C.-B.) (Civile) (Sur autorisation)</w:t>
      </w:r>
    </w:p>
    <w:p w:rsidR="00D83DF6" w:rsidRPr="00D83DF6" w:rsidRDefault="00D83DF6" w:rsidP="00D83DF6">
      <w:pPr>
        <w:jc w:val="both"/>
        <w:rPr>
          <w:sz w:val="20"/>
          <w:lang w:val="fr-CA"/>
        </w:rPr>
      </w:pPr>
    </w:p>
    <w:p w:rsidR="00D83DF6" w:rsidRPr="00D83DF6" w:rsidRDefault="00D83DF6" w:rsidP="00D83DF6">
      <w:pPr>
        <w:jc w:val="both"/>
        <w:rPr>
          <w:sz w:val="20"/>
          <w:lang w:val="fr-CA"/>
        </w:rPr>
      </w:pPr>
      <w:r w:rsidRPr="00D83DF6">
        <w:rPr>
          <w:sz w:val="20"/>
          <w:lang w:val="fr-CA"/>
        </w:rPr>
        <w:t xml:space="preserve">Droit fiscal - Equity - Réparations - Annulation en equity - Des fiscalistes élaborent des régimes visant à protéger les actifs de sociétés contre d’éventuels créanciers - Les sociétés mettent en œuvre les régimes et </w:t>
      </w:r>
      <w:r w:rsidRPr="00D83DF6">
        <w:rPr>
          <w:color w:val="000000"/>
          <w:sz w:val="20"/>
          <w:lang w:val="fr-CA" w:eastAsia="en-CA"/>
        </w:rPr>
        <w:t>chacune</w:t>
      </w:r>
      <w:r w:rsidRPr="00D83DF6">
        <w:rPr>
          <w:sz w:val="20"/>
          <w:lang w:val="fr-CA"/>
        </w:rPr>
        <w:t xml:space="preserve"> verse, notamment, des dividendes à des fiducies familiales - Les régimes sont compatibles avec l’interprétation que fait l’Agence du revenu du Canada du par. 75(2) de la </w:t>
      </w:r>
      <w:r w:rsidRPr="00D83DF6">
        <w:rPr>
          <w:i/>
          <w:sz w:val="20"/>
          <w:lang w:val="fr-CA"/>
        </w:rPr>
        <w:t>Loi de l’impôt sur le revenu</w:t>
      </w:r>
      <w:r w:rsidRPr="00D83DF6">
        <w:rPr>
          <w:sz w:val="20"/>
          <w:lang w:val="fr-CA"/>
        </w:rPr>
        <w:t xml:space="preserve"> - La Cour canadienne de l’impôt adopte une interprétation plus étroite du par. 75(2) - Le versement des dividendes aux fiducies familiales engendre des dettes inattendues au titre de l’impôt sur le revenu - Est-il possible d’obtenir l’annulation, une réparation en equity, afin de dénouer les opérations? - Quel est le critère applicable à l’annulation en equity? Une réparation en equity devrait-elle être accordée lorsque d’autres mesures réparatoires sont possibles?</w:t>
      </w:r>
    </w:p>
    <w:p w:rsidR="00D83DF6" w:rsidRPr="00D83DF6" w:rsidRDefault="00D83DF6" w:rsidP="00D83DF6">
      <w:pPr>
        <w:jc w:val="both"/>
        <w:rPr>
          <w:sz w:val="20"/>
          <w:lang w:val="fr-CA"/>
        </w:rPr>
      </w:pPr>
    </w:p>
    <w:p w:rsidR="00D83DF6" w:rsidRPr="00D83DF6" w:rsidRDefault="00D83DF6" w:rsidP="00D83DF6">
      <w:pPr>
        <w:jc w:val="both"/>
        <w:rPr>
          <w:sz w:val="20"/>
          <w:lang w:val="fr-CA"/>
        </w:rPr>
      </w:pPr>
      <w:r w:rsidRPr="00D83DF6">
        <w:rPr>
          <w:sz w:val="20"/>
          <w:lang w:val="fr-CA"/>
        </w:rPr>
        <w:t xml:space="preserve">Deux sociétés ont mis en œuvre un régime élaboré par un fiscaliste afin de protéger leurs actifs contre d’éventuels créanciers. Les régimes avaient pour but de ne pas créer de dette au titre de l’impôt sur le revenu. Les régimes prévoyaient, notamment, le versement de dividendes par chacune des sociétés à une fiducie familiale nouvellement créée. L’efficacité du régime dépendait d’une interprétation largement reconnue du paragraphe </w:t>
      </w:r>
      <w:r w:rsidRPr="00D83DF6">
        <w:rPr>
          <w:rFonts w:eastAsiaTheme="majorEastAsia"/>
          <w:sz w:val="20"/>
          <w:lang w:val="fr-CA"/>
        </w:rPr>
        <w:t xml:space="preserve">75(2) de la </w:t>
      </w:r>
      <w:r w:rsidRPr="00D83DF6">
        <w:rPr>
          <w:rFonts w:eastAsiaTheme="majorEastAsia"/>
          <w:i/>
          <w:sz w:val="20"/>
          <w:lang w:val="fr-CA"/>
        </w:rPr>
        <w:t>Loi de l’impôt sur le revenu</w:t>
      </w:r>
      <w:hyperlink r:id="rId12" w:history="1">
        <w:r w:rsidRPr="00D83DF6">
          <w:rPr>
            <w:rStyle w:val="Hyperlink"/>
            <w:rFonts w:eastAsiaTheme="majorEastAsia"/>
            <w:color w:val="auto"/>
            <w:sz w:val="20"/>
            <w:u w:val="none"/>
            <w:lang w:val="fr-CA"/>
          </w:rPr>
          <w:t xml:space="preserve"> L.R.C. 1985, c. 1 (5</w:t>
        </w:r>
        <w:r w:rsidRPr="00D83DF6">
          <w:rPr>
            <w:rStyle w:val="Hyperlink"/>
            <w:rFonts w:eastAsiaTheme="majorEastAsia"/>
            <w:color w:val="auto"/>
            <w:sz w:val="20"/>
            <w:u w:val="none"/>
            <w:vertAlign w:val="superscript"/>
            <w:lang w:val="fr-CA"/>
          </w:rPr>
          <w:t>e</w:t>
        </w:r>
        <w:r w:rsidRPr="00D83DF6">
          <w:rPr>
            <w:rStyle w:val="Hyperlink"/>
            <w:rFonts w:eastAsiaTheme="majorEastAsia"/>
            <w:color w:val="auto"/>
            <w:sz w:val="20"/>
            <w:u w:val="none"/>
            <w:lang w:val="fr-CA"/>
          </w:rPr>
          <w:t xml:space="preserve"> supp</w:t>
        </w:r>
      </w:hyperlink>
      <w:r w:rsidRPr="00D83DF6">
        <w:rPr>
          <w:rFonts w:eastAsiaTheme="majorEastAsia"/>
          <w:sz w:val="20"/>
          <w:lang w:val="fr-CA"/>
        </w:rPr>
        <w:t>l.)</w:t>
      </w:r>
      <w:r w:rsidRPr="00D83DF6">
        <w:rPr>
          <w:rFonts w:eastAsiaTheme="majorEastAsia"/>
          <w:i/>
          <w:sz w:val="20"/>
          <w:lang w:val="fr-CA"/>
        </w:rPr>
        <w:t>.</w:t>
      </w:r>
      <w:r w:rsidRPr="00D83DF6">
        <w:rPr>
          <w:sz w:val="20"/>
          <w:lang w:val="fr-CA"/>
        </w:rPr>
        <w:t xml:space="preserve"> Au moment où les régimes ont été mis en œuvre, cette interprétation était acceptée par l’Agence du revenu du Canada. Dans la décision </w:t>
      </w:r>
      <w:r w:rsidRPr="00D83DF6">
        <w:rPr>
          <w:i/>
          <w:sz w:val="20"/>
          <w:lang w:val="fr-CA"/>
        </w:rPr>
        <w:t>Sommerer c. Canada</w:t>
      </w:r>
      <w:r w:rsidRPr="00D83DF6">
        <w:rPr>
          <w:sz w:val="20"/>
          <w:lang w:val="fr-CA"/>
        </w:rPr>
        <w:t xml:space="preserve">, 2011 CCI 21, conf. </w:t>
      </w:r>
      <w:proofErr w:type="gramStart"/>
      <w:r w:rsidRPr="00D83DF6">
        <w:rPr>
          <w:sz w:val="20"/>
          <w:lang w:val="fr-CA"/>
        </w:rPr>
        <w:t>par</w:t>
      </w:r>
      <w:proofErr w:type="gramEnd"/>
      <w:r w:rsidRPr="00D83DF6">
        <w:rPr>
          <w:sz w:val="20"/>
          <w:lang w:val="fr-CA"/>
        </w:rPr>
        <w:t xml:space="preserve"> 2012 CAF 207, rendue subséquemment, une interprétation plus étroite du par. 75(2) a été adoptée. L’Agence du revenu du Canada a établi de nouvelles cotisations à l’égard des années d’imposition dans lesquelles des dividendes avaient été versés relativement à chaque fiducie familiale. Les contestations à l’égard des nouvelles cotisations ont échoué. La Cour suprême de la Colombie</w:t>
      </w:r>
      <w:r w:rsidRPr="00D83DF6">
        <w:rPr>
          <w:sz w:val="20"/>
          <w:lang w:val="fr-CA"/>
        </w:rPr>
        <w:noBreakHyphen/>
        <w:t>Britannique a accordé l’annulation en equity des versements de dividendes. La Cour d’appel a rejeté l’appel.</w:t>
      </w:r>
    </w:p>
    <w:p w:rsidR="00F5120E" w:rsidRPr="00D83DF6" w:rsidRDefault="00F5120E" w:rsidP="00F5120E">
      <w:pPr>
        <w:widowControl w:val="0"/>
        <w:jc w:val="both"/>
        <w:rPr>
          <w:sz w:val="20"/>
          <w:lang w:val="fr-CA"/>
        </w:rPr>
      </w:pPr>
    </w:p>
    <w:p w:rsidR="00F5120E" w:rsidRPr="00D83DF6" w:rsidRDefault="00D83DF6" w:rsidP="00F5120E">
      <w:pPr>
        <w:widowControl w:val="0"/>
        <w:jc w:val="both"/>
        <w:rPr>
          <w:sz w:val="20"/>
          <w:lang w:val="fr-CA"/>
        </w:rPr>
      </w:pPr>
      <w:r w:rsidRPr="00D83DF6">
        <w:rPr>
          <w:sz w:val="20"/>
        </w:rPr>
        <w:pict>
          <v:rect id="_x0000_i1027" style="width:2in;height:1pt" o:hrpct="0" o:hralign="center" o:hrstd="t" o:hrnoshade="t" o:hr="t" fillcolor="black [3213]" stroked="f"/>
        </w:pict>
      </w:r>
    </w:p>
    <w:p w:rsidR="00E92006" w:rsidRPr="00D83DF6" w:rsidRDefault="00E92006" w:rsidP="00340C6D">
      <w:pPr>
        <w:jc w:val="both"/>
        <w:rPr>
          <w:sz w:val="20"/>
          <w:lang w:val="fr-CA"/>
        </w:rPr>
      </w:pPr>
    </w:p>
    <w:p w:rsidR="00E92006" w:rsidRPr="00D83DF6" w:rsidRDefault="00E92006" w:rsidP="00340C6D">
      <w:pPr>
        <w:jc w:val="both"/>
        <w:rPr>
          <w:sz w:val="20"/>
          <w:lang w:val="fr-CA"/>
        </w:rPr>
      </w:pPr>
    </w:p>
    <w:p w:rsidR="00072A63" w:rsidRPr="00D83DF6" w:rsidRDefault="00072A63" w:rsidP="00EC79B0">
      <w:pPr>
        <w:jc w:val="both"/>
        <w:rPr>
          <w:sz w:val="20"/>
          <w:lang w:val="fr-CA"/>
        </w:rPr>
      </w:pPr>
    </w:p>
    <w:p w:rsidR="001C4415" w:rsidRPr="00D83DF6" w:rsidRDefault="001C4415" w:rsidP="001C4415">
      <w:pPr>
        <w:widowControl w:val="0"/>
        <w:outlineLvl w:val="0"/>
      </w:pPr>
      <w:r w:rsidRPr="00D83DF6">
        <w:t xml:space="preserve">Supreme Court of Canada / Cour suprême du </w:t>
      </w:r>
      <w:proofErr w:type="gramStart"/>
      <w:r w:rsidRPr="00D83DF6">
        <w:t>Canada :</w:t>
      </w:r>
      <w:proofErr w:type="gramEnd"/>
      <w:r w:rsidRPr="00D83DF6">
        <w:t xml:space="preserve"> </w:t>
      </w:r>
    </w:p>
    <w:p w:rsidR="001C4415" w:rsidRPr="00D83DF6" w:rsidRDefault="00D83DF6" w:rsidP="001C4415">
      <w:pPr>
        <w:widowControl w:val="0"/>
        <w:outlineLvl w:val="0"/>
      </w:pPr>
      <w:hyperlink r:id="rId13" w:history="1">
        <w:r w:rsidR="001C4415" w:rsidRPr="00D83DF6">
          <w:rPr>
            <w:rStyle w:val="Hyperlink"/>
          </w:rPr>
          <w:t>comments-commentaires@scc-csc.ca</w:t>
        </w:r>
      </w:hyperlink>
    </w:p>
    <w:p w:rsidR="001C4415" w:rsidRPr="00D83DF6" w:rsidRDefault="001C4415" w:rsidP="001C4415">
      <w:pPr>
        <w:widowControl w:val="0"/>
        <w:outlineLvl w:val="0"/>
      </w:pPr>
      <w:r w:rsidRPr="00D83DF6">
        <w:t>(613) 995-4330</w:t>
      </w:r>
    </w:p>
    <w:p w:rsidR="001C4415" w:rsidRPr="00D83DF6" w:rsidRDefault="001C4415" w:rsidP="001C4415">
      <w:pPr>
        <w:widowControl w:val="0"/>
        <w:rPr>
          <w:sz w:val="20"/>
        </w:rPr>
      </w:pPr>
    </w:p>
    <w:p w:rsidR="0036476C" w:rsidRPr="00A8502B" w:rsidRDefault="001C4415" w:rsidP="0036476C">
      <w:pPr>
        <w:pStyle w:val="Footer"/>
        <w:jc w:val="center"/>
        <w:rPr>
          <w:lang w:val="fr-CA"/>
        </w:rPr>
      </w:pPr>
      <w:r w:rsidRPr="00D83DF6">
        <w:rPr>
          <w:lang w:val="fr-CA"/>
        </w:rPr>
        <w:t xml:space="preserve">- 30 </w:t>
      </w:r>
      <w:r w:rsidR="003C1B6E" w:rsidRPr="00D83DF6">
        <w:rPr>
          <w:lang w:val="fr-CA"/>
        </w:rPr>
        <w:t>-</w:t>
      </w:r>
    </w:p>
    <w:p w:rsidR="0036476C" w:rsidRPr="00A8502B" w:rsidRDefault="0036476C" w:rsidP="0036476C">
      <w:pPr>
        <w:pStyle w:val="Footer"/>
        <w:jc w:val="center"/>
        <w:rPr>
          <w:lang w:val="fr-CA"/>
        </w:rPr>
      </w:pPr>
    </w:p>
    <w:sectPr w:rsidR="0036476C" w:rsidRPr="00A8502B" w:rsidSect="00D362A2">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1-5th-supp/latest/rsc-1985-c-1-5th-supp.html"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c-csc.ca/case-dossier/info/sum-som-eng.aspx?cas=39383" TargetMode="External"/><Relationship Id="rId12" Type="http://schemas.openxmlformats.org/officeDocument/2006/relationships/hyperlink" Target="https://www.canlii.org/en/ca/laws/stat/rsc-1985-c-1-5th-supp/latest/rsc-1985-c-1-5th-supp.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ca/laws/stat/rsc-1985-c-1-5th-supp/latest/rsc-1985-c-1-5th-supp.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lii.org/en/ca/fca/doc/2012/2012fca207/2012fca207.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lii.org/en/ca/laws/stat/rsc-1985-c-1-5th-supp/latest/rsc-1985-c-1-5th-supp.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4764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2022-05-25T18:47:00Z</dcterms:modified>
</cp:coreProperties>
</file>