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06D6F" w:rsidRDefault="000E391F" w:rsidP="000E391F">
      <w:pPr>
        <w:pStyle w:val="Header"/>
        <w:jc w:val="center"/>
        <w:rPr>
          <w:b/>
          <w:sz w:val="32"/>
          <w:szCs w:val="32"/>
        </w:rPr>
      </w:pPr>
      <w:r w:rsidRPr="00F06D6F">
        <w:rPr>
          <w:b/>
          <w:sz w:val="32"/>
          <w:szCs w:val="32"/>
        </w:rPr>
        <w:t>Supreme Court of Canada / Cour suprême du Canada</w:t>
      </w:r>
    </w:p>
    <w:p w:rsidR="000E391F" w:rsidRPr="00F06D6F" w:rsidRDefault="000E391F" w:rsidP="000E391F">
      <w:pPr>
        <w:widowControl w:val="0"/>
        <w:rPr>
          <w:sz w:val="20"/>
        </w:rPr>
      </w:pPr>
    </w:p>
    <w:p w:rsidR="000E391F" w:rsidRPr="00F06D6F" w:rsidRDefault="000E391F" w:rsidP="000E391F">
      <w:pPr>
        <w:widowControl w:val="0"/>
        <w:rPr>
          <w:i/>
          <w:sz w:val="20"/>
        </w:rPr>
      </w:pPr>
    </w:p>
    <w:p w:rsidR="006F2579" w:rsidRPr="00F06D6F" w:rsidRDefault="006F2579" w:rsidP="006F2579">
      <w:pPr>
        <w:widowControl w:val="0"/>
        <w:rPr>
          <w:i/>
          <w:sz w:val="20"/>
        </w:rPr>
      </w:pPr>
      <w:r w:rsidRPr="00F06D6F">
        <w:rPr>
          <w:i/>
          <w:sz w:val="20"/>
        </w:rPr>
        <w:t>(</w:t>
      </w:r>
      <w:r w:rsidR="003240B6" w:rsidRPr="00F06D6F">
        <w:rPr>
          <w:i/>
          <w:sz w:val="20"/>
        </w:rPr>
        <w:t>L</w:t>
      </w:r>
      <w:r w:rsidRPr="00F06D6F">
        <w:rPr>
          <w:i/>
          <w:sz w:val="20"/>
        </w:rPr>
        <w:t>e français suit)</w:t>
      </w:r>
    </w:p>
    <w:p w:rsidR="006F2579" w:rsidRPr="00F06D6F" w:rsidRDefault="006F2579" w:rsidP="006F2579">
      <w:pPr>
        <w:widowControl w:val="0"/>
        <w:rPr>
          <w:sz w:val="20"/>
        </w:rPr>
      </w:pPr>
    </w:p>
    <w:p w:rsidR="006F2579" w:rsidRPr="00F06D6F" w:rsidRDefault="00B07908" w:rsidP="006F2579">
      <w:pPr>
        <w:widowControl w:val="0"/>
        <w:jc w:val="center"/>
        <w:rPr>
          <w:b/>
          <w:szCs w:val="24"/>
        </w:rPr>
      </w:pPr>
      <w:r w:rsidRPr="00F06D6F">
        <w:rPr>
          <w:szCs w:val="24"/>
        </w:rPr>
        <w:fldChar w:fldCharType="begin"/>
      </w:r>
      <w:r w:rsidR="006F2579" w:rsidRPr="00F06D6F">
        <w:rPr>
          <w:szCs w:val="24"/>
        </w:rPr>
        <w:instrText xml:space="preserve"> SEQ CHAPTER \h \r 1</w:instrText>
      </w:r>
      <w:r w:rsidRPr="00F06D6F">
        <w:rPr>
          <w:szCs w:val="24"/>
        </w:rPr>
        <w:fldChar w:fldCharType="end"/>
      </w:r>
      <w:r w:rsidR="006F2579" w:rsidRPr="00F06D6F">
        <w:rPr>
          <w:b/>
          <w:szCs w:val="24"/>
        </w:rPr>
        <w:t>JUDGMENT</w:t>
      </w:r>
      <w:r w:rsidR="004F5491" w:rsidRPr="00F06D6F">
        <w:rPr>
          <w:b/>
          <w:szCs w:val="24"/>
        </w:rPr>
        <w:t>S</w:t>
      </w:r>
      <w:r w:rsidR="006F2579" w:rsidRPr="00F06D6F">
        <w:rPr>
          <w:b/>
          <w:szCs w:val="24"/>
        </w:rPr>
        <w:t xml:space="preserve"> TO B</w:t>
      </w:r>
      <w:r w:rsidR="00001846" w:rsidRPr="00F06D6F">
        <w:rPr>
          <w:b/>
          <w:szCs w:val="24"/>
        </w:rPr>
        <w:t>E RENDERED IN LE</w:t>
      </w:r>
      <w:r w:rsidR="00A0288A" w:rsidRPr="00F06D6F">
        <w:rPr>
          <w:b/>
          <w:szCs w:val="24"/>
        </w:rPr>
        <w:t>A</w:t>
      </w:r>
      <w:r w:rsidR="00001846" w:rsidRPr="00F06D6F">
        <w:rPr>
          <w:b/>
          <w:szCs w:val="24"/>
        </w:rPr>
        <w:t>VE APPLICATION</w:t>
      </w:r>
      <w:r w:rsidR="004F5491" w:rsidRPr="00F06D6F">
        <w:rPr>
          <w:b/>
          <w:szCs w:val="24"/>
        </w:rPr>
        <w:t>S</w:t>
      </w:r>
    </w:p>
    <w:p w:rsidR="006F2579" w:rsidRPr="00F06D6F" w:rsidRDefault="006F2579" w:rsidP="006F2579">
      <w:pPr>
        <w:widowControl w:val="0"/>
        <w:rPr>
          <w:szCs w:val="24"/>
        </w:rPr>
      </w:pPr>
    </w:p>
    <w:p w:rsidR="006F2579" w:rsidRPr="00F06D6F" w:rsidRDefault="00474965" w:rsidP="006F2579">
      <w:pPr>
        <w:widowControl w:val="0"/>
        <w:rPr>
          <w:szCs w:val="24"/>
        </w:rPr>
      </w:pPr>
      <w:r w:rsidRPr="00F06D6F">
        <w:rPr>
          <w:b/>
          <w:szCs w:val="24"/>
        </w:rPr>
        <w:t>Ju</w:t>
      </w:r>
      <w:r w:rsidR="00A73362" w:rsidRPr="00F06D6F">
        <w:rPr>
          <w:b/>
          <w:szCs w:val="24"/>
        </w:rPr>
        <w:t>ly</w:t>
      </w:r>
      <w:r w:rsidR="00A15B66" w:rsidRPr="00F06D6F">
        <w:rPr>
          <w:b/>
          <w:szCs w:val="24"/>
        </w:rPr>
        <w:t xml:space="preserve"> </w:t>
      </w:r>
      <w:r w:rsidR="00960897" w:rsidRPr="00F06D6F">
        <w:rPr>
          <w:b/>
          <w:szCs w:val="24"/>
        </w:rPr>
        <w:t>25</w:t>
      </w:r>
      <w:r w:rsidR="004441C7" w:rsidRPr="00F06D6F">
        <w:rPr>
          <w:b/>
          <w:szCs w:val="24"/>
        </w:rPr>
        <w:t>,</w:t>
      </w:r>
      <w:r w:rsidR="006F2579" w:rsidRPr="00F06D6F">
        <w:rPr>
          <w:b/>
          <w:szCs w:val="24"/>
        </w:rPr>
        <w:t xml:space="preserve"> </w:t>
      </w:r>
      <w:r w:rsidR="0054689F" w:rsidRPr="00F06D6F">
        <w:rPr>
          <w:b/>
          <w:szCs w:val="24"/>
        </w:rPr>
        <w:t>20</w:t>
      </w:r>
      <w:r w:rsidR="00526754" w:rsidRPr="00F06D6F">
        <w:rPr>
          <w:b/>
          <w:szCs w:val="24"/>
        </w:rPr>
        <w:t>2</w:t>
      </w:r>
      <w:r w:rsidR="00644008" w:rsidRPr="00F06D6F">
        <w:rPr>
          <w:b/>
          <w:szCs w:val="24"/>
        </w:rPr>
        <w:t>2</w:t>
      </w:r>
    </w:p>
    <w:p w:rsidR="006F2579" w:rsidRPr="00F06D6F" w:rsidRDefault="00674F39" w:rsidP="006F2579">
      <w:pPr>
        <w:widowControl w:val="0"/>
        <w:rPr>
          <w:b/>
          <w:szCs w:val="24"/>
        </w:rPr>
      </w:pPr>
      <w:r w:rsidRPr="00F06D6F">
        <w:rPr>
          <w:b/>
          <w:szCs w:val="24"/>
        </w:rPr>
        <w:t>For immediate release</w:t>
      </w:r>
    </w:p>
    <w:p w:rsidR="006F2579" w:rsidRPr="00F06D6F" w:rsidRDefault="006F2579" w:rsidP="006F2579">
      <w:pPr>
        <w:widowControl w:val="0"/>
        <w:rPr>
          <w:szCs w:val="24"/>
        </w:rPr>
      </w:pPr>
    </w:p>
    <w:p w:rsidR="006F2579" w:rsidRPr="00F06D6F" w:rsidRDefault="006F2579" w:rsidP="006F2579">
      <w:pPr>
        <w:widowControl w:val="0"/>
        <w:rPr>
          <w:szCs w:val="24"/>
          <w:lang w:val="fr-CA"/>
        </w:rPr>
      </w:pPr>
      <w:r w:rsidRPr="00F06D6F">
        <w:rPr>
          <w:b/>
          <w:szCs w:val="24"/>
        </w:rPr>
        <w:t>OTTAWA</w:t>
      </w:r>
      <w:r w:rsidRPr="00F06D6F">
        <w:rPr>
          <w:szCs w:val="24"/>
        </w:rPr>
        <w:t xml:space="preserve"> – The Supreme Court of Canad</w:t>
      </w:r>
      <w:r w:rsidR="006246E4" w:rsidRPr="00F06D6F">
        <w:rPr>
          <w:szCs w:val="24"/>
        </w:rPr>
        <w:t>a</w:t>
      </w:r>
      <w:r w:rsidRPr="00F06D6F">
        <w:rPr>
          <w:szCs w:val="24"/>
        </w:rPr>
        <w:t xml:space="preserve"> announced today that judgment in the following </w:t>
      </w:r>
      <w:r w:rsidR="00DB6199" w:rsidRPr="00F06D6F">
        <w:rPr>
          <w:szCs w:val="24"/>
        </w:rPr>
        <w:t>leave application</w:t>
      </w:r>
      <w:r w:rsidR="004F5491" w:rsidRPr="00F06D6F">
        <w:rPr>
          <w:szCs w:val="24"/>
        </w:rPr>
        <w:t>s</w:t>
      </w:r>
      <w:r w:rsidR="00DB6199" w:rsidRPr="00F06D6F">
        <w:rPr>
          <w:szCs w:val="24"/>
        </w:rPr>
        <w:t xml:space="preserve"> </w:t>
      </w:r>
      <w:r w:rsidRPr="00F06D6F">
        <w:rPr>
          <w:szCs w:val="24"/>
        </w:rPr>
        <w:t>will be delivere</w:t>
      </w:r>
      <w:r w:rsidR="00CE2C5F" w:rsidRPr="00F06D6F">
        <w:rPr>
          <w:szCs w:val="24"/>
        </w:rPr>
        <w:t>d</w:t>
      </w:r>
      <w:r w:rsidRPr="00F06D6F">
        <w:rPr>
          <w:szCs w:val="24"/>
        </w:rPr>
        <w:t xml:space="preserve"> at 9:45 a.m. </w:t>
      </w:r>
      <w:r w:rsidR="00E05816" w:rsidRPr="00F06D6F">
        <w:rPr>
          <w:szCs w:val="24"/>
        </w:rPr>
        <w:t>E</w:t>
      </w:r>
      <w:r w:rsidR="00882B6B" w:rsidRPr="00F06D6F">
        <w:rPr>
          <w:szCs w:val="24"/>
        </w:rPr>
        <w:t>D</w:t>
      </w:r>
      <w:r w:rsidR="00E05816" w:rsidRPr="00F06D6F">
        <w:rPr>
          <w:szCs w:val="24"/>
        </w:rPr>
        <w:t>T</w:t>
      </w:r>
      <w:r w:rsidRPr="00F06D6F">
        <w:rPr>
          <w:szCs w:val="24"/>
        </w:rPr>
        <w:t xml:space="preserve"> on </w:t>
      </w:r>
      <w:r w:rsidR="00322A9C" w:rsidRPr="00F06D6F">
        <w:rPr>
          <w:szCs w:val="24"/>
        </w:rPr>
        <w:t>Thurs</w:t>
      </w:r>
      <w:r w:rsidR="00680A85" w:rsidRPr="00F06D6F">
        <w:rPr>
          <w:szCs w:val="24"/>
        </w:rPr>
        <w:t>day</w:t>
      </w:r>
      <w:r w:rsidRPr="00F06D6F">
        <w:rPr>
          <w:szCs w:val="24"/>
        </w:rPr>
        <w:t xml:space="preserve">, </w:t>
      </w:r>
      <w:r w:rsidR="00092955" w:rsidRPr="00F06D6F">
        <w:rPr>
          <w:szCs w:val="24"/>
        </w:rPr>
        <w:t>Ju</w:t>
      </w:r>
      <w:r w:rsidR="00A73362" w:rsidRPr="00F06D6F">
        <w:rPr>
          <w:szCs w:val="24"/>
        </w:rPr>
        <w:t>ly</w:t>
      </w:r>
      <w:r w:rsidR="00455912" w:rsidRPr="00F06D6F">
        <w:rPr>
          <w:szCs w:val="24"/>
        </w:rPr>
        <w:t xml:space="preserve"> </w:t>
      </w:r>
      <w:r w:rsidR="00494155" w:rsidRPr="00F06D6F">
        <w:rPr>
          <w:szCs w:val="24"/>
        </w:rPr>
        <w:t>2</w:t>
      </w:r>
      <w:r w:rsidR="00960897" w:rsidRPr="00F06D6F">
        <w:rPr>
          <w:szCs w:val="24"/>
        </w:rPr>
        <w:t>8</w:t>
      </w:r>
      <w:r w:rsidR="007E112F" w:rsidRPr="00F06D6F">
        <w:rPr>
          <w:szCs w:val="24"/>
        </w:rPr>
        <w:t>,</w:t>
      </w:r>
      <w:r w:rsidR="002F38D7" w:rsidRPr="00F06D6F">
        <w:rPr>
          <w:szCs w:val="24"/>
        </w:rPr>
        <w:t xml:space="preserve"> </w:t>
      </w:r>
      <w:r w:rsidR="006648D1" w:rsidRPr="00F06D6F">
        <w:rPr>
          <w:szCs w:val="24"/>
        </w:rPr>
        <w:t>20</w:t>
      </w:r>
      <w:r w:rsidR="00526754" w:rsidRPr="00F06D6F">
        <w:rPr>
          <w:szCs w:val="24"/>
        </w:rPr>
        <w:t>2</w:t>
      </w:r>
      <w:r w:rsidR="00644008" w:rsidRPr="00F06D6F">
        <w:rPr>
          <w:szCs w:val="24"/>
        </w:rPr>
        <w:t>2</w:t>
      </w:r>
      <w:r w:rsidRPr="00F06D6F">
        <w:rPr>
          <w:szCs w:val="24"/>
        </w:rPr>
        <w:t xml:space="preserve">. </w:t>
      </w:r>
      <w:r w:rsidRPr="00F06D6F">
        <w:rPr>
          <w:szCs w:val="24"/>
          <w:lang w:val="fr-CA"/>
        </w:rPr>
        <w:t>This list is subject to chang</w:t>
      </w:r>
      <w:r w:rsidR="00192F7F" w:rsidRPr="00F06D6F">
        <w:rPr>
          <w:szCs w:val="24"/>
          <w:lang w:val="fr-CA"/>
        </w:rPr>
        <w:t>e</w:t>
      </w:r>
      <w:r w:rsidRPr="00F06D6F">
        <w:rPr>
          <w:szCs w:val="24"/>
          <w:lang w:val="fr-CA"/>
        </w:rPr>
        <w:t>.</w:t>
      </w:r>
    </w:p>
    <w:p w:rsidR="00FF5AA4" w:rsidRPr="00F06D6F" w:rsidRDefault="00FF5AA4" w:rsidP="006F2579">
      <w:pPr>
        <w:widowControl w:val="0"/>
        <w:rPr>
          <w:szCs w:val="24"/>
          <w:lang w:val="fr-CA"/>
        </w:rPr>
      </w:pPr>
    </w:p>
    <w:p w:rsidR="00B43418" w:rsidRPr="00F06D6F" w:rsidRDefault="00B43418" w:rsidP="006F2579">
      <w:pPr>
        <w:widowControl w:val="0"/>
        <w:rPr>
          <w:szCs w:val="24"/>
          <w:lang w:val="fr-CA"/>
        </w:rPr>
      </w:pPr>
    </w:p>
    <w:p w:rsidR="006F2579" w:rsidRPr="00F06D6F" w:rsidRDefault="006F2579" w:rsidP="006F2579">
      <w:pPr>
        <w:widowControl w:val="0"/>
        <w:jc w:val="center"/>
        <w:rPr>
          <w:szCs w:val="24"/>
          <w:lang w:val="fr-CA"/>
        </w:rPr>
      </w:pPr>
      <w:r w:rsidRPr="00F06D6F">
        <w:rPr>
          <w:b/>
          <w:szCs w:val="24"/>
          <w:lang w:val="fr-CA"/>
        </w:rPr>
        <w:t>PROCHAIN</w:t>
      </w:r>
      <w:r w:rsidR="004F5491" w:rsidRPr="00F06D6F">
        <w:rPr>
          <w:b/>
          <w:szCs w:val="24"/>
          <w:lang w:val="fr-CA"/>
        </w:rPr>
        <w:t>S</w:t>
      </w:r>
      <w:r w:rsidRPr="00F06D6F">
        <w:rPr>
          <w:b/>
          <w:szCs w:val="24"/>
          <w:lang w:val="fr-CA"/>
        </w:rPr>
        <w:t xml:space="preserve"> JUGEMENT</w:t>
      </w:r>
      <w:r w:rsidR="004F5491" w:rsidRPr="00F06D6F">
        <w:rPr>
          <w:b/>
          <w:szCs w:val="24"/>
          <w:lang w:val="fr-CA"/>
        </w:rPr>
        <w:t>S</w:t>
      </w:r>
      <w:r w:rsidR="00001846" w:rsidRPr="00F06D6F">
        <w:rPr>
          <w:b/>
          <w:szCs w:val="24"/>
          <w:lang w:val="fr-CA"/>
        </w:rPr>
        <w:t xml:space="preserve"> SUR DEMANDE</w:t>
      </w:r>
      <w:r w:rsidR="004F5491" w:rsidRPr="00F06D6F">
        <w:rPr>
          <w:b/>
          <w:szCs w:val="24"/>
          <w:lang w:val="fr-CA"/>
        </w:rPr>
        <w:t>S</w:t>
      </w:r>
      <w:r w:rsidRPr="00F06D6F">
        <w:rPr>
          <w:b/>
          <w:szCs w:val="24"/>
          <w:lang w:val="fr-CA"/>
        </w:rPr>
        <w:t xml:space="preserve"> D’AUTORISATION</w:t>
      </w:r>
    </w:p>
    <w:p w:rsidR="006F2579" w:rsidRPr="00F06D6F" w:rsidRDefault="006F2579" w:rsidP="006F2579">
      <w:pPr>
        <w:widowControl w:val="0"/>
        <w:rPr>
          <w:szCs w:val="24"/>
          <w:lang w:val="fr-CA"/>
        </w:rPr>
      </w:pPr>
    </w:p>
    <w:p w:rsidR="006F2579" w:rsidRPr="00F06D6F" w:rsidRDefault="006F2579" w:rsidP="006F2579">
      <w:pPr>
        <w:widowControl w:val="0"/>
        <w:rPr>
          <w:szCs w:val="24"/>
          <w:lang w:val="fr-CA"/>
        </w:rPr>
      </w:pPr>
      <w:r w:rsidRPr="00F06D6F">
        <w:rPr>
          <w:b/>
          <w:szCs w:val="24"/>
          <w:lang w:val="fr-CA"/>
        </w:rPr>
        <w:t>Le</w:t>
      </w:r>
      <w:r w:rsidR="00957A76" w:rsidRPr="00F06D6F">
        <w:rPr>
          <w:b/>
          <w:szCs w:val="24"/>
          <w:lang w:val="fr-CA"/>
        </w:rPr>
        <w:t xml:space="preserve"> </w:t>
      </w:r>
      <w:r w:rsidR="00960897" w:rsidRPr="00F06D6F">
        <w:rPr>
          <w:b/>
          <w:szCs w:val="24"/>
          <w:lang w:val="fr-CA"/>
        </w:rPr>
        <w:t>25</w:t>
      </w:r>
      <w:r w:rsidR="00075EC0" w:rsidRPr="00F06D6F">
        <w:rPr>
          <w:b/>
          <w:szCs w:val="24"/>
          <w:lang w:val="fr-CA"/>
        </w:rPr>
        <w:t xml:space="preserve"> </w:t>
      </w:r>
      <w:r w:rsidR="00474965" w:rsidRPr="00F06D6F">
        <w:rPr>
          <w:b/>
          <w:szCs w:val="24"/>
          <w:lang w:val="fr-CA"/>
        </w:rPr>
        <w:t>jui</w:t>
      </w:r>
      <w:r w:rsidR="00A73362" w:rsidRPr="00F06D6F">
        <w:rPr>
          <w:b/>
          <w:szCs w:val="24"/>
          <w:lang w:val="fr-CA"/>
        </w:rPr>
        <w:t>llet</w:t>
      </w:r>
      <w:r w:rsidR="00A151D1" w:rsidRPr="00F06D6F">
        <w:rPr>
          <w:b/>
          <w:szCs w:val="24"/>
          <w:lang w:val="fr-CA"/>
        </w:rPr>
        <w:t xml:space="preserve"> 20</w:t>
      </w:r>
      <w:r w:rsidR="00526754" w:rsidRPr="00F06D6F">
        <w:rPr>
          <w:b/>
          <w:szCs w:val="24"/>
          <w:lang w:val="fr-CA"/>
        </w:rPr>
        <w:t>2</w:t>
      </w:r>
      <w:r w:rsidR="00644008" w:rsidRPr="00F06D6F">
        <w:rPr>
          <w:b/>
          <w:szCs w:val="24"/>
          <w:lang w:val="fr-CA"/>
        </w:rPr>
        <w:t>2</w:t>
      </w:r>
    </w:p>
    <w:p w:rsidR="006F2579" w:rsidRPr="00F06D6F" w:rsidRDefault="006F2579" w:rsidP="006F2579">
      <w:pPr>
        <w:widowControl w:val="0"/>
        <w:rPr>
          <w:b/>
          <w:szCs w:val="24"/>
          <w:lang w:val="fr-CA"/>
        </w:rPr>
      </w:pPr>
      <w:r w:rsidRPr="00F06D6F">
        <w:rPr>
          <w:b/>
          <w:szCs w:val="24"/>
          <w:lang w:val="fr-CA"/>
        </w:rPr>
        <w:t>Pour diffusion immédiate</w:t>
      </w:r>
    </w:p>
    <w:p w:rsidR="006F2579" w:rsidRPr="00F06D6F" w:rsidRDefault="006F2579" w:rsidP="006F2579">
      <w:pPr>
        <w:widowControl w:val="0"/>
        <w:rPr>
          <w:szCs w:val="24"/>
          <w:lang w:val="fr-CA"/>
        </w:rPr>
      </w:pPr>
    </w:p>
    <w:p w:rsidR="006F2579" w:rsidRPr="00F06D6F" w:rsidRDefault="006F2579" w:rsidP="006F2579">
      <w:pPr>
        <w:widowControl w:val="0"/>
        <w:rPr>
          <w:szCs w:val="24"/>
          <w:lang w:val="fr-CA"/>
        </w:rPr>
      </w:pPr>
      <w:r w:rsidRPr="00F06D6F">
        <w:rPr>
          <w:b/>
          <w:szCs w:val="24"/>
          <w:lang w:val="fr-CA"/>
        </w:rPr>
        <w:t>OTTAWA</w:t>
      </w:r>
      <w:r w:rsidRPr="00F06D6F">
        <w:rPr>
          <w:szCs w:val="24"/>
          <w:lang w:val="fr-CA"/>
        </w:rPr>
        <w:t xml:space="preserve"> – La Cour suprême du Canada annonce que jugement ser</w:t>
      </w:r>
      <w:r w:rsidR="004259F9" w:rsidRPr="00F06D6F">
        <w:rPr>
          <w:szCs w:val="24"/>
          <w:lang w:val="fr-CA"/>
        </w:rPr>
        <w:t>a</w:t>
      </w:r>
      <w:r w:rsidRPr="00F06D6F">
        <w:rPr>
          <w:szCs w:val="24"/>
          <w:lang w:val="fr-CA"/>
        </w:rPr>
        <w:t xml:space="preserve"> rendu dans l</w:t>
      </w:r>
      <w:r w:rsidR="004F5491" w:rsidRPr="00F06D6F">
        <w:rPr>
          <w:szCs w:val="24"/>
          <w:lang w:val="fr-CA"/>
        </w:rPr>
        <w:t>es</w:t>
      </w:r>
      <w:r w:rsidR="009F4F06" w:rsidRPr="00F06D6F">
        <w:rPr>
          <w:szCs w:val="24"/>
          <w:lang w:val="fr-CA"/>
        </w:rPr>
        <w:t xml:space="preserve"> </w:t>
      </w:r>
      <w:r w:rsidRPr="00F06D6F">
        <w:rPr>
          <w:szCs w:val="24"/>
          <w:lang w:val="fr-CA"/>
        </w:rPr>
        <w:t>demande</w:t>
      </w:r>
      <w:r w:rsidR="004F5491" w:rsidRPr="00F06D6F">
        <w:rPr>
          <w:szCs w:val="24"/>
          <w:lang w:val="fr-CA"/>
        </w:rPr>
        <w:t>s</w:t>
      </w:r>
      <w:r w:rsidRPr="00F06D6F">
        <w:rPr>
          <w:szCs w:val="24"/>
          <w:lang w:val="fr-CA"/>
        </w:rPr>
        <w:t xml:space="preserve"> d</w:t>
      </w:r>
      <w:r w:rsidR="00001846" w:rsidRPr="00F06D6F">
        <w:rPr>
          <w:szCs w:val="24"/>
          <w:lang w:val="fr-CA"/>
        </w:rPr>
        <w:t>’autorisation suivante</w:t>
      </w:r>
      <w:r w:rsidR="004F5491" w:rsidRPr="00F06D6F">
        <w:rPr>
          <w:szCs w:val="24"/>
          <w:lang w:val="fr-CA"/>
        </w:rPr>
        <w:t>s</w:t>
      </w:r>
      <w:r w:rsidRPr="00F06D6F">
        <w:rPr>
          <w:szCs w:val="24"/>
          <w:lang w:val="fr-CA"/>
        </w:rPr>
        <w:t xml:space="preserve"> le </w:t>
      </w:r>
      <w:r w:rsidR="00322A9C" w:rsidRPr="00F06D6F">
        <w:rPr>
          <w:szCs w:val="24"/>
          <w:lang w:val="fr-CA"/>
        </w:rPr>
        <w:t>jeu</w:t>
      </w:r>
      <w:r w:rsidR="00680A85" w:rsidRPr="00F06D6F">
        <w:rPr>
          <w:szCs w:val="24"/>
          <w:lang w:val="fr-CA"/>
        </w:rPr>
        <w:t>di</w:t>
      </w:r>
      <w:r w:rsidRPr="00F06D6F">
        <w:rPr>
          <w:szCs w:val="24"/>
          <w:lang w:val="fr-CA"/>
        </w:rPr>
        <w:t xml:space="preserve"> </w:t>
      </w:r>
      <w:r w:rsidR="00494155" w:rsidRPr="00F06D6F">
        <w:rPr>
          <w:szCs w:val="24"/>
          <w:lang w:val="fr-CA"/>
        </w:rPr>
        <w:t>2</w:t>
      </w:r>
      <w:r w:rsidR="00960897" w:rsidRPr="00F06D6F">
        <w:rPr>
          <w:szCs w:val="24"/>
          <w:lang w:val="fr-CA"/>
        </w:rPr>
        <w:t>8</w:t>
      </w:r>
      <w:r w:rsidR="009E0BD3" w:rsidRPr="00F06D6F">
        <w:rPr>
          <w:szCs w:val="24"/>
          <w:lang w:val="fr-CA"/>
        </w:rPr>
        <w:t xml:space="preserve"> </w:t>
      </w:r>
      <w:r w:rsidR="00092955" w:rsidRPr="00F06D6F">
        <w:rPr>
          <w:szCs w:val="24"/>
          <w:lang w:val="fr-CA"/>
        </w:rPr>
        <w:t>jui</w:t>
      </w:r>
      <w:r w:rsidR="00A73362" w:rsidRPr="00F06D6F">
        <w:rPr>
          <w:szCs w:val="24"/>
          <w:lang w:val="fr-CA"/>
        </w:rPr>
        <w:t>llet</w:t>
      </w:r>
      <w:r w:rsidR="00694391" w:rsidRPr="00F06D6F">
        <w:rPr>
          <w:szCs w:val="24"/>
          <w:lang w:val="fr-CA"/>
        </w:rPr>
        <w:t xml:space="preserve"> 2</w:t>
      </w:r>
      <w:r w:rsidR="006648D1" w:rsidRPr="00F06D6F">
        <w:rPr>
          <w:szCs w:val="24"/>
          <w:lang w:val="fr-CA"/>
        </w:rPr>
        <w:t>0</w:t>
      </w:r>
      <w:r w:rsidR="00526754" w:rsidRPr="00F06D6F">
        <w:rPr>
          <w:szCs w:val="24"/>
          <w:lang w:val="fr-CA"/>
        </w:rPr>
        <w:t>2</w:t>
      </w:r>
      <w:r w:rsidR="00644008" w:rsidRPr="00F06D6F">
        <w:rPr>
          <w:szCs w:val="24"/>
          <w:lang w:val="fr-CA"/>
        </w:rPr>
        <w:t>2</w:t>
      </w:r>
      <w:r w:rsidRPr="00F06D6F">
        <w:rPr>
          <w:szCs w:val="24"/>
          <w:lang w:val="fr-CA"/>
        </w:rPr>
        <w:t xml:space="preserve">, à 9 h 45 </w:t>
      </w:r>
      <w:r w:rsidR="000627A2" w:rsidRPr="00F06D6F">
        <w:rPr>
          <w:szCs w:val="24"/>
          <w:lang w:val="fr-CA"/>
        </w:rPr>
        <w:t>H</w:t>
      </w:r>
      <w:r w:rsidR="00882B6B" w:rsidRPr="00F06D6F">
        <w:rPr>
          <w:szCs w:val="24"/>
          <w:lang w:val="fr-CA"/>
        </w:rPr>
        <w:t>A</w:t>
      </w:r>
      <w:r w:rsidRPr="00F06D6F">
        <w:rPr>
          <w:szCs w:val="24"/>
          <w:lang w:val="fr-CA"/>
        </w:rPr>
        <w:t>E. Cette liste est sujette à modification</w:t>
      </w:r>
      <w:r w:rsidR="00130ADB" w:rsidRPr="00F06D6F">
        <w:rPr>
          <w:szCs w:val="24"/>
          <w:lang w:val="fr-CA"/>
        </w:rPr>
        <w:t>s</w:t>
      </w:r>
      <w:r w:rsidRPr="00F06D6F">
        <w:rPr>
          <w:szCs w:val="24"/>
          <w:lang w:val="fr-CA"/>
        </w:rPr>
        <w:t>.</w:t>
      </w:r>
    </w:p>
    <w:p w:rsidR="0080556B" w:rsidRPr="00F06D6F" w:rsidRDefault="0080556B" w:rsidP="005F2A78">
      <w:pPr>
        <w:widowControl w:val="0"/>
        <w:tabs>
          <w:tab w:val="left" w:pos="3840"/>
        </w:tabs>
        <w:jc w:val="both"/>
        <w:rPr>
          <w:sz w:val="20"/>
          <w:lang w:val="fr-CA"/>
        </w:rPr>
      </w:pPr>
    </w:p>
    <w:p w:rsidR="00867C61" w:rsidRPr="00F06D6F" w:rsidRDefault="00442B76" w:rsidP="009B14F4">
      <w:pPr>
        <w:widowControl w:val="0"/>
        <w:jc w:val="both"/>
        <w:rPr>
          <w:sz w:val="20"/>
        </w:rPr>
      </w:pPr>
      <w:r>
        <w:rPr>
          <w:sz w:val="20"/>
        </w:rPr>
        <w:pict>
          <v:rect id="_x0000_i1025" style="width:2in;height:1pt" o:hrpct="0" o:hralign="center" o:hrstd="t" o:hrnoshade="t" o:hr="t" fillcolor="black [3213]" stroked="f"/>
        </w:pict>
      </w:r>
    </w:p>
    <w:p w:rsidR="004A6E51" w:rsidRPr="00F06D6F" w:rsidRDefault="004A6E51" w:rsidP="0053032E">
      <w:pPr>
        <w:rPr>
          <w:sz w:val="20"/>
          <w:lang w:val="fr-CA"/>
        </w:rPr>
      </w:pPr>
    </w:p>
    <w:p w:rsidR="00FC06FE" w:rsidRPr="00F06D6F" w:rsidRDefault="00FC06FE" w:rsidP="000A7626">
      <w:pPr>
        <w:pStyle w:val="ListParagraph"/>
        <w:numPr>
          <w:ilvl w:val="0"/>
          <w:numId w:val="12"/>
        </w:numPr>
        <w:ind w:left="357" w:hanging="357"/>
        <w:rPr>
          <w:sz w:val="20"/>
        </w:rPr>
      </w:pPr>
      <w:r w:rsidRPr="00F06D6F">
        <w:rPr>
          <w:i/>
          <w:sz w:val="20"/>
        </w:rPr>
        <w:t>Fransic Battiston v. Microsoft Canada Inc.</w:t>
      </w:r>
      <w:r w:rsidRPr="00F06D6F">
        <w:rPr>
          <w:sz w:val="20"/>
        </w:rPr>
        <w:t xml:space="preserve"> (Ont.) (Civil) (By Leave) (</w:t>
      </w:r>
      <w:hyperlink r:id="rId8" w:history="1">
        <w:r w:rsidRPr="00F06D6F">
          <w:rPr>
            <w:rStyle w:val="Hyperlink"/>
            <w:sz w:val="20"/>
            <w:szCs w:val="20"/>
          </w:rPr>
          <w:t>39962</w:t>
        </w:r>
      </w:hyperlink>
      <w:r w:rsidRPr="00F06D6F">
        <w:rPr>
          <w:sz w:val="20"/>
        </w:rPr>
        <w:t>)</w:t>
      </w:r>
    </w:p>
    <w:p w:rsidR="00FC06FE" w:rsidRPr="00F06D6F" w:rsidRDefault="00FC06FE" w:rsidP="000A7626">
      <w:pPr>
        <w:ind w:left="357" w:hanging="357"/>
        <w:rPr>
          <w:sz w:val="20"/>
        </w:rPr>
      </w:pPr>
    </w:p>
    <w:p w:rsidR="00FC06FE" w:rsidRPr="00F06D6F" w:rsidRDefault="00FC06FE" w:rsidP="000A7626">
      <w:pPr>
        <w:pStyle w:val="ListParagraph"/>
        <w:numPr>
          <w:ilvl w:val="0"/>
          <w:numId w:val="12"/>
        </w:numPr>
        <w:ind w:left="357" w:hanging="357"/>
        <w:rPr>
          <w:sz w:val="20"/>
          <w:lang w:val="fr-CA"/>
        </w:rPr>
      </w:pPr>
      <w:r w:rsidRPr="00F06D6F">
        <w:rPr>
          <w:i/>
          <w:sz w:val="20"/>
          <w:lang w:val="fr-CA"/>
        </w:rPr>
        <w:t>M.S. c. Sa Majesté la Reine</w:t>
      </w:r>
      <w:r w:rsidRPr="00F06D6F">
        <w:rPr>
          <w:sz w:val="20"/>
          <w:lang w:val="fr-CA"/>
        </w:rPr>
        <w:t xml:space="preserve"> (C.F.) (Civile) (Autorisation) (</w:t>
      </w:r>
      <w:hyperlink r:id="rId9" w:history="1">
        <w:r w:rsidRPr="00F06D6F">
          <w:rPr>
            <w:rStyle w:val="Hyperlink"/>
            <w:sz w:val="20"/>
            <w:szCs w:val="20"/>
            <w:lang w:val="fr-CA"/>
          </w:rPr>
          <w:t>40057</w:t>
        </w:r>
      </w:hyperlink>
      <w:r w:rsidRPr="00F06D6F">
        <w:rPr>
          <w:sz w:val="20"/>
          <w:lang w:val="fr-CA"/>
        </w:rPr>
        <w:t>)</w:t>
      </w:r>
    </w:p>
    <w:p w:rsidR="00FC06FE" w:rsidRPr="00F06D6F" w:rsidRDefault="00FC06FE" w:rsidP="000A7626">
      <w:pPr>
        <w:ind w:left="357" w:hanging="357"/>
        <w:rPr>
          <w:sz w:val="20"/>
          <w:lang w:val="fr-CA"/>
        </w:rPr>
      </w:pPr>
    </w:p>
    <w:p w:rsidR="00FC06FE" w:rsidRPr="00F06D6F" w:rsidRDefault="00FC06FE" w:rsidP="000A7626">
      <w:pPr>
        <w:pStyle w:val="ListParagraph"/>
        <w:numPr>
          <w:ilvl w:val="0"/>
          <w:numId w:val="12"/>
        </w:numPr>
        <w:ind w:left="357" w:hanging="357"/>
        <w:rPr>
          <w:sz w:val="20"/>
          <w:u w:val="single"/>
        </w:rPr>
      </w:pPr>
      <w:r w:rsidRPr="00F06D6F">
        <w:rPr>
          <w:i/>
          <w:sz w:val="20"/>
        </w:rPr>
        <w:t>Jason McCartney v. Her Majesty the Queen</w:t>
      </w:r>
      <w:r w:rsidRPr="00F06D6F">
        <w:rPr>
          <w:sz w:val="20"/>
        </w:rPr>
        <w:t xml:space="preserve"> (Ont.) (Criminal) (By Leave) (</w:t>
      </w:r>
      <w:hyperlink r:id="rId10" w:history="1">
        <w:r w:rsidRPr="00F06D6F">
          <w:rPr>
            <w:rStyle w:val="Hyperlink"/>
            <w:sz w:val="20"/>
            <w:szCs w:val="20"/>
          </w:rPr>
          <w:t>4009</w:t>
        </w:r>
        <w:r w:rsidR="00525ED8" w:rsidRPr="00F06D6F">
          <w:rPr>
            <w:rStyle w:val="Hyperlink"/>
            <w:sz w:val="20"/>
            <w:szCs w:val="20"/>
          </w:rPr>
          <w:t>4</w:t>
        </w:r>
      </w:hyperlink>
      <w:r w:rsidRPr="00F06D6F">
        <w:rPr>
          <w:sz w:val="20"/>
        </w:rPr>
        <w:t>)</w:t>
      </w:r>
    </w:p>
    <w:p w:rsidR="00FC06FE" w:rsidRPr="00F06D6F" w:rsidRDefault="00FC06FE" w:rsidP="000A7626">
      <w:pPr>
        <w:ind w:left="357" w:hanging="357"/>
        <w:rPr>
          <w:sz w:val="20"/>
        </w:rPr>
      </w:pPr>
    </w:p>
    <w:p w:rsidR="00FC06FE" w:rsidRPr="00F06D6F" w:rsidRDefault="00FC06FE" w:rsidP="000A7626">
      <w:pPr>
        <w:pStyle w:val="ListParagraph"/>
        <w:numPr>
          <w:ilvl w:val="0"/>
          <w:numId w:val="12"/>
        </w:numPr>
        <w:ind w:left="357" w:hanging="357"/>
        <w:rPr>
          <w:sz w:val="20"/>
        </w:rPr>
      </w:pPr>
      <w:r w:rsidRPr="00F06D6F">
        <w:rPr>
          <w:i/>
          <w:sz w:val="20"/>
        </w:rPr>
        <w:t xml:space="preserve">Cory Vallee v. Her Majesty the Queen </w:t>
      </w:r>
      <w:r w:rsidRPr="00F06D6F">
        <w:rPr>
          <w:sz w:val="20"/>
        </w:rPr>
        <w:t>(B.C.) (Criminal) (By Leave) (</w:t>
      </w:r>
      <w:hyperlink r:id="rId11" w:history="1">
        <w:r w:rsidRPr="00F06D6F">
          <w:rPr>
            <w:rStyle w:val="Hyperlink"/>
            <w:sz w:val="20"/>
            <w:szCs w:val="20"/>
          </w:rPr>
          <w:t>400</w:t>
        </w:r>
        <w:r w:rsidR="00525ED8" w:rsidRPr="00F06D6F">
          <w:rPr>
            <w:rStyle w:val="Hyperlink"/>
            <w:sz w:val="20"/>
            <w:szCs w:val="20"/>
          </w:rPr>
          <w:t>87</w:t>
        </w:r>
      </w:hyperlink>
      <w:r w:rsidRPr="00F06D6F">
        <w:rPr>
          <w:sz w:val="20"/>
        </w:rPr>
        <w:t>)</w:t>
      </w:r>
    </w:p>
    <w:p w:rsidR="00FC06FE" w:rsidRPr="00F06D6F" w:rsidRDefault="00FC06FE" w:rsidP="000A7626">
      <w:pPr>
        <w:ind w:left="357" w:hanging="357"/>
        <w:rPr>
          <w:sz w:val="20"/>
        </w:rPr>
      </w:pPr>
    </w:p>
    <w:p w:rsidR="00FC06FE" w:rsidRPr="00F06D6F" w:rsidRDefault="00FC06FE" w:rsidP="000A7626">
      <w:pPr>
        <w:pStyle w:val="ListParagraph"/>
        <w:numPr>
          <w:ilvl w:val="0"/>
          <w:numId w:val="12"/>
        </w:numPr>
        <w:ind w:left="357" w:hanging="357"/>
        <w:rPr>
          <w:sz w:val="20"/>
          <w:lang w:val="fr-CA"/>
        </w:rPr>
      </w:pPr>
      <w:r w:rsidRPr="00F06D6F">
        <w:rPr>
          <w:i/>
          <w:sz w:val="20"/>
          <w:lang w:val="fr-CA"/>
        </w:rPr>
        <w:t>Stanislas Bricka c. Procureur général du Québec</w:t>
      </w:r>
      <w:r w:rsidRPr="00F06D6F">
        <w:rPr>
          <w:sz w:val="20"/>
          <w:lang w:val="fr-CA"/>
        </w:rPr>
        <w:t xml:space="preserve"> (Qc) (Civile) (Autorisation) (</w:t>
      </w:r>
      <w:hyperlink r:id="rId12" w:history="1">
        <w:r w:rsidRPr="00F06D6F">
          <w:rPr>
            <w:rStyle w:val="Hyperlink"/>
            <w:sz w:val="20"/>
            <w:szCs w:val="20"/>
            <w:lang w:val="fr-CA"/>
          </w:rPr>
          <w:t>40</w:t>
        </w:r>
        <w:r w:rsidR="00525ED8" w:rsidRPr="00F06D6F">
          <w:rPr>
            <w:rStyle w:val="Hyperlink"/>
            <w:sz w:val="20"/>
            <w:szCs w:val="20"/>
            <w:lang w:val="fr-CA"/>
          </w:rPr>
          <w:t>1</w:t>
        </w:r>
        <w:r w:rsidRPr="00F06D6F">
          <w:rPr>
            <w:rStyle w:val="Hyperlink"/>
            <w:sz w:val="20"/>
            <w:szCs w:val="20"/>
            <w:lang w:val="fr-CA"/>
          </w:rPr>
          <w:t>0</w:t>
        </w:r>
        <w:r w:rsidR="00525ED8" w:rsidRPr="00F06D6F">
          <w:rPr>
            <w:rStyle w:val="Hyperlink"/>
            <w:sz w:val="20"/>
            <w:szCs w:val="20"/>
            <w:lang w:val="fr-CA"/>
          </w:rPr>
          <w:t>2</w:t>
        </w:r>
      </w:hyperlink>
      <w:r w:rsidRPr="00F06D6F">
        <w:rPr>
          <w:sz w:val="20"/>
          <w:lang w:val="fr-CA"/>
        </w:rPr>
        <w:t>)</w:t>
      </w:r>
    </w:p>
    <w:p w:rsidR="00FC06FE" w:rsidRPr="00F06D6F" w:rsidRDefault="00FC06FE" w:rsidP="000A7626">
      <w:pPr>
        <w:ind w:left="357" w:hanging="357"/>
        <w:rPr>
          <w:sz w:val="20"/>
          <w:lang w:val="fr-CA"/>
        </w:rPr>
      </w:pPr>
    </w:p>
    <w:p w:rsidR="009F4F06" w:rsidRPr="00F06D6F" w:rsidRDefault="009F4F06" w:rsidP="000A7626">
      <w:pPr>
        <w:pStyle w:val="ListParagraph"/>
        <w:numPr>
          <w:ilvl w:val="0"/>
          <w:numId w:val="12"/>
        </w:numPr>
        <w:ind w:left="357" w:hanging="357"/>
        <w:rPr>
          <w:sz w:val="20"/>
        </w:rPr>
      </w:pPr>
      <w:r w:rsidRPr="00F06D6F">
        <w:rPr>
          <w:i/>
          <w:sz w:val="20"/>
        </w:rPr>
        <w:t>Her Majesty the Queen v. Christopher James Kruk</w:t>
      </w:r>
      <w:r w:rsidRPr="00F06D6F">
        <w:rPr>
          <w:sz w:val="20"/>
        </w:rPr>
        <w:t xml:space="preserve"> (B.C.) (Criminal) (By Leave) (</w:t>
      </w:r>
      <w:hyperlink r:id="rId13" w:history="1">
        <w:r w:rsidRPr="00F06D6F">
          <w:rPr>
            <w:rStyle w:val="Hyperlink"/>
            <w:sz w:val="20"/>
            <w:szCs w:val="20"/>
          </w:rPr>
          <w:t>400</w:t>
        </w:r>
        <w:r w:rsidR="003E000B" w:rsidRPr="00F06D6F">
          <w:rPr>
            <w:rStyle w:val="Hyperlink"/>
            <w:sz w:val="20"/>
            <w:szCs w:val="20"/>
          </w:rPr>
          <w:t>9</w:t>
        </w:r>
        <w:r w:rsidRPr="00F06D6F">
          <w:rPr>
            <w:rStyle w:val="Hyperlink"/>
            <w:sz w:val="20"/>
            <w:szCs w:val="20"/>
          </w:rPr>
          <w:t>5</w:t>
        </w:r>
      </w:hyperlink>
      <w:r w:rsidRPr="00F06D6F">
        <w:rPr>
          <w:sz w:val="20"/>
        </w:rPr>
        <w:t>)</w:t>
      </w:r>
    </w:p>
    <w:p w:rsidR="000A7626" w:rsidRPr="00F06D6F" w:rsidRDefault="000A7626" w:rsidP="000A7626">
      <w:pPr>
        <w:ind w:left="357" w:hanging="357"/>
        <w:rPr>
          <w:sz w:val="20"/>
        </w:rPr>
      </w:pPr>
    </w:p>
    <w:p w:rsidR="000A7626" w:rsidRPr="00F06D6F" w:rsidRDefault="000A7626" w:rsidP="000A7626">
      <w:pPr>
        <w:pStyle w:val="ListParagraph"/>
        <w:numPr>
          <w:ilvl w:val="0"/>
          <w:numId w:val="12"/>
        </w:numPr>
        <w:ind w:left="357" w:hanging="357"/>
        <w:rPr>
          <w:sz w:val="20"/>
        </w:rPr>
      </w:pPr>
      <w:r w:rsidRPr="00442B76">
        <w:rPr>
          <w:i/>
          <w:sz w:val="20"/>
          <w:lang w:val="fr-CA"/>
        </w:rPr>
        <w:t xml:space="preserve">Panagiotis Pavlakidis v. Georgia Pavlakidis </w:t>
      </w:r>
      <w:r w:rsidRPr="00442B76">
        <w:rPr>
          <w:sz w:val="20"/>
          <w:lang w:val="fr-CA"/>
        </w:rPr>
        <w:t xml:space="preserve">(Que.) </w:t>
      </w:r>
      <w:r w:rsidRPr="00F06D6F">
        <w:rPr>
          <w:sz w:val="20"/>
        </w:rPr>
        <w:t>(Civil) (By Leave) (</w:t>
      </w:r>
      <w:hyperlink r:id="rId14" w:history="1">
        <w:r w:rsidRPr="00F06D6F">
          <w:rPr>
            <w:rStyle w:val="Hyperlink"/>
            <w:sz w:val="20"/>
            <w:szCs w:val="20"/>
          </w:rPr>
          <w:t>400</w:t>
        </w:r>
        <w:r w:rsidR="00FB234F" w:rsidRPr="00F06D6F">
          <w:rPr>
            <w:rStyle w:val="Hyperlink"/>
            <w:sz w:val="20"/>
            <w:szCs w:val="20"/>
          </w:rPr>
          <w:t>5</w:t>
        </w:r>
        <w:r w:rsidRPr="00F06D6F">
          <w:rPr>
            <w:rStyle w:val="Hyperlink"/>
            <w:sz w:val="20"/>
            <w:szCs w:val="20"/>
          </w:rPr>
          <w:t>5</w:t>
        </w:r>
      </w:hyperlink>
      <w:r w:rsidRPr="00F06D6F">
        <w:rPr>
          <w:sz w:val="20"/>
        </w:rPr>
        <w:t>)</w:t>
      </w:r>
    </w:p>
    <w:p w:rsidR="000A7626" w:rsidRPr="00442B76" w:rsidRDefault="000A7626" w:rsidP="000A7626">
      <w:pPr>
        <w:ind w:left="357" w:hanging="357"/>
        <w:rPr>
          <w:sz w:val="20"/>
        </w:rPr>
      </w:pPr>
    </w:p>
    <w:p w:rsidR="000A7626" w:rsidRPr="00F06D6F" w:rsidRDefault="000A7626" w:rsidP="000A7626">
      <w:pPr>
        <w:pStyle w:val="SCCLsocParty"/>
        <w:numPr>
          <w:ilvl w:val="0"/>
          <w:numId w:val="12"/>
        </w:numPr>
        <w:ind w:left="357" w:hanging="357"/>
        <w:jc w:val="left"/>
        <w:rPr>
          <w:sz w:val="20"/>
          <w:szCs w:val="20"/>
          <w:lang w:val="en-US"/>
        </w:rPr>
      </w:pPr>
      <w:r w:rsidRPr="00F06D6F">
        <w:rPr>
          <w:i/>
          <w:sz w:val="20"/>
          <w:szCs w:val="20"/>
          <w:lang w:val="en-US"/>
        </w:rPr>
        <w:t>Marco Milan</w:t>
      </w:r>
      <w:r w:rsidR="00FB234F" w:rsidRPr="00F06D6F">
        <w:rPr>
          <w:i/>
          <w:sz w:val="20"/>
          <w:szCs w:val="20"/>
          <w:lang w:val="en-US"/>
        </w:rPr>
        <w:t>, et al.</w:t>
      </w:r>
      <w:r w:rsidRPr="00F06D6F">
        <w:rPr>
          <w:i/>
          <w:sz w:val="20"/>
          <w:szCs w:val="20"/>
          <w:lang w:val="en-US"/>
        </w:rPr>
        <w:t xml:space="preserve"> v. Her Majesty the Queen</w:t>
      </w:r>
      <w:r w:rsidR="00FB234F" w:rsidRPr="00F06D6F">
        <w:rPr>
          <w:i/>
          <w:sz w:val="20"/>
          <w:szCs w:val="20"/>
          <w:lang w:val="en-US"/>
        </w:rPr>
        <w:t>, et al.</w:t>
      </w:r>
      <w:r w:rsidRPr="00F06D6F">
        <w:rPr>
          <w:sz w:val="20"/>
          <w:szCs w:val="20"/>
          <w:lang w:val="en-US"/>
        </w:rPr>
        <w:t xml:space="preserve"> (Que.) (Criminal) (By Leave) </w:t>
      </w:r>
      <w:r w:rsidRPr="00F06D6F">
        <w:rPr>
          <w:sz w:val="20"/>
          <w:lang w:val="en-US"/>
        </w:rPr>
        <w:t>(</w:t>
      </w:r>
      <w:hyperlink r:id="rId15" w:history="1">
        <w:r w:rsidRPr="00F06D6F">
          <w:rPr>
            <w:rStyle w:val="Hyperlink"/>
            <w:sz w:val="20"/>
            <w:szCs w:val="20"/>
            <w:lang w:val="en-US"/>
          </w:rPr>
          <w:t>400</w:t>
        </w:r>
        <w:r w:rsidR="00FB234F" w:rsidRPr="00F06D6F">
          <w:rPr>
            <w:rStyle w:val="Hyperlink"/>
            <w:sz w:val="20"/>
            <w:szCs w:val="20"/>
            <w:lang w:val="en-US"/>
          </w:rPr>
          <w:t>3</w:t>
        </w:r>
        <w:r w:rsidRPr="00F06D6F">
          <w:rPr>
            <w:rStyle w:val="Hyperlink"/>
            <w:sz w:val="20"/>
            <w:szCs w:val="20"/>
            <w:lang w:val="en-US"/>
          </w:rPr>
          <w:t>5</w:t>
        </w:r>
      </w:hyperlink>
      <w:r w:rsidRPr="00F06D6F">
        <w:rPr>
          <w:sz w:val="20"/>
          <w:lang w:val="en-US"/>
        </w:rPr>
        <w:t>)</w:t>
      </w:r>
    </w:p>
    <w:p w:rsidR="000A7626" w:rsidRPr="00F06D6F" w:rsidRDefault="000A7626" w:rsidP="000A7626">
      <w:pPr>
        <w:ind w:left="357" w:hanging="357"/>
        <w:rPr>
          <w:sz w:val="20"/>
        </w:rPr>
      </w:pPr>
    </w:p>
    <w:p w:rsidR="000A7626" w:rsidRPr="00F06D6F" w:rsidRDefault="000A7626" w:rsidP="000A7626">
      <w:pPr>
        <w:pStyle w:val="ListParagraph"/>
        <w:numPr>
          <w:ilvl w:val="0"/>
          <w:numId w:val="12"/>
        </w:numPr>
        <w:ind w:left="357" w:hanging="357"/>
        <w:rPr>
          <w:sz w:val="20"/>
        </w:rPr>
      </w:pPr>
      <w:r w:rsidRPr="00F06D6F">
        <w:rPr>
          <w:i/>
          <w:sz w:val="20"/>
        </w:rPr>
        <w:t>T.S.C. v. Her Majesty the Queen</w:t>
      </w:r>
      <w:r w:rsidRPr="00F06D6F">
        <w:rPr>
          <w:sz w:val="20"/>
        </w:rPr>
        <w:t xml:space="preserve"> (Sask.) (Criminal) (By Leave) (</w:t>
      </w:r>
      <w:hyperlink r:id="rId16" w:history="1">
        <w:r w:rsidRPr="00F06D6F">
          <w:rPr>
            <w:rStyle w:val="Hyperlink"/>
            <w:sz w:val="20"/>
            <w:szCs w:val="20"/>
          </w:rPr>
          <w:t>4009</w:t>
        </w:r>
        <w:r w:rsidR="00FB234F" w:rsidRPr="00F06D6F">
          <w:rPr>
            <w:rStyle w:val="Hyperlink"/>
            <w:sz w:val="20"/>
            <w:szCs w:val="20"/>
          </w:rPr>
          <w:t>6</w:t>
        </w:r>
      </w:hyperlink>
      <w:r w:rsidRPr="00F06D6F">
        <w:rPr>
          <w:sz w:val="20"/>
        </w:rPr>
        <w:t>)</w:t>
      </w:r>
    </w:p>
    <w:p w:rsidR="000A7626" w:rsidRPr="00442B76" w:rsidRDefault="000A7626" w:rsidP="000A7626">
      <w:pPr>
        <w:ind w:left="357" w:hanging="357"/>
        <w:rPr>
          <w:sz w:val="20"/>
        </w:rPr>
      </w:pPr>
    </w:p>
    <w:p w:rsidR="000A7626" w:rsidRPr="00F06D6F" w:rsidRDefault="000A7626" w:rsidP="000A7626">
      <w:pPr>
        <w:pStyle w:val="SCCLsocParty"/>
        <w:numPr>
          <w:ilvl w:val="0"/>
          <w:numId w:val="12"/>
        </w:numPr>
        <w:ind w:left="357" w:hanging="357"/>
        <w:jc w:val="left"/>
        <w:rPr>
          <w:i/>
          <w:sz w:val="20"/>
          <w:szCs w:val="20"/>
          <w:lang w:val="en-US"/>
        </w:rPr>
      </w:pPr>
      <w:r w:rsidRPr="00F06D6F">
        <w:rPr>
          <w:i/>
          <w:sz w:val="20"/>
          <w:szCs w:val="20"/>
          <w:lang w:val="en-US"/>
        </w:rPr>
        <w:t>Environnement Jeunesse v. Attorney General of Canada</w:t>
      </w:r>
      <w:r w:rsidRPr="00F06D6F">
        <w:rPr>
          <w:sz w:val="20"/>
          <w:szCs w:val="20"/>
          <w:lang w:val="en-US"/>
        </w:rPr>
        <w:t xml:space="preserve"> (Que.) (Civil) (By Leave) </w:t>
      </w:r>
      <w:r w:rsidRPr="00F06D6F">
        <w:rPr>
          <w:sz w:val="20"/>
          <w:lang w:val="en-US"/>
        </w:rPr>
        <w:t>(</w:t>
      </w:r>
      <w:hyperlink r:id="rId17" w:history="1">
        <w:r w:rsidRPr="00F06D6F">
          <w:rPr>
            <w:rStyle w:val="Hyperlink"/>
            <w:sz w:val="20"/>
            <w:szCs w:val="20"/>
            <w:lang w:val="en-US"/>
          </w:rPr>
          <w:t>400</w:t>
        </w:r>
        <w:r w:rsidR="00FB234F" w:rsidRPr="00F06D6F">
          <w:rPr>
            <w:rStyle w:val="Hyperlink"/>
            <w:sz w:val="20"/>
            <w:szCs w:val="20"/>
            <w:lang w:val="en-US"/>
          </w:rPr>
          <w:t>42</w:t>
        </w:r>
      </w:hyperlink>
      <w:r w:rsidRPr="00F06D6F">
        <w:rPr>
          <w:sz w:val="20"/>
          <w:lang w:val="en-US"/>
        </w:rPr>
        <w:t>)</w:t>
      </w:r>
    </w:p>
    <w:p w:rsidR="000A7626" w:rsidRPr="00442B76" w:rsidRDefault="000A7626" w:rsidP="000A7626">
      <w:pPr>
        <w:ind w:left="357" w:hanging="357"/>
        <w:rPr>
          <w:sz w:val="20"/>
        </w:rPr>
      </w:pPr>
      <w:bookmarkStart w:id="0" w:name="_GoBack"/>
      <w:bookmarkEnd w:id="0"/>
    </w:p>
    <w:p w:rsidR="000A7626" w:rsidRPr="00F06D6F" w:rsidRDefault="000A7626" w:rsidP="000A7626">
      <w:pPr>
        <w:pStyle w:val="SCCLsocParty"/>
        <w:numPr>
          <w:ilvl w:val="0"/>
          <w:numId w:val="12"/>
        </w:numPr>
        <w:ind w:left="357" w:hanging="357"/>
        <w:jc w:val="left"/>
        <w:rPr>
          <w:i/>
          <w:sz w:val="20"/>
          <w:szCs w:val="20"/>
          <w:lang w:val="en-US"/>
        </w:rPr>
      </w:pPr>
      <w:r w:rsidRPr="00F06D6F">
        <w:rPr>
          <w:i/>
          <w:sz w:val="20"/>
          <w:szCs w:val="20"/>
          <w:lang w:val="en-US"/>
        </w:rPr>
        <w:t>Her Majesty the Queen v. Blais Thomas Delaire</w:t>
      </w:r>
      <w:r w:rsidRPr="00F06D6F">
        <w:rPr>
          <w:sz w:val="20"/>
          <w:szCs w:val="20"/>
          <w:lang w:val="en-US"/>
        </w:rPr>
        <w:t xml:space="preserve"> (Alta.) (Criminal) (By Leave) </w:t>
      </w:r>
      <w:r w:rsidRPr="00F06D6F">
        <w:rPr>
          <w:sz w:val="20"/>
        </w:rPr>
        <w:t>(</w:t>
      </w:r>
      <w:hyperlink r:id="rId18" w:history="1">
        <w:r w:rsidRPr="00F06D6F">
          <w:rPr>
            <w:rStyle w:val="Hyperlink"/>
            <w:sz w:val="20"/>
            <w:szCs w:val="20"/>
          </w:rPr>
          <w:t>40</w:t>
        </w:r>
        <w:r w:rsidR="00FB234F" w:rsidRPr="00F06D6F">
          <w:rPr>
            <w:rStyle w:val="Hyperlink"/>
            <w:sz w:val="20"/>
            <w:szCs w:val="20"/>
          </w:rPr>
          <w:t>139</w:t>
        </w:r>
      </w:hyperlink>
      <w:r w:rsidRPr="00F06D6F">
        <w:rPr>
          <w:sz w:val="20"/>
        </w:rPr>
        <w:t>)</w:t>
      </w:r>
    </w:p>
    <w:p w:rsidR="000A7626" w:rsidRPr="00F06D6F" w:rsidRDefault="000A7626" w:rsidP="000A7626">
      <w:pPr>
        <w:ind w:left="357" w:hanging="357"/>
        <w:rPr>
          <w:sz w:val="20"/>
        </w:rPr>
      </w:pPr>
    </w:p>
    <w:p w:rsidR="000A7626" w:rsidRPr="00F06D6F" w:rsidRDefault="000A7626" w:rsidP="000A7626">
      <w:pPr>
        <w:pStyle w:val="SCCLsocParty"/>
        <w:numPr>
          <w:ilvl w:val="0"/>
          <w:numId w:val="12"/>
        </w:numPr>
        <w:ind w:left="357" w:hanging="357"/>
        <w:jc w:val="left"/>
        <w:rPr>
          <w:i/>
          <w:sz w:val="20"/>
          <w:szCs w:val="20"/>
          <w:lang w:val="en-US"/>
        </w:rPr>
      </w:pPr>
      <w:r w:rsidRPr="00F06D6F">
        <w:rPr>
          <w:i/>
          <w:sz w:val="20"/>
          <w:szCs w:val="20"/>
          <w:lang w:val="en-US"/>
        </w:rPr>
        <w:t>Wendy Sin Ming Ho v. Her Majesty the Queen in Right of Ontario</w:t>
      </w:r>
      <w:r w:rsidRPr="00F06D6F">
        <w:rPr>
          <w:sz w:val="20"/>
          <w:szCs w:val="20"/>
          <w:lang w:val="en-US"/>
        </w:rPr>
        <w:t xml:space="preserve"> (Ont.) (Civil) (By Leave) </w:t>
      </w:r>
      <w:r w:rsidRPr="00F06D6F">
        <w:rPr>
          <w:sz w:val="20"/>
        </w:rPr>
        <w:t>(</w:t>
      </w:r>
      <w:hyperlink r:id="rId19" w:history="1">
        <w:r w:rsidRPr="00F06D6F">
          <w:rPr>
            <w:rStyle w:val="Hyperlink"/>
            <w:sz w:val="20"/>
            <w:szCs w:val="20"/>
          </w:rPr>
          <w:t>400</w:t>
        </w:r>
        <w:r w:rsidR="00FB234F" w:rsidRPr="00F06D6F">
          <w:rPr>
            <w:rStyle w:val="Hyperlink"/>
            <w:sz w:val="20"/>
            <w:szCs w:val="20"/>
          </w:rPr>
          <w:t>81</w:t>
        </w:r>
      </w:hyperlink>
      <w:r w:rsidRPr="00F06D6F">
        <w:rPr>
          <w:sz w:val="20"/>
        </w:rPr>
        <w:t>)</w:t>
      </w:r>
    </w:p>
    <w:p w:rsidR="000A7626" w:rsidRPr="00F06D6F" w:rsidRDefault="000A7626" w:rsidP="0053032E">
      <w:pPr>
        <w:rPr>
          <w:sz w:val="20"/>
        </w:rPr>
      </w:pPr>
    </w:p>
    <w:p w:rsidR="0057402C" w:rsidRPr="00F06D6F" w:rsidRDefault="00442B76" w:rsidP="0053032E">
      <w:pPr>
        <w:widowControl w:val="0"/>
        <w:jc w:val="both"/>
        <w:rPr>
          <w:sz w:val="20"/>
        </w:rPr>
      </w:pPr>
      <w:r>
        <w:rPr>
          <w:sz w:val="20"/>
        </w:rPr>
        <w:pict>
          <v:rect id="_x0000_i1026" style="width:2in;height:1pt" o:hrpct="0" o:hralign="center" o:hrstd="t" o:hrnoshade="t" o:hr="t" fillcolor="black [3213]" stroked="f"/>
        </w:pict>
      </w:r>
    </w:p>
    <w:p w:rsidR="00A73362" w:rsidRPr="00F06D6F" w:rsidRDefault="00A73362" w:rsidP="0098091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F06D6F" w:rsidTr="00D732B0">
        <w:tc>
          <w:tcPr>
            <w:tcW w:w="543" w:type="pct"/>
          </w:tcPr>
          <w:p w:rsidR="0098091F" w:rsidRPr="00F06D6F" w:rsidRDefault="0098091F" w:rsidP="0098091F">
            <w:pPr>
              <w:jc w:val="both"/>
              <w:rPr>
                <w:sz w:val="20"/>
              </w:rPr>
            </w:pPr>
            <w:r w:rsidRPr="00F06D6F">
              <w:rPr>
                <w:rStyle w:val="SCCFileNumberChar"/>
                <w:sz w:val="20"/>
                <w:szCs w:val="20"/>
              </w:rPr>
              <w:t>39962</w:t>
            </w:r>
          </w:p>
        </w:tc>
        <w:tc>
          <w:tcPr>
            <w:tcW w:w="4457" w:type="pct"/>
            <w:gridSpan w:val="3"/>
          </w:tcPr>
          <w:p w:rsidR="0098091F" w:rsidRPr="00F06D6F" w:rsidRDefault="0098091F" w:rsidP="0098091F">
            <w:pPr>
              <w:pStyle w:val="SCCLsocParty"/>
              <w:jc w:val="both"/>
              <w:rPr>
                <w:b/>
                <w:sz w:val="20"/>
                <w:szCs w:val="20"/>
                <w:lang w:val="en-US"/>
              </w:rPr>
            </w:pPr>
            <w:r w:rsidRPr="00F06D6F">
              <w:rPr>
                <w:b/>
                <w:sz w:val="20"/>
                <w:szCs w:val="20"/>
                <w:lang w:val="en-US"/>
              </w:rPr>
              <w:t>Fransic Battiston v. Microsoft Canada Inc.</w:t>
            </w:r>
          </w:p>
          <w:p w:rsidR="0098091F" w:rsidRPr="00F06D6F" w:rsidRDefault="0098091F" w:rsidP="0098091F">
            <w:pPr>
              <w:jc w:val="both"/>
              <w:rPr>
                <w:sz w:val="20"/>
              </w:rPr>
            </w:pPr>
            <w:r w:rsidRPr="00F06D6F">
              <w:rPr>
                <w:sz w:val="20"/>
              </w:rPr>
              <w:t>(Ont.) (Civil) (By Leave)</w:t>
            </w:r>
          </w:p>
        </w:tc>
      </w:tr>
      <w:tr w:rsidR="0098091F" w:rsidRPr="00F06D6F" w:rsidTr="00D732B0">
        <w:tc>
          <w:tcPr>
            <w:tcW w:w="5000" w:type="pct"/>
            <w:gridSpan w:val="4"/>
          </w:tcPr>
          <w:p w:rsidR="0098091F" w:rsidRPr="00F06D6F" w:rsidRDefault="0098091F" w:rsidP="0098091F">
            <w:pPr>
              <w:jc w:val="both"/>
              <w:rPr>
                <w:sz w:val="20"/>
              </w:rPr>
            </w:pPr>
            <w:r w:rsidRPr="00F06D6F">
              <w:rPr>
                <w:sz w:val="20"/>
              </w:rPr>
              <w:lastRenderedPageBreak/>
              <w:t>Contracts — Contracts of adhesion — Formation — Judgments and orders — Unresolved issues — Employee notified of annual stock award by email — Employee did not read agreement, but clicked an electronic box to confirm that he had read, understood and accepted stock award agreement — Agreement provided that employee’s right to any unvested stock awards would terminate if employment terminated — Employee’s employment terminated without cause after notification of stock award but before stock award vested — Whether companies can rely on harsh and oppressive exclusion clauses in contracts of adhesion when those terms are not brought to the attention of the individual — Whether an individual’s indication that they have ‘read, understood, and accepted’ the contract plays any role in the company’s ability to enforce harsh and oppressive terms against that individual — Whether an issue not addressed by a trial judge must be addressed by the appellate court or remitted to the judge.</w:t>
            </w:r>
          </w:p>
        </w:tc>
      </w:tr>
      <w:tr w:rsidR="0098091F" w:rsidRPr="00F06D6F" w:rsidTr="00D732B0">
        <w:tc>
          <w:tcPr>
            <w:tcW w:w="5000" w:type="pct"/>
            <w:gridSpan w:val="4"/>
          </w:tcPr>
          <w:p w:rsidR="0098091F" w:rsidRPr="00F06D6F" w:rsidRDefault="0098091F" w:rsidP="0098091F">
            <w:pPr>
              <w:jc w:val="both"/>
              <w:rPr>
                <w:sz w:val="20"/>
              </w:rPr>
            </w:pPr>
          </w:p>
        </w:tc>
      </w:tr>
      <w:tr w:rsidR="0098091F" w:rsidRPr="00F06D6F" w:rsidTr="00D732B0">
        <w:tc>
          <w:tcPr>
            <w:tcW w:w="5000" w:type="pct"/>
            <w:gridSpan w:val="4"/>
          </w:tcPr>
          <w:p w:rsidR="0098091F" w:rsidRPr="00F06D6F" w:rsidRDefault="0098091F" w:rsidP="0098091F">
            <w:pPr>
              <w:jc w:val="both"/>
              <w:rPr>
                <w:sz w:val="20"/>
              </w:rPr>
            </w:pPr>
            <w:r w:rsidRPr="00F06D6F">
              <w:rPr>
                <w:sz w:val="20"/>
              </w:rPr>
              <w:t xml:space="preserve">Mr. Battiston had been employed by Microsoft Canada Inc. for 23 years when he was terminated without cause. Mr. Battiston sued for wrongful dismissal, claiming damages for, </w:t>
            </w:r>
            <w:r w:rsidRPr="00F06D6F">
              <w:rPr>
                <w:i/>
                <w:sz w:val="20"/>
              </w:rPr>
              <w:t>inter alia</w:t>
            </w:r>
            <w:r w:rsidRPr="00F06D6F">
              <w:rPr>
                <w:sz w:val="20"/>
              </w:rPr>
              <w:t>, the unvested stock awards. Before he was terminated, he had been granted stock awards. At that time, he was notified of the annual stock award by an email that provided that he could accept the stock award by “indicating that [he had] read, understood and accepted the stock award agreement and the accompanying Plan documents”. He clicked boxes to confirm receipt of the email and that he had read, understood and accepted the Stock Award Agreement. The Stock Award Agreement said that he would not receive the stock award if he wasn’t “actively providing services to the Company or a Subsidiary (regardless of the reason for such termination and whether or not later to be found invalid or in breach of employment laws, if any...)”, and that the right to vested stock awards would terminate on the date he last provided service to Microsoft “and will not be extended by any notice period”: clause 11(m). Microsoft said that these clauses meant that the stock awards would not vest. Mr. Battiston said that he had not read the Stock Award Agreement and did not know about the termination provisions. He believed that he would receive awarded stock that had not vested even if he was terminated.</w:t>
            </w:r>
          </w:p>
          <w:p w:rsidR="0098091F" w:rsidRPr="00F06D6F" w:rsidRDefault="0098091F" w:rsidP="0098091F">
            <w:pPr>
              <w:jc w:val="both"/>
              <w:rPr>
                <w:sz w:val="20"/>
              </w:rPr>
            </w:pPr>
          </w:p>
          <w:p w:rsidR="0098091F" w:rsidRPr="00F06D6F" w:rsidRDefault="0098091F" w:rsidP="0098091F">
            <w:pPr>
              <w:jc w:val="both"/>
              <w:rPr>
                <w:sz w:val="20"/>
              </w:rPr>
            </w:pPr>
            <w:r w:rsidRPr="00F06D6F">
              <w:rPr>
                <w:sz w:val="20"/>
              </w:rPr>
              <w:t xml:space="preserve">The trial judge found, </w:t>
            </w:r>
            <w:r w:rsidRPr="00F06D6F">
              <w:rPr>
                <w:i/>
                <w:sz w:val="20"/>
              </w:rPr>
              <w:t>inter alia</w:t>
            </w:r>
            <w:r w:rsidRPr="00F06D6F">
              <w:rPr>
                <w:sz w:val="20"/>
              </w:rPr>
              <w:t xml:space="preserve">, that he was entitled to the stock awards that had not vested because the termination provisions of the Stock Award Agreements were unenforceable. As such, he found it unnecessary to address Mr. Battiston’s argument that the termination provisions are void under the </w:t>
            </w:r>
            <w:r w:rsidRPr="00F06D6F">
              <w:rPr>
                <w:i/>
                <w:sz w:val="20"/>
              </w:rPr>
              <w:t>Employment Standards Act, 2000</w:t>
            </w:r>
            <w:r w:rsidRPr="00F06D6F">
              <w:rPr>
                <w:sz w:val="20"/>
              </w:rPr>
              <w:t>, S.O. 2000, c. 41. Microsoft appealed only the finding concerning the vesting of the stock. The Court of Appeal allowed the appeal.</w:t>
            </w:r>
          </w:p>
          <w:p w:rsidR="0098091F" w:rsidRPr="00F06D6F" w:rsidRDefault="0098091F" w:rsidP="0098091F">
            <w:pPr>
              <w:jc w:val="both"/>
              <w:rPr>
                <w:sz w:val="20"/>
              </w:rPr>
            </w:pPr>
          </w:p>
        </w:tc>
      </w:tr>
      <w:tr w:rsidR="0098091F" w:rsidRPr="00F06D6F" w:rsidTr="00D732B0">
        <w:tc>
          <w:tcPr>
            <w:tcW w:w="2427" w:type="pct"/>
            <w:gridSpan w:val="2"/>
          </w:tcPr>
          <w:p w:rsidR="0098091F" w:rsidRPr="00F06D6F" w:rsidRDefault="0098091F" w:rsidP="0098091F">
            <w:pPr>
              <w:jc w:val="both"/>
              <w:rPr>
                <w:sz w:val="20"/>
              </w:rPr>
            </w:pPr>
            <w:r w:rsidRPr="00F06D6F">
              <w:rPr>
                <w:sz w:val="20"/>
              </w:rPr>
              <w:t>July 15, 2020</w:t>
            </w:r>
          </w:p>
          <w:p w:rsidR="0098091F" w:rsidRPr="00F06D6F" w:rsidRDefault="0098091F" w:rsidP="0098091F">
            <w:pPr>
              <w:jc w:val="both"/>
              <w:rPr>
                <w:sz w:val="20"/>
              </w:rPr>
            </w:pPr>
            <w:r w:rsidRPr="00F06D6F">
              <w:rPr>
                <w:sz w:val="20"/>
              </w:rPr>
              <w:t>Ontario Superior Court of Justice</w:t>
            </w:r>
          </w:p>
          <w:p w:rsidR="0098091F" w:rsidRPr="00F06D6F" w:rsidRDefault="0098091F" w:rsidP="0098091F">
            <w:pPr>
              <w:jc w:val="both"/>
              <w:rPr>
                <w:sz w:val="20"/>
              </w:rPr>
            </w:pPr>
            <w:r w:rsidRPr="00F06D6F">
              <w:rPr>
                <w:sz w:val="20"/>
              </w:rPr>
              <w:t>(Faieta J.)</w:t>
            </w:r>
          </w:p>
          <w:p w:rsidR="0098091F" w:rsidRPr="00F06D6F" w:rsidRDefault="00442B76" w:rsidP="0098091F">
            <w:pPr>
              <w:jc w:val="both"/>
              <w:rPr>
                <w:sz w:val="20"/>
              </w:rPr>
            </w:pPr>
            <w:hyperlink r:id="rId20" w:history="1">
              <w:r w:rsidR="0098091F" w:rsidRPr="00F06D6F">
                <w:rPr>
                  <w:rStyle w:val="Hyperlink"/>
                  <w:sz w:val="20"/>
                </w:rPr>
                <w:t>2020 ONSC 4286</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i/>
                <w:sz w:val="20"/>
              </w:rPr>
              <w:t>Inter alia</w:t>
            </w:r>
            <w:r w:rsidRPr="00F06D6F">
              <w:rPr>
                <w:sz w:val="20"/>
              </w:rPr>
              <w:t>, Mr. Battiston entitled to stock awards that would have vested during notice period; value of stock awards set</w:t>
            </w:r>
          </w:p>
          <w:p w:rsidR="0098091F" w:rsidRPr="00F06D6F" w:rsidRDefault="0098091F" w:rsidP="0098091F">
            <w:pPr>
              <w:jc w:val="both"/>
              <w:rPr>
                <w:sz w:val="20"/>
              </w:rPr>
            </w:pPr>
          </w:p>
        </w:tc>
      </w:tr>
      <w:tr w:rsidR="0098091F" w:rsidRPr="00F06D6F" w:rsidTr="00D732B0">
        <w:tc>
          <w:tcPr>
            <w:tcW w:w="2427" w:type="pct"/>
            <w:gridSpan w:val="2"/>
          </w:tcPr>
          <w:p w:rsidR="0098091F" w:rsidRPr="00F06D6F" w:rsidRDefault="0098091F" w:rsidP="0098091F">
            <w:pPr>
              <w:jc w:val="both"/>
              <w:rPr>
                <w:sz w:val="20"/>
              </w:rPr>
            </w:pPr>
            <w:r w:rsidRPr="00F06D6F">
              <w:rPr>
                <w:sz w:val="20"/>
              </w:rPr>
              <w:t>October 18, 2021</w:t>
            </w:r>
          </w:p>
          <w:p w:rsidR="0098091F" w:rsidRPr="00F06D6F" w:rsidRDefault="0098091F" w:rsidP="0098091F">
            <w:pPr>
              <w:jc w:val="both"/>
              <w:rPr>
                <w:sz w:val="20"/>
              </w:rPr>
            </w:pPr>
            <w:r w:rsidRPr="00F06D6F">
              <w:rPr>
                <w:sz w:val="20"/>
              </w:rPr>
              <w:t>Court of Appeal for Ontario</w:t>
            </w:r>
          </w:p>
          <w:p w:rsidR="0098091F" w:rsidRPr="00F06D6F" w:rsidRDefault="0098091F" w:rsidP="0098091F">
            <w:pPr>
              <w:jc w:val="both"/>
              <w:rPr>
                <w:sz w:val="20"/>
              </w:rPr>
            </w:pPr>
            <w:r w:rsidRPr="00F06D6F">
              <w:rPr>
                <w:sz w:val="20"/>
              </w:rPr>
              <w:t>(Benotto, Brown, Harvison Young JJ.A.)</w:t>
            </w:r>
          </w:p>
          <w:p w:rsidR="0098091F" w:rsidRPr="00F06D6F" w:rsidRDefault="00442B76" w:rsidP="0098091F">
            <w:pPr>
              <w:jc w:val="both"/>
              <w:rPr>
                <w:sz w:val="20"/>
              </w:rPr>
            </w:pPr>
            <w:hyperlink r:id="rId21" w:history="1">
              <w:r w:rsidR="0098091F" w:rsidRPr="00F06D6F">
                <w:rPr>
                  <w:rStyle w:val="Hyperlink"/>
                  <w:sz w:val="20"/>
                </w:rPr>
                <w:t>2021 ONCA 727</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Appeal allowed; Mr. Battiston not entitled to damages in respect of any stock awards not vested as of the date of termination</w:t>
            </w:r>
          </w:p>
          <w:p w:rsidR="0098091F" w:rsidRPr="00F06D6F" w:rsidRDefault="0098091F" w:rsidP="0098091F">
            <w:pPr>
              <w:jc w:val="both"/>
              <w:rPr>
                <w:sz w:val="20"/>
              </w:rPr>
            </w:pPr>
          </w:p>
        </w:tc>
      </w:tr>
      <w:tr w:rsidR="0098091F" w:rsidRPr="00F06D6F" w:rsidTr="00D732B0">
        <w:tc>
          <w:tcPr>
            <w:tcW w:w="2427" w:type="pct"/>
            <w:gridSpan w:val="2"/>
          </w:tcPr>
          <w:p w:rsidR="0098091F" w:rsidRPr="00F06D6F" w:rsidRDefault="0098091F" w:rsidP="0098091F">
            <w:pPr>
              <w:jc w:val="both"/>
              <w:rPr>
                <w:sz w:val="20"/>
              </w:rPr>
            </w:pPr>
            <w:r w:rsidRPr="00F06D6F">
              <w:rPr>
                <w:sz w:val="20"/>
              </w:rPr>
              <w:t>March 1, 2022</w:t>
            </w:r>
          </w:p>
          <w:p w:rsidR="0098091F" w:rsidRPr="00F06D6F" w:rsidRDefault="0098091F" w:rsidP="0098091F">
            <w:pPr>
              <w:jc w:val="both"/>
              <w:rPr>
                <w:sz w:val="20"/>
              </w:rPr>
            </w:pPr>
            <w:r w:rsidRPr="00F06D6F">
              <w:rPr>
                <w:sz w:val="20"/>
              </w:rPr>
              <w:t>Supreme Court of Canada</w:t>
            </w: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Application for leave to appeal filed</w:t>
            </w:r>
          </w:p>
        </w:tc>
      </w:tr>
    </w:tbl>
    <w:p w:rsidR="0098091F" w:rsidRPr="00F06D6F" w:rsidRDefault="0098091F" w:rsidP="0098091F">
      <w:pPr>
        <w:jc w:val="both"/>
        <w:rPr>
          <w:sz w:val="20"/>
        </w:rPr>
      </w:pPr>
    </w:p>
    <w:p w:rsidR="0098091F" w:rsidRPr="00F06D6F" w:rsidRDefault="00442B76" w:rsidP="0098091F">
      <w:pPr>
        <w:jc w:val="both"/>
        <w:rPr>
          <w:sz w:val="20"/>
        </w:rPr>
      </w:pPr>
      <w:r>
        <w:rPr>
          <w:sz w:val="20"/>
        </w:rPr>
        <w:pict>
          <v:rect id="_x0000_i1027" style="width:2in;height:1pt" o:hrpct="0" o:hralign="center" o:hrstd="t" o:hrnoshade="t" o:hr="t" fillcolor="black [3213]" stroked="f"/>
        </w:pict>
      </w:r>
    </w:p>
    <w:p w:rsidR="0098091F" w:rsidRPr="00F06D6F" w:rsidRDefault="0098091F" w:rsidP="009809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442B76" w:rsidTr="00D732B0">
        <w:tc>
          <w:tcPr>
            <w:tcW w:w="543" w:type="pct"/>
          </w:tcPr>
          <w:p w:rsidR="0098091F" w:rsidRPr="00F06D6F" w:rsidRDefault="0098091F" w:rsidP="0098091F">
            <w:pPr>
              <w:jc w:val="both"/>
              <w:rPr>
                <w:sz w:val="20"/>
                <w:lang w:val="fr-CA"/>
              </w:rPr>
            </w:pPr>
            <w:r w:rsidRPr="00F06D6F">
              <w:rPr>
                <w:rStyle w:val="SCCFileNumberChar"/>
                <w:sz w:val="20"/>
                <w:szCs w:val="20"/>
                <w:lang w:val="fr-CA"/>
              </w:rPr>
              <w:t>39962</w:t>
            </w:r>
          </w:p>
        </w:tc>
        <w:tc>
          <w:tcPr>
            <w:tcW w:w="4457" w:type="pct"/>
            <w:gridSpan w:val="3"/>
          </w:tcPr>
          <w:p w:rsidR="0098091F" w:rsidRPr="00F06D6F" w:rsidRDefault="0098091F" w:rsidP="0098091F">
            <w:pPr>
              <w:pStyle w:val="SCCLsocParty"/>
              <w:jc w:val="both"/>
              <w:rPr>
                <w:b/>
                <w:sz w:val="20"/>
                <w:szCs w:val="20"/>
              </w:rPr>
            </w:pPr>
            <w:r w:rsidRPr="00F06D6F">
              <w:rPr>
                <w:b/>
                <w:sz w:val="20"/>
                <w:szCs w:val="20"/>
              </w:rPr>
              <w:t>Fransic Battiston c. Microsoft Canada Inc.</w:t>
            </w:r>
          </w:p>
          <w:p w:rsidR="0098091F" w:rsidRPr="00F06D6F" w:rsidRDefault="0098091F" w:rsidP="008614A3">
            <w:pPr>
              <w:jc w:val="both"/>
              <w:rPr>
                <w:sz w:val="20"/>
                <w:lang w:val="fr-CA"/>
              </w:rPr>
            </w:pPr>
            <w:r w:rsidRPr="00F06D6F">
              <w:rPr>
                <w:sz w:val="20"/>
                <w:lang w:val="fr-CA"/>
              </w:rPr>
              <w:t>(Ont.) (</w:t>
            </w:r>
            <w:r w:rsidR="008614A3" w:rsidRPr="00F06D6F">
              <w:rPr>
                <w:sz w:val="20"/>
                <w:lang w:val="fr-CA"/>
              </w:rPr>
              <w:t>C</w:t>
            </w:r>
            <w:r w:rsidRPr="00F06D6F">
              <w:rPr>
                <w:sz w:val="20"/>
                <w:lang w:val="fr-CA"/>
              </w:rPr>
              <w:t>ivile) (</w:t>
            </w:r>
            <w:r w:rsidR="008614A3" w:rsidRPr="00F06D6F">
              <w:rPr>
                <w:sz w:val="20"/>
                <w:lang w:val="fr-CA"/>
              </w:rPr>
              <w:t>S</w:t>
            </w:r>
            <w:r w:rsidRPr="00F06D6F">
              <w:rPr>
                <w:sz w:val="20"/>
                <w:lang w:val="fr-CA"/>
              </w:rPr>
              <w:t>ur autorisation)</w:t>
            </w:r>
          </w:p>
        </w:tc>
      </w:tr>
      <w:tr w:rsidR="0098091F" w:rsidRPr="00442B76" w:rsidTr="00D732B0">
        <w:tc>
          <w:tcPr>
            <w:tcW w:w="5000" w:type="pct"/>
            <w:gridSpan w:val="4"/>
          </w:tcPr>
          <w:p w:rsidR="0098091F" w:rsidRPr="00F06D6F" w:rsidRDefault="0098091F" w:rsidP="0098091F">
            <w:pPr>
              <w:jc w:val="both"/>
              <w:rPr>
                <w:sz w:val="20"/>
                <w:lang w:val="fr-CA"/>
              </w:rPr>
            </w:pPr>
            <w:r w:rsidRPr="00F06D6F">
              <w:rPr>
                <w:sz w:val="20"/>
                <w:lang w:val="fr-CA"/>
              </w:rPr>
              <w:t xml:space="preserve">Contrats — Contrats d’adhésion — Formation — Jugements et ordonnances — Questions non réglées — Un employé a été avisé de l’octroi annuel d’actions par courriel — L’employé n’a pas lu l’entente, mais a cliqué sur une case à cocher électronique pour confirmer qu’il avait lu, compris et accepté les modalités de l’entente relative à l’octroi d’actions — L’entente prévoyait qu’il serait mis fin au droit de l’employé à l’octroi d’actions non acquises s’il était mis fin à son emploi — L’employé a été congédié sans motif valable après avoir reçu l’avis d’octroi d’actions, mais avant que les actions soient acquises — Les sociétés peuvent-elles invoquer des clauses d’exclusion sévères et abusives dans des contrats d’adhésion lorsque celles-ci ne sont pas portées à l’attention des personnes visées ? — Le fait qu’une personne indique qu’elle a « lu, compris et accepté » les modalités du contrat joue-t-il un rôle quelconque dans la capacité d’une société de faire exécuter des clauses sévères et abusives contre cette personne ? — Une </w:t>
            </w:r>
            <w:r w:rsidRPr="00F06D6F">
              <w:rPr>
                <w:sz w:val="20"/>
                <w:lang w:val="fr-CA"/>
              </w:rPr>
              <w:lastRenderedPageBreak/>
              <w:t>question qui n’a pas été examinée par le juge de première instance, doit-elle être examinée par la Cour d’appel ou renvoyée au juge ?</w:t>
            </w:r>
          </w:p>
        </w:tc>
      </w:tr>
      <w:tr w:rsidR="0098091F" w:rsidRPr="00442B76" w:rsidTr="00D732B0">
        <w:tc>
          <w:tcPr>
            <w:tcW w:w="5000" w:type="pct"/>
            <w:gridSpan w:val="4"/>
          </w:tcPr>
          <w:p w:rsidR="0098091F" w:rsidRPr="00F06D6F" w:rsidRDefault="0098091F" w:rsidP="0098091F">
            <w:pPr>
              <w:jc w:val="both"/>
              <w:rPr>
                <w:sz w:val="20"/>
                <w:lang w:val="fr-CA"/>
              </w:rPr>
            </w:pPr>
          </w:p>
        </w:tc>
      </w:tr>
      <w:tr w:rsidR="0098091F" w:rsidRPr="00F06D6F" w:rsidTr="00D732B0">
        <w:tc>
          <w:tcPr>
            <w:tcW w:w="5000" w:type="pct"/>
            <w:gridSpan w:val="4"/>
          </w:tcPr>
          <w:p w:rsidR="0098091F" w:rsidRPr="00F06D6F" w:rsidRDefault="0098091F" w:rsidP="0098091F">
            <w:pPr>
              <w:jc w:val="both"/>
              <w:rPr>
                <w:sz w:val="20"/>
                <w:lang w:val="fr-CA"/>
              </w:rPr>
            </w:pPr>
            <w:r w:rsidRPr="00F06D6F">
              <w:rPr>
                <w:sz w:val="20"/>
                <w:lang w:val="fr-CA"/>
              </w:rPr>
              <w:t>M. Battiston détenait un emploi chez Microsoft Canada Inc. depuis 23 ans lorsqu’il a été congédié sans motif valable. M. Battiston a intenté une action pour congédiement injustifié, réclamant notamment des dommages-intérêts relativement à l’octroi d’actions non acquises. Avant son congédiement, on lui avait accordé l’octroi d’actions. À ce moment-là, il avait été avisé par courriel de l’octroi annuel d’actions, lequel prévoyait qu’il pouvait accepter l’octroi de ces actions en [traduction</w:t>
            </w:r>
            <w:r w:rsidRPr="00F06D6F">
              <w:rPr>
                <w:rFonts w:asciiTheme="minorBidi" w:hAnsiTheme="minorBidi"/>
                <w:sz w:val="20"/>
                <w:lang w:val="fr-CA"/>
              </w:rPr>
              <w:t>]</w:t>
            </w:r>
            <w:r w:rsidRPr="00F06D6F">
              <w:rPr>
                <w:sz w:val="20"/>
                <w:lang w:val="fr-CA"/>
              </w:rPr>
              <w:t xml:space="preserve"> « indiquant [qu’il avait] lu, compris et accepté l’entente relative à l’octroi d’actions et les documents constatant le régime qui l’accompagnaient ». Il a cliqué sur des cases à cocher pour confirmer qu’il avait reçu le courriel et qu’il avait lu, compris et accepté les modalités de l’entente en question. Cette entente stipulait qu’aucune action ne lui serait octroyée s’il ne [traduction] « fournissait pas activement des services à la société ou à une de ses filiales (peu importe le motif de congédiement et qu’il soit conclu ou non plus tard que celui-ci était invalide ou contraire aux lois en matière d’emploi, le cas échéant...) », et que le droit à l’octroi d’actions acquises prendrait fin à la dernière date à laquelle il avait fourni des services pour le compte de Microsoft [traduction] « et qu’il n’y aurait aucun prolongement en raison de période de préavis » : clause 11(m). Microsoft a fait valoir que ces clauses signifiaient que les actions octroyées ne pouvaient être acquises. M. Battiston a affirmé ne pas avoir lu l’entente relative à l’octroi d’actions et ne pas avoir pris connaissance des dispositions portant sur le congédiement. Il croyait qu’il recevrait les actions octroyées non acquises même s’il était congédié.</w:t>
            </w:r>
          </w:p>
          <w:p w:rsidR="0098091F" w:rsidRPr="00F06D6F" w:rsidRDefault="0098091F" w:rsidP="0098091F">
            <w:pPr>
              <w:jc w:val="both"/>
              <w:rPr>
                <w:sz w:val="20"/>
                <w:lang w:val="fr-CA"/>
              </w:rPr>
            </w:pPr>
          </w:p>
          <w:p w:rsidR="0098091F" w:rsidRPr="00F06D6F" w:rsidRDefault="0098091F" w:rsidP="0098091F">
            <w:pPr>
              <w:jc w:val="both"/>
              <w:rPr>
                <w:sz w:val="20"/>
                <w:lang w:val="fr-CA"/>
              </w:rPr>
            </w:pPr>
            <w:r w:rsidRPr="00F06D6F">
              <w:rPr>
                <w:sz w:val="20"/>
                <w:lang w:val="fr-CA"/>
              </w:rPr>
              <w:t xml:space="preserve">Le juge de première instance a notamment conclu qu’il avait droit à l’octroi d’actions non acquises parce que les dispositions portant sur le congédiement dans l’entente relative à l’octroi d’actions n’étaient pas exécutoires. Ainsi, il a conclu qu’il n’était pas nécessaire d’examiner l’argument de M. Battiston à savoir si les dispositions en matière de congédiement sont nulles en vertu de la </w:t>
            </w:r>
            <w:r w:rsidRPr="00F06D6F">
              <w:rPr>
                <w:i/>
                <w:sz w:val="20"/>
                <w:lang w:val="fr-CA"/>
              </w:rPr>
              <w:t>Loi de 2000 sur les normes d’emploi</w:t>
            </w:r>
            <w:r w:rsidRPr="00F06D6F">
              <w:rPr>
                <w:sz w:val="20"/>
                <w:lang w:val="fr-CA"/>
              </w:rPr>
              <w:t>, L.O. 2000, c. 41. Microsoft a uniquement fait appel de la conclusion portant sur l’octroi d’actions non acquises. La Cour d’appel a accueilli l’appel.</w:t>
            </w:r>
          </w:p>
          <w:p w:rsidR="0098091F" w:rsidRPr="00F06D6F" w:rsidRDefault="0098091F" w:rsidP="0098091F">
            <w:pPr>
              <w:jc w:val="both"/>
              <w:rPr>
                <w:sz w:val="20"/>
                <w:lang w:val="fr-CA"/>
              </w:rPr>
            </w:pPr>
          </w:p>
        </w:tc>
      </w:tr>
      <w:tr w:rsidR="0098091F" w:rsidRPr="00442B76" w:rsidTr="00D732B0">
        <w:tc>
          <w:tcPr>
            <w:tcW w:w="2427" w:type="pct"/>
            <w:gridSpan w:val="2"/>
          </w:tcPr>
          <w:p w:rsidR="0098091F" w:rsidRPr="00F06D6F" w:rsidRDefault="0098091F" w:rsidP="0098091F">
            <w:pPr>
              <w:jc w:val="both"/>
              <w:rPr>
                <w:sz w:val="20"/>
                <w:lang w:val="fr-CA"/>
              </w:rPr>
            </w:pPr>
            <w:r w:rsidRPr="00F06D6F">
              <w:rPr>
                <w:sz w:val="20"/>
                <w:lang w:val="fr-CA"/>
              </w:rPr>
              <w:t>15 juillet 2020</w:t>
            </w:r>
          </w:p>
          <w:p w:rsidR="0098091F" w:rsidRPr="00F06D6F" w:rsidRDefault="0098091F" w:rsidP="0098091F">
            <w:pPr>
              <w:jc w:val="both"/>
              <w:rPr>
                <w:sz w:val="20"/>
                <w:lang w:val="fr-CA"/>
              </w:rPr>
            </w:pPr>
            <w:r w:rsidRPr="00F06D6F">
              <w:rPr>
                <w:sz w:val="20"/>
                <w:lang w:val="fr-CA"/>
              </w:rPr>
              <w:t>Cour supérieure de justice de l’Ontario</w:t>
            </w:r>
          </w:p>
          <w:p w:rsidR="0098091F" w:rsidRPr="00F06D6F" w:rsidRDefault="0098091F" w:rsidP="0098091F">
            <w:pPr>
              <w:jc w:val="both"/>
              <w:rPr>
                <w:sz w:val="20"/>
                <w:lang w:val="fr-CA"/>
              </w:rPr>
            </w:pPr>
            <w:r w:rsidRPr="00F06D6F">
              <w:rPr>
                <w:sz w:val="20"/>
                <w:lang w:val="fr-CA"/>
              </w:rPr>
              <w:t>(juge Faieta)</w:t>
            </w:r>
          </w:p>
          <w:p w:rsidR="0098091F" w:rsidRPr="00F06D6F" w:rsidRDefault="00442B76" w:rsidP="0098091F">
            <w:pPr>
              <w:jc w:val="both"/>
              <w:rPr>
                <w:sz w:val="20"/>
                <w:lang w:val="fr-CA"/>
              </w:rPr>
            </w:pPr>
            <w:hyperlink r:id="rId22" w:history="1">
              <w:r w:rsidR="0098091F" w:rsidRPr="00F06D6F">
                <w:rPr>
                  <w:rStyle w:val="Hyperlink"/>
                  <w:sz w:val="20"/>
                  <w:lang w:val="fr-CA"/>
                </w:rPr>
                <w:t>2020 ONSC 4286</w:t>
              </w:r>
            </w:hyperlink>
          </w:p>
          <w:p w:rsidR="0098091F" w:rsidRPr="00F06D6F" w:rsidRDefault="0098091F" w:rsidP="0098091F">
            <w:pPr>
              <w:jc w:val="both"/>
              <w:rPr>
                <w:sz w:val="20"/>
                <w:lang w:val="fr-CA"/>
              </w:rPr>
            </w:pP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lang w:val="fr-CA"/>
              </w:rPr>
            </w:pPr>
            <w:r w:rsidRPr="00F06D6F">
              <w:rPr>
                <w:sz w:val="20"/>
                <w:lang w:val="fr-CA"/>
              </w:rPr>
              <w:t>M. Battiston a notamment droit à l’octroi des actions qui aurait été acquises durant la période de préavis; la valeur de l’octroi des actions est déterminée.</w:t>
            </w:r>
          </w:p>
          <w:p w:rsidR="0098091F" w:rsidRPr="00F06D6F" w:rsidRDefault="0098091F" w:rsidP="0098091F">
            <w:pPr>
              <w:jc w:val="both"/>
              <w:rPr>
                <w:sz w:val="20"/>
                <w:lang w:val="fr-CA"/>
              </w:rPr>
            </w:pPr>
          </w:p>
        </w:tc>
      </w:tr>
      <w:tr w:rsidR="0098091F" w:rsidRPr="00442B76" w:rsidTr="00D732B0">
        <w:tc>
          <w:tcPr>
            <w:tcW w:w="2427" w:type="pct"/>
            <w:gridSpan w:val="2"/>
          </w:tcPr>
          <w:p w:rsidR="0098091F" w:rsidRPr="00F06D6F" w:rsidRDefault="0098091F" w:rsidP="0098091F">
            <w:pPr>
              <w:jc w:val="both"/>
              <w:rPr>
                <w:sz w:val="20"/>
              </w:rPr>
            </w:pPr>
            <w:r w:rsidRPr="00F06D6F">
              <w:rPr>
                <w:sz w:val="20"/>
              </w:rPr>
              <w:t>18 octobre 2021</w:t>
            </w:r>
          </w:p>
          <w:p w:rsidR="0098091F" w:rsidRPr="00F06D6F" w:rsidRDefault="0098091F" w:rsidP="0098091F">
            <w:pPr>
              <w:jc w:val="both"/>
              <w:rPr>
                <w:sz w:val="20"/>
              </w:rPr>
            </w:pPr>
            <w:r w:rsidRPr="00F06D6F">
              <w:rPr>
                <w:sz w:val="20"/>
              </w:rPr>
              <w:t>Cour d’appel de l’Ontario</w:t>
            </w:r>
          </w:p>
          <w:p w:rsidR="0098091F" w:rsidRPr="00F06D6F" w:rsidRDefault="0098091F" w:rsidP="0098091F">
            <w:pPr>
              <w:jc w:val="both"/>
              <w:rPr>
                <w:sz w:val="20"/>
              </w:rPr>
            </w:pPr>
            <w:r w:rsidRPr="00F06D6F">
              <w:rPr>
                <w:sz w:val="20"/>
              </w:rPr>
              <w:t>(juges Benotto, Brown, Harvison Young)</w:t>
            </w:r>
          </w:p>
          <w:p w:rsidR="0098091F" w:rsidRPr="00F06D6F" w:rsidRDefault="00442B76" w:rsidP="0098091F">
            <w:pPr>
              <w:jc w:val="both"/>
              <w:rPr>
                <w:sz w:val="20"/>
              </w:rPr>
            </w:pPr>
            <w:hyperlink r:id="rId23" w:history="1">
              <w:r w:rsidR="0098091F" w:rsidRPr="00F06D6F">
                <w:rPr>
                  <w:rStyle w:val="Hyperlink"/>
                  <w:sz w:val="20"/>
                </w:rPr>
                <w:t>2021 ONCA 727</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lang w:val="fr-CA"/>
              </w:rPr>
            </w:pPr>
            <w:r w:rsidRPr="00F06D6F">
              <w:rPr>
                <w:sz w:val="20"/>
                <w:lang w:val="fr-CA"/>
              </w:rPr>
              <w:t>L’appel est accueilli; M. Battiston n’a pas droit à des dommages-intérêts relativement à l’octroi de toute action non acquise à la date du congédiement.</w:t>
            </w:r>
          </w:p>
          <w:p w:rsidR="0098091F" w:rsidRPr="00F06D6F" w:rsidRDefault="0098091F" w:rsidP="0098091F">
            <w:pPr>
              <w:jc w:val="both"/>
              <w:rPr>
                <w:sz w:val="20"/>
                <w:lang w:val="fr-CA"/>
              </w:rPr>
            </w:pPr>
          </w:p>
        </w:tc>
      </w:tr>
      <w:tr w:rsidR="0098091F" w:rsidRPr="00442B76" w:rsidTr="00D732B0">
        <w:tc>
          <w:tcPr>
            <w:tcW w:w="2427" w:type="pct"/>
            <w:gridSpan w:val="2"/>
          </w:tcPr>
          <w:p w:rsidR="0098091F" w:rsidRPr="00F06D6F" w:rsidRDefault="0098091F" w:rsidP="0098091F">
            <w:pPr>
              <w:jc w:val="both"/>
              <w:rPr>
                <w:sz w:val="20"/>
                <w:lang w:val="fr-CA"/>
              </w:rPr>
            </w:pPr>
            <w:r w:rsidRPr="00F06D6F">
              <w:rPr>
                <w:sz w:val="20"/>
                <w:lang w:val="fr-CA"/>
              </w:rPr>
              <w:t>1</w:t>
            </w:r>
            <w:r w:rsidRPr="00F06D6F">
              <w:rPr>
                <w:sz w:val="20"/>
                <w:vertAlign w:val="superscript"/>
                <w:lang w:val="fr-CA"/>
              </w:rPr>
              <w:t>er</w:t>
            </w:r>
            <w:r w:rsidRPr="00F06D6F">
              <w:rPr>
                <w:sz w:val="20"/>
                <w:lang w:val="fr-CA"/>
              </w:rPr>
              <w:t xml:space="preserve"> mars 2022</w:t>
            </w:r>
          </w:p>
          <w:p w:rsidR="0098091F" w:rsidRPr="00F06D6F" w:rsidRDefault="0098091F" w:rsidP="0098091F">
            <w:pPr>
              <w:jc w:val="both"/>
              <w:rPr>
                <w:sz w:val="20"/>
                <w:lang w:val="fr-CA"/>
              </w:rPr>
            </w:pPr>
            <w:r w:rsidRPr="00F06D6F">
              <w:rPr>
                <w:sz w:val="20"/>
                <w:lang w:val="fr-CA"/>
              </w:rPr>
              <w:t>Cour suprême du Canada</w:t>
            </w: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lang w:val="fr-CA"/>
              </w:rPr>
            </w:pPr>
            <w:r w:rsidRPr="00F06D6F">
              <w:rPr>
                <w:sz w:val="20"/>
                <w:lang w:val="fr-CA"/>
              </w:rPr>
              <w:t>La demande d’autorisation d’appel est présentée.</w:t>
            </w:r>
          </w:p>
        </w:tc>
      </w:tr>
    </w:tbl>
    <w:p w:rsidR="0098091F" w:rsidRPr="00F06D6F" w:rsidRDefault="0098091F" w:rsidP="0098091F">
      <w:pPr>
        <w:jc w:val="both"/>
        <w:rPr>
          <w:sz w:val="20"/>
          <w:lang w:val="fr-CA"/>
        </w:rPr>
      </w:pPr>
    </w:p>
    <w:p w:rsidR="0098091F" w:rsidRPr="00F06D6F" w:rsidRDefault="00442B76" w:rsidP="0098091F">
      <w:pPr>
        <w:jc w:val="both"/>
        <w:rPr>
          <w:sz w:val="20"/>
          <w:lang w:val="fr-CA"/>
        </w:rPr>
      </w:pPr>
      <w:r>
        <w:rPr>
          <w:sz w:val="20"/>
        </w:rPr>
        <w:pict>
          <v:rect id="_x0000_i1028" style="width:2in;height:1pt" o:hrpct="0" o:hralign="center" o:hrstd="t" o:hrnoshade="t" o:hr="t" fillcolor="black [3213]" stroked="f"/>
        </w:pict>
      </w:r>
    </w:p>
    <w:p w:rsidR="00494155" w:rsidRPr="00F06D6F" w:rsidRDefault="00494155" w:rsidP="0098091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F06D6F">
        <w:tc>
          <w:tcPr>
            <w:tcW w:w="543" w:type="pct"/>
          </w:tcPr>
          <w:p w:rsidR="0098091F" w:rsidRPr="00F06D6F" w:rsidRDefault="0098091F" w:rsidP="0098091F">
            <w:pPr>
              <w:jc w:val="both"/>
              <w:rPr>
                <w:sz w:val="20"/>
                <w:lang w:val="en-CA"/>
              </w:rPr>
            </w:pPr>
            <w:r w:rsidRPr="00F06D6F">
              <w:rPr>
                <w:rStyle w:val="SCCFileNumberChar"/>
                <w:sz w:val="20"/>
                <w:szCs w:val="20"/>
              </w:rPr>
              <w:t>40057</w:t>
            </w:r>
          </w:p>
        </w:tc>
        <w:tc>
          <w:tcPr>
            <w:tcW w:w="4457" w:type="pct"/>
            <w:gridSpan w:val="3"/>
          </w:tcPr>
          <w:p w:rsidR="0098091F" w:rsidRPr="00F06D6F" w:rsidRDefault="0098091F" w:rsidP="0098091F">
            <w:pPr>
              <w:pStyle w:val="SCCLsocParty"/>
              <w:jc w:val="both"/>
              <w:rPr>
                <w:b/>
                <w:sz w:val="20"/>
                <w:szCs w:val="20"/>
                <w:lang w:val="en-CA"/>
              </w:rPr>
            </w:pPr>
            <w:r w:rsidRPr="00F06D6F">
              <w:rPr>
                <w:b/>
                <w:sz w:val="20"/>
                <w:szCs w:val="20"/>
                <w:lang w:val="en-CA"/>
              </w:rPr>
              <w:t>M.S. v. Her Majesty the Queen</w:t>
            </w:r>
          </w:p>
          <w:p w:rsidR="0098091F" w:rsidRPr="00F06D6F" w:rsidRDefault="0098091F" w:rsidP="0098091F">
            <w:pPr>
              <w:jc w:val="both"/>
              <w:rPr>
                <w:sz w:val="20"/>
                <w:lang w:val="en-CA"/>
              </w:rPr>
            </w:pPr>
            <w:r w:rsidRPr="00F06D6F">
              <w:rPr>
                <w:sz w:val="20"/>
                <w:lang w:val="en-CA"/>
              </w:rPr>
              <w:t>(F.C.) (Civil) (By Leave)</w:t>
            </w:r>
          </w:p>
        </w:tc>
      </w:tr>
      <w:tr w:rsidR="0098091F" w:rsidRPr="00F06D6F">
        <w:tc>
          <w:tcPr>
            <w:tcW w:w="5000" w:type="pct"/>
            <w:gridSpan w:val="4"/>
          </w:tcPr>
          <w:p w:rsidR="0098091F" w:rsidRPr="00F06D6F" w:rsidRDefault="0098091F" w:rsidP="0098091F">
            <w:pPr>
              <w:pStyle w:val="SCCBanSummary"/>
              <w:rPr>
                <w:sz w:val="20"/>
                <w:szCs w:val="20"/>
              </w:rPr>
            </w:pPr>
            <w:r w:rsidRPr="00F06D6F">
              <w:rPr>
                <w:sz w:val="20"/>
                <w:szCs w:val="20"/>
              </w:rPr>
              <w:t>(Publication ban in case) (Publication ban on party) (Sealing order) (</w:t>
            </w:r>
            <w:r w:rsidRPr="00F06D6F">
              <w:rPr>
                <w:sz w:val="20"/>
                <w:szCs w:val="20"/>
                <w:lang w:val="en-GB"/>
              </w:rPr>
              <w:t>Certain information not available to the public</w:t>
            </w:r>
            <w:r w:rsidRPr="00F06D6F">
              <w:rPr>
                <w:sz w:val="20"/>
                <w:szCs w:val="20"/>
              </w:rPr>
              <w:t>)</w:t>
            </w:r>
          </w:p>
          <w:p w:rsidR="0098091F" w:rsidRPr="00F06D6F" w:rsidRDefault="0098091F" w:rsidP="0098091F">
            <w:pPr>
              <w:jc w:val="both"/>
              <w:rPr>
                <w:sz w:val="20"/>
                <w:lang w:val="en-CA"/>
              </w:rPr>
            </w:pPr>
          </w:p>
          <w:p w:rsidR="0098091F" w:rsidRPr="00F06D6F" w:rsidRDefault="0098091F" w:rsidP="0098091F">
            <w:pPr>
              <w:jc w:val="both"/>
              <w:rPr>
                <w:sz w:val="20"/>
                <w:lang w:val="en-CA"/>
              </w:rPr>
            </w:pPr>
            <w:proofErr w:type="gramStart"/>
            <w:r w:rsidRPr="00F06D6F">
              <w:rPr>
                <w:sz w:val="20"/>
                <w:lang w:val="en-CA"/>
              </w:rPr>
              <w:t>Civil procedure ⸺ Declinatory exception ⸺ Jurisdiction of federal courts ⸺ Federal child benefits ⸺ Application for authorization to institute class action ⸺ Existence of arguable case ⸺ Whether Federal Court of Appeal erred in finding that it did not have subject</w:t>
            </w:r>
            <w:r w:rsidRPr="00F06D6F">
              <w:rPr>
                <w:sz w:val="20"/>
                <w:lang w:val="en-CA"/>
              </w:rPr>
              <w:noBreakHyphen/>
              <w:t xml:space="preserve">matter jurisdiction to hear applicant’s claims ⸺ Whether federal courts erred in refusing to authorize class action ⸺ Procedural bijuralism pilot project ⸺ </w:t>
            </w:r>
            <w:r w:rsidRPr="00F06D6F">
              <w:rPr>
                <w:i/>
                <w:sz w:val="20"/>
                <w:lang w:val="en-CA"/>
              </w:rPr>
              <w:t>Code of Civil Procedure</w:t>
            </w:r>
            <w:r w:rsidRPr="00F06D6F">
              <w:rPr>
                <w:sz w:val="20"/>
                <w:lang w:val="en-CA"/>
              </w:rPr>
              <w:t>, CQLR, c. C</w:t>
            </w:r>
            <w:r w:rsidRPr="00F06D6F">
              <w:rPr>
                <w:sz w:val="20"/>
                <w:lang w:val="en-CA"/>
              </w:rPr>
              <w:noBreakHyphen/>
              <w:t>25.01, art. </w:t>
            </w:r>
            <w:proofErr w:type="gramEnd"/>
            <w:r w:rsidRPr="00F06D6F">
              <w:rPr>
                <w:sz w:val="20"/>
                <w:lang w:val="en-CA"/>
              </w:rPr>
              <w:t>575(2).</w:t>
            </w:r>
          </w:p>
        </w:tc>
      </w:tr>
      <w:tr w:rsidR="0098091F" w:rsidRPr="00F06D6F">
        <w:tc>
          <w:tcPr>
            <w:tcW w:w="5000" w:type="pct"/>
            <w:gridSpan w:val="4"/>
          </w:tcPr>
          <w:p w:rsidR="0098091F" w:rsidRPr="00F06D6F" w:rsidRDefault="0098091F" w:rsidP="0098091F">
            <w:pPr>
              <w:jc w:val="both"/>
              <w:rPr>
                <w:sz w:val="20"/>
                <w:lang w:val="en-CA"/>
              </w:rPr>
            </w:pPr>
          </w:p>
        </w:tc>
      </w:tr>
      <w:tr w:rsidR="0098091F" w:rsidRPr="00F06D6F">
        <w:tc>
          <w:tcPr>
            <w:tcW w:w="5000" w:type="pct"/>
            <w:gridSpan w:val="4"/>
          </w:tcPr>
          <w:p w:rsidR="0098091F" w:rsidRPr="00F06D6F" w:rsidRDefault="0098091F" w:rsidP="0098091F">
            <w:pPr>
              <w:jc w:val="both"/>
              <w:rPr>
                <w:sz w:val="20"/>
                <w:lang w:val="en-CA"/>
              </w:rPr>
            </w:pPr>
            <w:r w:rsidRPr="00F06D6F">
              <w:rPr>
                <w:sz w:val="20"/>
                <w:lang w:val="en-CA"/>
              </w:rPr>
              <w:t xml:space="preserve">The applicant, M.S., is a single mother of two. In November 2016, her children were placed in the care of the Centre jeunesse de Montréal. Starting in March 2017, the children gradually returned to live with M.S., until the intervention of the Centre jeunesse de Montréal ended in July 2018. In January 2017, the applicant ceased to be eligible for the Canada Child Benefit and the portion of the GST/HST credit associated with her dependent children, because the </w:t>
            </w:r>
            <w:r w:rsidRPr="00F06D6F">
              <w:rPr>
                <w:sz w:val="20"/>
                <w:lang w:val="en-CA"/>
              </w:rPr>
              <w:lastRenderedPageBreak/>
              <w:t xml:space="preserve">Centre jeunesse de Montréal applied to receive a children’s special allowance with respect to her children. The </w:t>
            </w:r>
            <w:r w:rsidRPr="00F06D6F">
              <w:rPr>
                <w:i/>
                <w:sz w:val="20"/>
                <w:lang w:val="en-CA"/>
              </w:rPr>
              <w:t>Children’s Special Allowances Act</w:t>
            </w:r>
            <w:r w:rsidRPr="00F06D6F">
              <w:rPr>
                <w:sz w:val="20"/>
                <w:lang w:val="en-CA"/>
              </w:rPr>
              <w:t xml:space="preserve"> provides for the payment of an allowance to an agency with which a child </w:t>
            </w:r>
            <w:proofErr w:type="gramStart"/>
            <w:r w:rsidRPr="00F06D6F">
              <w:rPr>
                <w:sz w:val="20"/>
                <w:lang w:val="en-CA"/>
              </w:rPr>
              <w:t>has been placed</w:t>
            </w:r>
            <w:proofErr w:type="gramEnd"/>
            <w:r w:rsidRPr="00F06D6F">
              <w:rPr>
                <w:sz w:val="20"/>
                <w:lang w:val="en-CA"/>
              </w:rPr>
              <w:t xml:space="preserve"> under a youth protection law of a province or territory. Where an agency </w:t>
            </w:r>
            <w:proofErr w:type="gramStart"/>
            <w:r w:rsidRPr="00F06D6F">
              <w:rPr>
                <w:sz w:val="20"/>
                <w:lang w:val="en-CA"/>
              </w:rPr>
              <w:t>is paid</w:t>
            </w:r>
            <w:proofErr w:type="gramEnd"/>
            <w:r w:rsidRPr="00F06D6F">
              <w:rPr>
                <w:sz w:val="20"/>
                <w:lang w:val="en-CA"/>
              </w:rPr>
              <w:t xml:space="preserve"> such an allowance for a child, the Canada Child Benefit and the GST/HST credit cease to be paid to the child’s parents. In March 2018, M.S. applied to receive a portion of the Canada Child Benefit on the basis that she shared custody of her children with the Centre jeunesse de Montréal. In the application, she emphasized her precarious situation and the requirement imposed by the Centre jeunesse de Montréal that she move into more spacious housing so that her children could return gradually. The </w:t>
            </w:r>
            <w:proofErr w:type="gramStart"/>
            <w:r w:rsidRPr="00F06D6F">
              <w:rPr>
                <w:sz w:val="20"/>
                <w:lang w:val="en-CA"/>
              </w:rPr>
              <w:t>application was denied by the Canada Revenue Agency (CRA) on the ground</w:t>
            </w:r>
            <w:proofErr w:type="gramEnd"/>
            <w:r w:rsidRPr="00F06D6F">
              <w:rPr>
                <w:sz w:val="20"/>
                <w:lang w:val="en-CA"/>
              </w:rPr>
              <w:t xml:space="preserve"> that the children were no longer legally being maintained by M.S. </w:t>
            </w:r>
            <w:proofErr w:type="gramStart"/>
            <w:r w:rsidRPr="00F06D6F">
              <w:rPr>
                <w:sz w:val="20"/>
                <w:lang w:val="en-CA"/>
              </w:rPr>
              <w:t xml:space="preserve">According to the definition of “maintenance” in s. 9 of the </w:t>
            </w:r>
            <w:r w:rsidRPr="00F06D6F">
              <w:rPr>
                <w:i/>
                <w:sz w:val="20"/>
                <w:lang w:val="en-CA"/>
              </w:rPr>
              <w:t>Children’s Special Allowance Regulations</w:t>
            </w:r>
            <w:r w:rsidRPr="00F06D6F">
              <w:rPr>
                <w:sz w:val="20"/>
                <w:lang w:val="en-CA"/>
              </w:rPr>
              <w:t>, where a child is placed with a youth protection agency, it is the agency that provides for the care of and maintains the child, regardless of the fact that the agency may allow the child to stay temporarily with the child’s parents.</w:t>
            </w:r>
            <w:proofErr w:type="gramEnd"/>
            <w:r w:rsidRPr="00F06D6F">
              <w:rPr>
                <w:sz w:val="20"/>
                <w:lang w:val="en-CA"/>
              </w:rPr>
              <w:t xml:space="preserve"> M.S. became eligible for the various allowances again starting in July 2018, when the public child protection agency informed the CRA that it was no longer maintaining her children. In 2019, M.S. applied to the Federal Court for authorization to institute a class action. She wished to represent “anyone who was denied the Canada Child Benefit, the GST/HST credit, or a provincial or territorial allowance because their child was ‘placed part‑time’ in a foster family or a child protection facility”. </w:t>
            </w:r>
            <w:r w:rsidRPr="00F06D6F">
              <w:rPr>
                <w:b/>
                <w:sz w:val="20"/>
                <w:lang w:val="en-CA"/>
              </w:rPr>
              <w:t>The Federal Court</w:t>
            </w:r>
            <w:r w:rsidRPr="00F06D6F">
              <w:rPr>
                <w:sz w:val="20"/>
                <w:lang w:val="en-CA"/>
              </w:rPr>
              <w:t xml:space="preserve"> dismissed the application for authorization to institute a class action, and the Federal Court of Appeal dismissed the appeal.</w:t>
            </w:r>
          </w:p>
          <w:p w:rsidR="0098091F" w:rsidRPr="00F06D6F" w:rsidRDefault="0098091F" w:rsidP="0098091F">
            <w:pPr>
              <w:jc w:val="both"/>
              <w:rPr>
                <w:sz w:val="20"/>
                <w:lang w:val="en-CA"/>
              </w:rPr>
            </w:pPr>
          </w:p>
        </w:tc>
      </w:tr>
      <w:tr w:rsidR="0098091F" w:rsidRPr="00F06D6F">
        <w:tc>
          <w:tcPr>
            <w:tcW w:w="2427" w:type="pct"/>
            <w:gridSpan w:val="2"/>
          </w:tcPr>
          <w:p w:rsidR="0098091F" w:rsidRPr="00F06D6F" w:rsidRDefault="0098091F" w:rsidP="0098091F">
            <w:pPr>
              <w:jc w:val="both"/>
              <w:rPr>
                <w:sz w:val="20"/>
                <w:lang w:val="en-CA"/>
              </w:rPr>
            </w:pPr>
            <w:r w:rsidRPr="00F06D6F">
              <w:rPr>
                <w:sz w:val="20"/>
                <w:lang w:val="en-CA"/>
              </w:rPr>
              <w:lastRenderedPageBreak/>
              <w:t>October 21, 2020</w:t>
            </w:r>
          </w:p>
          <w:p w:rsidR="0098091F" w:rsidRPr="00F06D6F" w:rsidRDefault="0098091F" w:rsidP="0098091F">
            <w:pPr>
              <w:jc w:val="both"/>
              <w:rPr>
                <w:sz w:val="20"/>
                <w:lang w:val="en-CA"/>
              </w:rPr>
            </w:pPr>
            <w:r w:rsidRPr="00F06D6F">
              <w:rPr>
                <w:sz w:val="20"/>
                <w:lang w:val="en-CA"/>
              </w:rPr>
              <w:t>Federal Court</w:t>
            </w:r>
          </w:p>
          <w:p w:rsidR="0098091F" w:rsidRPr="00F06D6F" w:rsidRDefault="0098091F" w:rsidP="0098091F">
            <w:pPr>
              <w:jc w:val="both"/>
              <w:rPr>
                <w:sz w:val="20"/>
                <w:lang w:val="en-CA"/>
              </w:rPr>
            </w:pPr>
            <w:r w:rsidRPr="00F06D6F">
              <w:rPr>
                <w:sz w:val="20"/>
                <w:lang w:val="en-CA"/>
              </w:rPr>
              <w:t>(Grammond J.)</w:t>
            </w:r>
          </w:p>
          <w:p w:rsidR="0098091F" w:rsidRPr="00F06D6F" w:rsidRDefault="00442B76" w:rsidP="0098091F">
            <w:pPr>
              <w:jc w:val="both"/>
              <w:rPr>
                <w:sz w:val="20"/>
                <w:lang w:val="en-CA"/>
              </w:rPr>
            </w:pPr>
            <w:hyperlink r:id="rId24" w:history="1">
              <w:r w:rsidR="0098091F" w:rsidRPr="00F06D6F">
                <w:rPr>
                  <w:rStyle w:val="Hyperlink"/>
                  <w:sz w:val="20"/>
                  <w:lang w:val="en-CA"/>
                </w:rPr>
                <w:t>2020 FC 982</w:t>
              </w:r>
            </w:hyperlink>
            <w:r w:rsidR="0098091F" w:rsidRPr="00F06D6F">
              <w:rPr>
                <w:sz w:val="20"/>
                <w:lang w:val="en-CA"/>
              </w:rPr>
              <w:t xml:space="preserve"> </w:t>
            </w:r>
          </w:p>
          <w:p w:rsidR="0098091F" w:rsidRPr="00F06D6F" w:rsidRDefault="0098091F" w:rsidP="0098091F">
            <w:pPr>
              <w:jc w:val="both"/>
              <w:rPr>
                <w:sz w:val="20"/>
                <w:lang w:val="en-CA"/>
              </w:rPr>
            </w:pPr>
          </w:p>
        </w:tc>
        <w:tc>
          <w:tcPr>
            <w:tcW w:w="243" w:type="pct"/>
          </w:tcPr>
          <w:p w:rsidR="0098091F" w:rsidRPr="00F06D6F" w:rsidRDefault="0098091F" w:rsidP="0098091F">
            <w:pPr>
              <w:jc w:val="both"/>
              <w:rPr>
                <w:sz w:val="20"/>
                <w:lang w:val="en-CA"/>
              </w:rPr>
            </w:pPr>
          </w:p>
        </w:tc>
        <w:tc>
          <w:tcPr>
            <w:tcW w:w="2330" w:type="pct"/>
          </w:tcPr>
          <w:p w:rsidR="0098091F" w:rsidRPr="00F06D6F" w:rsidRDefault="0098091F" w:rsidP="0098091F">
            <w:pPr>
              <w:jc w:val="both"/>
              <w:rPr>
                <w:sz w:val="20"/>
                <w:lang w:val="en-CA"/>
              </w:rPr>
            </w:pPr>
            <w:r w:rsidRPr="00F06D6F">
              <w:rPr>
                <w:sz w:val="20"/>
                <w:lang w:val="en-CA"/>
              </w:rPr>
              <w:t>Application for authorization to institute class action dismissed</w:t>
            </w:r>
          </w:p>
          <w:p w:rsidR="0098091F" w:rsidRPr="00F06D6F" w:rsidRDefault="0098091F" w:rsidP="0098091F">
            <w:pPr>
              <w:jc w:val="both"/>
              <w:rPr>
                <w:sz w:val="20"/>
                <w:lang w:val="en-CA"/>
              </w:rPr>
            </w:pPr>
          </w:p>
        </w:tc>
      </w:tr>
      <w:tr w:rsidR="0098091F" w:rsidRPr="00F06D6F">
        <w:tc>
          <w:tcPr>
            <w:tcW w:w="2427" w:type="pct"/>
            <w:gridSpan w:val="2"/>
          </w:tcPr>
          <w:p w:rsidR="0098091F" w:rsidRPr="00F06D6F" w:rsidRDefault="0098091F" w:rsidP="0098091F">
            <w:pPr>
              <w:jc w:val="both"/>
              <w:rPr>
                <w:sz w:val="20"/>
                <w:lang w:val="en-CA"/>
              </w:rPr>
            </w:pPr>
            <w:r w:rsidRPr="00F06D6F">
              <w:rPr>
                <w:sz w:val="20"/>
                <w:lang w:val="en-CA"/>
              </w:rPr>
              <w:t>November 22, 2021</w:t>
            </w:r>
          </w:p>
          <w:p w:rsidR="0098091F" w:rsidRPr="00F06D6F" w:rsidRDefault="0098091F" w:rsidP="0098091F">
            <w:pPr>
              <w:jc w:val="both"/>
              <w:rPr>
                <w:sz w:val="20"/>
                <w:lang w:val="en-CA"/>
              </w:rPr>
            </w:pPr>
            <w:r w:rsidRPr="00F06D6F">
              <w:rPr>
                <w:sz w:val="20"/>
                <w:lang w:val="en-CA"/>
              </w:rPr>
              <w:t>Federal Court of Appeal</w:t>
            </w:r>
          </w:p>
          <w:p w:rsidR="0098091F" w:rsidRPr="00F06D6F" w:rsidRDefault="0098091F" w:rsidP="0098091F">
            <w:pPr>
              <w:jc w:val="both"/>
              <w:rPr>
                <w:sz w:val="20"/>
                <w:lang w:val="en-CA"/>
              </w:rPr>
            </w:pPr>
            <w:r w:rsidRPr="00F06D6F">
              <w:rPr>
                <w:sz w:val="20"/>
                <w:lang w:val="en-CA"/>
              </w:rPr>
              <w:t>(Noël, De Montigny and LeBlanc JJ.A.)</w:t>
            </w:r>
          </w:p>
          <w:p w:rsidR="0098091F" w:rsidRPr="00F06D6F" w:rsidRDefault="00442B76" w:rsidP="0098091F">
            <w:pPr>
              <w:jc w:val="both"/>
              <w:rPr>
                <w:sz w:val="20"/>
                <w:lang w:val="en-CA"/>
              </w:rPr>
            </w:pPr>
            <w:hyperlink r:id="rId25" w:history="1">
              <w:r w:rsidR="0098091F" w:rsidRPr="00F06D6F">
                <w:rPr>
                  <w:rStyle w:val="Hyperlink"/>
                  <w:sz w:val="20"/>
                  <w:lang w:val="en-CA"/>
                </w:rPr>
                <w:t>2021 CAF 225</w:t>
              </w:r>
            </w:hyperlink>
          </w:p>
          <w:p w:rsidR="0098091F" w:rsidRPr="00F06D6F" w:rsidRDefault="0098091F" w:rsidP="0098091F">
            <w:pPr>
              <w:jc w:val="both"/>
              <w:rPr>
                <w:sz w:val="20"/>
                <w:lang w:val="en-CA"/>
              </w:rPr>
            </w:pPr>
          </w:p>
        </w:tc>
        <w:tc>
          <w:tcPr>
            <w:tcW w:w="243" w:type="pct"/>
          </w:tcPr>
          <w:p w:rsidR="0098091F" w:rsidRPr="00F06D6F" w:rsidRDefault="0098091F" w:rsidP="0098091F">
            <w:pPr>
              <w:jc w:val="both"/>
              <w:rPr>
                <w:sz w:val="20"/>
                <w:lang w:val="en-CA"/>
              </w:rPr>
            </w:pPr>
          </w:p>
        </w:tc>
        <w:tc>
          <w:tcPr>
            <w:tcW w:w="2330" w:type="pct"/>
          </w:tcPr>
          <w:p w:rsidR="0098091F" w:rsidRPr="00F06D6F" w:rsidRDefault="0098091F" w:rsidP="0098091F">
            <w:pPr>
              <w:jc w:val="both"/>
              <w:rPr>
                <w:sz w:val="20"/>
                <w:lang w:val="en-CA"/>
              </w:rPr>
            </w:pPr>
            <w:r w:rsidRPr="00F06D6F">
              <w:rPr>
                <w:sz w:val="20"/>
                <w:lang w:val="en-CA"/>
              </w:rPr>
              <w:t xml:space="preserve">Appeal dismissed </w:t>
            </w:r>
          </w:p>
          <w:p w:rsidR="0098091F" w:rsidRPr="00F06D6F" w:rsidRDefault="0098091F" w:rsidP="0098091F">
            <w:pPr>
              <w:jc w:val="both"/>
              <w:rPr>
                <w:sz w:val="20"/>
                <w:lang w:val="en-CA"/>
              </w:rPr>
            </w:pPr>
          </w:p>
        </w:tc>
      </w:tr>
      <w:tr w:rsidR="0098091F" w:rsidRPr="00F06D6F">
        <w:tc>
          <w:tcPr>
            <w:tcW w:w="2427" w:type="pct"/>
            <w:gridSpan w:val="2"/>
          </w:tcPr>
          <w:p w:rsidR="0098091F" w:rsidRPr="00F06D6F" w:rsidRDefault="0098091F" w:rsidP="0098091F">
            <w:pPr>
              <w:jc w:val="both"/>
              <w:rPr>
                <w:sz w:val="20"/>
                <w:lang w:val="en-CA"/>
              </w:rPr>
            </w:pPr>
            <w:r w:rsidRPr="00F06D6F">
              <w:rPr>
                <w:sz w:val="20"/>
                <w:lang w:val="en-CA"/>
              </w:rPr>
              <w:t>January 20, 2022</w:t>
            </w:r>
          </w:p>
          <w:p w:rsidR="0098091F" w:rsidRPr="00F06D6F" w:rsidRDefault="0098091F" w:rsidP="0098091F">
            <w:pPr>
              <w:jc w:val="both"/>
              <w:rPr>
                <w:sz w:val="20"/>
                <w:lang w:val="en-CA"/>
              </w:rPr>
            </w:pPr>
            <w:r w:rsidRPr="00F06D6F">
              <w:rPr>
                <w:sz w:val="20"/>
                <w:lang w:val="en-CA"/>
              </w:rPr>
              <w:t>Supreme Court of Canada</w:t>
            </w:r>
          </w:p>
        </w:tc>
        <w:tc>
          <w:tcPr>
            <w:tcW w:w="243" w:type="pct"/>
          </w:tcPr>
          <w:p w:rsidR="0098091F" w:rsidRPr="00F06D6F" w:rsidRDefault="0098091F" w:rsidP="0098091F">
            <w:pPr>
              <w:jc w:val="both"/>
              <w:rPr>
                <w:sz w:val="20"/>
                <w:lang w:val="en-CA"/>
              </w:rPr>
            </w:pPr>
          </w:p>
        </w:tc>
        <w:tc>
          <w:tcPr>
            <w:tcW w:w="2330" w:type="pct"/>
          </w:tcPr>
          <w:p w:rsidR="0098091F" w:rsidRPr="00F06D6F" w:rsidRDefault="0098091F" w:rsidP="0098091F">
            <w:pPr>
              <w:jc w:val="both"/>
              <w:rPr>
                <w:sz w:val="20"/>
                <w:lang w:val="en-CA"/>
              </w:rPr>
            </w:pPr>
            <w:r w:rsidRPr="00F06D6F">
              <w:rPr>
                <w:sz w:val="20"/>
                <w:lang w:val="en-CA"/>
              </w:rPr>
              <w:t>Application for leave to appeal filed</w:t>
            </w:r>
          </w:p>
          <w:p w:rsidR="0098091F" w:rsidRPr="00F06D6F" w:rsidRDefault="0098091F" w:rsidP="0098091F">
            <w:pPr>
              <w:jc w:val="both"/>
              <w:rPr>
                <w:sz w:val="20"/>
                <w:lang w:val="en-CA"/>
              </w:rPr>
            </w:pPr>
          </w:p>
        </w:tc>
      </w:tr>
    </w:tbl>
    <w:p w:rsidR="0098091F" w:rsidRPr="00F06D6F" w:rsidRDefault="0098091F" w:rsidP="0098091F">
      <w:pPr>
        <w:jc w:val="both"/>
        <w:rPr>
          <w:sz w:val="20"/>
          <w:lang w:val="en-CA"/>
        </w:rPr>
      </w:pPr>
    </w:p>
    <w:p w:rsidR="0098091F" w:rsidRPr="00F06D6F" w:rsidRDefault="00442B76" w:rsidP="0098091F">
      <w:pPr>
        <w:jc w:val="both"/>
        <w:rPr>
          <w:sz w:val="20"/>
          <w:lang w:val="en-CA"/>
        </w:rPr>
      </w:pPr>
      <w:r>
        <w:rPr>
          <w:sz w:val="20"/>
        </w:rPr>
        <w:pict>
          <v:rect id="_x0000_i1029" style="width:2in;height:1pt" o:hrpct="0" o:hralign="center" o:hrstd="t" o:hrnoshade="t" o:hr="t" fillcolor="black [3213]" stroked="f"/>
        </w:pict>
      </w:r>
    </w:p>
    <w:p w:rsidR="0098091F" w:rsidRPr="00F06D6F" w:rsidRDefault="0098091F" w:rsidP="0098091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F06D6F">
        <w:tc>
          <w:tcPr>
            <w:tcW w:w="543" w:type="pct"/>
          </w:tcPr>
          <w:p w:rsidR="0098091F" w:rsidRPr="00F06D6F" w:rsidRDefault="0098091F" w:rsidP="0098091F">
            <w:pPr>
              <w:jc w:val="both"/>
              <w:rPr>
                <w:sz w:val="20"/>
              </w:rPr>
            </w:pPr>
            <w:r w:rsidRPr="00F06D6F">
              <w:rPr>
                <w:rStyle w:val="SCCFileNumberChar"/>
                <w:sz w:val="20"/>
                <w:szCs w:val="20"/>
              </w:rPr>
              <w:t>40057</w:t>
            </w:r>
          </w:p>
        </w:tc>
        <w:tc>
          <w:tcPr>
            <w:tcW w:w="4457" w:type="pct"/>
            <w:gridSpan w:val="3"/>
          </w:tcPr>
          <w:p w:rsidR="0098091F" w:rsidRPr="00F06D6F" w:rsidRDefault="0098091F" w:rsidP="0098091F">
            <w:pPr>
              <w:pStyle w:val="SCCLsocParty"/>
              <w:jc w:val="both"/>
              <w:rPr>
                <w:b/>
                <w:sz w:val="20"/>
                <w:szCs w:val="20"/>
              </w:rPr>
            </w:pPr>
            <w:r w:rsidRPr="00F06D6F">
              <w:rPr>
                <w:b/>
                <w:sz w:val="20"/>
                <w:szCs w:val="20"/>
              </w:rPr>
              <w:t>M.S. c. Sa Majesté la Reine</w:t>
            </w:r>
          </w:p>
          <w:p w:rsidR="0098091F" w:rsidRPr="00F06D6F" w:rsidRDefault="0098091F" w:rsidP="0098091F">
            <w:pPr>
              <w:jc w:val="both"/>
              <w:rPr>
                <w:sz w:val="20"/>
                <w:lang w:val="fr-CA"/>
              </w:rPr>
            </w:pPr>
            <w:r w:rsidRPr="00F06D6F">
              <w:rPr>
                <w:sz w:val="20"/>
                <w:lang w:val="fr-CA"/>
              </w:rPr>
              <w:t>(C.F.) (Civile) (Autorisation)</w:t>
            </w:r>
          </w:p>
        </w:tc>
      </w:tr>
      <w:tr w:rsidR="0098091F" w:rsidRPr="00442B76">
        <w:tc>
          <w:tcPr>
            <w:tcW w:w="5000" w:type="pct"/>
            <w:gridSpan w:val="4"/>
          </w:tcPr>
          <w:p w:rsidR="0098091F" w:rsidRPr="00F06D6F" w:rsidRDefault="0098091F" w:rsidP="0098091F">
            <w:pPr>
              <w:pStyle w:val="SCCBanSummary"/>
              <w:rPr>
                <w:sz w:val="20"/>
                <w:szCs w:val="20"/>
                <w:lang w:val="fr-CA"/>
              </w:rPr>
            </w:pPr>
            <w:r w:rsidRPr="00F06D6F">
              <w:rPr>
                <w:sz w:val="20"/>
                <w:szCs w:val="20"/>
                <w:lang w:val="fr-CA"/>
              </w:rPr>
              <w:t>(Ordonnance de non</w:t>
            </w:r>
            <w:r w:rsidRPr="00F06D6F">
              <w:rPr>
                <w:sz w:val="20"/>
                <w:szCs w:val="20"/>
                <w:lang w:val="fr-CA"/>
              </w:rPr>
              <w:noBreakHyphen/>
              <w:t>publication dans le dossier) (Ordonnance de non</w:t>
            </w:r>
            <w:r w:rsidRPr="00F06D6F">
              <w:rPr>
                <w:sz w:val="20"/>
                <w:szCs w:val="20"/>
                <w:lang w:val="fr-CA"/>
              </w:rPr>
              <w:noBreakHyphen/>
              <w:t>publication visant une partie) (Ordonnance de mise sous scellés) (Certaines informations non disponibles pour le public)</w:t>
            </w:r>
          </w:p>
          <w:p w:rsidR="0098091F" w:rsidRPr="00F06D6F" w:rsidRDefault="0098091F" w:rsidP="0098091F">
            <w:pPr>
              <w:jc w:val="both"/>
              <w:rPr>
                <w:sz w:val="20"/>
                <w:lang w:val="fr-CA"/>
              </w:rPr>
            </w:pPr>
          </w:p>
          <w:p w:rsidR="0098091F" w:rsidRPr="00F06D6F" w:rsidRDefault="0098091F" w:rsidP="0098091F">
            <w:pPr>
              <w:jc w:val="both"/>
              <w:rPr>
                <w:sz w:val="20"/>
                <w:lang w:val="fr-CA"/>
              </w:rPr>
            </w:pPr>
            <w:r w:rsidRPr="00F06D6F">
              <w:rPr>
                <w:sz w:val="20"/>
                <w:lang w:val="fr-CA"/>
              </w:rPr>
              <w:t xml:space="preserve">Procédure civile </w:t>
            </w:r>
            <w:r w:rsidRPr="00F06D6F">
              <w:rPr>
                <w:sz w:val="20"/>
              </w:rPr>
              <w:t>⸺</w:t>
            </w:r>
            <w:r w:rsidRPr="00F06D6F">
              <w:rPr>
                <w:sz w:val="20"/>
                <w:lang w:val="fr-CA"/>
              </w:rPr>
              <w:t xml:space="preserve"> Exception déclinatoire </w:t>
            </w:r>
            <w:r w:rsidRPr="00F06D6F">
              <w:rPr>
                <w:sz w:val="20"/>
              </w:rPr>
              <w:t>⸺</w:t>
            </w:r>
            <w:r w:rsidRPr="00F06D6F">
              <w:rPr>
                <w:sz w:val="20"/>
                <w:lang w:val="fr-CA"/>
              </w:rPr>
              <w:t xml:space="preserve"> Compétence des tribunaux fédéraux </w:t>
            </w:r>
            <w:r w:rsidRPr="00F06D6F">
              <w:rPr>
                <w:sz w:val="20"/>
              </w:rPr>
              <w:t>⸺</w:t>
            </w:r>
            <w:r w:rsidRPr="00F06D6F">
              <w:rPr>
                <w:sz w:val="20"/>
                <w:lang w:val="fr-CA"/>
              </w:rPr>
              <w:t xml:space="preserve"> Prestations fédérales relatives à l’enfant </w:t>
            </w:r>
            <w:r w:rsidRPr="00F06D6F">
              <w:rPr>
                <w:sz w:val="20"/>
              </w:rPr>
              <w:t>⸺</w:t>
            </w:r>
            <w:r w:rsidRPr="00F06D6F">
              <w:rPr>
                <w:sz w:val="20"/>
                <w:lang w:val="fr-CA"/>
              </w:rPr>
              <w:t xml:space="preserve"> Demande d’autorisation d’exercer une action collective </w:t>
            </w:r>
            <w:r w:rsidRPr="00F06D6F">
              <w:rPr>
                <w:sz w:val="20"/>
              </w:rPr>
              <w:t>⸺</w:t>
            </w:r>
            <w:r w:rsidRPr="00F06D6F">
              <w:rPr>
                <w:sz w:val="20"/>
                <w:lang w:val="fr-CA"/>
              </w:rPr>
              <w:t xml:space="preserve"> Existence d’une cause défendable </w:t>
            </w:r>
            <w:r w:rsidRPr="00F06D6F">
              <w:rPr>
                <w:sz w:val="20"/>
              </w:rPr>
              <w:t>⸺</w:t>
            </w:r>
            <w:r w:rsidRPr="00F06D6F">
              <w:rPr>
                <w:sz w:val="20"/>
                <w:lang w:val="fr-CA"/>
              </w:rPr>
              <w:t xml:space="preserve"> La Cour d’appel fédérale a</w:t>
            </w:r>
            <w:r w:rsidRPr="00F06D6F">
              <w:rPr>
                <w:sz w:val="20"/>
                <w:lang w:val="fr-CA"/>
              </w:rPr>
              <w:noBreakHyphen/>
              <w:t>t</w:t>
            </w:r>
            <w:r w:rsidRPr="00F06D6F">
              <w:rPr>
                <w:sz w:val="20"/>
                <w:lang w:val="fr-CA"/>
              </w:rPr>
              <w:noBreakHyphen/>
              <w:t xml:space="preserve">elle erré en concluant qu’elle n’a pas la compétence </w:t>
            </w:r>
            <w:r w:rsidRPr="00F06D6F">
              <w:rPr>
                <w:i/>
                <w:sz w:val="20"/>
                <w:lang w:val="fr-CA"/>
              </w:rPr>
              <w:t>ratione materiae</w:t>
            </w:r>
            <w:r w:rsidRPr="00F06D6F">
              <w:rPr>
                <w:sz w:val="20"/>
                <w:lang w:val="fr-CA"/>
              </w:rPr>
              <w:t xml:space="preserve"> pour entendre les réclamations de la demanderesse? </w:t>
            </w:r>
            <w:r w:rsidRPr="00F06D6F">
              <w:rPr>
                <w:sz w:val="20"/>
              </w:rPr>
              <w:t>⸺</w:t>
            </w:r>
            <w:r w:rsidRPr="00F06D6F">
              <w:rPr>
                <w:sz w:val="20"/>
                <w:lang w:val="fr-CA"/>
              </w:rPr>
              <w:t xml:space="preserve"> Les cours fédérales ont</w:t>
            </w:r>
            <w:r w:rsidRPr="00F06D6F">
              <w:rPr>
                <w:sz w:val="20"/>
                <w:lang w:val="fr-CA"/>
              </w:rPr>
              <w:noBreakHyphen/>
              <w:t xml:space="preserve">elles erré en refusant d’autoriser l’action collective? </w:t>
            </w:r>
            <w:r w:rsidRPr="00F06D6F">
              <w:rPr>
                <w:sz w:val="20"/>
              </w:rPr>
              <w:t>⸺</w:t>
            </w:r>
            <w:r w:rsidRPr="00F06D6F">
              <w:rPr>
                <w:sz w:val="20"/>
                <w:lang w:val="fr-CA"/>
              </w:rPr>
              <w:t xml:space="preserve"> Projet pilote en bijuridisme procédural </w:t>
            </w:r>
            <w:r w:rsidRPr="00F06D6F">
              <w:rPr>
                <w:sz w:val="20"/>
              </w:rPr>
              <w:t>⸺</w:t>
            </w:r>
            <w:r w:rsidRPr="00F06D6F">
              <w:rPr>
                <w:sz w:val="20"/>
                <w:lang w:val="fr-CA"/>
              </w:rPr>
              <w:t xml:space="preserve"> </w:t>
            </w:r>
            <w:r w:rsidRPr="00F06D6F">
              <w:rPr>
                <w:i/>
                <w:sz w:val="20"/>
                <w:lang w:val="fr-CA"/>
              </w:rPr>
              <w:t>Code de procédure civile</w:t>
            </w:r>
            <w:r w:rsidRPr="00F06D6F">
              <w:rPr>
                <w:sz w:val="20"/>
                <w:lang w:val="fr-CA"/>
              </w:rPr>
              <w:t>, RLRQ c C</w:t>
            </w:r>
            <w:r w:rsidRPr="00F06D6F">
              <w:rPr>
                <w:sz w:val="20"/>
                <w:lang w:val="fr-CA"/>
              </w:rPr>
              <w:noBreakHyphen/>
              <w:t>25.01, art. 575(2)</w:t>
            </w:r>
          </w:p>
        </w:tc>
      </w:tr>
      <w:tr w:rsidR="0098091F" w:rsidRPr="00442B76">
        <w:tc>
          <w:tcPr>
            <w:tcW w:w="5000" w:type="pct"/>
            <w:gridSpan w:val="4"/>
          </w:tcPr>
          <w:p w:rsidR="0098091F" w:rsidRPr="00F06D6F" w:rsidRDefault="0098091F" w:rsidP="0098091F">
            <w:pPr>
              <w:jc w:val="both"/>
              <w:rPr>
                <w:sz w:val="20"/>
                <w:lang w:val="fr-CA"/>
              </w:rPr>
            </w:pPr>
          </w:p>
        </w:tc>
      </w:tr>
      <w:tr w:rsidR="0098091F" w:rsidRPr="00442B76">
        <w:tc>
          <w:tcPr>
            <w:tcW w:w="5000" w:type="pct"/>
            <w:gridSpan w:val="4"/>
          </w:tcPr>
          <w:p w:rsidR="0098091F" w:rsidRPr="00F06D6F" w:rsidRDefault="0098091F" w:rsidP="0098091F">
            <w:pPr>
              <w:jc w:val="both"/>
              <w:rPr>
                <w:sz w:val="20"/>
                <w:lang w:val="fr-CA"/>
              </w:rPr>
            </w:pPr>
            <w:r w:rsidRPr="00F06D6F">
              <w:rPr>
                <w:sz w:val="20"/>
                <w:lang w:val="fr-CA"/>
              </w:rPr>
              <w:t xml:space="preserve">La demanderesse, M.S., est mère monoparentale de deux enfants. En novembre 2016, ses enfants ont été placés sous la responsabilité du Centre jeunesse Montréal. À partir de mars 2017, les enfants sont progressivement retournés vivre avec M.S. jusqu’à ce que l’intervention du Centre jeunesse se termine en juillet 2018. En janvier 2017, la demanderesse a cessé d’être éligible à l’Allocation canadienne pour enfants et à la portion du crédit de TPS/TVH associé à ses enfants à charge, car le Centre jeunesse de Montréal a demandé à recevoir une allocation spéciale pour enfants à l’égard des enfants de M.S. En effet, la </w:t>
            </w:r>
            <w:r w:rsidRPr="00F06D6F">
              <w:rPr>
                <w:i/>
                <w:sz w:val="20"/>
                <w:lang w:val="fr-CA"/>
              </w:rPr>
              <w:t>Loi sur les allocations spéciales pour enfants</w:t>
            </w:r>
            <w:r w:rsidRPr="00F06D6F">
              <w:rPr>
                <w:sz w:val="20"/>
                <w:lang w:val="fr-CA"/>
              </w:rPr>
              <w:t xml:space="preserve">, prévoit le versement d’une allocation à un organisme à qui l’enfant est confié en vertu d’une loi provinciale ou territoriale sur la protection de la jeunesse. Lorsqu’une telle allocation est versée à un organisme à l’égard d’un enfant, l’Allocation canadienne pour enfants cesse d’être versée aux parents de cet enfant tout comme le crédit de TPS/TVH. En mars 2018, M.S. a présenté une demande afin de recevoir une portion de l’Allocation canadienne pour enfants au motif qu’elle partageait la garde de ses enfants avec le Centre jeunesse de Montréal. Dans cette demande, elle soulignait sa condition précaire ainsi que l’exigence posée par le Centre jeunesse de Montréal de déménager dans un logement plus spacieux afin </w:t>
            </w:r>
            <w:r w:rsidRPr="00F06D6F">
              <w:rPr>
                <w:sz w:val="20"/>
                <w:lang w:val="fr-CA"/>
              </w:rPr>
              <w:lastRenderedPageBreak/>
              <w:t xml:space="preserve">d’obtenir le retour progressif de ses enfants. Cette demande a été refusée par l’Agence du revenu du Canada (ARC) au motif qu’elle ne disposait plus de la charge légale de ses enfants. En effet, selon la définition de « charge » prévue à l’art. 9 du </w:t>
            </w:r>
            <w:r w:rsidRPr="00F06D6F">
              <w:rPr>
                <w:i/>
                <w:sz w:val="20"/>
                <w:lang w:val="fr-CA"/>
              </w:rPr>
              <w:t>Règlement sur les allocations spéciales pour enfant</w:t>
            </w:r>
            <w:r w:rsidRPr="00F06D6F">
              <w:rPr>
                <w:sz w:val="20"/>
                <w:lang w:val="fr-CA"/>
              </w:rPr>
              <w:t xml:space="preserve">, lorsqu’un enfant est confié à un organisme de protection de la jeunesse, c’est cet organisme qui en assure le soin et qui en a la charge, et ce, sans égard au fait que l’organisme puisse permettre à l’enfant de séjourner temporairement chez ses parents. M.S. est redevenue éligible aux diverses allocations à partir de juillet 2018, lorsque l’organisme public de protection des enfants a informé l’ARC que les enfants de M.S. n’étaient plus à sa charge. M.S., a déposé une demande d’autorisation d’exercer une action collective devant la Cour fédérale en 2019. Elle désire représenter « toute personne qui a été privée de l’Allocation canadienne pour enfants, du crédit de TPS/TVH ou d’une allocation provinciale ou territoriale parce que son enfant est “placé à temps partiel” dans une famille d’accueil ou un établissement de protection de l’enfant ». </w:t>
            </w:r>
            <w:r w:rsidRPr="00F06D6F">
              <w:rPr>
                <w:b/>
                <w:sz w:val="20"/>
                <w:lang w:val="fr-CA"/>
              </w:rPr>
              <w:t>La Cour fédérale</w:t>
            </w:r>
            <w:r w:rsidRPr="00F06D6F">
              <w:rPr>
                <w:sz w:val="20"/>
                <w:lang w:val="fr-CA"/>
              </w:rPr>
              <w:t xml:space="preserve"> a rejeté la demande d’autorisation d’exercer une action collective et la Cour d’appel fédérale a rejeté l’appel.</w:t>
            </w:r>
          </w:p>
          <w:p w:rsidR="0098091F" w:rsidRPr="00F06D6F" w:rsidRDefault="0098091F" w:rsidP="0098091F">
            <w:pPr>
              <w:jc w:val="both"/>
              <w:rPr>
                <w:sz w:val="20"/>
                <w:lang w:val="fr-CA"/>
              </w:rPr>
            </w:pPr>
          </w:p>
        </w:tc>
      </w:tr>
      <w:tr w:rsidR="0098091F" w:rsidRPr="00442B76">
        <w:tc>
          <w:tcPr>
            <w:tcW w:w="2427" w:type="pct"/>
            <w:gridSpan w:val="2"/>
          </w:tcPr>
          <w:p w:rsidR="0098091F" w:rsidRPr="00F06D6F" w:rsidRDefault="0098091F" w:rsidP="0098091F">
            <w:pPr>
              <w:jc w:val="both"/>
              <w:rPr>
                <w:sz w:val="20"/>
                <w:lang w:val="fr-CA"/>
              </w:rPr>
            </w:pPr>
            <w:r w:rsidRPr="00F06D6F">
              <w:rPr>
                <w:sz w:val="20"/>
                <w:lang w:val="fr-CA"/>
              </w:rPr>
              <w:lastRenderedPageBreak/>
              <w:t>Le 21 octobre 2020</w:t>
            </w:r>
          </w:p>
          <w:p w:rsidR="0098091F" w:rsidRPr="00F06D6F" w:rsidRDefault="0098091F" w:rsidP="0098091F">
            <w:pPr>
              <w:jc w:val="both"/>
              <w:rPr>
                <w:sz w:val="20"/>
                <w:lang w:val="fr-CA"/>
              </w:rPr>
            </w:pPr>
            <w:r w:rsidRPr="00F06D6F">
              <w:rPr>
                <w:sz w:val="20"/>
                <w:lang w:val="fr-CA"/>
              </w:rPr>
              <w:t>Cour fédérale</w:t>
            </w:r>
          </w:p>
          <w:p w:rsidR="0098091F" w:rsidRPr="00F06D6F" w:rsidRDefault="0098091F" w:rsidP="0098091F">
            <w:pPr>
              <w:jc w:val="both"/>
              <w:rPr>
                <w:sz w:val="20"/>
                <w:lang w:val="fr-CA"/>
              </w:rPr>
            </w:pPr>
            <w:r w:rsidRPr="00F06D6F">
              <w:rPr>
                <w:sz w:val="20"/>
                <w:lang w:val="fr-CA"/>
              </w:rPr>
              <w:t>(Le juge Grammond)</w:t>
            </w:r>
          </w:p>
          <w:p w:rsidR="0098091F" w:rsidRPr="00F06D6F" w:rsidRDefault="00442B76" w:rsidP="0098091F">
            <w:pPr>
              <w:jc w:val="both"/>
              <w:rPr>
                <w:sz w:val="20"/>
              </w:rPr>
            </w:pPr>
            <w:hyperlink r:id="rId26" w:history="1">
              <w:r w:rsidR="0098091F" w:rsidRPr="00F06D6F">
                <w:rPr>
                  <w:rStyle w:val="Hyperlink"/>
                  <w:sz w:val="20"/>
                </w:rPr>
                <w:t>2020 CF 982</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lang w:val="fr-CA"/>
              </w:rPr>
            </w:pPr>
            <w:r w:rsidRPr="00F06D6F">
              <w:rPr>
                <w:sz w:val="20"/>
                <w:lang w:val="fr-CA"/>
              </w:rPr>
              <w:t>Demande d’autorisation d’exercer une action collective rejetée.</w:t>
            </w:r>
          </w:p>
          <w:p w:rsidR="0098091F" w:rsidRPr="00F06D6F" w:rsidRDefault="0098091F" w:rsidP="0098091F">
            <w:pPr>
              <w:jc w:val="both"/>
              <w:rPr>
                <w:sz w:val="20"/>
                <w:lang w:val="fr-CA"/>
              </w:rPr>
            </w:pPr>
          </w:p>
        </w:tc>
      </w:tr>
      <w:tr w:rsidR="0098091F" w:rsidRPr="00F06D6F">
        <w:tc>
          <w:tcPr>
            <w:tcW w:w="2427" w:type="pct"/>
            <w:gridSpan w:val="2"/>
          </w:tcPr>
          <w:p w:rsidR="0098091F" w:rsidRPr="00F06D6F" w:rsidRDefault="0098091F" w:rsidP="0098091F">
            <w:pPr>
              <w:jc w:val="both"/>
              <w:rPr>
                <w:sz w:val="20"/>
                <w:lang w:val="fr-CA"/>
              </w:rPr>
            </w:pPr>
            <w:r w:rsidRPr="00F06D6F">
              <w:rPr>
                <w:sz w:val="20"/>
                <w:lang w:val="fr-CA"/>
              </w:rPr>
              <w:t>Le 22 novembre 2021</w:t>
            </w:r>
          </w:p>
          <w:p w:rsidR="0098091F" w:rsidRPr="00F06D6F" w:rsidRDefault="0098091F" w:rsidP="0098091F">
            <w:pPr>
              <w:jc w:val="both"/>
              <w:rPr>
                <w:sz w:val="20"/>
                <w:lang w:val="fr-CA"/>
              </w:rPr>
            </w:pPr>
            <w:r w:rsidRPr="00F06D6F">
              <w:rPr>
                <w:sz w:val="20"/>
                <w:lang w:val="fr-CA"/>
              </w:rPr>
              <w:t>Cour d’appel fédérale</w:t>
            </w:r>
          </w:p>
          <w:p w:rsidR="0098091F" w:rsidRPr="00F06D6F" w:rsidRDefault="0098091F" w:rsidP="0098091F">
            <w:pPr>
              <w:jc w:val="both"/>
              <w:rPr>
                <w:sz w:val="20"/>
                <w:lang w:val="fr-CA"/>
              </w:rPr>
            </w:pPr>
            <w:r w:rsidRPr="00F06D6F">
              <w:rPr>
                <w:sz w:val="20"/>
                <w:lang w:val="fr-CA"/>
              </w:rPr>
              <w:t>(Les juges Noël, De Montigny et LeBlanc)</w:t>
            </w:r>
          </w:p>
          <w:p w:rsidR="0098091F" w:rsidRPr="00F06D6F" w:rsidRDefault="00442B76" w:rsidP="0098091F">
            <w:pPr>
              <w:jc w:val="both"/>
              <w:rPr>
                <w:sz w:val="20"/>
              </w:rPr>
            </w:pPr>
            <w:hyperlink r:id="rId27" w:history="1">
              <w:r w:rsidR="0098091F" w:rsidRPr="00F06D6F">
                <w:rPr>
                  <w:rStyle w:val="Hyperlink"/>
                  <w:sz w:val="20"/>
                </w:rPr>
                <w:t>2021 CAF 225</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 xml:space="preserve">Appel rejeté. </w:t>
            </w:r>
          </w:p>
          <w:p w:rsidR="0098091F" w:rsidRPr="00F06D6F" w:rsidRDefault="0098091F" w:rsidP="0098091F">
            <w:pPr>
              <w:jc w:val="both"/>
              <w:rPr>
                <w:sz w:val="20"/>
              </w:rPr>
            </w:pPr>
          </w:p>
        </w:tc>
      </w:tr>
      <w:tr w:rsidR="0098091F" w:rsidRPr="00F06D6F">
        <w:tc>
          <w:tcPr>
            <w:tcW w:w="2427" w:type="pct"/>
            <w:gridSpan w:val="2"/>
          </w:tcPr>
          <w:p w:rsidR="0098091F" w:rsidRPr="00F06D6F" w:rsidRDefault="0098091F" w:rsidP="0098091F">
            <w:pPr>
              <w:jc w:val="both"/>
              <w:rPr>
                <w:sz w:val="20"/>
                <w:lang w:val="fr-CA"/>
              </w:rPr>
            </w:pPr>
            <w:r w:rsidRPr="00F06D6F">
              <w:rPr>
                <w:sz w:val="20"/>
                <w:lang w:val="fr-CA"/>
              </w:rPr>
              <w:t>Le 20 janvier 2022</w:t>
            </w:r>
          </w:p>
          <w:p w:rsidR="0098091F" w:rsidRPr="00F06D6F" w:rsidRDefault="0098091F" w:rsidP="0098091F">
            <w:pPr>
              <w:jc w:val="both"/>
              <w:rPr>
                <w:sz w:val="20"/>
                <w:lang w:val="fr-CA"/>
              </w:rPr>
            </w:pPr>
            <w:r w:rsidRPr="00F06D6F">
              <w:rPr>
                <w:sz w:val="20"/>
                <w:lang w:val="fr-CA"/>
              </w:rPr>
              <w:t>Cour suprême du Canada</w:t>
            </w: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rPr>
            </w:pPr>
            <w:r w:rsidRPr="00F06D6F">
              <w:rPr>
                <w:sz w:val="20"/>
              </w:rPr>
              <w:t>Demande d'autorisation d'appel déposée</w:t>
            </w:r>
          </w:p>
          <w:p w:rsidR="0098091F" w:rsidRPr="00F06D6F" w:rsidRDefault="0098091F" w:rsidP="0098091F">
            <w:pPr>
              <w:jc w:val="both"/>
              <w:rPr>
                <w:sz w:val="20"/>
              </w:rPr>
            </w:pPr>
          </w:p>
        </w:tc>
      </w:tr>
    </w:tbl>
    <w:p w:rsidR="0098091F" w:rsidRPr="00F06D6F" w:rsidRDefault="0098091F" w:rsidP="0098091F">
      <w:pPr>
        <w:jc w:val="both"/>
        <w:rPr>
          <w:sz w:val="20"/>
        </w:rPr>
      </w:pPr>
    </w:p>
    <w:p w:rsidR="0098091F" w:rsidRPr="00F06D6F" w:rsidRDefault="00442B76" w:rsidP="0098091F">
      <w:pPr>
        <w:jc w:val="both"/>
        <w:rPr>
          <w:sz w:val="20"/>
        </w:rPr>
      </w:pPr>
      <w:r>
        <w:rPr>
          <w:sz w:val="20"/>
        </w:rPr>
        <w:pict>
          <v:rect id="_x0000_i1030" style="width:2in;height:1pt" o:hrpct="0" o:hralign="center" o:hrstd="t" o:hrnoshade="t" o:hr="t" fillcolor="black [3213]" stroked="f"/>
        </w:pict>
      </w:r>
    </w:p>
    <w:p w:rsidR="0098091F" w:rsidRPr="00F06D6F" w:rsidRDefault="0098091F" w:rsidP="0098091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8091F" w:rsidRPr="00F06D6F" w:rsidTr="00D732B0">
        <w:tc>
          <w:tcPr>
            <w:tcW w:w="543" w:type="pct"/>
          </w:tcPr>
          <w:p w:rsidR="0098091F" w:rsidRPr="00F06D6F" w:rsidRDefault="0098091F" w:rsidP="0098091F">
            <w:pPr>
              <w:jc w:val="both"/>
              <w:rPr>
                <w:sz w:val="20"/>
              </w:rPr>
            </w:pPr>
            <w:r w:rsidRPr="00F06D6F">
              <w:rPr>
                <w:rStyle w:val="SCCFileNumberChar"/>
                <w:sz w:val="20"/>
                <w:szCs w:val="20"/>
              </w:rPr>
              <w:t>40094</w:t>
            </w:r>
          </w:p>
        </w:tc>
        <w:tc>
          <w:tcPr>
            <w:tcW w:w="4457" w:type="pct"/>
          </w:tcPr>
          <w:p w:rsidR="0098091F" w:rsidRPr="00F06D6F" w:rsidRDefault="0098091F" w:rsidP="0098091F">
            <w:pPr>
              <w:pStyle w:val="SCCLsocParty"/>
              <w:jc w:val="both"/>
              <w:rPr>
                <w:b/>
                <w:sz w:val="20"/>
                <w:szCs w:val="20"/>
                <w:lang w:val="en-US"/>
              </w:rPr>
            </w:pPr>
            <w:r w:rsidRPr="00F06D6F">
              <w:rPr>
                <w:b/>
                <w:sz w:val="20"/>
                <w:szCs w:val="20"/>
                <w:lang w:val="en-US"/>
              </w:rPr>
              <w:t>Jason McCartney v. Her Majesty the Queen</w:t>
            </w:r>
          </w:p>
          <w:p w:rsidR="0098091F" w:rsidRPr="00F06D6F" w:rsidRDefault="0098091F" w:rsidP="0098091F">
            <w:pPr>
              <w:jc w:val="both"/>
              <w:rPr>
                <w:sz w:val="20"/>
              </w:rPr>
            </w:pPr>
            <w:r w:rsidRPr="00F06D6F">
              <w:rPr>
                <w:sz w:val="20"/>
              </w:rPr>
              <w:t>(Ont.) (Criminal) (By Leave)</w:t>
            </w:r>
          </w:p>
        </w:tc>
      </w:tr>
      <w:tr w:rsidR="0098091F" w:rsidRPr="00F06D6F" w:rsidTr="00D732B0">
        <w:tc>
          <w:tcPr>
            <w:tcW w:w="5000" w:type="pct"/>
            <w:gridSpan w:val="2"/>
          </w:tcPr>
          <w:p w:rsidR="0098091F" w:rsidRPr="00F06D6F" w:rsidRDefault="0098091F" w:rsidP="0098091F">
            <w:pPr>
              <w:jc w:val="both"/>
              <w:rPr>
                <w:sz w:val="20"/>
              </w:rPr>
            </w:pPr>
            <w:r w:rsidRPr="00F06D6F">
              <w:rPr>
                <w:sz w:val="20"/>
              </w:rPr>
              <w:t>Criminal law — Trial — When is the trial judge’s duty to redress improper closing addresses or cross</w:t>
            </w:r>
            <w:r w:rsidRPr="00F06D6F">
              <w:rPr>
                <w:sz w:val="20"/>
              </w:rPr>
              <w:noBreakHyphen/>
              <w:t>examination triggered — What remedies are appropriate — When is appellate intervention warranted?</w:t>
            </w:r>
          </w:p>
          <w:p w:rsidR="0098091F" w:rsidRPr="00F06D6F" w:rsidRDefault="0098091F" w:rsidP="0098091F">
            <w:pPr>
              <w:jc w:val="both"/>
              <w:rPr>
                <w:sz w:val="20"/>
              </w:rPr>
            </w:pPr>
          </w:p>
        </w:tc>
      </w:tr>
      <w:tr w:rsidR="0098091F" w:rsidRPr="00F06D6F" w:rsidTr="00D732B0">
        <w:tc>
          <w:tcPr>
            <w:tcW w:w="5000" w:type="pct"/>
            <w:gridSpan w:val="2"/>
          </w:tcPr>
          <w:p w:rsidR="0098091F" w:rsidRPr="00F06D6F" w:rsidRDefault="0098091F" w:rsidP="0098091F">
            <w:pPr>
              <w:jc w:val="both"/>
              <w:rPr>
                <w:sz w:val="20"/>
              </w:rPr>
            </w:pPr>
            <w:r w:rsidRPr="00F06D6F">
              <w:rPr>
                <w:color w:val="000000"/>
                <w:sz w:val="20"/>
              </w:rPr>
              <w:t>There was a violent and brief altercation involving the applicant and the two victims on the patio of a restaurant. The fight broke out with little warning and events moved quickly. The two victims were stabbed; one died and the other was seriously injured. Various witnesses provided somewhat different accounts of the relevant events. The applicant testified that he acted in self</w:t>
            </w:r>
            <w:r w:rsidRPr="00F06D6F">
              <w:rPr>
                <w:color w:val="000000"/>
                <w:sz w:val="20"/>
              </w:rPr>
              <w:noBreakHyphen/>
              <w:t>defence. The applicant was convicted of second degree murder and aggravated assault after a trial by judge and jury. The conviction appeal was dismissed.</w:t>
            </w:r>
          </w:p>
        </w:tc>
      </w:tr>
      <w:tr w:rsidR="0098091F" w:rsidRPr="00F06D6F" w:rsidTr="0098091F">
        <w:trPr>
          <w:trHeight w:val="3655"/>
        </w:trPr>
        <w:tc>
          <w:tcPr>
            <w:tcW w:w="5000" w:type="pct"/>
            <w:gridSpan w:val="2"/>
          </w:tcPr>
          <w:p w:rsidR="0098091F" w:rsidRPr="00F06D6F" w:rsidRDefault="0098091F" w:rsidP="0098091F">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8091F" w:rsidRPr="00F06D6F" w:rsidTr="00D732B0">
              <w:tc>
                <w:tcPr>
                  <w:tcW w:w="2367" w:type="pct"/>
                </w:tcPr>
                <w:p w:rsidR="0098091F" w:rsidRPr="00F06D6F" w:rsidRDefault="0098091F" w:rsidP="0098091F">
                  <w:pPr>
                    <w:jc w:val="both"/>
                    <w:rPr>
                      <w:sz w:val="20"/>
                    </w:rPr>
                  </w:pPr>
                  <w:r w:rsidRPr="00F06D6F">
                    <w:rPr>
                      <w:sz w:val="20"/>
                    </w:rPr>
                    <w:t>February 17, 2012</w:t>
                  </w:r>
                </w:p>
                <w:p w:rsidR="0098091F" w:rsidRPr="00F06D6F" w:rsidRDefault="0098091F" w:rsidP="0098091F">
                  <w:pPr>
                    <w:jc w:val="both"/>
                    <w:rPr>
                      <w:sz w:val="20"/>
                    </w:rPr>
                  </w:pPr>
                  <w:r w:rsidRPr="00F06D6F">
                    <w:rPr>
                      <w:sz w:val="20"/>
                    </w:rPr>
                    <w:t>Ontario Superior Court of Justice</w:t>
                  </w:r>
                </w:p>
                <w:p w:rsidR="0098091F" w:rsidRPr="00F06D6F" w:rsidRDefault="0098091F" w:rsidP="0098091F">
                  <w:pPr>
                    <w:jc w:val="both"/>
                    <w:rPr>
                      <w:sz w:val="20"/>
                    </w:rPr>
                  </w:pPr>
                  <w:r w:rsidRPr="00F06D6F">
                    <w:rPr>
                      <w:sz w:val="20"/>
                    </w:rPr>
                    <w:t>(Strong J.)</w:t>
                  </w:r>
                </w:p>
                <w:p w:rsidR="0098091F" w:rsidRPr="00F06D6F" w:rsidRDefault="0098091F" w:rsidP="0098091F">
                  <w:pPr>
                    <w:jc w:val="both"/>
                    <w:rPr>
                      <w:sz w:val="20"/>
                    </w:rPr>
                  </w:pPr>
                </w:p>
              </w:tc>
              <w:tc>
                <w:tcPr>
                  <w:tcW w:w="267" w:type="pct"/>
                </w:tcPr>
                <w:p w:rsidR="0098091F" w:rsidRPr="00F06D6F" w:rsidRDefault="0098091F" w:rsidP="0098091F">
                  <w:pPr>
                    <w:jc w:val="both"/>
                    <w:rPr>
                      <w:sz w:val="20"/>
                    </w:rPr>
                  </w:pPr>
                </w:p>
              </w:tc>
              <w:tc>
                <w:tcPr>
                  <w:tcW w:w="2366" w:type="pct"/>
                </w:tcPr>
                <w:p w:rsidR="0098091F" w:rsidRPr="00F06D6F" w:rsidRDefault="0098091F" w:rsidP="0098091F">
                  <w:pPr>
                    <w:jc w:val="both"/>
                    <w:rPr>
                      <w:sz w:val="20"/>
                    </w:rPr>
                  </w:pPr>
                  <w:r w:rsidRPr="00F06D6F">
                    <w:rPr>
                      <w:sz w:val="20"/>
                    </w:rPr>
                    <w:t>Conviction entered: second degree murder, aggravated assault</w:t>
                  </w:r>
                </w:p>
                <w:p w:rsidR="0098091F" w:rsidRPr="00F06D6F" w:rsidRDefault="0098091F" w:rsidP="0098091F">
                  <w:pPr>
                    <w:jc w:val="both"/>
                    <w:rPr>
                      <w:sz w:val="20"/>
                    </w:rPr>
                  </w:pPr>
                </w:p>
              </w:tc>
            </w:tr>
            <w:tr w:rsidR="0098091F" w:rsidRPr="00F06D6F" w:rsidTr="00D732B0">
              <w:tc>
                <w:tcPr>
                  <w:tcW w:w="2367" w:type="pct"/>
                </w:tcPr>
                <w:p w:rsidR="0098091F" w:rsidRPr="00F06D6F" w:rsidRDefault="0098091F" w:rsidP="0098091F">
                  <w:pPr>
                    <w:jc w:val="both"/>
                    <w:rPr>
                      <w:sz w:val="20"/>
                    </w:rPr>
                  </w:pPr>
                  <w:r w:rsidRPr="00F06D6F">
                    <w:rPr>
                      <w:sz w:val="20"/>
                    </w:rPr>
                    <w:t>December 14, 2017</w:t>
                  </w:r>
                </w:p>
                <w:p w:rsidR="0098091F" w:rsidRPr="00F06D6F" w:rsidRDefault="0098091F" w:rsidP="0098091F">
                  <w:pPr>
                    <w:jc w:val="both"/>
                    <w:rPr>
                      <w:sz w:val="20"/>
                    </w:rPr>
                  </w:pPr>
                  <w:r w:rsidRPr="00F06D6F">
                    <w:rPr>
                      <w:sz w:val="20"/>
                    </w:rPr>
                    <w:t>Court of Appeal for Ontario</w:t>
                  </w:r>
                </w:p>
                <w:p w:rsidR="0098091F" w:rsidRPr="00F06D6F" w:rsidRDefault="0098091F" w:rsidP="0098091F">
                  <w:pPr>
                    <w:jc w:val="both"/>
                    <w:rPr>
                      <w:sz w:val="20"/>
                    </w:rPr>
                  </w:pPr>
                  <w:r w:rsidRPr="00F06D6F">
                    <w:rPr>
                      <w:sz w:val="20"/>
                    </w:rPr>
                    <w:t>(Hoy A.C.J.O., Doherty and Feldman JJ.A.)</w:t>
                  </w:r>
                </w:p>
                <w:p w:rsidR="0098091F" w:rsidRPr="00F06D6F" w:rsidRDefault="0098091F" w:rsidP="0098091F">
                  <w:pPr>
                    <w:jc w:val="both"/>
                    <w:rPr>
                      <w:sz w:val="20"/>
                    </w:rPr>
                  </w:pPr>
                  <w:r w:rsidRPr="00F06D6F">
                    <w:rPr>
                      <w:sz w:val="20"/>
                    </w:rPr>
                    <w:t xml:space="preserve">C57396; </w:t>
                  </w:r>
                  <w:hyperlink r:id="rId28" w:history="1">
                    <w:r w:rsidRPr="00F06D6F">
                      <w:rPr>
                        <w:rStyle w:val="Hyperlink"/>
                        <w:sz w:val="20"/>
                      </w:rPr>
                      <w:t>2017 ONCA 981</w:t>
                    </w:r>
                  </w:hyperlink>
                </w:p>
                <w:p w:rsidR="0098091F" w:rsidRPr="00F06D6F" w:rsidRDefault="0098091F" w:rsidP="0098091F">
                  <w:pPr>
                    <w:jc w:val="both"/>
                    <w:rPr>
                      <w:sz w:val="20"/>
                    </w:rPr>
                  </w:pPr>
                </w:p>
              </w:tc>
              <w:tc>
                <w:tcPr>
                  <w:tcW w:w="267" w:type="pct"/>
                </w:tcPr>
                <w:p w:rsidR="0098091F" w:rsidRPr="00F06D6F" w:rsidRDefault="0098091F" w:rsidP="0098091F">
                  <w:pPr>
                    <w:jc w:val="both"/>
                    <w:rPr>
                      <w:sz w:val="20"/>
                    </w:rPr>
                  </w:pPr>
                </w:p>
              </w:tc>
              <w:tc>
                <w:tcPr>
                  <w:tcW w:w="2366" w:type="pct"/>
                </w:tcPr>
                <w:p w:rsidR="0098091F" w:rsidRPr="00F06D6F" w:rsidRDefault="0098091F" w:rsidP="0098091F">
                  <w:pPr>
                    <w:jc w:val="both"/>
                    <w:rPr>
                      <w:sz w:val="20"/>
                    </w:rPr>
                  </w:pPr>
                  <w:r w:rsidRPr="00F06D6F">
                    <w:rPr>
                      <w:sz w:val="20"/>
                    </w:rPr>
                    <w:t>Appeal dismissed</w:t>
                  </w:r>
                </w:p>
                <w:p w:rsidR="0098091F" w:rsidRPr="00F06D6F" w:rsidRDefault="0098091F" w:rsidP="0098091F">
                  <w:pPr>
                    <w:jc w:val="both"/>
                    <w:rPr>
                      <w:sz w:val="20"/>
                    </w:rPr>
                  </w:pPr>
                </w:p>
              </w:tc>
            </w:tr>
            <w:tr w:rsidR="0098091F" w:rsidRPr="00F06D6F" w:rsidTr="00D732B0">
              <w:tc>
                <w:tcPr>
                  <w:tcW w:w="2367" w:type="pct"/>
                </w:tcPr>
                <w:p w:rsidR="0098091F" w:rsidRPr="00F06D6F" w:rsidRDefault="0098091F" w:rsidP="0098091F">
                  <w:pPr>
                    <w:jc w:val="both"/>
                    <w:rPr>
                      <w:sz w:val="20"/>
                    </w:rPr>
                  </w:pPr>
                  <w:r w:rsidRPr="00F06D6F">
                    <w:rPr>
                      <w:sz w:val="20"/>
                    </w:rPr>
                    <w:t>February 23, 2022</w:t>
                  </w:r>
                </w:p>
                <w:p w:rsidR="0098091F" w:rsidRPr="00F06D6F" w:rsidRDefault="0098091F" w:rsidP="0098091F">
                  <w:pPr>
                    <w:jc w:val="both"/>
                    <w:rPr>
                      <w:sz w:val="20"/>
                    </w:rPr>
                  </w:pPr>
                  <w:r w:rsidRPr="00F06D6F">
                    <w:rPr>
                      <w:sz w:val="20"/>
                    </w:rPr>
                    <w:t>Supreme Court of Canada</w:t>
                  </w:r>
                </w:p>
                <w:p w:rsidR="0098091F" w:rsidRPr="00F06D6F" w:rsidRDefault="0098091F" w:rsidP="0098091F">
                  <w:pPr>
                    <w:jc w:val="both"/>
                    <w:rPr>
                      <w:sz w:val="20"/>
                    </w:rPr>
                  </w:pPr>
                </w:p>
              </w:tc>
              <w:tc>
                <w:tcPr>
                  <w:tcW w:w="267" w:type="pct"/>
                </w:tcPr>
                <w:p w:rsidR="0098091F" w:rsidRPr="00F06D6F" w:rsidRDefault="0098091F" w:rsidP="0098091F">
                  <w:pPr>
                    <w:jc w:val="both"/>
                    <w:rPr>
                      <w:sz w:val="20"/>
                    </w:rPr>
                  </w:pPr>
                </w:p>
              </w:tc>
              <w:tc>
                <w:tcPr>
                  <w:tcW w:w="2366" w:type="pct"/>
                </w:tcPr>
                <w:p w:rsidR="0098091F" w:rsidRPr="00F06D6F" w:rsidRDefault="0098091F" w:rsidP="0098091F">
                  <w:pPr>
                    <w:jc w:val="both"/>
                    <w:rPr>
                      <w:sz w:val="20"/>
                    </w:rPr>
                  </w:pPr>
                  <w:r w:rsidRPr="00F06D6F">
                    <w:rPr>
                      <w:sz w:val="20"/>
                    </w:rPr>
                    <w:t>Motion for an extension of time to serve and file the application for leave to appeal and application for leave to appeal filed</w:t>
                  </w:r>
                </w:p>
                <w:p w:rsidR="0098091F" w:rsidRPr="00F06D6F" w:rsidRDefault="0098091F" w:rsidP="0098091F">
                  <w:pPr>
                    <w:jc w:val="both"/>
                    <w:rPr>
                      <w:sz w:val="20"/>
                    </w:rPr>
                  </w:pPr>
                </w:p>
              </w:tc>
            </w:tr>
            <w:tr w:rsidR="0098091F" w:rsidRPr="00F06D6F" w:rsidTr="00D732B0">
              <w:tc>
                <w:tcPr>
                  <w:tcW w:w="2367" w:type="pct"/>
                </w:tcPr>
                <w:p w:rsidR="0098091F" w:rsidRPr="00F06D6F" w:rsidRDefault="0098091F" w:rsidP="0098091F">
                  <w:pPr>
                    <w:jc w:val="both"/>
                    <w:rPr>
                      <w:sz w:val="20"/>
                    </w:rPr>
                  </w:pPr>
                  <w:r w:rsidRPr="00F06D6F">
                    <w:rPr>
                      <w:sz w:val="20"/>
                    </w:rPr>
                    <w:t>June 6, 2022</w:t>
                  </w:r>
                </w:p>
                <w:p w:rsidR="0098091F" w:rsidRPr="00F06D6F" w:rsidRDefault="0098091F" w:rsidP="0098091F">
                  <w:pPr>
                    <w:jc w:val="both"/>
                    <w:rPr>
                      <w:sz w:val="20"/>
                    </w:rPr>
                  </w:pPr>
                  <w:r w:rsidRPr="00F06D6F">
                    <w:rPr>
                      <w:sz w:val="20"/>
                    </w:rPr>
                    <w:t>Supreme Court of Canada</w:t>
                  </w:r>
                </w:p>
              </w:tc>
              <w:tc>
                <w:tcPr>
                  <w:tcW w:w="267" w:type="pct"/>
                </w:tcPr>
                <w:p w:rsidR="0098091F" w:rsidRPr="00F06D6F" w:rsidRDefault="0098091F" w:rsidP="0098091F">
                  <w:pPr>
                    <w:jc w:val="both"/>
                    <w:rPr>
                      <w:sz w:val="20"/>
                    </w:rPr>
                  </w:pPr>
                </w:p>
              </w:tc>
              <w:tc>
                <w:tcPr>
                  <w:tcW w:w="2366" w:type="pct"/>
                </w:tcPr>
                <w:p w:rsidR="0098091F" w:rsidRPr="00F06D6F" w:rsidRDefault="0098091F" w:rsidP="0098091F">
                  <w:pPr>
                    <w:jc w:val="both"/>
                    <w:rPr>
                      <w:sz w:val="20"/>
                    </w:rPr>
                  </w:pPr>
                  <w:r w:rsidRPr="00F06D6F">
                    <w:rPr>
                      <w:sz w:val="20"/>
                    </w:rPr>
                    <w:t>Motion for an extension of time to serve and file the response filed</w:t>
                  </w:r>
                </w:p>
              </w:tc>
            </w:tr>
          </w:tbl>
          <w:p w:rsidR="0098091F" w:rsidRPr="00F06D6F" w:rsidRDefault="0098091F" w:rsidP="0098091F">
            <w:pPr>
              <w:jc w:val="both"/>
              <w:rPr>
                <w:sz w:val="20"/>
              </w:rPr>
            </w:pPr>
          </w:p>
        </w:tc>
      </w:tr>
    </w:tbl>
    <w:p w:rsidR="0098091F" w:rsidRPr="00F06D6F" w:rsidRDefault="0098091F" w:rsidP="0098091F">
      <w:pPr>
        <w:jc w:val="both"/>
        <w:rPr>
          <w:sz w:val="20"/>
        </w:rPr>
      </w:pPr>
    </w:p>
    <w:p w:rsidR="0098091F" w:rsidRPr="00F06D6F" w:rsidRDefault="00442B76" w:rsidP="0098091F">
      <w:pPr>
        <w:jc w:val="both"/>
        <w:rPr>
          <w:sz w:val="20"/>
        </w:rPr>
      </w:pPr>
      <w:r>
        <w:rPr>
          <w:sz w:val="20"/>
        </w:rPr>
        <w:pict>
          <v:rect id="_x0000_i1031" style="width:2in;height:1pt" o:hrpct="0" o:hralign="center" o:hrstd="t" o:hrnoshade="t" o:hr="t" fillcolor="black [3213]" stroked="f"/>
        </w:pict>
      </w:r>
    </w:p>
    <w:p w:rsidR="0098091F" w:rsidRPr="00F06D6F" w:rsidRDefault="0098091F" w:rsidP="009809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98091F" w:rsidRPr="00F06D6F" w:rsidTr="00D732B0">
        <w:tc>
          <w:tcPr>
            <w:tcW w:w="543" w:type="pct"/>
          </w:tcPr>
          <w:p w:rsidR="0098091F" w:rsidRPr="00F06D6F" w:rsidRDefault="0098091F" w:rsidP="0098091F">
            <w:pPr>
              <w:jc w:val="both"/>
              <w:rPr>
                <w:sz w:val="20"/>
                <w:lang w:val="fr-CA"/>
              </w:rPr>
            </w:pPr>
            <w:r w:rsidRPr="00F06D6F">
              <w:rPr>
                <w:rStyle w:val="SCCFileNumberChar"/>
                <w:sz w:val="20"/>
                <w:szCs w:val="20"/>
                <w:lang w:val="fr-CA"/>
              </w:rPr>
              <w:lastRenderedPageBreak/>
              <w:t>40094</w:t>
            </w:r>
          </w:p>
        </w:tc>
        <w:tc>
          <w:tcPr>
            <w:tcW w:w="4457" w:type="pct"/>
          </w:tcPr>
          <w:p w:rsidR="0098091F" w:rsidRPr="00F06D6F" w:rsidRDefault="0098091F" w:rsidP="0098091F">
            <w:pPr>
              <w:pStyle w:val="SCCLsocParty"/>
              <w:jc w:val="both"/>
              <w:rPr>
                <w:b/>
                <w:sz w:val="20"/>
                <w:szCs w:val="20"/>
              </w:rPr>
            </w:pPr>
            <w:r w:rsidRPr="00F06D6F">
              <w:rPr>
                <w:b/>
                <w:sz w:val="20"/>
                <w:szCs w:val="20"/>
              </w:rPr>
              <w:t>Jason McCartney c. Sa Majesté la Reine</w:t>
            </w:r>
          </w:p>
          <w:p w:rsidR="0098091F" w:rsidRPr="00F06D6F" w:rsidRDefault="0098091F" w:rsidP="008614A3">
            <w:pPr>
              <w:jc w:val="both"/>
              <w:rPr>
                <w:sz w:val="20"/>
                <w:lang w:val="fr-CA"/>
              </w:rPr>
            </w:pPr>
            <w:r w:rsidRPr="00F06D6F">
              <w:rPr>
                <w:sz w:val="20"/>
                <w:lang w:val="fr-CA"/>
              </w:rPr>
              <w:t>(Ont.) (</w:t>
            </w:r>
            <w:r w:rsidR="008614A3" w:rsidRPr="00F06D6F">
              <w:rPr>
                <w:sz w:val="20"/>
                <w:lang w:val="fr-CA"/>
              </w:rPr>
              <w:t>C</w:t>
            </w:r>
            <w:r w:rsidRPr="00F06D6F">
              <w:rPr>
                <w:sz w:val="20"/>
                <w:lang w:val="fr-CA"/>
              </w:rPr>
              <w:t>riminelle) (</w:t>
            </w:r>
            <w:r w:rsidR="008614A3" w:rsidRPr="00F06D6F">
              <w:rPr>
                <w:sz w:val="20"/>
                <w:lang w:val="fr-CA"/>
              </w:rPr>
              <w:t>S</w:t>
            </w:r>
            <w:r w:rsidRPr="00F06D6F">
              <w:rPr>
                <w:sz w:val="20"/>
                <w:lang w:val="fr-CA"/>
              </w:rPr>
              <w:t>ur autorisation)</w:t>
            </w:r>
          </w:p>
        </w:tc>
      </w:tr>
      <w:tr w:rsidR="0098091F" w:rsidRPr="00442B76" w:rsidTr="00D732B0">
        <w:tc>
          <w:tcPr>
            <w:tcW w:w="5000" w:type="pct"/>
            <w:gridSpan w:val="2"/>
          </w:tcPr>
          <w:p w:rsidR="0098091F" w:rsidRPr="00F06D6F" w:rsidRDefault="0098091F" w:rsidP="0098091F">
            <w:pPr>
              <w:jc w:val="both"/>
              <w:rPr>
                <w:sz w:val="20"/>
                <w:lang w:val="fr-CA"/>
              </w:rPr>
            </w:pPr>
            <w:r w:rsidRPr="00F06D6F">
              <w:rPr>
                <w:sz w:val="20"/>
                <w:lang w:val="fr-CA"/>
              </w:rPr>
              <w:t>Droit criminel — Procès — Quand naît l’obligation du juge du procès de corriger des observations finales ou un contre-interrogatoire fautifs ? — Quelles réparations convient-il d’appliquer ? — Dans quelles circonstances une intervention en appel est-elle justifiée ?</w:t>
            </w:r>
          </w:p>
          <w:p w:rsidR="0098091F" w:rsidRPr="00F06D6F" w:rsidRDefault="0098091F" w:rsidP="0098091F">
            <w:pPr>
              <w:jc w:val="both"/>
              <w:rPr>
                <w:sz w:val="20"/>
                <w:lang w:val="fr-CA"/>
              </w:rPr>
            </w:pPr>
          </w:p>
        </w:tc>
      </w:tr>
      <w:tr w:rsidR="0098091F" w:rsidRPr="00442B76" w:rsidTr="00D732B0">
        <w:tc>
          <w:tcPr>
            <w:tcW w:w="5000" w:type="pct"/>
            <w:gridSpan w:val="2"/>
          </w:tcPr>
          <w:p w:rsidR="0098091F" w:rsidRPr="00F06D6F" w:rsidRDefault="0098091F" w:rsidP="0098091F">
            <w:pPr>
              <w:jc w:val="both"/>
              <w:rPr>
                <w:sz w:val="20"/>
                <w:lang w:val="fr-CA"/>
              </w:rPr>
            </w:pPr>
            <w:r w:rsidRPr="00F06D6F">
              <w:rPr>
                <w:color w:val="000000"/>
                <w:sz w:val="20"/>
                <w:lang w:val="fr-CA"/>
              </w:rPr>
              <w:t>Une brève altercation violente entre le demandeur et les deux victimes a eu lieu sur le patio d’un restaurant. La bagarre a éclaté tout à coup et le tout s’est passé très rapidement. Les deux victimes ont été poignardées; l’une d’entre elles est décédée, tandis que l’autre a été grièvement blessée. Divers témoins ont donné des versions quelque peu différentes des événements en cause. Le demandeur a témoigné qu’il avait agi en légitime défense. Au terme d’un procès devant juge et jury, le demandeur a été déclaré coupable de meurtre au deuxième degré et de voies de fait graves. L’appel interjeté contre la déclaration de culpabilité a été rejeté.</w:t>
            </w:r>
          </w:p>
        </w:tc>
      </w:tr>
      <w:tr w:rsidR="0098091F" w:rsidRPr="00442B76" w:rsidTr="00D732B0">
        <w:trPr>
          <w:trHeight w:val="3709"/>
        </w:trPr>
        <w:tc>
          <w:tcPr>
            <w:tcW w:w="5000" w:type="pct"/>
            <w:gridSpan w:val="2"/>
          </w:tcPr>
          <w:p w:rsidR="0098091F" w:rsidRPr="00F06D6F" w:rsidRDefault="0098091F" w:rsidP="0098091F">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98091F" w:rsidRPr="00442B76" w:rsidTr="00D732B0">
              <w:tc>
                <w:tcPr>
                  <w:tcW w:w="2367" w:type="pct"/>
                </w:tcPr>
                <w:p w:rsidR="0098091F" w:rsidRPr="00F06D6F" w:rsidRDefault="0098091F" w:rsidP="0098091F">
                  <w:pPr>
                    <w:jc w:val="both"/>
                    <w:rPr>
                      <w:sz w:val="20"/>
                      <w:lang w:val="fr-CA"/>
                    </w:rPr>
                  </w:pPr>
                  <w:r w:rsidRPr="00F06D6F">
                    <w:rPr>
                      <w:sz w:val="20"/>
                      <w:lang w:val="fr-CA"/>
                    </w:rPr>
                    <w:t>17 février 2012</w:t>
                  </w:r>
                </w:p>
                <w:p w:rsidR="0098091F" w:rsidRPr="00F06D6F" w:rsidRDefault="0098091F" w:rsidP="0098091F">
                  <w:pPr>
                    <w:jc w:val="both"/>
                    <w:rPr>
                      <w:sz w:val="20"/>
                      <w:lang w:val="fr-CA"/>
                    </w:rPr>
                  </w:pPr>
                  <w:r w:rsidRPr="00F06D6F">
                    <w:rPr>
                      <w:sz w:val="20"/>
                      <w:lang w:val="fr-CA"/>
                    </w:rPr>
                    <w:t>Cour supérieure de justice de l’Ontario</w:t>
                  </w:r>
                </w:p>
                <w:p w:rsidR="0098091F" w:rsidRPr="00F06D6F" w:rsidRDefault="0098091F" w:rsidP="0098091F">
                  <w:pPr>
                    <w:jc w:val="both"/>
                    <w:rPr>
                      <w:sz w:val="20"/>
                      <w:lang w:val="fr-CA"/>
                    </w:rPr>
                  </w:pPr>
                  <w:r w:rsidRPr="00F06D6F">
                    <w:rPr>
                      <w:sz w:val="20"/>
                      <w:lang w:val="fr-CA"/>
                    </w:rPr>
                    <w:t>(juge Strong)</w:t>
                  </w:r>
                </w:p>
                <w:p w:rsidR="0098091F" w:rsidRPr="00F06D6F" w:rsidRDefault="0098091F" w:rsidP="0098091F">
                  <w:pPr>
                    <w:jc w:val="both"/>
                    <w:rPr>
                      <w:sz w:val="20"/>
                      <w:lang w:val="fr-CA"/>
                    </w:rPr>
                  </w:pPr>
                </w:p>
              </w:tc>
              <w:tc>
                <w:tcPr>
                  <w:tcW w:w="267" w:type="pct"/>
                </w:tcPr>
                <w:p w:rsidR="0098091F" w:rsidRPr="00F06D6F" w:rsidRDefault="0098091F" w:rsidP="0098091F">
                  <w:pPr>
                    <w:jc w:val="both"/>
                    <w:rPr>
                      <w:sz w:val="20"/>
                      <w:lang w:val="fr-CA"/>
                    </w:rPr>
                  </w:pPr>
                </w:p>
              </w:tc>
              <w:tc>
                <w:tcPr>
                  <w:tcW w:w="2366" w:type="pct"/>
                </w:tcPr>
                <w:p w:rsidR="0098091F" w:rsidRPr="00F06D6F" w:rsidRDefault="0098091F" w:rsidP="0098091F">
                  <w:pPr>
                    <w:jc w:val="both"/>
                    <w:rPr>
                      <w:sz w:val="20"/>
                      <w:lang w:val="fr-CA"/>
                    </w:rPr>
                  </w:pPr>
                  <w:r w:rsidRPr="00F06D6F">
                    <w:rPr>
                      <w:sz w:val="20"/>
                      <w:lang w:val="fr-CA"/>
                    </w:rPr>
                    <w:t>La déclaration de culpabilité pour meurtre au deuxième degré et voies de fait graves est prononcée.</w:t>
                  </w:r>
                </w:p>
              </w:tc>
            </w:tr>
            <w:tr w:rsidR="0098091F" w:rsidRPr="00F06D6F" w:rsidTr="00D732B0">
              <w:tc>
                <w:tcPr>
                  <w:tcW w:w="2367" w:type="pct"/>
                </w:tcPr>
                <w:p w:rsidR="0098091F" w:rsidRPr="00F06D6F" w:rsidRDefault="0098091F" w:rsidP="0098091F">
                  <w:pPr>
                    <w:jc w:val="both"/>
                    <w:rPr>
                      <w:sz w:val="20"/>
                      <w:lang w:val="fr-CA"/>
                    </w:rPr>
                  </w:pPr>
                  <w:r w:rsidRPr="00F06D6F">
                    <w:rPr>
                      <w:sz w:val="20"/>
                      <w:lang w:val="fr-CA"/>
                    </w:rPr>
                    <w:t>14 décembre 2017</w:t>
                  </w:r>
                </w:p>
                <w:p w:rsidR="0098091F" w:rsidRPr="00F06D6F" w:rsidRDefault="0098091F" w:rsidP="0098091F">
                  <w:pPr>
                    <w:jc w:val="both"/>
                    <w:rPr>
                      <w:sz w:val="20"/>
                      <w:lang w:val="fr-CA"/>
                    </w:rPr>
                  </w:pPr>
                  <w:r w:rsidRPr="00F06D6F">
                    <w:rPr>
                      <w:sz w:val="20"/>
                      <w:lang w:val="fr-CA"/>
                    </w:rPr>
                    <w:t>Cour d’appel de l’Ontario</w:t>
                  </w:r>
                </w:p>
                <w:p w:rsidR="0098091F" w:rsidRPr="00F06D6F" w:rsidRDefault="0098091F" w:rsidP="0098091F">
                  <w:pPr>
                    <w:jc w:val="both"/>
                    <w:rPr>
                      <w:sz w:val="20"/>
                      <w:lang w:val="fr-CA"/>
                    </w:rPr>
                  </w:pPr>
                  <w:r w:rsidRPr="00F06D6F">
                    <w:rPr>
                      <w:sz w:val="20"/>
                      <w:lang w:val="fr-CA"/>
                    </w:rPr>
                    <w:t>(juge en chef adjointe Hoy, juges Doherty et Feldman)</w:t>
                  </w:r>
                </w:p>
                <w:p w:rsidR="0098091F" w:rsidRPr="00F06D6F" w:rsidRDefault="0098091F" w:rsidP="0098091F">
                  <w:pPr>
                    <w:jc w:val="both"/>
                    <w:rPr>
                      <w:sz w:val="20"/>
                      <w:lang w:val="fr-CA"/>
                    </w:rPr>
                  </w:pPr>
                  <w:r w:rsidRPr="00F06D6F">
                    <w:rPr>
                      <w:sz w:val="20"/>
                      <w:lang w:val="fr-CA"/>
                    </w:rPr>
                    <w:t xml:space="preserve">C57396; </w:t>
                  </w:r>
                  <w:hyperlink r:id="rId29" w:history="1">
                    <w:r w:rsidRPr="00F06D6F">
                      <w:rPr>
                        <w:rStyle w:val="Hyperlink"/>
                        <w:sz w:val="20"/>
                        <w:lang w:val="fr-CA"/>
                      </w:rPr>
                      <w:t>2017 ONCA 981</w:t>
                    </w:r>
                  </w:hyperlink>
                </w:p>
                <w:p w:rsidR="0098091F" w:rsidRPr="00F06D6F" w:rsidRDefault="0098091F" w:rsidP="0098091F">
                  <w:pPr>
                    <w:jc w:val="both"/>
                    <w:rPr>
                      <w:sz w:val="20"/>
                      <w:lang w:val="fr-CA"/>
                    </w:rPr>
                  </w:pPr>
                </w:p>
              </w:tc>
              <w:tc>
                <w:tcPr>
                  <w:tcW w:w="267" w:type="pct"/>
                </w:tcPr>
                <w:p w:rsidR="0098091F" w:rsidRPr="00F06D6F" w:rsidRDefault="0098091F" w:rsidP="0098091F">
                  <w:pPr>
                    <w:jc w:val="both"/>
                    <w:rPr>
                      <w:sz w:val="20"/>
                      <w:lang w:val="fr-CA"/>
                    </w:rPr>
                  </w:pPr>
                </w:p>
              </w:tc>
              <w:tc>
                <w:tcPr>
                  <w:tcW w:w="2366" w:type="pct"/>
                </w:tcPr>
                <w:p w:rsidR="0098091F" w:rsidRPr="00F06D6F" w:rsidRDefault="0098091F" w:rsidP="0098091F">
                  <w:pPr>
                    <w:jc w:val="both"/>
                    <w:rPr>
                      <w:sz w:val="20"/>
                      <w:lang w:val="fr-CA"/>
                    </w:rPr>
                  </w:pPr>
                  <w:r w:rsidRPr="00F06D6F">
                    <w:rPr>
                      <w:sz w:val="20"/>
                      <w:lang w:val="fr-CA"/>
                    </w:rPr>
                    <w:t>L’appel est rejeté.</w:t>
                  </w:r>
                </w:p>
                <w:p w:rsidR="0098091F" w:rsidRPr="00F06D6F" w:rsidRDefault="0098091F" w:rsidP="0098091F">
                  <w:pPr>
                    <w:jc w:val="both"/>
                    <w:rPr>
                      <w:sz w:val="20"/>
                      <w:lang w:val="fr-CA"/>
                    </w:rPr>
                  </w:pPr>
                </w:p>
              </w:tc>
            </w:tr>
            <w:tr w:rsidR="0098091F" w:rsidRPr="00442B76" w:rsidTr="00D732B0">
              <w:tc>
                <w:tcPr>
                  <w:tcW w:w="2367" w:type="pct"/>
                </w:tcPr>
                <w:p w:rsidR="0098091F" w:rsidRPr="00F06D6F" w:rsidRDefault="0098091F" w:rsidP="0098091F">
                  <w:pPr>
                    <w:jc w:val="both"/>
                    <w:rPr>
                      <w:sz w:val="20"/>
                      <w:lang w:val="fr-CA"/>
                    </w:rPr>
                  </w:pPr>
                  <w:r w:rsidRPr="00F06D6F">
                    <w:rPr>
                      <w:sz w:val="20"/>
                      <w:lang w:val="fr-CA"/>
                    </w:rPr>
                    <w:t>23 février 2022</w:t>
                  </w:r>
                </w:p>
                <w:p w:rsidR="0098091F" w:rsidRPr="00F06D6F" w:rsidRDefault="0098091F" w:rsidP="0098091F">
                  <w:pPr>
                    <w:jc w:val="both"/>
                    <w:rPr>
                      <w:sz w:val="20"/>
                      <w:lang w:val="fr-CA"/>
                    </w:rPr>
                  </w:pPr>
                  <w:r w:rsidRPr="00F06D6F">
                    <w:rPr>
                      <w:sz w:val="20"/>
                      <w:lang w:val="fr-CA"/>
                    </w:rPr>
                    <w:t>Cour suprême du Canada</w:t>
                  </w:r>
                </w:p>
                <w:p w:rsidR="0098091F" w:rsidRPr="00F06D6F" w:rsidRDefault="0098091F" w:rsidP="0098091F">
                  <w:pPr>
                    <w:jc w:val="both"/>
                    <w:rPr>
                      <w:sz w:val="20"/>
                      <w:lang w:val="fr-CA"/>
                    </w:rPr>
                  </w:pPr>
                </w:p>
              </w:tc>
              <w:tc>
                <w:tcPr>
                  <w:tcW w:w="267" w:type="pct"/>
                </w:tcPr>
                <w:p w:rsidR="0098091F" w:rsidRPr="00F06D6F" w:rsidRDefault="0098091F" w:rsidP="0098091F">
                  <w:pPr>
                    <w:jc w:val="both"/>
                    <w:rPr>
                      <w:sz w:val="20"/>
                      <w:lang w:val="fr-CA"/>
                    </w:rPr>
                  </w:pPr>
                </w:p>
              </w:tc>
              <w:tc>
                <w:tcPr>
                  <w:tcW w:w="2366" w:type="pct"/>
                </w:tcPr>
                <w:p w:rsidR="0098091F" w:rsidRPr="00F06D6F" w:rsidRDefault="0098091F" w:rsidP="0098091F">
                  <w:pPr>
                    <w:jc w:val="both"/>
                    <w:rPr>
                      <w:sz w:val="20"/>
                      <w:lang w:val="fr-CA"/>
                    </w:rPr>
                  </w:pPr>
                  <w:r w:rsidRPr="00F06D6F">
                    <w:rPr>
                      <w:sz w:val="20"/>
                      <w:lang w:val="fr-CA"/>
                    </w:rPr>
                    <w:t>La requête en vue de la prorogation du délai pour signifier et déposer la demande d’autorisation d’appel et la demande d’autorisation d’appel sont présentées.</w:t>
                  </w:r>
                </w:p>
                <w:p w:rsidR="0098091F" w:rsidRPr="00F06D6F" w:rsidRDefault="0098091F" w:rsidP="0098091F">
                  <w:pPr>
                    <w:jc w:val="both"/>
                    <w:rPr>
                      <w:sz w:val="20"/>
                      <w:lang w:val="fr-CA"/>
                    </w:rPr>
                  </w:pPr>
                </w:p>
              </w:tc>
            </w:tr>
            <w:tr w:rsidR="0098091F" w:rsidRPr="00442B76" w:rsidTr="00D732B0">
              <w:tc>
                <w:tcPr>
                  <w:tcW w:w="2367" w:type="pct"/>
                </w:tcPr>
                <w:p w:rsidR="0098091F" w:rsidRPr="00F06D6F" w:rsidRDefault="0098091F" w:rsidP="0098091F">
                  <w:pPr>
                    <w:jc w:val="both"/>
                    <w:rPr>
                      <w:sz w:val="20"/>
                      <w:lang w:val="fr-CA"/>
                    </w:rPr>
                  </w:pPr>
                  <w:r w:rsidRPr="00F06D6F">
                    <w:rPr>
                      <w:sz w:val="20"/>
                      <w:lang w:val="fr-CA"/>
                    </w:rPr>
                    <w:t>6 juin 2022</w:t>
                  </w:r>
                </w:p>
                <w:p w:rsidR="0098091F" w:rsidRPr="00F06D6F" w:rsidRDefault="0098091F" w:rsidP="0098091F">
                  <w:pPr>
                    <w:jc w:val="both"/>
                    <w:rPr>
                      <w:sz w:val="20"/>
                      <w:lang w:val="fr-CA"/>
                    </w:rPr>
                  </w:pPr>
                  <w:r w:rsidRPr="00F06D6F">
                    <w:rPr>
                      <w:sz w:val="20"/>
                      <w:lang w:val="fr-CA"/>
                    </w:rPr>
                    <w:t>Cour suprême du Canada</w:t>
                  </w:r>
                </w:p>
              </w:tc>
              <w:tc>
                <w:tcPr>
                  <w:tcW w:w="267" w:type="pct"/>
                </w:tcPr>
                <w:p w:rsidR="0098091F" w:rsidRPr="00F06D6F" w:rsidRDefault="0098091F" w:rsidP="0098091F">
                  <w:pPr>
                    <w:jc w:val="both"/>
                    <w:rPr>
                      <w:sz w:val="20"/>
                      <w:lang w:val="fr-CA"/>
                    </w:rPr>
                  </w:pPr>
                </w:p>
              </w:tc>
              <w:tc>
                <w:tcPr>
                  <w:tcW w:w="2366" w:type="pct"/>
                </w:tcPr>
                <w:p w:rsidR="0098091F" w:rsidRPr="00F06D6F" w:rsidRDefault="0098091F" w:rsidP="00D732B0">
                  <w:pPr>
                    <w:jc w:val="both"/>
                    <w:rPr>
                      <w:sz w:val="20"/>
                      <w:lang w:val="fr-CA"/>
                    </w:rPr>
                  </w:pPr>
                  <w:r w:rsidRPr="00F06D6F">
                    <w:rPr>
                      <w:sz w:val="20"/>
                      <w:lang w:val="fr-CA"/>
                    </w:rPr>
                    <w:t>La requête en prorogation du délai imparti pour déposer et signifier une réponse est présentée.</w:t>
                  </w:r>
                </w:p>
              </w:tc>
            </w:tr>
          </w:tbl>
          <w:p w:rsidR="0098091F" w:rsidRPr="00F06D6F" w:rsidRDefault="0098091F" w:rsidP="0098091F">
            <w:pPr>
              <w:jc w:val="both"/>
              <w:rPr>
                <w:sz w:val="20"/>
                <w:lang w:val="fr-CA"/>
              </w:rPr>
            </w:pPr>
          </w:p>
        </w:tc>
      </w:tr>
    </w:tbl>
    <w:p w:rsidR="0098091F" w:rsidRPr="00F06D6F" w:rsidRDefault="0098091F" w:rsidP="0098091F">
      <w:pPr>
        <w:jc w:val="both"/>
        <w:rPr>
          <w:sz w:val="20"/>
          <w:lang w:val="fr-CA"/>
        </w:rPr>
      </w:pPr>
    </w:p>
    <w:p w:rsidR="0098091F" w:rsidRPr="00F06D6F" w:rsidRDefault="00442B76" w:rsidP="0098091F">
      <w:pPr>
        <w:jc w:val="both"/>
        <w:rPr>
          <w:sz w:val="20"/>
          <w:lang w:val="fr-CA"/>
        </w:rPr>
      </w:pPr>
      <w:r>
        <w:rPr>
          <w:sz w:val="20"/>
        </w:rPr>
        <w:pict>
          <v:rect id="_x0000_i1032" style="width:2in;height:1pt" o:hrpct="0" o:hralign="center" o:hrstd="t" o:hrnoshade="t" o:hr="t" fillcolor="black [3213]" stroked="f"/>
        </w:pict>
      </w:r>
    </w:p>
    <w:p w:rsidR="0098091F" w:rsidRPr="00F06D6F" w:rsidRDefault="0098091F" w:rsidP="0098091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F06D6F" w:rsidTr="00D732B0">
        <w:tc>
          <w:tcPr>
            <w:tcW w:w="543" w:type="pct"/>
          </w:tcPr>
          <w:p w:rsidR="0098091F" w:rsidRPr="00F06D6F" w:rsidRDefault="0098091F" w:rsidP="0098091F">
            <w:pPr>
              <w:jc w:val="both"/>
              <w:rPr>
                <w:sz w:val="20"/>
              </w:rPr>
            </w:pPr>
            <w:r w:rsidRPr="00F06D6F">
              <w:rPr>
                <w:rStyle w:val="SCCFileNumberChar"/>
                <w:sz w:val="20"/>
                <w:szCs w:val="20"/>
              </w:rPr>
              <w:t>40087</w:t>
            </w:r>
          </w:p>
        </w:tc>
        <w:tc>
          <w:tcPr>
            <w:tcW w:w="4457" w:type="pct"/>
            <w:gridSpan w:val="3"/>
          </w:tcPr>
          <w:p w:rsidR="0098091F" w:rsidRPr="00F06D6F" w:rsidRDefault="0098091F" w:rsidP="0098091F">
            <w:pPr>
              <w:pStyle w:val="SCCLsocParty"/>
              <w:jc w:val="both"/>
              <w:rPr>
                <w:b/>
                <w:sz w:val="20"/>
                <w:szCs w:val="20"/>
                <w:lang w:val="en-US"/>
              </w:rPr>
            </w:pPr>
            <w:r w:rsidRPr="00F06D6F">
              <w:rPr>
                <w:b/>
                <w:sz w:val="20"/>
                <w:szCs w:val="20"/>
                <w:lang w:val="en-US"/>
              </w:rPr>
              <w:t>Cory Vallee v. Her Majesty the Queen</w:t>
            </w:r>
          </w:p>
          <w:p w:rsidR="0098091F" w:rsidRPr="00F06D6F" w:rsidRDefault="0098091F" w:rsidP="0098091F">
            <w:pPr>
              <w:jc w:val="both"/>
              <w:rPr>
                <w:sz w:val="20"/>
              </w:rPr>
            </w:pPr>
            <w:r w:rsidRPr="00F06D6F">
              <w:rPr>
                <w:sz w:val="20"/>
              </w:rPr>
              <w:t>(B.C.) (Criminal) (By Leave)</w:t>
            </w:r>
          </w:p>
        </w:tc>
      </w:tr>
      <w:tr w:rsidR="0098091F" w:rsidRPr="00F06D6F" w:rsidTr="00D732B0">
        <w:tc>
          <w:tcPr>
            <w:tcW w:w="5000" w:type="pct"/>
            <w:gridSpan w:val="4"/>
          </w:tcPr>
          <w:p w:rsidR="0098091F" w:rsidRPr="00F06D6F" w:rsidRDefault="0098091F" w:rsidP="0098091F">
            <w:pPr>
              <w:pStyle w:val="SCCBanSummary"/>
              <w:rPr>
                <w:sz w:val="20"/>
                <w:szCs w:val="20"/>
              </w:rPr>
            </w:pPr>
            <w:r w:rsidRPr="00F06D6F">
              <w:rPr>
                <w:sz w:val="20"/>
                <w:szCs w:val="20"/>
              </w:rPr>
              <w:t>(Publication ban in case)</w:t>
            </w:r>
          </w:p>
          <w:p w:rsidR="0098091F" w:rsidRPr="00F06D6F" w:rsidRDefault="0098091F" w:rsidP="0098091F">
            <w:pPr>
              <w:jc w:val="both"/>
              <w:rPr>
                <w:sz w:val="20"/>
              </w:rPr>
            </w:pPr>
          </w:p>
          <w:p w:rsidR="0098091F" w:rsidRPr="00F06D6F" w:rsidRDefault="0098091F" w:rsidP="0098091F">
            <w:pPr>
              <w:jc w:val="both"/>
              <w:rPr>
                <w:sz w:val="20"/>
              </w:rPr>
            </w:pPr>
            <w:r w:rsidRPr="00F06D6F">
              <w:rPr>
                <w:sz w:val="20"/>
              </w:rPr>
              <w:t>Criminal law — Evidence —</w:t>
            </w:r>
            <w:r w:rsidRPr="00F06D6F">
              <w:rPr>
                <w:i/>
                <w:sz w:val="20"/>
              </w:rPr>
              <w:t xml:space="preserve"> Vetrovec </w:t>
            </w:r>
            <w:r w:rsidRPr="00F06D6F">
              <w:rPr>
                <w:sz w:val="20"/>
              </w:rPr>
              <w:t xml:space="preserve">witnesses — Late disclosure — Given the severe risk they pose of wrongful conviction, should the Court revisit the approach to extreme </w:t>
            </w:r>
            <w:r w:rsidRPr="00F06D6F">
              <w:rPr>
                <w:i/>
                <w:sz w:val="20"/>
              </w:rPr>
              <w:t>Vetrovec</w:t>
            </w:r>
            <w:r w:rsidRPr="00F06D6F">
              <w:rPr>
                <w:sz w:val="20"/>
              </w:rPr>
              <w:t xml:space="preserve"> witnesses — What is the appropriate standard to be used to determine the effect of material mid-trial disclosure?</w:t>
            </w:r>
          </w:p>
        </w:tc>
      </w:tr>
      <w:tr w:rsidR="0098091F" w:rsidRPr="00F06D6F" w:rsidTr="00D732B0">
        <w:tc>
          <w:tcPr>
            <w:tcW w:w="5000" w:type="pct"/>
            <w:gridSpan w:val="4"/>
          </w:tcPr>
          <w:p w:rsidR="0098091F" w:rsidRPr="00F06D6F" w:rsidRDefault="0098091F" w:rsidP="0098091F">
            <w:pPr>
              <w:jc w:val="both"/>
              <w:rPr>
                <w:sz w:val="20"/>
              </w:rPr>
            </w:pPr>
          </w:p>
        </w:tc>
      </w:tr>
      <w:tr w:rsidR="0098091F" w:rsidRPr="00F06D6F" w:rsidTr="00D732B0">
        <w:tc>
          <w:tcPr>
            <w:tcW w:w="5000" w:type="pct"/>
            <w:gridSpan w:val="4"/>
          </w:tcPr>
          <w:p w:rsidR="0098091F" w:rsidRPr="00F06D6F" w:rsidRDefault="0098091F" w:rsidP="0098091F">
            <w:pPr>
              <w:widowControl w:val="0"/>
              <w:kinsoku w:val="0"/>
              <w:overflowPunct w:val="0"/>
              <w:jc w:val="both"/>
              <w:textAlignment w:val="baseline"/>
              <w:rPr>
                <w:sz w:val="20"/>
              </w:rPr>
            </w:pPr>
            <w:r w:rsidRPr="00F06D6F">
              <w:rPr>
                <w:sz w:val="20"/>
              </w:rPr>
              <w:t>A member of the Bacon Brothers gang was fatally shot</w:t>
            </w:r>
            <w:r w:rsidRPr="00F06D6F">
              <w:rPr>
                <w:spacing w:val="2"/>
                <w:sz w:val="20"/>
              </w:rPr>
              <w:t xml:space="preserve"> and, a</w:t>
            </w:r>
            <w:r w:rsidRPr="00F06D6F">
              <w:rPr>
                <w:sz w:val="20"/>
              </w:rPr>
              <w:t xml:space="preserve">t the same time, there was a conspiracy amongst members of a rival gang, United Nations, to murder other members of the Bacon Brothers gang. The police charged Mr. Vallee as the shooter and as a member of the conspiracy. Four witnesses, all members of the United Nations gang, testified for the Crown. Mid-trial, Crown counsel disclosed videotapes. The late disclosure breached s. 7 of the </w:t>
            </w:r>
            <w:r w:rsidRPr="00F06D6F">
              <w:rPr>
                <w:i/>
                <w:sz w:val="20"/>
              </w:rPr>
              <w:t>Charter of Rights and Freedoms</w:t>
            </w:r>
            <w:r w:rsidRPr="00F06D6F">
              <w:rPr>
                <w:sz w:val="20"/>
              </w:rPr>
              <w:t>. The trial judge declined to order a stay of proceedings or a mistrial. Mr. Vallee was convicted of first degree murder and conspiracy to commit murder. The Court of Appeal dismissed an appeal.</w:t>
            </w:r>
          </w:p>
          <w:p w:rsidR="0098091F" w:rsidRPr="00F06D6F" w:rsidRDefault="0098091F" w:rsidP="0098091F">
            <w:pPr>
              <w:jc w:val="both"/>
              <w:rPr>
                <w:sz w:val="20"/>
              </w:rPr>
            </w:pPr>
          </w:p>
        </w:tc>
      </w:tr>
      <w:tr w:rsidR="0098091F" w:rsidRPr="00F06D6F" w:rsidTr="00D732B0">
        <w:tc>
          <w:tcPr>
            <w:tcW w:w="2427" w:type="pct"/>
            <w:gridSpan w:val="2"/>
          </w:tcPr>
          <w:p w:rsidR="0098091F" w:rsidRPr="00F06D6F" w:rsidRDefault="0098091F" w:rsidP="0098091F">
            <w:pPr>
              <w:jc w:val="both"/>
              <w:rPr>
                <w:sz w:val="20"/>
              </w:rPr>
            </w:pPr>
            <w:r w:rsidRPr="00F06D6F">
              <w:rPr>
                <w:sz w:val="20"/>
              </w:rPr>
              <w:t>July 14, 2017</w:t>
            </w:r>
          </w:p>
          <w:p w:rsidR="0098091F" w:rsidRPr="00F06D6F" w:rsidRDefault="0098091F" w:rsidP="0098091F">
            <w:pPr>
              <w:jc w:val="both"/>
              <w:rPr>
                <w:sz w:val="20"/>
              </w:rPr>
            </w:pPr>
            <w:r w:rsidRPr="00F06D6F">
              <w:rPr>
                <w:sz w:val="20"/>
              </w:rPr>
              <w:t>Supreme Court of British Columbia</w:t>
            </w:r>
          </w:p>
          <w:p w:rsidR="0098091F" w:rsidRPr="00F06D6F" w:rsidRDefault="0098091F" w:rsidP="0098091F">
            <w:pPr>
              <w:jc w:val="both"/>
              <w:rPr>
                <w:sz w:val="20"/>
              </w:rPr>
            </w:pPr>
            <w:r w:rsidRPr="00F06D6F">
              <w:rPr>
                <w:sz w:val="20"/>
              </w:rPr>
              <w:t>(Dillon J.)</w:t>
            </w:r>
          </w:p>
          <w:p w:rsidR="0098091F" w:rsidRPr="00F06D6F" w:rsidRDefault="00442B76" w:rsidP="0098091F">
            <w:pPr>
              <w:jc w:val="both"/>
              <w:rPr>
                <w:spacing w:val="-2"/>
                <w:sz w:val="20"/>
              </w:rPr>
            </w:pPr>
            <w:hyperlink r:id="rId30" w:history="1">
              <w:r w:rsidR="0098091F" w:rsidRPr="00F06D6F">
                <w:rPr>
                  <w:rStyle w:val="Hyperlink"/>
                  <w:spacing w:val="-2"/>
                  <w:sz w:val="20"/>
                </w:rPr>
                <w:t>2018 BCSC 892</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 xml:space="preserve">Convictions for first degree murder and conspiracy to commit murder </w:t>
            </w:r>
          </w:p>
        </w:tc>
      </w:tr>
      <w:tr w:rsidR="0098091F" w:rsidRPr="00F06D6F" w:rsidTr="00D732B0">
        <w:tc>
          <w:tcPr>
            <w:tcW w:w="2427" w:type="pct"/>
            <w:gridSpan w:val="2"/>
          </w:tcPr>
          <w:p w:rsidR="0098091F" w:rsidRPr="00F06D6F" w:rsidRDefault="0098091F" w:rsidP="0098091F">
            <w:pPr>
              <w:jc w:val="both"/>
              <w:rPr>
                <w:sz w:val="20"/>
              </w:rPr>
            </w:pPr>
            <w:r w:rsidRPr="00F06D6F">
              <w:rPr>
                <w:sz w:val="20"/>
              </w:rPr>
              <w:t>January 13, 2022</w:t>
            </w:r>
          </w:p>
          <w:p w:rsidR="0098091F" w:rsidRPr="00F06D6F" w:rsidRDefault="0098091F" w:rsidP="0098091F">
            <w:pPr>
              <w:jc w:val="both"/>
              <w:rPr>
                <w:sz w:val="20"/>
              </w:rPr>
            </w:pPr>
            <w:r w:rsidRPr="00F06D6F">
              <w:rPr>
                <w:sz w:val="20"/>
              </w:rPr>
              <w:t xml:space="preserve">Court of Appeal for British Columbia </w:t>
            </w:r>
          </w:p>
          <w:p w:rsidR="0098091F" w:rsidRPr="00F06D6F" w:rsidRDefault="0098091F" w:rsidP="0098091F">
            <w:pPr>
              <w:jc w:val="both"/>
              <w:rPr>
                <w:sz w:val="20"/>
              </w:rPr>
            </w:pPr>
            <w:r w:rsidRPr="00F06D6F">
              <w:rPr>
                <w:sz w:val="20"/>
              </w:rPr>
              <w:t>(Vancouver)</w:t>
            </w:r>
          </w:p>
          <w:p w:rsidR="0098091F" w:rsidRPr="00F06D6F" w:rsidRDefault="0098091F" w:rsidP="0098091F">
            <w:pPr>
              <w:jc w:val="both"/>
              <w:rPr>
                <w:sz w:val="20"/>
              </w:rPr>
            </w:pPr>
            <w:r w:rsidRPr="00F06D6F">
              <w:rPr>
                <w:sz w:val="20"/>
              </w:rPr>
              <w:t>(Saunders, Abrioux, Voith JJ.A.)</w:t>
            </w:r>
          </w:p>
          <w:p w:rsidR="0098091F" w:rsidRPr="00F06D6F" w:rsidRDefault="00442B76" w:rsidP="0098091F">
            <w:pPr>
              <w:widowControl w:val="0"/>
              <w:kinsoku w:val="0"/>
              <w:overflowPunct w:val="0"/>
              <w:spacing w:before="9" w:line="262" w:lineRule="exact"/>
              <w:jc w:val="both"/>
              <w:textAlignment w:val="baseline"/>
              <w:rPr>
                <w:rFonts w:ascii="Arial" w:hAnsi="Arial"/>
                <w:spacing w:val="-3"/>
                <w:sz w:val="20"/>
              </w:rPr>
            </w:pPr>
            <w:hyperlink r:id="rId31" w:history="1">
              <w:r w:rsidR="0098091F" w:rsidRPr="00F06D6F">
                <w:rPr>
                  <w:rStyle w:val="Hyperlink"/>
                  <w:sz w:val="20"/>
                </w:rPr>
                <w:t>2022 BCCA 11</w:t>
              </w:r>
            </w:hyperlink>
            <w:r w:rsidR="0098091F" w:rsidRPr="00F06D6F">
              <w:rPr>
                <w:sz w:val="20"/>
              </w:rPr>
              <w:t>;</w:t>
            </w:r>
            <w:r w:rsidR="0098091F" w:rsidRPr="00F06D6F">
              <w:rPr>
                <w:rFonts w:ascii="Arial" w:hAnsi="Arial"/>
                <w:spacing w:val="-3"/>
                <w:sz w:val="20"/>
              </w:rPr>
              <w:t xml:space="preserve"> </w:t>
            </w:r>
            <w:r w:rsidR="0098091F" w:rsidRPr="00F06D6F">
              <w:rPr>
                <w:sz w:val="20"/>
              </w:rPr>
              <w:t>CA45829</w:t>
            </w:r>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Appeal dismissed</w:t>
            </w:r>
          </w:p>
          <w:p w:rsidR="0098091F" w:rsidRPr="00F06D6F" w:rsidRDefault="0098091F" w:rsidP="0098091F">
            <w:pPr>
              <w:jc w:val="both"/>
              <w:rPr>
                <w:sz w:val="20"/>
              </w:rPr>
            </w:pPr>
          </w:p>
        </w:tc>
      </w:tr>
      <w:tr w:rsidR="0098091F" w:rsidRPr="00F06D6F" w:rsidTr="00D732B0">
        <w:tc>
          <w:tcPr>
            <w:tcW w:w="2427" w:type="pct"/>
            <w:gridSpan w:val="2"/>
          </w:tcPr>
          <w:p w:rsidR="0098091F" w:rsidRPr="00F06D6F" w:rsidRDefault="0098091F" w:rsidP="0098091F">
            <w:pPr>
              <w:jc w:val="both"/>
              <w:rPr>
                <w:sz w:val="20"/>
              </w:rPr>
            </w:pPr>
            <w:r w:rsidRPr="00F06D6F">
              <w:rPr>
                <w:sz w:val="20"/>
              </w:rPr>
              <w:t>March 14, 2022</w:t>
            </w:r>
          </w:p>
          <w:p w:rsidR="0098091F" w:rsidRPr="00F06D6F" w:rsidRDefault="0098091F" w:rsidP="0098091F">
            <w:pPr>
              <w:jc w:val="both"/>
              <w:rPr>
                <w:sz w:val="20"/>
              </w:rPr>
            </w:pPr>
            <w:r w:rsidRPr="00F06D6F">
              <w:rPr>
                <w:sz w:val="20"/>
              </w:rPr>
              <w:t>Supreme Court of Canada</w:t>
            </w: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Application for leave to appeal filed</w:t>
            </w:r>
          </w:p>
          <w:p w:rsidR="0098091F" w:rsidRPr="00F06D6F" w:rsidRDefault="0098091F" w:rsidP="0098091F">
            <w:pPr>
              <w:jc w:val="both"/>
              <w:rPr>
                <w:sz w:val="20"/>
              </w:rPr>
            </w:pPr>
          </w:p>
        </w:tc>
      </w:tr>
    </w:tbl>
    <w:p w:rsidR="0098091F" w:rsidRPr="00F06D6F" w:rsidRDefault="0098091F" w:rsidP="0098091F">
      <w:pPr>
        <w:jc w:val="both"/>
        <w:rPr>
          <w:sz w:val="20"/>
        </w:rPr>
      </w:pPr>
    </w:p>
    <w:p w:rsidR="0098091F" w:rsidRPr="00F06D6F" w:rsidRDefault="00442B76" w:rsidP="0098091F">
      <w:pPr>
        <w:jc w:val="both"/>
        <w:rPr>
          <w:sz w:val="20"/>
        </w:rPr>
      </w:pPr>
      <w:r>
        <w:rPr>
          <w:sz w:val="20"/>
        </w:rPr>
        <w:pict>
          <v:rect id="_x0000_i1033" style="width:2in;height:1pt" o:hrpct="0" o:hralign="center" o:hrstd="t" o:hrnoshade="t" o:hr="t" fillcolor="black [3213]" stroked="f"/>
        </w:pict>
      </w:r>
    </w:p>
    <w:p w:rsidR="0098091F" w:rsidRPr="00F06D6F" w:rsidRDefault="0098091F" w:rsidP="009809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442B76" w:rsidTr="00D732B0">
        <w:tc>
          <w:tcPr>
            <w:tcW w:w="543" w:type="pct"/>
          </w:tcPr>
          <w:p w:rsidR="0098091F" w:rsidRPr="00F06D6F" w:rsidRDefault="0098091F" w:rsidP="0098091F">
            <w:pPr>
              <w:jc w:val="both"/>
              <w:rPr>
                <w:sz w:val="20"/>
                <w:lang w:val="fr-CA"/>
              </w:rPr>
            </w:pPr>
            <w:r w:rsidRPr="00F06D6F">
              <w:rPr>
                <w:rStyle w:val="SCCFileNumberChar"/>
                <w:sz w:val="20"/>
                <w:szCs w:val="20"/>
                <w:lang w:val="fr-CA"/>
              </w:rPr>
              <w:t>40087</w:t>
            </w:r>
          </w:p>
        </w:tc>
        <w:tc>
          <w:tcPr>
            <w:tcW w:w="4457" w:type="pct"/>
            <w:gridSpan w:val="3"/>
          </w:tcPr>
          <w:p w:rsidR="0098091F" w:rsidRPr="00F06D6F" w:rsidRDefault="0098091F" w:rsidP="0098091F">
            <w:pPr>
              <w:pStyle w:val="SCCLsocParty"/>
              <w:jc w:val="both"/>
              <w:rPr>
                <w:b/>
                <w:sz w:val="20"/>
                <w:szCs w:val="20"/>
              </w:rPr>
            </w:pPr>
            <w:r w:rsidRPr="00F06D6F">
              <w:rPr>
                <w:b/>
                <w:sz w:val="20"/>
                <w:szCs w:val="20"/>
              </w:rPr>
              <w:t>Cory Vallee c. Sa Majesté la Reine</w:t>
            </w:r>
          </w:p>
          <w:p w:rsidR="0098091F" w:rsidRPr="00F06D6F" w:rsidRDefault="0098091F" w:rsidP="008614A3">
            <w:pPr>
              <w:jc w:val="both"/>
              <w:rPr>
                <w:sz w:val="20"/>
                <w:lang w:val="fr-CA"/>
              </w:rPr>
            </w:pPr>
            <w:r w:rsidRPr="00F06D6F">
              <w:rPr>
                <w:sz w:val="20"/>
                <w:lang w:val="fr-CA"/>
              </w:rPr>
              <w:t>(C.-B.) (</w:t>
            </w:r>
            <w:r w:rsidR="008614A3" w:rsidRPr="00F06D6F">
              <w:rPr>
                <w:sz w:val="20"/>
                <w:lang w:val="fr-CA"/>
              </w:rPr>
              <w:t>C</w:t>
            </w:r>
            <w:r w:rsidRPr="00F06D6F">
              <w:rPr>
                <w:sz w:val="20"/>
                <w:lang w:val="fr-CA"/>
              </w:rPr>
              <w:t>riminelle) (</w:t>
            </w:r>
            <w:r w:rsidR="008614A3" w:rsidRPr="00F06D6F">
              <w:rPr>
                <w:sz w:val="20"/>
                <w:lang w:val="fr-CA"/>
              </w:rPr>
              <w:t>S</w:t>
            </w:r>
            <w:r w:rsidRPr="00F06D6F">
              <w:rPr>
                <w:sz w:val="20"/>
                <w:lang w:val="fr-CA"/>
              </w:rPr>
              <w:t>ur autorisation)</w:t>
            </w:r>
          </w:p>
        </w:tc>
      </w:tr>
      <w:tr w:rsidR="0098091F" w:rsidRPr="00442B76" w:rsidTr="00D732B0">
        <w:tc>
          <w:tcPr>
            <w:tcW w:w="5000" w:type="pct"/>
            <w:gridSpan w:val="4"/>
          </w:tcPr>
          <w:p w:rsidR="0098091F" w:rsidRPr="00F06D6F" w:rsidRDefault="0098091F" w:rsidP="0098091F">
            <w:pPr>
              <w:pStyle w:val="SCCBanSummary"/>
              <w:rPr>
                <w:sz w:val="20"/>
                <w:szCs w:val="20"/>
                <w:lang w:val="fr-CA"/>
              </w:rPr>
            </w:pPr>
            <w:r w:rsidRPr="00F06D6F">
              <w:rPr>
                <w:sz w:val="20"/>
                <w:szCs w:val="20"/>
                <w:lang w:val="fr-CA"/>
              </w:rPr>
              <w:t>(Interdiction de publication au dossier)</w:t>
            </w:r>
          </w:p>
          <w:p w:rsidR="0098091F" w:rsidRPr="00F06D6F" w:rsidRDefault="0098091F" w:rsidP="0098091F">
            <w:pPr>
              <w:jc w:val="both"/>
              <w:rPr>
                <w:sz w:val="20"/>
                <w:lang w:val="fr-CA"/>
              </w:rPr>
            </w:pPr>
          </w:p>
          <w:p w:rsidR="0098091F" w:rsidRPr="00F06D6F" w:rsidRDefault="0098091F" w:rsidP="0098091F">
            <w:pPr>
              <w:jc w:val="both"/>
              <w:rPr>
                <w:sz w:val="20"/>
                <w:lang w:val="fr-CA"/>
              </w:rPr>
            </w:pPr>
            <w:r w:rsidRPr="00F06D6F">
              <w:rPr>
                <w:sz w:val="20"/>
                <w:lang w:val="fr-CA"/>
              </w:rPr>
              <w:t>Droit criminel — Preuve —</w:t>
            </w:r>
            <w:r w:rsidRPr="00F06D6F">
              <w:rPr>
                <w:i/>
                <w:sz w:val="20"/>
                <w:lang w:val="fr-CA"/>
              </w:rPr>
              <w:t xml:space="preserve"> </w:t>
            </w:r>
            <w:r w:rsidRPr="00F06D6F">
              <w:rPr>
                <w:sz w:val="20"/>
                <w:lang w:val="fr-CA"/>
              </w:rPr>
              <w:t xml:space="preserve">Témoins visés par </w:t>
            </w:r>
            <w:r w:rsidRPr="00F06D6F">
              <w:rPr>
                <w:i/>
                <w:sz w:val="20"/>
                <w:lang w:val="fr-CA"/>
              </w:rPr>
              <w:t>Vetrovec</w:t>
            </w:r>
            <w:r w:rsidRPr="00F06D6F">
              <w:rPr>
                <w:sz w:val="20"/>
                <w:lang w:val="fr-CA"/>
              </w:rPr>
              <w:t xml:space="preserve"> — Communication tardive — Étant donné l’important risque de condamnation injustifiée que posent les témoins visés par </w:t>
            </w:r>
            <w:r w:rsidRPr="00F06D6F">
              <w:rPr>
                <w:i/>
                <w:sz w:val="20"/>
                <w:lang w:val="fr-CA"/>
              </w:rPr>
              <w:t xml:space="preserve">Vetrovec </w:t>
            </w:r>
            <w:r w:rsidRPr="00F06D6F">
              <w:rPr>
                <w:sz w:val="20"/>
                <w:lang w:val="fr-CA"/>
              </w:rPr>
              <w:t>dits extrêmes, la Cour devrait-elle réexaminer l’approche adoptée quant à ces derniers</w:t>
            </w:r>
            <w:r w:rsidRPr="00F06D6F">
              <w:rPr>
                <w:i/>
                <w:sz w:val="20"/>
                <w:lang w:val="fr-CA"/>
              </w:rPr>
              <w:t> </w:t>
            </w:r>
            <w:r w:rsidRPr="00F06D6F">
              <w:rPr>
                <w:sz w:val="20"/>
                <w:lang w:val="fr-CA"/>
              </w:rPr>
              <w:t>? — Quelle norme convient-il d’appliquer afin de déterminer l’impact de la divulgation de renseignements importants au milieu du procès ?</w:t>
            </w:r>
          </w:p>
        </w:tc>
      </w:tr>
      <w:tr w:rsidR="0098091F" w:rsidRPr="00442B76" w:rsidTr="00D732B0">
        <w:tc>
          <w:tcPr>
            <w:tcW w:w="5000" w:type="pct"/>
            <w:gridSpan w:val="4"/>
          </w:tcPr>
          <w:p w:rsidR="0098091F" w:rsidRPr="00F06D6F" w:rsidRDefault="0098091F" w:rsidP="0098091F">
            <w:pPr>
              <w:jc w:val="both"/>
              <w:rPr>
                <w:sz w:val="20"/>
                <w:lang w:val="fr-CA"/>
              </w:rPr>
            </w:pPr>
          </w:p>
        </w:tc>
      </w:tr>
      <w:tr w:rsidR="0098091F" w:rsidRPr="00F06D6F" w:rsidTr="00D732B0">
        <w:tc>
          <w:tcPr>
            <w:tcW w:w="5000" w:type="pct"/>
            <w:gridSpan w:val="4"/>
          </w:tcPr>
          <w:p w:rsidR="0098091F" w:rsidRPr="00F06D6F" w:rsidRDefault="0098091F" w:rsidP="0098091F">
            <w:pPr>
              <w:widowControl w:val="0"/>
              <w:kinsoku w:val="0"/>
              <w:overflowPunct w:val="0"/>
              <w:jc w:val="both"/>
              <w:textAlignment w:val="baseline"/>
              <w:rPr>
                <w:sz w:val="20"/>
                <w:lang w:val="fr-CA"/>
              </w:rPr>
            </w:pPr>
            <w:r w:rsidRPr="00F06D6F">
              <w:rPr>
                <w:sz w:val="20"/>
                <w:lang w:val="fr-CA"/>
              </w:rPr>
              <w:t xml:space="preserve">Un membre du gang nommé « Bacon Brothers gang » a été abattu d’un coup de feu, alors qu’en même temps, un complot existait parmi les membres d’un gang rival, appelé « United Nations », en vue de tuer d’autres membres du Bacon Brothers gang. La police a arrêté M. Vallee et l’a accusé d’avoir abattu le membre de ce gang et de faire partie du complot. Quatre témoins, tous des membres du gang United Nations, ont témoigné pour la Couronne. Au milieu du procès, le procureur de la Couronne a produit des bandes-vidéo. Cette communication tardive violait l’art. 7 de la </w:t>
            </w:r>
            <w:r w:rsidRPr="00F06D6F">
              <w:rPr>
                <w:i/>
                <w:sz w:val="20"/>
                <w:lang w:val="fr-CA"/>
              </w:rPr>
              <w:t>Charte des droits et libertés</w:t>
            </w:r>
            <w:r w:rsidRPr="00F06D6F">
              <w:rPr>
                <w:sz w:val="20"/>
                <w:lang w:val="fr-CA"/>
              </w:rPr>
              <w:t>. La juge du procès a refusé d’ordonner l’arrêt des procédures ou d’annuler le procès. M. Vallee a été déclaré coupable de meurtre au premier degré et de complot en vue de commettre un meurtre. La Cour d’appel a rejeté l’appel.</w:t>
            </w:r>
          </w:p>
          <w:p w:rsidR="0098091F" w:rsidRPr="00F06D6F" w:rsidRDefault="0098091F" w:rsidP="0098091F">
            <w:pPr>
              <w:jc w:val="both"/>
              <w:rPr>
                <w:sz w:val="20"/>
                <w:lang w:val="fr-CA"/>
              </w:rPr>
            </w:pPr>
          </w:p>
        </w:tc>
      </w:tr>
      <w:tr w:rsidR="0098091F" w:rsidRPr="00442B76" w:rsidTr="00D732B0">
        <w:tc>
          <w:tcPr>
            <w:tcW w:w="2427" w:type="pct"/>
            <w:gridSpan w:val="2"/>
          </w:tcPr>
          <w:p w:rsidR="0098091F" w:rsidRPr="00F06D6F" w:rsidRDefault="0098091F" w:rsidP="0098091F">
            <w:pPr>
              <w:jc w:val="both"/>
              <w:rPr>
                <w:sz w:val="20"/>
                <w:lang w:val="fr-CA"/>
              </w:rPr>
            </w:pPr>
            <w:r w:rsidRPr="00F06D6F">
              <w:rPr>
                <w:sz w:val="20"/>
                <w:lang w:val="fr-CA"/>
              </w:rPr>
              <w:t>14 juillet 2017</w:t>
            </w:r>
          </w:p>
          <w:p w:rsidR="0098091F" w:rsidRPr="00F06D6F" w:rsidRDefault="0098091F" w:rsidP="0098091F">
            <w:pPr>
              <w:jc w:val="both"/>
              <w:rPr>
                <w:sz w:val="20"/>
                <w:lang w:val="fr-CA"/>
              </w:rPr>
            </w:pPr>
            <w:r w:rsidRPr="00F06D6F">
              <w:rPr>
                <w:sz w:val="20"/>
                <w:lang w:val="fr-CA"/>
              </w:rPr>
              <w:t>Cour suprême de la Colombie-Britannique</w:t>
            </w:r>
          </w:p>
          <w:p w:rsidR="0098091F" w:rsidRPr="00F06D6F" w:rsidRDefault="0098091F" w:rsidP="0098091F">
            <w:pPr>
              <w:jc w:val="both"/>
              <w:rPr>
                <w:sz w:val="20"/>
                <w:lang w:val="fr-CA"/>
              </w:rPr>
            </w:pPr>
            <w:r w:rsidRPr="00F06D6F">
              <w:rPr>
                <w:sz w:val="20"/>
                <w:lang w:val="fr-CA"/>
              </w:rPr>
              <w:t>(juge Dillon)</w:t>
            </w:r>
          </w:p>
          <w:p w:rsidR="0098091F" w:rsidRPr="00F06D6F" w:rsidRDefault="00442B76" w:rsidP="0098091F">
            <w:pPr>
              <w:jc w:val="both"/>
              <w:rPr>
                <w:spacing w:val="-2"/>
                <w:sz w:val="20"/>
                <w:lang w:val="fr-CA"/>
              </w:rPr>
            </w:pPr>
            <w:hyperlink r:id="rId32" w:history="1">
              <w:r w:rsidR="0098091F" w:rsidRPr="00F06D6F">
                <w:rPr>
                  <w:rStyle w:val="Hyperlink"/>
                  <w:spacing w:val="-2"/>
                  <w:sz w:val="20"/>
                  <w:lang w:val="fr-CA"/>
                </w:rPr>
                <w:t>2018 BCSC 892</w:t>
              </w:r>
            </w:hyperlink>
          </w:p>
          <w:p w:rsidR="0098091F" w:rsidRPr="00F06D6F" w:rsidRDefault="0098091F" w:rsidP="0098091F">
            <w:pPr>
              <w:jc w:val="both"/>
              <w:rPr>
                <w:sz w:val="20"/>
                <w:lang w:val="fr-CA"/>
              </w:rPr>
            </w:pP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lang w:val="fr-CA"/>
              </w:rPr>
            </w:pPr>
            <w:r w:rsidRPr="00F06D6F">
              <w:rPr>
                <w:sz w:val="20"/>
                <w:lang w:val="fr-CA"/>
              </w:rPr>
              <w:t xml:space="preserve">Des déclarations de culpabilité pour meurtre au premier degré et complot en vue de commettre un meurtre sont prononcées. </w:t>
            </w:r>
          </w:p>
        </w:tc>
      </w:tr>
      <w:tr w:rsidR="0098091F" w:rsidRPr="00F06D6F" w:rsidTr="00D732B0">
        <w:tc>
          <w:tcPr>
            <w:tcW w:w="2427" w:type="pct"/>
            <w:gridSpan w:val="2"/>
          </w:tcPr>
          <w:p w:rsidR="0098091F" w:rsidRPr="00F06D6F" w:rsidRDefault="0098091F" w:rsidP="0098091F">
            <w:pPr>
              <w:jc w:val="both"/>
              <w:rPr>
                <w:sz w:val="20"/>
                <w:lang w:val="fr-CA"/>
              </w:rPr>
            </w:pPr>
            <w:r w:rsidRPr="00F06D6F">
              <w:rPr>
                <w:sz w:val="20"/>
                <w:lang w:val="fr-CA"/>
              </w:rPr>
              <w:t>13 janvier 2022</w:t>
            </w:r>
          </w:p>
          <w:p w:rsidR="0098091F" w:rsidRPr="00F06D6F" w:rsidRDefault="0098091F" w:rsidP="0098091F">
            <w:pPr>
              <w:jc w:val="both"/>
              <w:rPr>
                <w:sz w:val="20"/>
                <w:lang w:val="fr-CA"/>
              </w:rPr>
            </w:pPr>
            <w:r w:rsidRPr="00F06D6F">
              <w:rPr>
                <w:sz w:val="20"/>
                <w:lang w:val="fr-CA"/>
              </w:rPr>
              <w:t xml:space="preserve">Cour d’appel de la Colombie-Britannique </w:t>
            </w:r>
          </w:p>
          <w:p w:rsidR="0098091F" w:rsidRPr="00F06D6F" w:rsidRDefault="0098091F" w:rsidP="0098091F">
            <w:pPr>
              <w:jc w:val="both"/>
              <w:rPr>
                <w:sz w:val="20"/>
                <w:lang w:val="fr-CA"/>
              </w:rPr>
            </w:pPr>
            <w:r w:rsidRPr="00F06D6F">
              <w:rPr>
                <w:sz w:val="20"/>
                <w:lang w:val="fr-CA"/>
              </w:rPr>
              <w:t>(Vancouver)</w:t>
            </w:r>
          </w:p>
          <w:p w:rsidR="0098091F" w:rsidRPr="00F06D6F" w:rsidRDefault="0098091F" w:rsidP="0098091F">
            <w:pPr>
              <w:jc w:val="both"/>
              <w:rPr>
                <w:sz w:val="20"/>
                <w:lang w:val="fr-CA"/>
              </w:rPr>
            </w:pPr>
            <w:r w:rsidRPr="00F06D6F">
              <w:rPr>
                <w:sz w:val="20"/>
                <w:lang w:val="fr-CA"/>
              </w:rPr>
              <w:t>(juges Saunders, Abrioux, Voith)</w:t>
            </w:r>
          </w:p>
          <w:p w:rsidR="0098091F" w:rsidRPr="00F06D6F" w:rsidRDefault="00442B76" w:rsidP="0098091F">
            <w:pPr>
              <w:widowControl w:val="0"/>
              <w:kinsoku w:val="0"/>
              <w:overflowPunct w:val="0"/>
              <w:spacing w:before="9" w:line="262" w:lineRule="exact"/>
              <w:jc w:val="both"/>
              <w:textAlignment w:val="baseline"/>
              <w:rPr>
                <w:rFonts w:ascii="Arial" w:hAnsi="Arial"/>
                <w:spacing w:val="-3"/>
                <w:sz w:val="20"/>
                <w:lang w:val="fr-CA"/>
              </w:rPr>
            </w:pPr>
            <w:hyperlink r:id="rId33" w:history="1">
              <w:r w:rsidR="0098091F" w:rsidRPr="00F06D6F">
                <w:rPr>
                  <w:rStyle w:val="Hyperlink"/>
                  <w:sz w:val="20"/>
                  <w:lang w:val="fr-CA"/>
                </w:rPr>
                <w:t>2022 BCCA 11</w:t>
              </w:r>
            </w:hyperlink>
            <w:r w:rsidR="0098091F" w:rsidRPr="00F06D6F">
              <w:rPr>
                <w:sz w:val="20"/>
                <w:lang w:val="fr-CA"/>
              </w:rPr>
              <w:t>;</w:t>
            </w:r>
            <w:r w:rsidR="0098091F" w:rsidRPr="00F06D6F">
              <w:rPr>
                <w:rFonts w:ascii="Arial" w:hAnsi="Arial"/>
                <w:spacing w:val="-3"/>
                <w:sz w:val="20"/>
                <w:lang w:val="fr-CA"/>
              </w:rPr>
              <w:t xml:space="preserve"> </w:t>
            </w:r>
            <w:r w:rsidR="0098091F" w:rsidRPr="00F06D6F">
              <w:rPr>
                <w:sz w:val="20"/>
                <w:lang w:val="fr-CA"/>
              </w:rPr>
              <w:t>CA45829</w:t>
            </w:r>
          </w:p>
          <w:p w:rsidR="0098091F" w:rsidRPr="00F06D6F" w:rsidRDefault="0098091F" w:rsidP="0098091F">
            <w:pPr>
              <w:jc w:val="both"/>
              <w:rPr>
                <w:sz w:val="20"/>
                <w:lang w:val="fr-CA"/>
              </w:rPr>
            </w:pP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lang w:val="fr-CA"/>
              </w:rPr>
            </w:pPr>
            <w:r w:rsidRPr="00F06D6F">
              <w:rPr>
                <w:sz w:val="20"/>
                <w:lang w:val="fr-CA"/>
              </w:rPr>
              <w:t>L’appel est rejeté.</w:t>
            </w:r>
          </w:p>
          <w:p w:rsidR="0098091F" w:rsidRPr="00F06D6F" w:rsidRDefault="0098091F" w:rsidP="0098091F">
            <w:pPr>
              <w:jc w:val="both"/>
              <w:rPr>
                <w:sz w:val="20"/>
                <w:lang w:val="fr-CA"/>
              </w:rPr>
            </w:pPr>
          </w:p>
        </w:tc>
      </w:tr>
      <w:tr w:rsidR="0098091F" w:rsidRPr="00442B76" w:rsidTr="00D732B0">
        <w:tc>
          <w:tcPr>
            <w:tcW w:w="2427" w:type="pct"/>
            <w:gridSpan w:val="2"/>
          </w:tcPr>
          <w:p w:rsidR="0098091F" w:rsidRPr="00F06D6F" w:rsidRDefault="0098091F" w:rsidP="0098091F">
            <w:pPr>
              <w:jc w:val="both"/>
              <w:rPr>
                <w:sz w:val="20"/>
                <w:lang w:val="fr-CA"/>
              </w:rPr>
            </w:pPr>
            <w:r w:rsidRPr="00F06D6F">
              <w:rPr>
                <w:sz w:val="20"/>
                <w:lang w:val="fr-CA"/>
              </w:rPr>
              <w:t>14 mars 2022</w:t>
            </w:r>
          </w:p>
          <w:p w:rsidR="0098091F" w:rsidRPr="00F06D6F" w:rsidRDefault="0098091F" w:rsidP="0098091F">
            <w:pPr>
              <w:jc w:val="both"/>
              <w:rPr>
                <w:sz w:val="20"/>
                <w:lang w:val="fr-CA"/>
              </w:rPr>
            </w:pPr>
            <w:r w:rsidRPr="00F06D6F">
              <w:rPr>
                <w:sz w:val="20"/>
                <w:lang w:val="fr-CA"/>
              </w:rPr>
              <w:t>Cour suprême du Canada</w:t>
            </w: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lang w:val="fr-CA"/>
              </w:rPr>
            </w:pPr>
            <w:r w:rsidRPr="00F06D6F">
              <w:rPr>
                <w:sz w:val="20"/>
                <w:lang w:val="fr-CA"/>
              </w:rPr>
              <w:t>La demande d’autorisation d’appel est présentée.</w:t>
            </w:r>
          </w:p>
          <w:p w:rsidR="0098091F" w:rsidRPr="00F06D6F" w:rsidRDefault="0098091F" w:rsidP="0098091F">
            <w:pPr>
              <w:jc w:val="both"/>
              <w:rPr>
                <w:sz w:val="20"/>
                <w:lang w:val="fr-CA"/>
              </w:rPr>
            </w:pPr>
          </w:p>
        </w:tc>
      </w:tr>
    </w:tbl>
    <w:p w:rsidR="0098091F" w:rsidRPr="00F06D6F" w:rsidRDefault="0098091F" w:rsidP="0098091F">
      <w:pPr>
        <w:jc w:val="both"/>
        <w:rPr>
          <w:sz w:val="20"/>
          <w:lang w:val="fr-CA"/>
        </w:rPr>
      </w:pPr>
    </w:p>
    <w:p w:rsidR="0098091F" w:rsidRPr="00F06D6F" w:rsidRDefault="00442B76" w:rsidP="0098091F">
      <w:pPr>
        <w:jc w:val="both"/>
        <w:rPr>
          <w:sz w:val="20"/>
          <w:lang w:val="fr-CA"/>
        </w:rPr>
      </w:pPr>
      <w:r>
        <w:rPr>
          <w:sz w:val="20"/>
        </w:rPr>
        <w:pict>
          <v:rect id="_x0000_i1034" style="width:2in;height:1pt" o:hrpct="0" o:hralign="center" o:hrstd="t" o:hrnoshade="t" o:hr="t" fillcolor="black [3213]" stroked="f"/>
        </w:pict>
      </w:r>
    </w:p>
    <w:p w:rsidR="0098091F" w:rsidRPr="00F06D6F" w:rsidRDefault="0098091F" w:rsidP="0098091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F06D6F">
        <w:tc>
          <w:tcPr>
            <w:tcW w:w="543" w:type="pct"/>
          </w:tcPr>
          <w:p w:rsidR="0098091F" w:rsidRPr="00F06D6F" w:rsidRDefault="0098091F" w:rsidP="0098091F">
            <w:pPr>
              <w:jc w:val="both"/>
              <w:rPr>
                <w:sz w:val="20"/>
                <w:lang w:val="en-CA"/>
              </w:rPr>
            </w:pPr>
            <w:r w:rsidRPr="00F06D6F">
              <w:rPr>
                <w:rStyle w:val="SCCFileNumberChar"/>
                <w:sz w:val="20"/>
                <w:szCs w:val="20"/>
              </w:rPr>
              <w:t>40102</w:t>
            </w:r>
          </w:p>
        </w:tc>
        <w:tc>
          <w:tcPr>
            <w:tcW w:w="4457" w:type="pct"/>
            <w:gridSpan w:val="3"/>
          </w:tcPr>
          <w:p w:rsidR="0098091F" w:rsidRPr="00F06D6F" w:rsidRDefault="0098091F" w:rsidP="0098091F">
            <w:pPr>
              <w:pStyle w:val="SCCLsocParty"/>
              <w:jc w:val="both"/>
              <w:rPr>
                <w:b/>
                <w:sz w:val="20"/>
                <w:szCs w:val="20"/>
                <w:lang w:val="en-CA"/>
              </w:rPr>
            </w:pPr>
            <w:r w:rsidRPr="00F06D6F">
              <w:rPr>
                <w:b/>
                <w:sz w:val="20"/>
                <w:szCs w:val="20"/>
                <w:lang w:val="en-CA"/>
              </w:rPr>
              <w:t>Stanislas Bricka v. Attorney General of Quebec</w:t>
            </w:r>
          </w:p>
          <w:p w:rsidR="0098091F" w:rsidRPr="00F06D6F" w:rsidRDefault="0098091F" w:rsidP="0098091F">
            <w:pPr>
              <w:jc w:val="both"/>
              <w:rPr>
                <w:sz w:val="20"/>
                <w:lang w:val="en-CA"/>
              </w:rPr>
            </w:pPr>
            <w:r w:rsidRPr="00F06D6F">
              <w:rPr>
                <w:sz w:val="20"/>
                <w:lang w:val="en-CA"/>
              </w:rPr>
              <w:t>(Que.) (Civil) (By Leave)</w:t>
            </w:r>
          </w:p>
        </w:tc>
      </w:tr>
      <w:tr w:rsidR="0098091F" w:rsidRPr="00F06D6F">
        <w:tc>
          <w:tcPr>
            <w:tcW w:w="5000" w:type="pct"/>
            <w:gridSpan w:val="4"/>
          </w:tcPr>
          <w:p w:rsidR="0098091F" w:rsidRPr="00F06D6F" w:rsidRDefault="0098091F" w:rsidP="0098091F">
            <w:pPr>
              <w:jc w:val="both"/>
              <w:rPr>
                <w:sz w:val="20"/>
                <w:lang w:val="en-CA"/>
              </w:rPr>
            </w:pPr>
            <w:proofErr w:type="gramStart"/>
            <w:r w:rsidRPr="00F06D6F">
              <w:rPr>
                <w:sz w:val="20"/>
                <w:lang w:val="en-CA"/>
              </w:rPr>
              <w:t xml:space="preserve">Administrative law ⸺ Judicial review ⸺ Review of exercise of legislative power delegated to executive ⸺ Application for declaration of invalidity of orders in council concerning renewal of public health emergency due to COVID-19 pandemic ⸺ Whether orders in council renewing emergency are </w:t>
            </w:r>
            <w:r w:rsidRPr="00F06D6F">
              <w:rPr>
                <w:i/>
                <w:sz w:val="20"/>
                <w:lang w:val="en-CA"/>
              </w:rPr>
              <w:t>ultra vires</w:t>
            </w:r>
            <w:r w:rsidRPr="00F06D6F">
              <w:rPr>
                <w:sz w:val="20"/>
                <w:lang w:val="en-CA"/>
              </w:rPr>
              <w:t xml:space="preserve"> government ⸺ Whether, in event of emergency, government has power to create new regulatory penal offences ⸺ </w:t>
            </w:r>
            <w:r w:rsidRPr="00F06D6F">
              <w:rPr>
                <w:bCs/>
                <w:i/>
                <w:color w:val="212529"/>
                <w:sz w:val="20"/>
                <w:lang w:val="en-CA"/>
              </w:rPr>
              <w:t>Public Health Act</w:t>
            </w:r>
            <w:r w:rsidRPr="00F06D6F">
              <w:rPr>
                <w:bCs/>
                <w:color w:val="212529"/>
                <w:sz w:val="20"/>
                <w:lang w:val="en-CA"/>
              </w:rPr>
              <w:t>, CQLR, c. S-2.2, ss. 119, 139.</w:t>
            </w:r>
            <w:proofErr w:type="gramEnd"/>
          </w:p>
        </w:tc>
      </w:tr>
      <w:tr w:rsidR="0098091F" w:rsidRPr="00F06D6F">
        <w:tc>
          <w:tcPr>
            <w:tcW w:w="5000" w:type="pct"/>
            <w:gridSpan w:val="4"/>
          </w:tcPr>
          <w:p w:rsidR="0098091F" w:rsidRPr="00F06D6F" w:rsidRDefault="0098091F" w:rsidP="0098091F">
            <w:pPr>
              <w:jc w:val="both"/>
              <w:rPr>
                <w:sz w:val="20"/>
                <w:lang w:val="en-CA"/>
              </w:rPr>
            </w:pPr>
          </w:p>
        </w:tc>
      </w:tr>
      <w:tr w:rsidR="0098091F" w:rsidRPr="00F06D6F">
        <w:tc>
          <w:tcPr>
            <w:tcW w:w="5000" w:type="pct"/>
            <w:gridSpan w:val="4"/>
          </w:tcPr>
          <w:p w:rsidR="0098091F" w:rsidRPr="00F06D6F" w:rsidRDefault="0098091F" w:rsidP="0098091F">
            <w:pPr>
              <w:jc w:val="both"/>
              <w:rPr>
                <w:sz w:val="20"/>
                <w:lang w:val="en-CA"/>
              </w:rPr>
            </w:pPr>
            <w:r w:rsidRPr="00F06D6F">
              <w:rPr>
                <w:sz w:val="20"/>
                <w:lang w:val="en-CA"/>
              </w:rPr>
              <w:t xml:space="preserve">On March 13, 2020, the Quebec government declared a public health emergency throughout the province for a period of 10 days under s. 118 of the </w:t>
            </w:r>
            <w:r w:rsidRPr="00F06D6F">
              <w:rPr>
                <w:bCs/>
                <w:i/>
                <w:color w:val="212529"/>
                <w:sz w:val="20"/>
                <w:lang w:val="en-CA"/>
              </w:rPr>
              <w:t>Public Health Act</w:t>
            </w:r>
            <w:r w:rsidRPr="00F06D6F">
              <w:rPr>
                <w:bCs/>
                <w:color w:val="212529"/>
                <w:sz w:val="20"/>
                <w:lang w:val="en-CA"/>
              </w:rPr>
              <w:t>, CQLR, c. S-2.2 (PHA). Following that declaration, and until the</w:t>
            </w:r>
            <w:r w:rsidRPr="00F06D6F">
              <w:rPr>
                <w:bCs/>
                <w:i/>
                <w:color w:val="212529"/>
                <w:sz w:val="20"/>
                <w:lang w:val="en-CA"/>
              </w:rPr>
              <w:t xml:space="preserve"> Act to terminate the public health emergency while maintaining transitional measures necessary to protect the health of the population</w:t>
            </w:r>
            <w:r w:rsidRPr="00F06D6F">
              <w:rPr>
                <w:bCs/>
                <w:color w:val="212529"/>
                <w:sz w:val="20"/>
                <w:lang w:val="en-CA"/>
              </w:rPr>
              <w:t xml:space="preserve">, S.Q. 2022, c. 15, was assented to on June 1, </w:t>
            </w:r>
            <w:r w:rsidRPr="00F06D6F">
              <w:rPr>
                <w:sz w:val="20"/>
                <w:lang w:val="en-CA"/>
              </w:rPr>
              <w:t xml:space="preserve">2022, the emergency was renewed every 6 to 10 days under s. 119 of the PHA. In August 2020, the applicant, Stanislas Bricka, filed an application for judicial review </w:t>
            </w:r>
            <w:r w:rsidRPr="00F06D6F">
              <w:rPr>
                <w:sz w:val="20"/>
                <w:lang w:val="en-CA"/>
              </w:rPr>
              <w:lastRenderedPageBreak/>
              <w:t>[</w:t>
            </w:r>
            <w:r w:rsidRPr="00F06D6F">
              <w:rPr>
                <w:smallCaps/>
                <w:sz w:val="20"/>
                <w:lang w:val="en-CA"/>
              </w:rPr>
              <w:t>translation</w:t>
            </w:r>
            <w:r w:rsidRPr="00F06D6F">
              <w:rPr>
                <w:rFonts w:asciiTheme="minorBidi" w:hAnsiTheme="minorBidi"/>
                <w:sz w:val="20"/>
                <w:lang w:val="en-CA"/>
              </w:rPr>
              <w:t xml:space="preserve">] </w:t>
            </w:r>
            <w:r w:rsidRPr="00F06D6F">
              <w:rPr>
                <w:sz w:val="20"/>
                <w:lang w:val="en-CA"/>
              </w:rPr>
              <w:t>“for a declaration that orders in council are invalid and for a declaratory judgment”. More specifically, the applicant sought a declaration that Order in Council 204-2021 of March 10, 2021, which concerned the renewal of the public health emergency, was invalid and inoperative. In the alternative, he sought a declaration that the penal provisions of s. 139 of the PHA did not apply to the regulatory measures adopted by the government, the Minister of Health or the Public Health Director in relation to the renewal of the public health emergency. The Superior Court dismissed the application for judicial review, and the Court of Appeal dismissed the appeal.</w:t>
            </w:r>
          </w:p>
          <w:p w:rsidR="0098091F" w:rsidRPr="00F06D6F" w:rsidRDefault="0098091F" w:rsidP="0098091F">
            <w:pPr>
              <w:jc w:val="both"/>
              <w:rPr>
                <w:sz w:val="20"/>
                <w:lang w:val="en-CA"/>
              </w:rPr>
            </w:pPr>
          </w:p>
        </w:tc>
      </w:tr>
      <w:tr w:rsidR="0098091F" w:rsidRPr="00F06D6F">
        <w:tc>
          <w:tcPr>
            <w:tcW w:w="2427" w:type="pct"/>
            <w:gridSpan w:val="2"/>
          </w:tcPr>
          <w:p w:rsidR="0098091F" w:rsidRPr="00F06D6F" w:rsidRDefault="0098091F" w:rsidP="0098091F">
            <w:pPr>
              <w:jc w:val="both"/>
              <w:rPr>
                <w:sz w:val="20"/>
                <w:lang w:val="en-CA"/>
              </w:rPr>
            </w:pPr>
            <w:r w:rsidRPr="00F06D6F">
              <w:rPr>
                <w:sz w:val="20"/>
                <w:lang w:val="en-CA"/>
              </w:rPr>
              <w:lastRenderedPageBreak/>
              <w:t>April 8, 2021</w:t>
            </w:r>
          </w:p>
          <w:p w:rsidR="0098091F" w:rsidRPr="00F06D6F" w:rsidRDefault="0098091F" w:rsidP="0098091F">
            <w:pPr>
              <w:jc w:val="both"/>
              <w:rPr>
                <w:sz w:val="20"/>
                <w:lang w:val="en-CA"/>
              </w:rPr>
            </w:pPr>
            <w:r w:rsidRPr="00F06D6F">
              <w:rPr>
                <w:sz w:val="20"/>
                <w:lang w:val="en-CA"/>
              </w:rPr>
              <w:t>Quebec Superior Court</w:t>
            </w:r>
          </w:p>
          <w:p w:rsidR="0098091F" w:rsidRPr="00F06D6F" w:rsidRDefault="0098091F" w:rsidP="0098091F">
            <w:pPr>
              <w:jc w:val="both"/>
              <w:rPr>
                <w:sz w:val="20"/>
                <w:lang w:val="en-CA"/>
              </w:rPr>
            </w:pPr>
            <w:r w:rsidRPr="00F06D6F">
              <w:rPr>
                <w:sz w:val="20"/>
                <w:lang w:val="en-CA"/>
              </w:rPr>
              <w:t>(Riordan J.)</w:t>
            </w:r>
          </w:p>
          <w:p w:rsidR="0098091F" w:rsidRPr="00F06D6F" w:rsidRDefault="00442B76" w:rsidP="0098091F">
            <w:pPr>
              <w:jc w:val="both"/>
              <w:rPr>
                <w:sz w:val="20"/>
                <w:lang w:val="en-CA" w:eastAsia="en-CA"/>
              </w:rPr>
            </w:pPr>
            <w:hyperlink r:id="rId34" w:history="1">
              <w:r w:rsidR="0098091F" w:rsidRPr="00F06D6F">
                <w:rPr>
                  <w:color w:val="0000FF" w:themeColor="hyperlink"/>
                  <w:sz w:val="20"/>
                  <w:u w:val="single"/>
                  <w:lang w:val="en-CA" w:eastAsia="en-CA"/>
                </w:rPr>
                <w:t>2021 QCCS 1245</w:t>
              </w:r>
            </w:hyperlink>
          </w:p>
          <w:p w:rsidR="0098091F" w:rsidRPr="00F06D6F" w:rsidRDefault="0098091F" w:rsidP="0098091F">
            <w:pPr>
              <w:jc w:val="both"/>
              <w:rPr>
                <w:sz w:val="20"/>
                <w:lang w:val="en-CA"/>
              </w:rPr>
            </w:pPr>
          </w:p>
        </w:tc>
        <w:tc>
          <w:tcPr>
            <w:tcW w:w="243" w:type="pct"/>
          </w:tcPr>
          <w:p w:rsidR="0098091F" w:rsidRPr="00F06D6F" w:rsidRDefault="0098091F" w:rsidP="0098091F">
            <w:pPr>
              <w:jc w:val="both"/>
              <w:rPr>
                <w:sz w:val="20"/>
                <w:lang w:val="en-CA"/>
              </w:rPr>
            </w:pPr>
          </w:p>
        </w:tc>
        <w:tc>
          <w:tcPr>
            <w:tcW w:w="2330" w:type="pct"/>
          </w:tcPr>
          <w:p w:rsidR="0098091F" w:rsidRPr="00F06D6F" w:rsidRDefault="0098091F" w:rsidP="0098091F">
            <w:pPr>
              <w:jc w:val="both"/>
              <w:rPr>
                <w:sz w:val="20"/>
                <w:lang w:val="en-CA"/>
              </w:rPr>
            </w:pPr>
            <w:r w:rsidRPr="00F06D6F">
              <w:rPr>
                <w:sz w:val="20"/>
                <w:lang w:val="en-CA"/>
              </w:rPr>
              <w:t>Application for judicial review dismissed</w:t>
            </w:r>
          </w:p>
          <w:p w:rsidR="0098091F" w:rsidRPr="00F06D6F" w:rsidRDefault="0098091F" w:rsidP="0098091F">
            <w:pPr>
              <w:jc w:val="both"/>
              <w:rPr>
                <w:sz w:val="20"/>
                <w:lang w:val="en-CA"/>
              </w:rPr>
            </w:pPr>
          </w:p>
        </w:tc>
      </w:tr>
      <w:tr w:rsidR="0098091F" w:rsidRPr="00F06D6F">
        <w:tc>
          <w:tcPr>
            <w:tcW w:w="2427" w:type="pct"/>
            <w:gridSpan w:val="2"/>
          </w:tcPr>
          <w:p w:rsidR="0098091F" w:rsidRPr="00F06D6F" w:rsidRDefault="0098091F" w:rsidP="0098091F">
            <w:pPr>
              <w:jc w:val="both"/>
              <w:rPr>
                <w:sz w:val="20"/>
                <w:lang w:val="en-CA"/>
              </w:rPr>
            </w:pPr>
            <w:r w:rsidRPr="00F06D6F">
              <w:rPr>
                <w:sz w:val="20"/>
                <w:lang w:val="en-CA"/>
              </w:rPr>
              <w:t>January 21, 2022</w:t>
            </w:r>
          </w:p>
          <w:p w:rsidR="0098091F" w:rsidRPr="00F06D6F" w:rsidRDefault="0098091F" w:rsidP="0098091F">
            <w:pPr>
              <w:jc w:val="both"/>
              <w:rPr>
                <w:sz w:val="20"/>
                <w:lang w:val="en-CA"/>
              </w:rPr>
            </w:pPr>
            <w:r w:rsidRPr="00F06D6F">
              <w:rPr>
                <w:sz w:val="20"/>
                <w:lang w:val="en-CA"/>
              </w:rPr>
              <w:t>Quebec Court of Appeal (Montréal)</w:t>
            </w:r>
          </w:p>
          <w:p w:rsidR="0098091F" w:rsidRPr="00F06D6F" w:rsidRDefault="0098091F" w:rsidP="0098091F">
            <w:pPr>
              <w:jc w:val="both"/>
              <w:rPr>
                <w:sz w:val="20"/>
                <w:lang w:val="en-CA"/>
              </w:rPr>
            </w:pPr>
            <w:r w:rsidRPr="00F06D6F">
              <w:rPr>
                <w:sz w:val="20"/>
                <w:lang w:val="en-CA"/>
              </w:rPr>
              <w:t>(Morissette, Dutil and Hogue JJ.A.)</w:t>
            </w:r>
          </w:p>
          <w:p w:rsidR="0098091F" w:rsidRPr="00F06D6F" w:rsidRDefault="00442B76" w:rsidP="0098091F">
            <w:pPr>
              <w:jc w:val="both"/>
              <w:rPr>
                <w:sz w:val="20"/>
                <w:lang w:val="en-CA"/>
              </w:rPr>
            </w:pPr>
            <w:hyperlink r:id="rId35" w:history="1">
              <w:r w:rsidR="0098091F" w:rsidRPr="00F06D6F">
                <w:rPr>
                  <w:rStyle w:val="Hyperlink"/>
                  <w:sz w:val="20"/>
                  <w:lang w:val="en-CA"/>
                </w:rPr>
                <w:t>2022 QCCA 85</w:t>
              </w:r>
            </w:hyperlink>
          </w:p>
          <w:p w:rsidR="0098091F" w:rsidRPr="00F06D6F" w:rsidRDefault="0098091F" w:rsidP="0098091F">
            <w:pPr>
              <w:jc w:val="both"/>
              <w:rPr>
                <w:sz w:val="20"/>
                <w:lang w:val="en-CA"/>
              </w:rPr>
            </w:pPr>
          </w:p>
        </w:tc>
        <w:tc>
          <w:tcPr>
            <w:tcW w:w="243" w:type="pct"/>
          </w:tcPr>
          <w:p w:rsidR="0098091F" w:rsidRPr="00F06D6F" w:rsidRDefault="0098091F" w:rsidP="0098091F">
            <w:pPr>
              <w:jc w:val="both"/>
              <w:rPr>
                <w:sz w:val="20"/>
                <w:lang w:val="en-CA"/>
              </w:rPr>
            </w:pPr>
          </w:p>
        </w:tc>
        <w:tc>
          <w:tcPr>
            <w:tcW w:w="2330" w:type="pct"/>
          </w:tcPr>
          <w:p w:rsidR="0098091F" w:rsidRPr="00F06D6F" w:rsidRDefault="0098091F" w:rsidP="0098091F">
            <w:pPr>
              <w:jc w:val="both"/>
              <w:rPr>
                <w:sz w:val="20"/>
                <w:lang w:val="en-CA"/>
              </w:rPr>
            </w:pPr>
            <w:r w:rsidRPr="00F06D6F">
              <w:rPr>
                <w:sz w:val="20"/>
                <w:lang w:val="en-CA"/>
              </w:rPr>
              <w:t>Appeal dismissed</w:t>
            </w:r>
          </w:p>
          <w:p w:rsidR="0098091F" w:rsidRPr="00F06D6F" w:rsidRDefault="0098091F" w:rsidP="0098091F">
            <w:pPr>
              <w:jc w:val="both"/>
              <w:rPr>
                <w:sz w:val="20"/>
                <w:lang w:val="en-CA"/>
              </w:rPr>
            </w:pPr>
          </w:p>
        </w:tc>
      </w:tr>
      <w:tr w:rsidR="0098091F" w:rsidRPr="00F06D6F">
        <w:tc>
          <w:tcPr>
            <w:tcW w:w="2427" w:type="pct"/>
            <w:gridSpan w:val="2"/>
          </w:tcPr>
          <w:p w:rsidR="0098091F" w:rsidRPr="00F06D6F" w:rsidRDefault="0098091F" w:rsidP="0098091F">
            <w:pPr>
              <w:jc w:val="both"/>
              <w:rPr>
                <w:sz w:val="20"/>
                <w:lang w:val="en-CA"/>
              </w:rPr>
            </w:pPr>
            <w:r w:rsidRPr="00F06D6F">
              <w:rPr>
                <w:sz w:val="20"/>
                <w:lang w:val="en-CA"/>
              </w:rPr>
              <w:t>March 21, 2022</w:t>
            </w:r>
          </w:p>
          <w:p w:rsidR="0098091F" w:rsidRPr="00F06D6F" w:rsidRDefault="0098091F" w:rsidP="0098091F">
            <w:pPr>
              <w:jc w:val="both"/>
              <w:rPr>
                <w:sz w:val="20"/>
                <w:lang w:val="en-CA"/>
              </w:rPr>
            </w:pPr>
            <w:r w:rsidRPr="00F06D6F">
              <w:rPr>
                <w:sz w:val="20"/>
                <w:lang w:val="en-CA"/>
              </w:rPr>
              <w:t>Supreme Court of Canada</w:t>
            </w:r>
          </w:p>
        </w:tc>
        <w:tc>
          <w:tcPr>
            <w:tcW w:w="243" w:type="pct"/>
          </w:tcPr>
          <w:p w:rsidR="0098091F" w:rsidRPr="00F06D6F" w:rsidRDefault="0098091F" w:rsidP="0098091F">
            <w:pPr>
              <w:jc w:val="both"/>
              <w:rPr>
                <w:sz w:val="20"/>
                <w:lang w:val="en-CA"/>
              </w:rPr>
            </w:pPr>
          </w:p>
        </w:tc>
        <w:tc>
          <w:tcPr>
            <w:tcW w:w="2330" w:type="pct"/>
          </w:tcPr>
          <w:p w:rsidR="0098091F" w:rsidRPr="00F06D6F" w:rsidRDefault="0098091F" w:rsidP="0098091F">
            <w:pPr>
              <w:jc w:val="both"/>
              <w:rPr>
                <w:sz w:val="20"/>
                <w:lang w:val="en-CA"/>
              </w:rPr>
            </w:pPr>
            <w:r w:rsidRPr="00F06D6F">
              <w:rPr>
                <w:sz w:val="20"/>
                <w:lang w:val="en-CA"/>
              </w:rPr>
              <w:t>Application for leave to appeal filed</w:t>
            </w:r>
          </w:p>
          <w:p w:rsidR="0098091F" w:rsidRPr="00F06D6F" w:rsidRDefault="0098091F" w:rsidP="0098091F">
            <w:pPr>
              <w:jc w:val="both"/>
              <w:rPr>
                <w:sz w:val="20"/>
                <w:lang w:val="en-CA"/>
              </w:rPr>
            </w:pPr>
          </w:p>
        </w:tc>
      </w:tr>
    </w:tbl>
    <w:p w:rsidR="0098091F" w:rsidRPr="00F06D6F" w:rsidRDefault="0098091F" w:rsidP="0098091F">
      <w:pPr>
        <w:jc w:val="both"/>
        <w:rPr>
          <w:sz w:val="20"/>
          <w:lang w:val="en-CA"/>
        </w:rPr>
      </w:pPr>
    </w:p>
    <w:p w:rsidR="0098091F" w:rsidRPr="00F06D6F" w:rsidRDefault="00442B76" w:rsidP="0098091F">
      <w:pPr>
        <w:jc w:val="both"/>
        <w:rPr>
          <w:sz w:val="20"/>
          <w:lang w:val="en-CA"/>
        </w:rPr>
      </w:pPr>
      <w:r>
        <w:rPr>
          <w:sz w:val="20"/>
        </w:rPr>
        <w:pict>
          <v:rect id="_x0000_i1035" style="width:2in;height:1pt" o:hrpct="0" o:hralign="center" o:hrstd="t" o:hrnoshade="t" o:hr="t" fillcolor="black [3213]" stroked="f"/>
        </w:pict>
      </w:r>
    </w:p>
    <w:p w:rsidR="0098091F" w:rsidRPr="00F06D6F" w:rsidRDefault="0098091F" w:rsidP="0098091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091F" w:rsidRPr="00F06D6F">
        <w:tc>
          <w:tcPr>
            <w:tcW w:w="543" w:type="pct"/>
          </w:tcPr>
          <w:p w:rsidR="0098091F" w:rsidRPr="00F06D6F" w:rsidRDefault="0098091F" w:rsidP="0098091F">
            <w:pPr>
              <w:jc w:val="both"/>
              <w:rPr>
                <w:sz w:val="20"/>
              </w:rPr>
            </w:pPr>
            <w:r w:rsidRPr="00F06D6F">
              <w:rPr>
                <w:rStyle w:val="SCCFileNumberChar"/>
                <w:sz w:val="20"/>
                <w:szCs w:val="20"/>
              </w:rPr>
              <w:t>40102</w:t>
            </w:r>
          </w:p>
        </w:tc>
        <w:tc>
          <w:tcPr>
            <w:tcW w:w="4457" w:type="pct"/>
            <w:gridSpan w:val="3"/>
          </w:tcPr>
          <w:p w:rsidR="0098091F" w:rsidRPr="00F06D6F" w:rsidRDefault="0098091F" w:rsidP="0098091F">
            <w:pPr>
              <w:pStyle w:val="SCCLsocParty"/>
              <w:jc w:val="both"/>
              <w:rPr>
                <w:b/>
                <w:sz w:val="20"/>
                <w:szCs w:val="20"/>
              </w:rPr>
            </w:pPr>
            <w:r w:rsidRPr="00F06D6F">
              <w:rPr>
                <w:b/>
                <w:sz w:val="20"/>
                <w:szCs w:val="20"/>
              </w:rPr>
              <w:t>Stanislas Bricka c. Procureur général du Québec</w:t>
            </w:r>
          </w:p>
          <w:p w:rsidR="0098091F" w:rsidRPr="00F06D6F" w:rsidRDefault="0098091F" w:rsidP="0098091F">
            <w:pPr>
              <w:jc w:val="both"/>
              <w:rPr>
                <w:sz w:val="20"/>
              </w:rPr>
            </w:pPr>
            <w:r w:rsidRPr="00F06D6F">
              <w:rPr>
                <w:sz w:val="20"/>
              </w:rPr>
              <w:t>(Qc) (Civile) (Autorisation)</w:t>
            </w:r>
          </w:p>
        </w:tc>
      </w:tr>
      <w:tr w:rsidR="0098091F" w:rsidRPr="00F06D6F">
        <w:tc>
          <w:tcPr>
            <w:tcW w:w="5000" w:type="pct"/>
            <w:gridSpan w:val="4"/>
          </w:tcPr>
          <w:p w:rsidR="0098091F" w:rsidRPr="00F06D6F" w:rsidRDefault="0098091F" w:rsidP="0098091F">
            <w:pPr>
              <w:jc w:val="both"/>
              <w:rPr>
                <w:sz w:val="20"/>
              </w:rPr>
            </w:pPr>
            <w:r w:rsidRPr="00F06D6F">
              <w:rPr>
                <w:sz w:val="20"/>
                <w:lang w:val="fr-CA"/>
              </w:rPr>
              <w:t xml:space="preserve">Droit administratif </w:t>
            </w:r>
            <w:r w:rsidRPr="00F06D6F">
              <w:rPr>
                <w:sz w:val="20"/>
              </w:rPr>
              <w:t>⸺</w:t>
            </w:r>
            <w:r w:rsidRPr="00F06D6F">
              <w:rPr>
                <w:sz w:val="20"/>
                <w:lang w:val="fr-CA"/>
              </w:rPr>
              <w:t xml:space="preserve"> Contrôle judiciaire </w:t>
            </w:r>
            <w:r w:rsidRPr="00F06D6F">
              <w:rPr>
                <w:sz w:val="20"/>
              </w:rPr>
              <w:t>⸺</w:t>
            </w:r>
            <w:r w:rsidRPr="00F06D6F">
              <w:rPr>
                <w:sz w:val="20"/>
                <w:lang w:val="fr-CA"/>
              </w:rPr>
              <w:t xml:space="preserve"> Contrôle de l’exercice d’un pouvoir législatif délégué à l’exécutif </w:t>
            </w:r>
            <w:r w:rsidRPr="00F06D6F">
              <w:rPr>
                <w:sz w:val="20"/>
              </w:rPr>
              <w:t>⸺</w:t>
            </w:r>
            <w:r w:rsidRPr="00F06D6F">
              <w:rPr>
                <w:sz w:val="20"/>
                <w:lang w:val="fr-CA"/>
              </w:rPr>
              <w:t xml:space="preserve"> Demande de déclaration d’invalidité de décrets concernant le renouvellement de l’état d’urgence sanitaire en raison de la pandémie de la COVID-19 </w:t>
            </w:r>
            <w:r w:rsidRPr="00F06D6F">
              <w:rPr>
                <w:sz w:val="20"/>
              </w:rPr>
              <w:t>⸺</w:t>
            </w:r>
            <w:r w:rsidRPr="00F06D6F">
              <w:rPr>
                <w:sz w:val="20"/>
                <w:lang w:val="fr-CA"/>
              </w:rPr>
              <w:t xml:space="preserve"> Les décrets renouvelant l’état d’urgence sont-ils ultra vires des pouvoirs du gouvernement? </w:t>
            </w:r>
            <w:r w:rsidRPr="00F06D6F">
              <w:rPr>
                <w:sz w:val="20"/>
              </w:rPr>
              <w:t>⸺</w:t>
            </w:r>
            <w:r w:rsidRPr="00F06D6F">
              <w:rPr>
                <w:sz w:val="20"/>
                <w:lang w:val="fr-CA"/>
              </w:rPr>
              <w:t xml:space="preserve"> Le gouvernement est-il investi, en cas d’état d’urgence, du pouvoir de créer de nouvelles infractions pénales réglementaires? </w:t>
            </w:r>
            <w:r w:rsidRPr="00F06D6F">
              <w:rPr>
                <w:sz w:val="20"/>
              </w:rPr>
              <w:t xml:space="preserve">⸺ </w:t>
            </w:r>
            <w:r w:rsidRPr="00F06D6F">
              <w:rPr>
                <w:bCs/>
                <w:i/>
                <w:color w:val="212529"/>
                <w:sz w:val="20"/>
              </w:rPr>
              <w:t>Loi sur la santé publique</w:t>
            </w:r>
            <w:r w:rsidRPr="00F06D6F">
              <w:rPr>
                <w:bCs/>
                <w:color w:val="212529"/>
                <w:sz w:val="20"/>
              </w:rPr>
              <w:t>, RLRQ c S-2.2, art. 119, 139.</w:t>
            </w:r>
          </w:p>
        </w:tc>
      </w:tr>
      <w:tr w:rsidR="0098091F" w:rsidRPr="00F06D6F">
        <w:tc>
          <w:tcPr>
            <w:tcW w:w="5000" w:type="pct"/>
            <w:gridSpan w:val="4"/>
          </w:tcPr>
          <w:p w:rsidR="0098091F" w:rsidRPr="00F06D6F" w:rsidRDefault="0098091F" w:rsidP="0098091F">
            <w:pPr>
              <w:jc w:val="both"/>
              <w:rPr>
                <w:sz w:val="20"/>
              </w:rPr>
            </w:pPr>
          </w:p>
        </w:tc>
      </w:tr>
      <w:tr w:rsidR="0098091F" w:rsidRPr="00442B76">
        <w:tc>
          <w:tcPr>
            <w:tcW w:w="5000" w:type="pct"/>
            <w:gridSpan w:val="4"/>
          </w:tcPr>
          <w:p w:rsidR="0098091F" w:rsidRPr="00F06D6F" w:rsidRDefault="0098091F" w:rsidP="0098091F">
            <w:pPr>
              <w:jc w:val="both"/>
              <w:rPr>
                <w:sz w:val="20"/>
                <w:lang w:val="fr-CA"/>
              </w:rPr>
            </w:pPr>
            <w:r w:rsidRPr="00F06D6F">
              <w:rPr>
                <w:sz w:val="20"/>
                <w:lang w:val="fr-CA"/>
              </w:rPr>
              <w:t xml:space="preserve">Le 13 mars 2020, le Gouvernement du Québec a déclaré l’état d’urgence sanitaire sur tout le territoire pour une durée de 10 jours en vertu de l’art. 118 de la </w:t>
            </w:r>
            <w:r w:rsidRPr="00F06D6F">
              <w:rPr>
                <w:bCs/>
                <w:i/>
                <w:color w:val="212529"/>
                <w:sz w:val="20"/>
                <w:lang w:val="fr-CA"/>
              </w:rPr>
              <w:t>Loi sur la santé publique</w:t>
            </w:r>
            <w:r w:rsidRPr="00F06D6F">
              <w:rPr>
                <w:bCs/>
                <w:color w:val="212529"/>
                <w:sz w:val="20"/>
                <w:lang w:val="fr-CA"/>
              </w:rPr>
              <w:t xml:space="preserve">, RLRQ c S-2.2 (LSP). Depuis cette déclaration, et ce, jusqu’à la sanction de la </w:t>
            </w:r>
            <w:r w:rsidRPr="00F06D6F">
              <w:rPr>
                <w:bCs/>
                <w:i/>
                <w:color w:val="212529"/>
                <w:sz w:val="20"/>
                <w:lang w:val="fr-CA"/>
              </w:rPr>
              <w:t>Loi visant à mettre fin à l’état d’urgence sanitaire tout en prévoyant le maintien de mesures transitoires nécessaires pour protéger la santé de la population</w:t>
            </w:r>
            <w:r w:rsidRPr="00F06D6F">
              <w:rPr>
                <w:bCs/>
                <w:color w:val="212529"/>
                <w:sz w:val="20"/>
                <w:lang w:val="fr-CA"/>
              </w:rPr>
              <w:t>, L.Q. 2022, c 15, le 1</w:t>
            </w:r>
            <w:r w:rsidRPr="00F06D6F">
              <w:rPr>
                <w:bCs/>
                <w:color w:val="212529"/>
                <w:sz w:val="20"/>
                <w:vertAlign w:val="superscript"/>
                <w:lang w:val="fr-CA"/>
              </w:rPr>
              <w:t xml:space="preserve">er </w:t>
            </w:r>
            <w:r w:rsidRPr="00F06D6F">
              <w:rPr>
                <w:sz w:val="20"/>
                <w:lang w:val="fr-CA"/>
              </w:rPr>
              <w:t>juin 2022, cet état d’urgence a été renouvelé tous les six à dix jours en vertu de l’art. 119 de la LSP. Le demandeur, M. Stanislas Bricka a déposé en août 2020 un pourvoi en contrôle judiciaire « pour déclaration d’invalidité de décrets gouvernementaux et pour jugement déclaratoire. » Plus spécifiquement, le demandeur cherche à faire déclarer invalide et inopérant le décret 204-2021 du 10 mars 2021 concernant le renouvellement de l’état d’urgence sanitaire et subsidiairement, à faire déclarer que les dispositions pénales prévues à l’art. 139 de la LSP ne s’appliquent pas aux mesures réglementaires adoptées par le Gouvernement, le ministre de la Santé ou le directeur de la Santé publique concernant le renouvellement de l’état d’urgence sanitaire. La Cour supérieure a rejeté le pourvoi en contrôle judiciaire et la Cour d’appel a rejeté l’appel.</w:t>
            </w:r>
          </w:p>
          <w:p w:rsidR="0098091F" w:rsidRPr="00F06D6F" w:rsidRDefault="0098091F" w:rsidP="0098091F">
            <w:pPr>
              <w:jc w:val="both"/>
              <w:rPr>
                <w:sz w:val="20"/>
                <w:lang w:val="fr-CA"/>
              </w:rPr>
            </w:pPr>
          </w:p>
        </w:tc>
      </w:tr>
      <w:tr w:rsidR="0098091F" w:rsidRPr="00442B76">
        <w:tc>
          <w:tcPr>
            <w:tcW w:w="2427" w:type="pct"/>
            <w:gridSpan w:val="2"/>
          </w:tcPr>
          <w:p w:rsidR="0098091F" w:rsidRPr="00F06D6F" w:rsidRDefault="0098091F" w:rsidP="0098091F">
            <w:pPr>
              <w:jc w:val="both"/>
              <w:rPr>
                <w:sz w:val="20"/>
                <w:lang w:val="fr-CA"/>
              </w:rPr>
            </w:pPr>
            <w:r w:rsidRPr="00F06D6F">
              <w:rPr>
                <w:sz w:val="20"/>
                <w:lang w:val="fr-CA"/>
              </w:rPr>
              <w:t>Le 8 avril 2021</w:t>
            </w:r>
          </w:p>
          <w:p w:rsidR="0098091F" w:rsidRPr="00F06D6F" w:rsidRDefault="0098091F" w:rsidP="0098091F">
            <w:pPr>
              <w:jc w:val="both"/>
              <w:rPr>
                <w:sz w:val="20"/>
                <w:lang w:val="fr-CA"/>
              </w:rPr>
            </w:pPr>
            <w:r w:rsidRPr="00F06D6F">
              <w:rPr>
                <w:sz w:val="20"/>
                <w:lang w:val="fr-CA"/>
              </w:rPr>
              <w:t>Cour supérieure du Québec</w:t>
            </w:r>
          </w:p>
          <w:p w:rsidR="0098091F" w:rsidRPr="00F06D6F" w:rsidRDefault="0098091F" w:rsidP="0098091F">
            <w:pPr>
              <w:jc w:val="both"/>
              <w:rPr>
                <w:sz w:val="20"/>
              </w:rPr>
            </w:pPr>
            <w:r w:rsidRPr="00F06D6F">
              <w:rPr>
                <w:sz w:val="20"/>
              </w:rPr>
              <w:t>(Le juge Riordan)</w:t>
            </w:r>
          </w:p>
          <w:p w:rsidR="0098091F" w:rsidRPr="00F06D6F" w:rsidRDefault="00442B76" w:rsidP="0098091F">
            <w:pPr>
              <w:jc w:val="both"/>
              <w:rPr>
                <w:sz w:val="20"/>
                <w:lang w:eastAsia="en-CA"/>
              </w:rPr>
            </w:pPr>
            <w:hyperlink r:id="rId36" w:history="1">
              <w:r w:rsidR="0098091F" w:rsidRPr="00F06D6F">
                <w:rPr>
                  <w:color w:val="0000FF" w:themeColor="hyperlink"/>
                  <w:sz w:val="20"/>
                  <w:u w:val="single"/>
                  <w:lang w:eastAsia="en-CA"/>
                </w:rPr>
                <w:t>2021 QCCS 1245</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lang w:val="fr-CA"/>
              </w:rPr>
            </w:pPr>
            <w:r w:rsidRPr="00F06D6F">
              <w:rPr>
                <w:sz w:val="20"/>
                <w:lang w:val="fr-CA"/>
              </w:rPr>
              <w:t>Pourvoi en contrôle judiciaire rejeté.</w:t>
            </w:r>
          </w:p>
          <w:p w:rsidR="0098091F" w:rsidRPr="00F06D6F" w:rsidRDefault="0098091F" w:rsidP="0098091F">
            <w:pPr>
              <w:jc w:val="both"/>
              <w:rPr>
                <w:sz w:val="20"/>
                <w:lang w:val="fr-CA"/>
              </w:rPr>
            </w:pPr>
          </w:p>
        </w:tc>
      </w:tr>
      <w:tr w:rsidR="0098091F" w:rsidRPr="00F06D6F">
        <w:tc>
          <w:tcPr>
            <w:tcW w:w="2427" w:type="pct"/>
            <w:gridSpan w:val="2"/>
          </w:tcPr>
          <w:p w:rsidR="0098091F" w:rsidRPr="00F06D6F" w:rsidRDefault="0098091F" w:rsidP="0098091F">
            <w:pPr>
              <w:jc w:val="both"/>
              <w:rPr>
                <w:sz w:val="20"/>
                <w:lang w:val="fr-CA"/>
              </w:rPr>
            </w:pPr>
            <w:r w:rsidRPr="00F06D6F">
              <w:rPr>
                <w:sz w:val="20"/>
                <w:lang w:val="fr-CA"/>
              </w:rPr>
              <w:t>Le 21 janvier 2022</w:t>
            </w:r>
          </w:p>
          <w:p w:rsidR="0098091F" w:rsidRPr="00F06D6F" w:rsidRDefault="0098091F" w:rsidP="0098091F">
            <w:pPr>
              <w:jc w:val="both"/>
              <w:rPr>
                <w:sz w:val="20"/>
                <w:lang w:val="fr-CA"/>
              </w:rPr>
            </w:pPr>
            <w:r w:rsidRPr="00F06D6F">
              <w:rPr>
                <w:sz w:val="20"/>
                <w:lang w:val="fr-CA"/>
              </w:rPr>
              <w:t>Cour d’appel du Québec (Montréal)</w:t>
            </w:r>
          </w:p>
          <w:p w:rsidR="0098091F" w:rsidRPr="00F06D6F" w:rsidRDefault="0098091F" w:rsidP="0098091F">
            <w:pPr>
              <w:jc w:val="both"/>
              <w:rPr>
                <w:sz w:val="20"/>
                <w:lang w:val="fr-CA"/>
              </w:rPr>
            </w:pPr>
            <w:r w:rsidRPr="00F06D6F">
              <w:rPr>
                <w:sz w:val="20"/>
                <w:lang w:val="fr-CA"/>
              </w:rPr>
              <w:t>(Les juges Morissette, Dutil et Hogue)</w:t>
            </w:r>
          </w:p>
          <w:p w:rsidR="0098091F" w:rsidRPr="00F06D6F" w:rsidRDefault="00442B76" w:rsidP="0098091F">
            <w:pPr>
              <w:jc w:val="both"/>
              <w:rPr>
                <w:sz w:val="20"/>
              </w:rPr>
            </w:pPr>
            <w:hyperlink r:id="rId37" w:history="1">
              <w:r w:rsidR="0098091F" w:rsidRPr="00F06D6F">
                <w:rPr>
                  <w:rStyle w:val="Hyperlink"/>
                  <w:sz w:val="20"/>
                </w:rPr>
                <w:t>2022 QCCA 85</w:t>
              </w:r>
            </w:hyperlink>
          </w:p>
          <w:p w:rsidR="0098091F" w:rsidRPr="00F06D6F" w:rsidRDefault="0098091F" w:rsidP="0098091F">
            <w:pPr>
              <w:jc w:val="both"/>
              <w:rPr>
                <w:sz w:val="20"/>
              </w:rPr>
            </w:pPr>
          </w:p>
        </w:tc>
        <w:tc>
          <w:tcPr>
            <w:tcW w:w="243" w:type="pct"/>
          </w:tcPr>
          <w:p w:rsidR="0098091F" w:rsidRPr="00F06D6F" w:rsidRDefault="0098091F" w:rsidP="0098091F">
            <w:pPr>
              <w:jc w:val="both"/>
              <w:rPr>
                <w:sz w:val="20"/>
              </w:rPr>
            </w:pPr>
          </w:p>
        </w:tc>
        <w:tc>
          <w:tcPr>
            <w:tcW w:w="2330" w:type="pct"/>
          </w:tcPr>
          <w:p w:rsidR="0098091F" w:rsidRPr="00F06D6F" w:rsidRDefault="0098091F" w:rsidP="0098091F">
            <w:pPr>
              <w:jc w:val="both"/>
              <w:rPr>
                <w:sz w:val="20"/>
              </w:rPr>
            </w:pPr>
            <w:r w:rsidRPr="00F06D6F">
              <w:rPr>
                <w:sz w:val="20"/>
              </w:rPr>
              <w:t>Appel rejeté.</w:t>
            </w:r>
          </w:p>
          <w:p w:rsidR="0098091F" w:rsidRPr="00F06D6F" w:rsidRDefault="0098091F" w:rsidP="0098091F">
            <w:pPr>
              <w:jc w:val="both"/>
              <w:rPr>
                <w:sz w:val="20"/>
              </w:rPr>
            </w:pPr>
          </w:p>
        </w:tc>
      </w:tr>
      <w:tr w:rsidR="0098091F" w:rsidRPr="00F06D6F">
        <w:tc>
          <w:tcPr>
            <w:tcW w:w="2427" w:type="pct"/>
            <w:gridSpan w:val="2"/>
          </w:tcPr>
          <w:p w:rsidR="0098091F" w:rsidRPr="00F06D6F" w:rsidRDefault="0098091F" w:rsidP="0098091F">
            <w:pPr>
              <w:jc w:val="both"/>
              <w:rPr>
                <w:sz w:val="20"/>
                <w:lang w:val="fr-CA"/>
              </w:rPr>
            </w:pPr>
            <w:r w:rsidRPr="00F06D6F">
              <w:rPr>
                <w:sz w:val="20"/>
                <w:lang w:val="fr-CA"/>
              </w:rPr>
              <w:t>Le 21 mars 2022</w:t>
            </w:r>
          </w:p>
          <w:p w:rsidR="0098091F" w:rsidRPr="00F06D6F" w:rsidRDefault="0098091F" w:rsidP="0098091F">
            <w:pPr>
              <w:jc w:val="both"/>
              <w:rPr>
                <w:sz w:val="20"/>
                <w:lang w:val="fr-CA"/>
              </w:rPr>
            </w:pPr>
            <w:r w:rsidRPr="00F06D6F">
              <w:rPr>
                <w:sz w:val="20"/>
                <w:lang w:val="fr-CA"/>
              </w:rPr>
              <w:t>Cour suprême du Canada</w:t>
            </w:r>
          </w:p>
        </w:tc>
        <w:tc>
          <w:tcPr>
            <w:tcW w:w="243" w:type="pct"/>
          </w:tcPr>
          <w:p w:rsidR="0098091F" w:rsidRPr="00F06D6F" w:rsidRDefault="0098091F" w:rsidP="0098091F">
            <w:pPr>
              <w:jc w:val="both"/>
              <w:rPr>
                <w:sz w:val="20"/>
                <w:lang w:val="fr-CA"/>
              </w:rPr>
            </w:pPr>
          </w:p>
        </w:tc>
        <w:tc>
          <w:tcPr>
            <w:tcW w:w="2330" w:type="pct"/>
          </w:tcPr>
          <w:p w:rsidR="0098091F" w:rsidRPr="00F06D6F" w:rsidRDefault="0098091F" w:rsidP="0098091F">
            <w:pPr>
              <w:jc w:val="both"/>
              <w:rPr>
                <w:sz w:val="20"/>
              </w:rPr>
            </w:pPr>
            <w:r w:rsidRPr="00F06D6F">
              <w:rPr>
                <w:sz w:val="20"/>
              </w:rPr>
              <w:t>Demande d'autorisation d'appel déposée</w:t>
            </w:r>
          </w:p>
          <w:p w:rsidR="0098091F" w:rsidRPr="00F06D6F" w:rsidRDefault="0098091F" w:rsidP="0098091F">
            <w:pPr>
              <w:jc w:val="both"/>
              <w:rPr>
                <w:sz w:val="20"/>
              </w:rPr>
            </w:pPr>
          </w:p>
        </w:tc>
      </w:tr>
    </w:tbl>
    <w:p w:rsidR="0098091F" w:rsidRPr="00F06D6F" w:rsidRDefault="0098091F" w:rsidP="0098091F">
      <w:pPr>
        <w:jc w:val="both"/>
        <w:rPr>
          <w:sz w:val="20"/>
        </w:rPr>
      </w:pPr>
    </w:p>
    <w:p w:rsidR="0098091F" w:rsidRPr="00F06D6F" w:rsidRDefault="00442B76" w:rsidP="007446F4">
      <w:pPr>
        <w:widowControl w:val="0"/>
        <w:jc w:val="both"/>
        <w:rPr>
          <w:sz w:val="20"/>
          <w:lang w:val="fr-CA"/>
        </w:rPr>
      </w:pPr>
      <w:r>
        <w:rPr>
          <w:sz w:val="20"/>
        </w:rPr>
        <w:pict>
          <v:rect id="_x0000_i1036" style="width:2in;height:1pt" o:hrpct="0" o:hralign="center" o:hrstd="t" o:hrnoshade="t" o:hr="t" fillcolor="black [3213]" stroked="f"/>
        </w:pict>
      </w:r>
    </w:p>
    <w:p w:rsidR="0098091F" w:rsidRPr="00F06D6F" w:rsidRDefault="0098091F" w:rsidP="007446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rPr>
            </w:pPr>
            <w:r w:rsidRPr="00F06D6F">
              <w:rPr>
                <w:rStyle w:val="SCCFileNumberChar"/>
                <w:sz w:val="20"/>
                <w:szCs w:val="20"/>
              </w:rPr>
              <w:t>40095</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Her Majesty the Queen v. Christopher James Kruk</w:t>
            </w:r>
          </w:p>
          <w:p w:rsidR="00D732B0" w:rsidRPr="00F06D6F" w:rsidRDefault="00D732B0" w:rsidP="00D732B0">
            <w:pPr>
              <w:jc w:val="both"/>
              <w:rPr>
                <w:sz w:val="20"/>
              </w:rPr>
            </w:pPr>
            <w:r w:rsidRPr="00F06D6F">
              <w:rPr>
                <w:sz w:val="20"/>
              </w:rPr>
              <w:t>(B.C.) (Criminal) (By Leave)</w:t>
            </w:r>
          </w:p>
        </w:tc>
      </w:tr>
      <w:tr w:rsidR="00D732B0" w:rsidRPr="00F06D6F" w:rsidTr="00D732B0">
        <w:tc>
          <w:tcPr>
            <w:tcW w:w="5000" w:type="pct"/>
            <w:gridSpan w:val="4"/>
          </w:tcPr>
          <w:p w:rsidR="00D732B0" w:rsidRPr="00F06D6F" w:rsidRDefault="00D732B0" w:rsidP="00D732B0">
            <w:pPr>
              <w:pStyle w:val="SCCBanSummary"/>
              <w:rPr>
                <w:sz w:val="20"/>
                <w:szCs w:val="20"/>
              </w:rPr>
            </w:pPr>
            <w:r w:rsidRPr="00F06D6F">
              <w:rPr>
                <w:sz w:val="20"/>
                <w:szCs w:val="20"/>
              </w:rPr>
              <w:t>(Publication ban in case)</w:t>
            </w:r>
          </w:p>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sz w:val="20"/>
              </w:rPr>
              <w:t>Criminal law — Trial — Judgments — Sexual assault — Whether the Court of Appeal erred in concluding the trial judge impermissibly relied upon speculative reasoning in assessing the complainant’s reliability — Whether the error committed by the Court of Appeal in this case raises two related issues of public importance: (1) whether credibility-based sexual assault prosecutions involving intoxication or other reliability concerns attract heightened evidentiary requirements; and (2) what principles govern when distinguishing between legitimate inferences and speculation.</w:t>
            </w:r>
          </w:p>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color w:val="000000"/>
                <w:sz w:val="20"/>
              </w:rPr>
              <w:t>The complainant was intoxicated, and eventually passed out or fell asleep in the respondent’s bedroom. She testified that she woke up to find the respondent on top of her with his penis inside her vagina. The respondent denied having sex with the complainant.</w:t>
            </w:r>
            <w:r w:rsidRPr="00F06D6F">
              <w:rPr>
                <w:sz w:val="20"/>
              </w:rPr>
              <w:t xml:space="preserve"> The respondent was convicted of sexual assault. The Court of Appeal allowed the respondent’s appeal, set aside the conviction, and ordered a new trial.</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March 12, 2020</w:t>
            </w:r>
          </w:p>
          <w:p w:rsidR="00D732B0" w:rsidRPr="00F06D6F" w:rsidRDefault="00D732B0" w:rsidP="00D732B0">
            <w:pPr>
              <w:jc w:val="both"/>
              <w:rPr>
                <w:sz w:val="20"/>
              </w:rPr>
            </w:pPr>
            <w:r w:rsidRPr="00F06D6F">
              <w:rPr>
                <w:sz w:val="20"/>
              </w:rPr>
              <w:t>Supreme Court of British Columbia</w:t>
            </w:r>
          </w:p>
          <w:p w:rsidR="00D732B0" w:rsidRPr="00F06D6F" w:rsidRDefault="00D732B0" w:rsidP="00D732B0">
            <w:pPr>
              <w:jc w:val="both"/>
              <w:rPr>
                <w:sz w:val="20"/>
              </w:rPr>
            </w:pPr>
            <w:r w:rsidRPr="00F06D6F">
              <w:rPr>
                <w:sz w:val="20"/>
              </w:rPr>
              <w:t>(Tammen J.)</w:t>
            </w:r>
          </w:p>
          <w:p w:rsidR="00D732B0" w:rsidRPr="00F06D6F" w:rsidRDefault="00442B76" w:rsidP="00D732B0">
            <w:pPr>
              <w:jc w:val="both"/>
              <w:rPr>
                <w:sz w:val="20"/>
              </w:rPr>
            </w:pPr>
            <w:hyperlink r:id="rId38" w:history="1">
              <w:r w:rsidR="00D732B0" w:rsidRPr="00F06D6F">
                <w:rPr>
                  <w:rStyle w:val="Hyperlink"/>
                  <w:sz w:val="20"/>
                </w:rPr>
                <w:t>2020 BCSC 1480</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Conviction entered: sexual assault</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20, 2022</w:t>
            </w:r>
          </w:p>
          <w:p w:rsidR="00D732B0" w:rsidRPr="00F06D6F" w:rsidRDefault="00D732B0" w:rsidP="00D732B0">
            <w:pPr>
              <w:jc w:val="both"/>
              <w:rPr>
                <w:sz w:val="20"/>
              </w:rPr>
            </w:pPr>
            <w:r w:rsidRPr="00F06D6F">
              <w:rPr>
                <w:sz w:val="20"/>
              </w:rPr>
              <w:t xml:space="preserve">Court of Appeal for British Columbia </w:t>
            </w:r>
          </w:p>
          <w:p w:rsidR="00D732B0" w:rsidRPr="00F06D6F" w:rsidRDefault="00D732B0" w:rsidP="00D732B0">
            <w:pPr>
              <w:jc w:val="both"/>
              <w:rPr>
                <w:sz w:val="20"/>
              </w:rPr>
            </w:pPr>
            <w:r w:rsidRPr="00F06D6F">
              <w:rPr>
                <w:sz w:val="20"/>
              </w:rPr>
              <w:t>(Vancouver)</w:t>
            </w:r>
          </w:p>
          <w:p w:rsidR="00D732B0" w:rsidRPr="00F06D6F" w:rsidRDefault="00D732B0" w:rsidP="00D732B0">
            <w:pPr>
              <w:jc w:val="both"/>
              <w:rPr>
                <w:sz w:val="20"/>
              </w:rPr>
            </w:pPr>
            <w:r w:rsidRPr="00F06D6F">
              <w:rPr>
                <w:sz w:val="20"/>
              </w:rPr>
              <w:t>(Tysoe, Stromberg-Stein, Marchand JJ.A.)</w:t>
            </w:r>
          </w:p>
          <w:p w:rsidR="00D732B0" w:rsidRPr="00F06D6F" w:rsidRDefault="00D732B0" w:rsidP="00D732B0">
            <w:pPr>
              <w:jc w:val="both"/>
              <w:rPr>
                <w:sz w:val="20"/>
              </w:rPr>
            </w:pPr>
            <w:r w:rsidRPr="00F06D6F">
              <w:rPr>
                <w:sz w:val="20"/>
              </w:rPr>
              <w:t xml:space="preserve">CA47187; </w:t>
            </w:r>
            <w:hyperlink r:id="rId39" w:history="1">
              <w:r w:rsidRPr="00F06D6F">
                <w:rPr>
                  <w:rStyle w:val="Hyperlink"/>
                  <w:sz w:val="20"/>
                </w:rPr>
                <w:t>2022 BCCA 18</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Appeal allowed: conviction set aside, new trial ordered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March 21,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D732B0" w:rsidRPr="00F06D6F" w:rsidRDefault="00442B76" w:rsidP="00D732B0">
      <w:pPr>
        <w:jc w:val="both"/>
        <w:rPr>
          <w:sz w:val="20"/>
        </w:rPr>
      </w:pPr>
      <w:r>
        <w:rPr>
          <w:sz w:val="20"/>
        </w:rPr>
        <w:pict>
          <v:rect id="_x0000_i1037" style="width:2in;height:1pt" o:hrpct="0" o:hralign="center" o:hrstd="t" o:hrnoshade="t" o:hr="t" fillcolor="black [3213]" stroked="f"/>
        </w:pict>
      </w:r>
    </w:p>
    <w:p w:rsidR="00D732B0" w:rsidRPr="00F06D6F" w:rsidRDefault="00D732B0"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442B76" w:rsidTr="00D732B0">
        <w:tc>
          <w:tcPr>
            <w:tcW w:w="543" w:type="pct"/>
          </w:tcPr>
          <w:p w:rsidR="00D732B0" w:rsidRPr="00F06D6F" w:rsidRDefault="00D732B0" w:rsidP="00D732B0">
            <w:pPr>
              <w:jc w:val="both"/>
              <w:rPr>
                <w:sz w:val="20"/>
                <w:lang w:val="fr-CA"/>
              </w:rPr>
            </w:pPr>
            <w:r w:rsidRPr="00F06D6F">
              <w:rPr>
                <w:rStyle w:val="SCCFileNumberChar"/>
                <w:sz w:val="20"/>
                <w:szCs w:val="20"/>
                <w:lang w:val="fr-CA"/>
              </w:rPr>
              <w:t>40095</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Sa Majesté la Reine c. Christopher James Kruk</w:t>
            </w:r>
          </w:p>
          <w:p w:rsidR="00D732B0" w:rsidRPr="00F06D6F" w:rsidRDefault="00D732B0" w:rsidP="008614A3">
            <w:pPr>
              <w:jc w:val="both"/>
              <w:rPr>
                <w:sz w:val="20"/>
                <w:lang w:val="fr-CA"/>
              </w:rPr>
            </w:pPr>
            <w:r w:rsidRPr="00F06D6F">
              <w:rPr>
                <w:sz w:val="20"/>
                <w:lang w:val="fr-CA"/>
              </w:rPr>
              <w:t>(C.-B.) (</w:t>
            </w:r>
            <w:r w:rsidR="008614A3" w:rsidRPr="00F06D6F">
              <w:rPr>
                <w:sz w:val="20"/>
                <w:lang w:val="fr-CA"/>
              </w:rPr>
              <w:t>C</w:t>
            </w:r>
            <w:r w:rsidRPr="00F06D6F">
              <w:rPr>
                <w:sz w:val="20"/>
                <w:lang w:val="fr-CA"/>
              </w:rPr>
              <w:t>riminelle) (</w:t>
            </w:r>
            <w:r w:rsidR="008614A3" w:rsidRPr="00F06D6F">
              <w:rPr>
                <w:sz w:val="20"/>
                <w:lang w:val="fr-CA"/>
              </w:rPr>
              <w:t>S</w:t>
            </w:r>
            <w:r w:rsidRPr="00F06D6F">
              <w:rPr>
                <w:sz w:val="20"/>
                <w:lang w:val="fr-CA"/>
              </w:rPr>
              <w:t>ur autorisation)</w:t>
            </w:r>
          </w:p>
        </w:tc>
      </w:tr>
      <w:tr w:rsidR="00D732B0" w:rsidRPr="00442B76" w:rsidTr="00D732B0">
        <w:tc>
          <w:tcPr>
            <w:tcW w:w="5000" w:type="pct"/>
            <w:gridSpan w:val="4"/>
          </w:tcPr>
          <w:p w:rsidR="00D732B0" w:rsidRPr="00F06D6F" w:rsidRDefault="00D732B0" w:rsidP="00D732B0">
            <w:pPr>
              <w:pStyle w:val="SCCBanSummary"/>
              <w:rPr>
                <w:sz w:val="20"/>
                <w:szCs w:val="20"/>
                <w:lang w:val="fr-CA"/>
              </w:rPr>
            </w:pPr>
            <w:r w:rsidRPr="00F06D6F">
              <w:rPr>
                <w:sz w:val="20"/>
                <w:szCs w:val="20"/>
                <w:lang w:val="fr-CA"/>
              </w:rPr>
              <w:t>(Interdiction de publication au dossier)</w:t>
            </w:r>
          </w:p>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D732B0">
            <w:pPr>
              <w:jc w:val="both"/>
              <w:rPr>
                <w:sz w:val="20"/>
                <w:lang w:val="fr-CA"/>
              </w:rPr>
            </w:pPr>
            <w:r w:rsidRPr="00F06D6F">
              <w:rPr>
                <w:sz w:val="20"/>
                <w:lang w:val="fr-CA"/>
              </w:rPr>
              <w:t>Droit criminel — Procès — Jugements — Agression sexuelle — La Cour d’appel a-t-elle commis une erreur en concluant que le juge du procès s’était indûment fondé sur un raisonnement conjectural lorsqu’il a évalué la fiabilité de la plaignante ? — L’erreur commise par la Cour d’appel dans cette affaire soulève-t-elle deux questions reliées qui sont d’importance pour le public, à savoir : (1) les poursuites pour agression sexuelle fondées sur la crédibilité qui mettent en cause l’intoxication ou d’autres préoccupations quant à la fiabilité donnent-elles lieu à des exigences plus élevées en matière de preuve; et (2) quels principes s’appliquent lorsqu’il s’agit de distinguer entre des inférences légitimes et des hypothèses ?</w:t>
            </w:r>
          </w:p>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D732B0">
            <w:pPr>
              <w:jc w:val="both"/>
              <w:rPr>
                <w:sz w:val="20"/>
                <w:lang w:val="fr-CA"/>
              </w:rPr>
            </w:pPr>
            <w:r w:rsidRPr="00F06D6F">
              <w:rPr>
                <w:color w:val="000000"/>
                <w:sz w:val="20"/>
                <w:lang w:val="fr-CA"/>
              </w:rPr>
              <w:t>La plaignante, qui était en état d’ébriété, a fini par perdre connaissance ou tomber endormie dans la chambre à coucher de l’intimé. Elle a témoigné qu’elle s’est réveillée pour constater que l’intimé était au-dessus d’elle et qu’il avait son pénis dans son vagin. L’intimé a nié avoir eu des relations sexuelles avec la plaignante.</w:t>
            </w:r>
            <w:r w:rsidRPr="00F06D6F">
              <w:rPr>
                <w:sz w:val="20"/>
                <w:lang w:val="fr-CA"/>
              </w:rPr>
              <w:t xml:space="preserve"> L’intimé a été déclaré coupable d’agression sexuelle. La Cour d’appel a accueilli l’appel de l’intimé, a annulé la déclaration de culpabilité et a ordonné la tenue d’un nouveau procès.</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12 mars 2020</w:t>
            </w:r>
          </w:p>
          <w:p w:rsidR="00D732B0" w:rsidRPr="00F06D6F" w:rsidRDefault="00D732B0" w:rsidP="00D732B0">
            <w:pPr>
              <w:jc w:val="both"/>
              <w:rPr>
                <w:sz w:val="20"/>
                <w:lang w:val="fr-CA"/>
              </w:rPr>
            </w:pPr>
            <w:r w:rsidRPr="00F06D6F">
              <w:rPr>
                <w:sz w:val="20"/>
                <w:lang w:val="fr-CA"/>
              </w:rPr>
              <w:t>Cour suprême de la Colombie-Britannique</w:t>
            </w:r>
          </w:p>
          <w:p w:rsidR="00D732B0" w:rsidRPr="00F06D6F" w:rsidRDefault="00D732B0" w:rsidP="00D732B0">
            <w:pPr>
              <w:jc w:val="both"/>
              <w:rPr>
                <w:sz w:val="20"/>
                <w:lang w:val="fr-CA"/>
              </w:rPr>
            </w:pPr>
            <w:r w:rsidRPr="00F06D6F">
              <w:rPr>
                <w:sz w:val="20"/>
                <w:lang w:val="fr-CA"/>
              </w:rPr>
              <w:t>(juge Tammen)</w:t>
            </w:r>
          </w:p>
          <w:p w:rsidR="00D732B0" w:rsidRPr="00F06D6F" w:rsidRDefault="00442B76" w:rsidP="00D732B0">
            <w:pPr>
              <w:jc w:val="both"/>
              <w:rPr>
                <w:sz w:val="20"/>
                <w:lang w:val="fr-CA"/>
              </w:rPr>
            </w:pPr>
            <w:hyperlink r:id="rId40" w:history="1">
              <w:r w:rsidR="00D732B0" w:rsidRPr="00F06D6F">
                <w:rPr>
                  <w:rStyle w:val="Hyperlink"/>
                  <w:sz w:val="20"/>
                  <w:lang w:val="fr-CA"/>
                </w:rPr>
                <w:t>2020 BCSC 1480</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déclaration de culpabilité pour agression sexuelle est prononcée.</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20 janvier 2022</w:t>
            </w:r>
          </w:p>
          <w:p w:rsidR="00D732B0" w:rsidRPr="00F06D6F" w:rsidRDefault="00D732B0" w:rsidP="00D732B0">
            <w:pPr>
              <w:jc w:val="both"/>
              <w:rPr>
                <w:sz w:val="20"/>
                <w:lang w:val="fr-CA"/>
              </w:rPr>
            </w:pPr>
            <w:r w:rsidRPr="00F06D6F">
              <w:rPr>
                <w:sz w:val="20"/>
                <w:lang w:val="fr-CA"/>
              </w:rPr>
              <w:t xml:space="preserve">Cour d’appel de la Colombie-Britannique </w:t>
            </w:r>
          </w:p>
          <w:p w:rsidR="00D732B0" w:rsidRPr="00F06D6F" w:rsidRDefault="00D732B0" w:rsidP="00D732B0">
            <w:pPr>
              <w:jc w:val="both"/>
              <w:rPr>
                <w:sz w:val="20"/>
                <w:lang w:val="fr-CA"/>
              </w:rPr>
            </w:pPr>
            <w:r w:rsidRPr="00F06D6F">
              <w:rPr>
                <w:sz w:val="20"/>
                <w:lang w:val="fr-CA"/>
              </w:rPr>
              <w:t>(Vancouver)</w:t>
            </w:r>
          </w:p>
          <w:p w:rsidR="00D732B0" w:rsidRPr="00F06D6F" w:rsidRDefault="00D732B0" w:rsidP="00D732B0">
            <w:pPr>
              <w:jc w:val="both"/>
              <w:rPr>
                <w:sz w:val="20"/>
                <w:lang w:val="fr-CA"/>
              </w:rPr>
            </w:pPr>
            <w:r w:rsidRPr="00F06D6F">
              <w:rPr>
                <w:sz w:val="20"/>
                <w:lang w:val="fr-CA"/>
              </w:rPr>
              <w:t>(juges Tysoe, Stromberg-Stein, Marchand)</w:t>
            </w:r>
          </w:p>
          <w:p w:rsidR="00D732B0" w:rsidRPr="00F06D6F" w:rsidRDefault="00D732B0" w:rsidP="00D732B0">
            <w:pPr>
              <w:jc w:val="both"/>
              <w:rPr>
                <w:sz w:val="20"/>
                <w:lang w:val="fr-CA"/>
              </w:rPr>
            </w:pPr>
            <w:r w:rsidRPr="00F06D6F">
              <w:rPr>
                <w:sz w:val="20"/>
                <w:lang w:val="fr-CA"/>
              </w:rPr>
              <w:t xml:space="preserve">CA47187; </w:t>
            </w:r>
            <w:hyperlink r:id="rId41" w:history="1">
              <w:r w:rsidRPr="00F06D6F">
                <w:rPr>
                  <w:rStyle w:val="Hyperlink"/>
                  <w:sz w:val="20"/>
                  <w:lang w:val="fr-CA"/>
                </w:rPr>
                <w:t>2022 BCCA 18</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L’appel est accueilli : la déclaration de culpabilité est annulée, la tenue d’un nouveau procès est ordonnée.</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21 mars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d’appel est présentée.</w:t>
            </w:r>
          </w:p>
          <w:p w:rsidR="00D732B0" w:rsidRPr="00F06D6F" w:rsidRDefault="00D732B0" w:rsidP="00D732B0">
            <w:pPr>
              <w:jc w:val="both"/>
              <w:rPr>
                <w:sz w:val="20"/>
                <w:lang w:val="fr-CA"/>
              </w:rPr>
            </w:pPr>
          </w:p>
        </w:tc>
      </w:tr>
    </w:tbl>
    <w:p w:rsidR="00D732B0" w:rsidRPr="00F06D6F" w:rsidRDefault="00D732B0" w:rsidP="00D732B0">
      <w:pPr>
        <w:jc w:val="both"/>
        <w:rPr>
          <w:sz w:val="20"/>
          <w:lang w:val="fr-CA"/>
        </w:rPr>
      </w:pPr>
    </w:p>
    <w:p w:rsidR="0098091F" w:rsidRPr="00F06D6F" w:rsidRDefault="00442B76" w:rsidP="00D732B0">
      <w:pPr>
        <w:widowControl w:val="0"/>
        <w:jc w:val="both"/>
        <w:rPr>
          <w:sz w:val="20"/>
          <w:lang w:val="fr-CA"/>
        </w:rPr>
      </w:pPr>
      <w:r>
        <w:rPr>
          <w:sz w:val="20"/>
        </w:rPr>
        <w:pict>
          <v:rect id="_x0000_i1038" style="width:2in;height:1pt" o:hrpct="0" o:hralign="center" o:hrstd="t" o:hrnoshade="t" o:hr="t" fillcolor="black [3213]" stroked="f"/>
        </w:pict>
      </w:r>
    </w:p>
    <w:p w:rsidR="0098091F" w:rsidRPr="00F06D6F" w:rsidRDefault="0098091F" w:rsidP="00D732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rPr>
            </w:pPr>
            <w:r w:rsidRPr="00F06D6F">
              <w:rPr>
                <w:rStyle w:val="SCCFileNumberChar"/>
                <w:sz w:val="20"/>
                <w:szCs w:val="20"/>
              </w:rPr>
              <w:t>40055</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Panagiotis Pavlakidis v. Georgia Pavlakidis</w:t>
            </w:r>
          </w:p>
          <w:p w:rsidR="00D732B0" w:rsidRPr="00F06D6F" w:rsidRDefault="00D732B0" w:rsidP="00D732B0">
            <w:pPr>
              <w:jc w:val="both"/>
              <w:rPr>
                <w:sz w:val="20"/>
              </w:rPr>
            </w:pPr>
            <w:r w:rsidRPr="00F06D6F">
              <w:rPr>
                <w:sz w:val="20"/>
              </w:rPr>
              <w:t>(Que.) (Civil) (By Leave)</w:t>
            </w:r>
          </w:p>
        </w:tc>
      </w:tr>
      <w:tr w:rsidR="00D732B0" w:rsidRPr="00F06D6F" w:rsidTr="00D732B0">
        <w:tc>
          <w:tcPr>
            <w:tcW w:w="5000" w:type="pct"/>
            <w:gridSpan w:val="4"/>
          </w:tcPr>
          <w:p w:rsidR="00D732B0" w:rsidRPr="00F06D6F" w:rsidRDefault="00D732B0" w:rsidP="00D732B0">
            <w:pPr>
              <w:jc w:val="both"/>
              <w:rPr>
                <w:sz w:val="20"/>
              </w:rPr>
            </w:pPr>
            <w:r w:rsidRPr="00F06D6F">
              <w:rPr>
                <w:sz w:val="20"/>
              </w:rPr>
              <w:t>Property — Undivided co</w:t>
            </w:r>
            <w:r w:rsidRPr="00F06D6F">
              <w:rPr>
                <w:sz w:val="20"/>
              </w:rPr>
              <w:noBreakHyphen/>
              <w:t xml:space="preserve">ownership — Partition — Immovable — Successions — Wills —Whether, by interpreting the validity and enforcement of a testamentary bequest of an immovable on the basis of its conformity with municipal zoning and construction bylaws, the court has substantially diminished the widest freedom of testation and ownership, both fundamental rights enjoyed under the </w:t>
            </w:r>
            <w:r w:rsidRPr="00F06D6F">
              <w:rPr>
                <w:i/>
                <w:sz w:val="20"/>
              </w:rPr>
              <w:t>Civil Code of Quebec</w:t>
            </w:r>
            <w:r w:rsidRPr="00F06D6F">
              <w:rPr>
                <w:sz w:val="20"/>
              </w:rPr>
              <w:t xml:space="preserve"> — Whether, in so doing the court has redefined the question of ‘convenience’ to suit the remedy of partition.</w:t>
            </w:r>
          </w:p>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pStyle w:val="paragraphe"/>
              <w:spacing w:before="0" w:beforeAutospacing="0" w:after="0" w:afterAutospacing="0"/>
              <w:jc w:val="both"/>
              <w:rPr>
                <w:sz w:val="20"/>
                <w:szCs w:val="20"/>
              </w:rPr>
            </w:pPr>
            <w:bookmarkStart w:id="1" w:name="par1"/>
            <w:r w:rsidRPr="00F06D6F">
              <w:rPr>
                <w:color w:val="000000"/>
                <w:sz w:val="20"/>
                <w:szCs w:val="20"/>
              </w:rPr>
              <w:t xml:space="preserve">The applicant, Panagiotis Pavlakidis, and the respondent, </w:t>
            </w:r>
            <w:r w:rsidRPr="00F06D6F">
              <w:rPr>
                <w:sz w:val="20"/>
                <w:szCs w:val="20"/>
              </w:rPr>
              <w:t>Georgia Pavlakidis, are siblings. In 2002, their mother passed away. In her Will, she declared the siblings the sole universal legatees in equal shares of the residue of her property, which included an immovable made up of two buildings and a garage. The Will also set out legacies by particular title bequeathing one building to each sibling.</w:t>
            </w:r>
          </w:p>
          <w:p w:rsidR="00D732B0" w:rsidRPr="00F06D6F" w:rsidRDefault="00D732B0" w:rsidP="00D732B0">
            <w:pPr>
              <w:pStyle w:val="paragraphe"/>
              <w:spacing w:before="0" w:beforeAutospacing="0" w:after="0" w:afterAutospacing="0"/>
              <w:jc w:val="both"/>
              <w:rPr>
                <w:sz w:val="20"/>
                <w:szCs w:val="20"/>
              </w:rPr>
            </w:pPr>
          </w:p>
          <w:p w:rsidR="00D732B0" w:rsidRPr="00F06D6F" w:rsidRDefault="00D732B0" w:rsidP="00D732B0">
            <w:pPr>
              <w:pStyle w:val="paragraphe"/>
              <w:spacing w:before="0" w:beforeAutospacing="0" w:after="0" w:afterAutospacing="0"/>
              <w:jc w:val="both"/>
              <w:rPr>
                <w:sz w:val="20"/>
                <w:szCs w:val="20"/>
              </w:rPr>
            </w:pPr>
            <w:r w:rsidRPr="00F06D6F">
              <w:rPr>
                <w:color w:val="000000"/>
                <w:sz w:val="20"/>
                <w:szCs w:val="20"/>
              </w:rPr>
              <w:t>In the years following their mother’s death, the relationship between the siblings became acrimonious. In 2016, the respondent instituted proceedings against the applicant, seeking an order for the partition and sale under judicial authority of the immovable. The applicant filed a cross</w:t>
            </w:r>
            <w:r w:rsidRPr="00F06D6F">
              <w:rPr>
                <w:color w:val="000000"/>
                <w:sz w:val="20"/>
                <w:szCs w:val="20"/>
              </w:rPr>
              <w:noBreakHyphen/>
              <w:t xml:space="preserve">application </w:t>
            </w:r>
            <w:r w:rsidRPr="00F06D6F">
              <w:rPr>
                <w:sz w:val="20"/>
                <w:szCs w:val="20"/>
              </w:rPr>
              <w:t>opposing a partition giving rise to a sale under judicial authority and seeking instead a declaration that he is the sole owner of one building and an order for the partition of the lot.</w:t>
            </w:r>
          </w:p>
          <w:p w:rsidR="00D732B0" w:rsidRPr="00F06D6F" w:rsidRDefault="00D732B0" w:rsidP="00D732B0">
            <w:pPr>
              <w:pStyle w:val="paragraphe"/>
              <w:spacing w:before="0" w:beforeAutospacing="0" w:after="0" w:afterAutospacing="0"/>
              <w:jc w:val="both"/>
              <w:rPr>
                <w:sz w:val="20"/>
                <w:szCs w:val="20"/>
              </w:rPr>
            </w:pPr>
          </w:p>
          <w:p w:rsidR="00D732B0" w:rsidRPr="00F06D6F" w:rsidRDefault="00D732B0" w:rsidP="00D732B0">
            <w:pPr>
              <w:jc w:val="both"/>
              <w:rPr>
                <w:sz w:val="20"/>
              </w:rPr>
            </w:pPr>
            <w:r w:rsidRPr="00F06D6F">
              <w:rPr>
                <w:sz w:val="20"/>
              </w:rPr>
              <w:t>The Quebec Superior Court allowed the respondent’s action, dismissed the applicant’s cross</w:t>
            </w:r>
            <w:r w:rsidRPr="00F06D6F">
              <w:rPr>
                <w:sz w:val="20"/>
              </w:rPr>
              <w:noBreakHyphen/>
              <w:t>application, declared the termination of the undivided co</w:t>
            </w:r>
            <w:r w:rsidRPr="00F06D6F">
              <w:rPr>
                <w:sz w:val="20"/>
              </w:rPr>
              <w:noBreakHyphen/>
              <w:t xml:space="preserve">ownership of the immovable property and ordered its sale by agreement under judicial authority. The Court of Appeal unanimously dismissed the applicant’s appeal from that decision. </w:t>
            </w:r>
            <w:bookmarkEnd w:id="1"/>
          </w:p>
        </w:tc>
      </w:tr>
      <w:tr w:rsidR="00D732B0" w:rsidRPr="00F06D6F" w:rsidTr="00D732B0">
        <w:tc>
          <w:tcPr>
            <w:tcW w:w="5000" w:type="pct"/>
            <w:gridSpan w:val="4"/>
          </w:tcPr>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December 17, 2020</w:t>
            </w:r>
          </w:p>
          <w:p w:rsidR="00D732B0" w:rsidRPr="00F06D6F" w:rsidRDefault="00D732B0" w:rsidP="00D732B0">
            <w:pPr>
              <w:jc w:val="both"/>
              <w:rPr>
                <w:sz w:val="20"/>
              </w:rPr>
            </w:pPr>
            <w:r w:rsidRPr="00F06D6F">
              <w:rPr>
                <w:sz w:val="20"/>
              </w:rPr>
              <w:t>Superior Court of Quebec</w:t>
            </w:r>
          </w:p>
          <w:p w:rsidR="00D732B0" w:rsidRPr="00F06D6F" w:rsidRDefault="00D732B0" w:rsidP="00D732B0">
            <w:pPr>
              <w:jc w:val="both"/>
              <w:rPr>
                <w:sz w:val="20"/>
              </w:rPr>
            </w:pPr>
            <w:r w:rsidRPr="00F06D6F">
              <w:rPr>
                <w:sz w:val="20"/>
              </w:rPr>
              <w:t>(Perreault J.)</w:t>
            </w:r>
          </w:p>
          <w:p w:rsidR="00D732B0" w:rsidRPr="00F06D6F" w:rsidRDefault="00442B76" w:rsidP="00D732B0">
            <w:pPr>
              <w:jc w:val="both"/>
              <w:rPr>
                <w:sz w:val="20"/>
              </w:rPr>
            </w:pPr>
            <w:hyperlink r:id="rId42" w:history="1">
              <w:r w:rsidR="00D732B0" w:rsidRPr="00F06D6F">
                <w:rPr>
                  <w:rStyle w:val="Hyperlink"/>
                  <w:sz w:val="20"/>
                </w:rPr>
                <w:t>2020 QCCS 4387</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Respondent’s application allowed; cross-application dismissed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December 8, 2021</w:t>
            </w:r>
          </w:p>
          <w:p w:rsidR="00D732B0" w:rsidRPr="00F06D6F" w:rsidRDefault="00D732B0" w:rsidP="00D732B0">
            <w:pPr>
              <w:jc w:val="both"/>
              <w:rPr>
                <w:sz w:val="20"/>
              </w:rPr>
            </w:pPr>
            <w:r w:rsidRPr="00F06D6F">
              <w:rPr>
                <w:sz w:val="20"/>
              </w:rPr>
              <w:t>Court of Appeal of Quebec (Montréal)</w:t>
            </w:r>
          </w:p>
          <w:p w:rsidR="00D732B0" w:rsidRPr="00F06D6F" w:rsidRDefault="00D732B0" w:rsidP="00D732B0">
            <w:pPr>
              <w:jc w:val="both"/>
              <w:rPr>
                <w:sz w:val="20"/>
              </w:rPr>
            </w:pPr>
            <w:r w:rsidRPr="00F06D6F">
              <w:rPr>
                <w:sz w:val="20"/>
              </w:rPr>
              <w:t>(Pelletier, Schrager and Moore JJ.A.)</w:t>
            </w:r>
          </w:p>
          <w:p w:rsidR="00D732B0" w:rsidRPr="00F06D6F" w:rsidRDefault="00442B76" w:rsidP="00D732B0">
            <w:pPr>
              <w:jc w:val="both"/>
              <w:rPr>
                <w:sz w:val="20"/>
              </w:rPr>
            </w:pPr>
            <w:hyperlink r:id="rId43" w:history="1">
              <w:r w:rsidR="00D732B0" w:rsidRPr="00F06D6F">
                <w:rPr>
                  <w:rStyle w:val="Hyperlink"/>
                  <w:sz w:val="20"/>
                </w:rPr>
                <w:t>2021 QCCA 1872</w:t>
              </w:r>
            </w:hyperlink>
            <w:r w:rsidR="00D732B0" w:rsidRPr="00F06D6F">
              <w:rPr>
                <w:sz w:val="20"/>
              </w:rPr>
              <w:t xml:space="preserve"> </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rPr>
            </w:pPr>
            <w:r w:rsidRPr="00F06D6F">
              <w:rPr>
                <w:sz w:val="20"/>
              </w:rPr>
              <w:t>Applicant’s appeal dismissed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27,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D732B0" w:rsidRPr="00F06D6F" w:rsidRDefault="00442B76" w:rsidP="00D732B0">
      <w:pPr>
        <w:jc w:val="both"/>
        <w:rPr>
          <w:sz w:val="20"/>
        </w:rPr>
      </w:pPr>
      <w:r>
        <w:rPr>
          <w:sz w:val="20"/>
        </w:rPr>
        <w:pict>
          <v:rect id="_x0000_i1039" style="width:2in;height:1pt" o:hrpct="0" o:hralign="center" o:hrstd="t" o:hrnoshade="t" o:hr="t" fillcolor="black [3213]" stroked="f"/>
        </w:pict>
      </w:r>
    </w:p>
    <w:p w:rsidR="00D732B0" w:rsidRPr="00F06D6F" w:rsidRDefault="00D732B0"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442B76" w:rsidTr="00D732B0">
        <w:tc>
          <w:tcPr>
            <w:tcW w:w="543" w:type="pct"/>
          </w:tcPr>
          <w:p w:rsidR="00D732B0" w:rsidRPr="00F06D6F" w:rsidRDefault="00D732B0" w:rsidP="00D732B0">
            <w:pPr>
              <w:jc w:val="both"/>
              <w:rPr>
                <w:sz w:val="20"/>
                <w:lang w:val="fr-CA"/>
              </w:rPr>
            </w:pPr>
            <w:r w:rsidRPr="00F06D6F">
              <w:rPr>
                <w:rStyle w:val="SCCFileNumberChar"/>
                <w:sz w:val="20"/>
                <w:szCs w:val="20"/>
                <w:lang w:val="fr-CA"/>
              </w:rPr>
              <w:t>40055</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Panagiotis Pavlakidis c. Georgia Pavlakidis</w:t>
            </w:r>
          </w:p>
          <w:p w:rsidR="00D732B0" w:rsidRPr="00F06D6F" w:rsidRDefault="00D732B0" w:rsidP="008614A3">
            <w:pPr>
              <w:jc w:val="both"/>
              <w:rPr>
                <w:sz w:val="20"/>
                <w:lang w:val="fr-CA"/>
              </w:rPr>
            </w:pPr>
            <w:r w:rsidRPr="00F06D6F">
              <w:rPr>
                <w:sz w:val="20"/>
                <w:lang w:val="fr-CA"/>
              </w:rPr>
              <w:t>(Qc) (</w:t>
            </w:r>
            <w:r w:rsidR="008614A3" w:rsidRPr="00F06D6F">
              <w:rPr>
                <w:sz w:val="20"/>
                <w:lang w:val="fr-CA"/>
              </w:rPr>
              <w:t>C</w:t>
            </w:r>
            <w:r w:rsidRPr="00F06D6F">
              <w:rPr>
                <w:sz w:val="20"/>
                <w:lang w:val="fr-CA"/>
              </w:rPr>
              <w:t>ivile) (</w:t>
            </w:r>
            <w:r w:rsidR="008614A3" w:rsidRPr="00F06D6F">
              <w:rPr>
                <w:sz w:val="20"/>
                <w:lang w:val="fr-CA"/>
              </w:rPr>
              <w:t>S</w:t>
            </w:r>
            <w:r w:rsidRPr="00F06D6F">
              <w:rPr>
                <w:sz w:val="20"/>
                <w:lang w:val="fr-CA"/>
              </w:rPr>
              <w:t>ur autorisation)</w:t>
            </w:r>
          </w:p>
        </w:tc>
      </w:tr>
      <w:tr w:rsidR="00D732B0" w:rsidRPr="00442B76" w:rsidTr="00D732B0">
        <w:tc>
          <w:tcPr>
            <w:tcW w:w="5000" w:type="pct"/>
            <w:gridSpan w:val="4"/>
          </w:tcPr>
          <w:p w:rsidR="00D732B0" w:rsidRPr="00F06D6F" w:rsidRDefault="00D732B0" w:rsidP="00D732B0">
            <w:pPr>
              <w:jc w:val="both"/>
              <w:rPr>
                <w:sz w:val="20"/>
                <w:lang w:val="fr-CA"/>
              </w:rPr>
            </w:pPr>
            <w:r w:rsidRPr="00F06D6F">
              <w:rPr>
                <w:sz w:val="20"/>
                <w:lang w:val="fr-CA"/>
              </w:rPr>
              <w:t xml:space="preserve">Biens — Copropriété indivise — Partage — Biens immeubles — Successions — Testaments — Le tribunal, en interprétant la validité et l’exécution d’un legs testamentaire d’un bien immeuble sur la base de sa conformité avec </w:t>
            </w:r>
            <w:r w:rsidRPr="00F06D6F">
              <w:rPr>
                <w:sz w:val="20"/>
                <w:lang w:val="fr-CA"/>
              </w:rPr>
              <w:lastRenderedPageBreak/>
              <w:t>les règlements de zonage et de construction municipaux, a</w:t>
            </w:r>
            <w:r w:rsidRPr="00F06D6F">
              <w:rPr>
                <w:sz w:val="20"/>
                <w:lang w:val="fr-CA"/>
              </w:rPr>
              <w:noBreakHyphen/>
              <w:t>t</w:t>
            </w:r>
            <w:r w:rsidRPr="00F06D6F">
              <w:rPr>
                <w:sz w:val="20"/>
                <w:lang w:val="fr-CA"/>
              </w:rPr>
              <w:noBreakHyphen/>
              <w:t xml:space="preserve">il réduit de façon importante la liberté la plus étendue d’aliénation de biens par testament et de propriété, tous deux des droits fondamentaux prévus au </w:t>
            </w:r>
            <w:r w:rsidRPr="00F06D6F">
              <w:rPr>
                <w:i/>
                <w:sz w:val="20"/>
                <w:lang w:val="fr-CA"/>
              </w:rPr>
              <w:t>Code civil du Québec </w:t>
            </w:r>
            <w:r w:rsidRPr="00F06D6F">
              <w:rPr>
                <w:sz w:val="20"/>
                <w:lang w:val="fr-CA"/>
              </w:rPr>
              <w:t>? — Ce faisant, le tribunal a</w:t>
            </w:r>
            <w:r w:rsidRPr="00F06D6F">
              <w:rPr>
                <w:sz w:val="20"/>
                <w:lang w:val="fr-CA"/>
              </w:rPr>
              <w:noBreakHyphen/>
              <w:t>t</w:t>
            </w:r>
            <w:r w:rsidRPr="00F06D6F">
              <w:rPr>
                <w:sz w:val="20"/>
                <w:lang w:val="fr-CA"/>
              </w:rPr>
              <w:noBreakHyphen/>
              <w:t xml:space="preserve">il redéfini la question de « commodité » pour qu’elle convienne à la réparation que </w:t>
            </w:r>
            <w:proofErr w:type="gramStart"/>
            <w:r w:rsidRPr="00F06D6F">
              <w:rPr>
                <w:sz w:val="20"/>
                <w:lang w:val="fr-CA"/>
              </w:rPr>
              <w:t>constitue le</w:t>
            </w:r>
            <w:proofErr w:type="gramEnd"/>
            <w:r w:rsidRPr="00F06D6F">
              <w:rPr>
                <w:sz w:val="20"/>
                <w:lang w:val="fr-CA"/>
              </w:rPr>
              <w:t xml:space="preserve"> partage ?</w:t>
            </w:r>
          </w:p>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D732B0">
            <w:pPr>
              <w:pStyle w:val="paragraphe"/>
              <w:spacing w:before="0" w:beforeAutospacing="0" w:after="0" w:afterAutospacing="0"/>
              <w:jc w:val="both"/>
              <w:rPr>
                <w:sz w:val="20"/>
                <w:szCs w:val="20"/>
                <w:lang w:val="fr-CA"/>
              </w:rPr>
            </w:pPr>
            <w:r w:rsidRPr="00F06D6F">
              <w:rPr>
                <w:color w:val="000000"/>
                <w:sz w:val="20"/>
                <w:szCs w:val="20"/>
                <w:lang w:val="fr-CA"/>
              </w:rPr>
              <w:lastRenderedPageBreak/>
              <w:t xml:space="preserve">Le demandeur, Panagiotis Pavlakidis, et l’intimée, </w:t>
            </w:r>
            <w:r w:rsidRPr="00F06D6F">
              <w:rPr>
                <w:sz w:val="20"/>
                <w:szCs w:val="20"/>
                <w:lang w:val="fr-CA"/>
              </w:rPr>
              <w:t xml:space="preserve">Georgia Pavlakidis, </w:t>
            </w:r>
            <w:proofErr w:type="spellStart"/>
            <w:r w:rsidRPr="00F06D6F">
              <w:rPr>
                <w:sz w:val="20"/>
                <w:szCs w:val="20"/>
                <w:lang w:val="fr-CA"/>
              </w:rPr>
              <w:t>sont</w:t>
            </w:r>
            <w:proofErr w:type="spellEnd"/>
            <w:r w:rsidRPr="00F06D6F">
              <w:rPr>
                <w:sz w:val="20"/>
                <w:szCs w:val="20"/>
                <w:lang w:val="fr-CA"/>
              </w:rPr>
              <w:t xml:space="preserve"> frère et sœur. En 2002, leur mère est décédée. Dans son testament, elle a déclaré ces derniers les légataires universels uniques en parts égales du reliquat de ses biens, ce qui comprenait un bien immeuble composé de deux édifices et un garage. Le testament prévoyait aussi le legs aux légataires particuliers d’un édifice chacun au frère et à la sœur.</w:t>
            </w:r>
          </w:p>
          <w:p w:rsidR="00D732B0" w:rsidRPr="00F06D6F" w:rsidRDefault="00D732B0" w:rsidP="00D732B0">
            <w:pPr>
              <w:pStyle w:val="paragraphe"/>
              <w:spacing w:before="0" w:beforeAutospacing="0" w:after="0" w:afterAutospacing="0"/>
              <w:jc w:val="both"/>
              <w:rPr>
                <w:sz w:val="20"/>
                <w:szCs w:val="20"/>
                <w:lang w:val="fr-CA"/>
              </w:rPr>
            </w:pPr>
          </w:p>
          <w:p w:rsidR="00D732B0" w:rsidRPr="00F06D6F" w:rsidRDefault="00D732B0" w:rsidP="00D732B0">
            <w:pPr>
              <w:pStyle w:val="paragraphe"/>
              <w:spacing w:before="0" w:beforeAutospacing="0" w:after="0" w:afterAutospacing="0"/>
              <w:jc w:val="both"/>
              <w:rPr>
                <w:sz w:val="20"/>
                <w:szCs w:val="20"/>
                <w:lang w:val="fr-CA"/>
              </w:rPr>
            </w:pPr>
            <w:r w:rsidRPr="00F06D6F">
              <w:rPr>
                <w:color w:val="000000"/>
                <w:sz w:val="20"/>
                <w:szCs w:val="20"/>
                <w:lang w:val="fr-CA"/>
              </w:rPr>
              <w:t>Dans les années suivant la mort de leur mère, la relation entre le frère et la sœur est devenue acrimonieuse. En 2016, l’intimée a intenté une poursuite contre le demandeur, sollicitant une ordonnance pour le partage et la vente par voie judiciaire du bien immeuble. Le demandeur a présenté une demande reconventionnelle dans laquelle il conteste le partage donnant lieu à la vente du bien sous contrôle judi</w:t>
            </w:r>
            <w:r w:rsidRPr="00F06D6F">
              <w:rPr>
                <w:sz w:val="20"/>
                <w:szCs w:val="20"/>
                <w:lang w:val="fr-CA"/>
              </w:rPr>
              <w:t>ciaire, sollicitant au lieu un jugement déclarant qu’il est le propriétaire unique d’un des édifices et une ordonnance pour le partage du terrain.</w:t>
            </w:r>
          </w:p>
          <w:p w:rsidR="00D732B0" w:rsidRPr="00F06D6F" w:rsidRDefault="00D732B0" w:rsidP="00D732B0">
            <w:pPr>
              <w:pStyle w:val="paragraphe"/>
              <w:spacing w:before="0" w:beforeAutospacing="0" w:after="0" w:afterAutospacing="0"/>
              <w:jc w:val="both"/>
              <w:rPr>
                <w:sz w:val="20"/>
                <w:szCs w:val="20"/>
                <w:lang w:val="fr-CA"/>
              </w:rPr>
            </w:pPr>
          </w:p>
          <w:p w:rsidR="00D732B0" w:rsidRPr="00F06D6F" w:rsidRDefault="00D732B0" w:rsidP="00D732B0">
            <w:pPr>
              <w:jc w:val="both"/>
              <w:rPr>
                <w:sz w:val="20"/>
                <w:lang w:val="fr-CA"/>
              </w:rPr>
            </w:pPr>
            <w:r w:rsidRPr="00F06D6F">
              <w:rPr>
                <w:sz w:val="20"/>
                <w:lang w:val="fr-CA"/>
              </w:rPr>
              <w:t>La Cour supérieure du Québec a accueilli l’action de l’intimée, a rejeté</w:t>
            </w:r>
            <w:r w:rsidRPr="00F06D6F">
              <w:rPr>
                <w:color w:val="000000"/>
                <w:sz w:val="20"/>
                <w:lang w:val="fr-CA"/>
              </w:rPr>
              <w:t xml:space="preserve"> la </w:t>
            </w:r>
            <w:r w:rsidRPr="00F06D6F">
              <w:rPr>
                <w:sz w:val="20"/>
                <w:lang w:val="fr-CA"/>
              </w:rPr>
              <w:t>demande reconventionnelle du demandeur, a déclaré la résiliation de la copropriété indivise du bien immeuble et a ordonné la vente de gré à gré sous contrôle judiciaire de celui</w:t>
            </w:r>
            <w:r w:rsidRPr="00F06D6F">
              <w:rPr>
                <w:sz w:val="20"/>
                <w:lang w:val="fr-CA"/>
              </w:rPr>
              <w:noBreakHyphen/>
              <w:t xml:space="preserve">ci. La Cour d’appel a rejeté à l’unanimité l’appel formé par le demandeur contre cette décision. </w:t>
            </w:r>
          </w:p>
        </w:tc>
      </w:tr>
      <w:tr w:rsidR="00D732B0" w:rsidRPr="00442B76" w:rsidTr="00D732B0">
        <w:tc>
          <w:tcPr>
            <w:tcW w:w="5000" w:type="pct"/>
            <w:gridSpan w:val="4"/>
          </w:tcPr>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17 décembre 2020</w:t>
            </w:r>
          </w:p>
          <w:p w:rsidR="00D732B0" w:rsidRPr="00F06D6F" w:rsidRDefault="00D732B0" w:rsidP="00D732B0">
            <w:pPr>
              <w:jc w:val="both"/>
              <w:rPr>
                <w:sz w:val="20"/>
                <w:lang w:val="fr-CA"/>
              </w:rPr>
            </w:pPr>
            <w:r w:rsidRPr="00F06D6F">
              <w:rPr>
                <w:sz w:val="20"/>
                <w:lang w:val="fr-CA"/>
              </w:rPr>
              <w:t xml:space="preserve">Cour supérieure du Québec </w:t>
            </w:r>
          </w:p>
          <w:p w:rsidR="00D732B0" w:rsidRPr="00F06D6F" w:rsidRDefault="00D732B0" w:rsidP="00D732B0">
            <w:pPr>
              <w:jc w:val="both"/>
              <w:rPr>
                <w:sz w:val="20"/>
                <w:lang w:val="fr-CA"/>
              </w:rPr>
            </w:pPr>
            <w:r w:rsidRPr="00F06D6F">
              <w:rPr>
                <w:sz w:val="20"/>
                <w:lang w:val="fr-CA"/>
              </w:rPr>
              <w:t>(juge Perreault)</w:t>
            </w:r>
          </w:p>
          <w:p w:rsidR="00D732B0" w:rsidRPr="00F06D6F" w:rsidRDefault="00442B76" w:rsidP="00D732B0">
            <w:pPr>
              <w:jc w:val="both"/>
              <w:rPr>
                <w:sz w:val="20"/>
                <w:lang w:val="fr-CA"/>
              </w:rPr>
            </w:pPr>
            <w:hyperlink r:id="rId44" w:history="1">
              <w:r w:rsidR="00D732B0" w:rsidRPr="00F06D6F">
                <w:rPr>
                  <w:rStyle w:val="Hyperlink"/>
                  <w:sz w:val="20"/>
                  <w:lang w:val="fr-CA"/>
                </w:rPr>
                <w:t>2020 QCCS 4387</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de l’intimée est accueillie; la demande reconventionnelle est rejetée.</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8 décembre 2021</w:t>
            </w:r>
          </w:p>
          <w:p w:rsidR="00D732B0" w:rsidRPr="00F06D6F" w:rsidRDefault="00D732B0" w:rsidP="00D732B0">
            <w:pPr>
              <w:jc w:val="both"/>
              <w:rPr>
                <w:sz w:val="20"/>
                <w:lang w:val="fr-CA"/>
              </w:rPr>
            </w:pPr>
            <w:r w:rsidRPr="00F06D6F">
              <w:rPr>
                <w:sz w:val="20"/>
                <w:lang w:val="fr-CA"/>
              </w:rPr>
              <w:t>Cour d’appel du Québec (Montréal)</w:t>
            </w:r>
          </w:p>
          <w:p w:rsidR="00D732B0" w:rsidRPr="00F06D6F" w:rsidRDefault="00D732B0" w:rsidP="00D732B0">
            <w:pPr>
              <w:jc w:val="both"/>
              <w:rPr>
                <w:sz w:val="20"/>
                <w:lang w:val="fr-CA"/>
              </w:rPr>
            </w:pPr>
            <w:r w:rsidRPr="00F06D6F">
              <w:rPr>
                <w:sz w:val="20"/>
                <w:lang w:val="fr-CA"/>
              </w:rPr>
              <w:t>(juges Pelletier, Schrager et Moore)</w:t>
            </w:r>
          </w:p>
          <w:p w:rsidR="00D732B0" w:rsidRPr="00F06D6F" w:rsidRDefault="00442B76" w:rsidP="00D732B0">
            <w:pPr>
              <w:jc w:val="both"/>
              <w:rPr>
                <w:sz w:val="20"/>
                <w:lang w:val="fr-CA"/>
              </w:rPr>
            </w:pPr>
            <w:hyperlink r:id="rId45" w:history="1">
              <w:r w:rsidR="00D732B0" w:rsidRPr="00F06D6F">
                <w:rPr>
                  <w:rStyle w:val="Hyperlink"/>
                  <w:sz w:val="20"/>
                  <w:lang w:val="fr-CA"/>
                </w:rPr>
                <w:t>2021 QCCA 1872</w:t>
              </w:r>
            </w:hyperlink>
            <w:r w:rsidR="00D732B0" w:rsidRPr="00F06D6F">
              <w:rPr>
                <w:sz w:val="20"/>
                <w:lang w:val="fr-CA"/>
              </w:rPr>
              <w:t xml:space="preserve"> </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L’appel du demandeur est rejeté.</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27 janvier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d’appel est présentée.</w:t>
            </w:r>
          </w:p>
          <w:p w:rsidR="00D732B0" w:rsidRPr="00F06D6F" w:rsidRDefault="00D732B0" w:rsidP="00D732B0">
            <w:pPr>
              <w:jc w:val="both"/>
              <w:rPr>
                <w:sz w:val="20"/>
                <w:lang w:val="fr-CA"/>
              </w:rPr>
            </w:pPr>
          </w:p>
        </w:tc>
      </w:tr>
    </w:tbl>
    <w:p w:rsidR="00D732B0" w:rsidRPr="00F06D6F" w:rsidRDefault="00D732B0" w:rsidP="00D732B0">
      <w:pPr>
        <w:jc w:val="both"/>
        <w:rPr>
          <w:sz w:val="20"/>
          <w:lang w:val="fr-CA"/>
        </w:rPr>
      </w:pPr>
    </w:p>
    <w:p w:rsidR="00D732B0" w:rsidRPr="00F06D6F" w:rsidRDefault="00442B76" w:rsidP="00D732B0">
      <w:pPr>
        <w:jc w:val="both"/>
        <w:rPr>
          <w:sz w:val="20"/>
          <w:lang w:val="fr-CA"/>
        </w:rPr>
      </w:pPr>
      <w:r>
        <w:rPr>
          <w:sz w:val="20"/>
        </w:rPr>
        <w:pict>
          <v:rect id="_x0000_i1040" style="width:2in;height:1pt" o:hrpct="0" o:hralign="center" o:hrstd="t" o:hrnoshade="t" o:hr="t" fillcolor="black [3213]" stroked="f"/>
        </w:pict>
      </w:r>
    </w:p>
    <w:p w:rsidR="0098091F" w:rsidRPr="00F06D6F" w:rsidRDefault="0098091F" w:rsidP="00D732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rPr>
            </w:pPr>
            <w:r w:rsidRPr="00F06D6F">
              <w:rPr>
                <w:rStyle w:val="SCCFileNumberChar"/>
                <w:sz w:val="20"/>
                <w:szCs w:val="20"/>
              </w:rPr>
              <w:t>40035</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Marco Milan v. Her Majesty the Queen</w:t>
            </w:r>
          </w:p>
          <w:p w:rsidR="00D732B0" w:rsidRPr="00F06D6F" w:rsidRDefault="00D732B0" w:rsidP="00D732B0">
            <w:pPr>
              <w:jc w:val="both"/>
              <w:rPr>
                <w:b/>
                <w:sz w:val="20"/>
              </w:rPr>
            </w:pPr>
            <w:r w:rsidRPr="00F06D6F">
              <w:rPr>
                <w:b/>
                <w:sz w:val="20"/>
              </w:rPr>
              <w:t>-and-</w:t>
            </w:r>
          </w:p>
          <w:p w:rsidR="00D732B0" w:rsidRPr="00F06D6F" w:rsidRDefault="00D732B0" w:rsidP="00D732B0">
            <w:pPr>
              <w:jc w:val="both"/>
              <w:rPr>
                <w:b/>
                <w:sz w:val="20"/>
              </w:rPr>
            </w:pPr>
            <w:r w:rsidRPr="00F06D6F">
              <w:rPr>
                <w:b/>
                <w:sz w:val="20"/>
              </w:rPr>
              <w:t>Robert Bryant, Louis Nagy v. Her Majesty the Queen</w:t>
            </w:r>
          </w:p>
          <w:p w:rsidR="00D732B0" w:rsidRPr="00F06D6F" w:rsidRDefault="00D732B0" w:rsidP="00D732B0">
            <w:pPr>
              <w:jc w:val="both"/>
              <w:rPr>
                <w:sz w:val="20"/>
              </w:rPr>
            </w:pPr>
            <w:r w:rsidRPr="00F06D6F">
              <w:rPr>
                <w:sz w:val="20"/>
              </w:rPr>
              <w:t>(Que.) (Criminal) (By Leave)</w:t>
            </w:r>
          </w:p>
        </w:tc>
      </w:tr>
      <w:tr w:rsidR="00D732B0" w:rsidRPr="00F06D6F" w:rsidTr="00D732B0">
        <w:tc>
          <w:tcPr>
            <w:tcW w:w="5000" w:type="pct"/>
            <w:gridSpan w:val="4"/>
          </w:tcPr>
          <w:p w:rsidR="00D732B0" w:rsidRPr="00F06D6F" w:rsidRDefault="00D732B0" w:rsidP="00D732B0">
            <w:pPr>
              <w:jc w:val="both"/>
              <w:rPr>
                <w:sz w:val="20"/>
              </w:rPr>
            </w:pPr>
            <w:r w:rsidRPr="00F06D6F">
              <w:rPr>
                <w:i/>
                <w:sz w:val="20"/>
              </w:rPr>
              <w:t>Charter of Rights</w:t>
            </w:r>
            <w:r w:rsidRPr="00F06D6F">
              <w:rPr>
                <w:sz w:val="20"/>
              </w:rPr>
              <w:t xml:space="preserve"> — Right to be tried within reasonable time — Transitional exceptional circumstance — Whether the Court of Appeal erred in failing to intervene, relying entirely on the standard of review, despite finding that the motions judge applied the transitional exception in a manner that exceeded the guidelines in </w:t>
            </w:r>
            <w:r w:rsidRPr="00F06D6F">
              <w:rPr>
                <w:i/>
                <w:sz w:val="20"/>
              </w:rPr>
              <w:t>Morin</w:t>
            </w:r>
            <w:r w:rsidRPr="00F06D6F">
              <w:rPr>
                <w:sz w:val="20"/>
              </w:rPr>
              <w:t>? — Whether the Court of Appeal erred in applying the transitional exception when it held that, since the post</w:t>
            </w:r>
            <w:r w:rsidRPr="00F06D6F">
              <w:rPr>
                <w:sz w:val="20"/>
              </w:rPr>
              <w:noBreakHyphen/>
            </w:r>
            <w:r w:rsidRPr="00F06D6F">
              <w:rPr>
                <w:i/>
                <w:sz w:val="20"/>
              </w:rPr>
              <w:t>Jordan</w:t>
            </w:r>
            <w:r w:rsidRPr="00F06D6F">
              <w:rPr>
                <w:sz w:val="20"/>
              </w:rPr>
              <w:t xml:space="preserve"> delays were under 30 months, the pre</w:t>
            </w:r>
            <w:r w:rsidRPr="00F06D6F">
              <w:rPr>
                <w:sz w:val="20"/>
              </w:rPr>
              <w:noBreakHyphen/>
            </w:r>
            <w:r w:rsidRPr="00F06D6F">
              <w:rPr>
                <w:i/>
                <w:sz w:val="20"/>
              </w:rPr>
              <w:t>Jordan</w:t>
            </w:r>
            <w:r w:rsidRPr="00F06D6F">
              <w:rPr>
                <w:sz w:val="20"/>
              </w:rPr>
              <w:t xml:space="preserve"> delays were the most important focus of analysis?</w:t>
            </w:r>
          </w:p>
        </w:tc>
      </w:tr>
      <w:tr w:rsidR="00D732B0" w:rsidRPr="00F06D6F" w:rsidTr="00D732B0">
        <w:tc>
          <w:tcPr>
            <w:tcW w:w="5000" w:type="pct"/>
            <w:gridSpan w:val="4"/>
          </w:tcPr>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color w:val="000000"/>
                <w:sz w:val="20"/>
              </w:rPr>
              <w:t>In 2013, the applicants,</w:t>
            </w:r>
            <w:r w:rsidRPr="00F06D6F">
              <w:rPr>
                <w:sz w:val="20"/>
              </w:rPr>
              <w:t xml:space="preserve"> Marco Milan, Robert Bryant and Louis Nagy, were charged with conspiracy to import narcotics. In 2017, they were indicted on four counts of conspiracy, possession for the purpose of trafficking and trafficking cannabis and cannabis resin and cocaine.</w:t>
            </w:r>
          </w:p>
          <w:p w:rsidR="00D732B0" w:rsidRPr="00F06D6F" w:rsidRDefault="00D732B0" w:rsidP="00D732B0">
            <w:pPr>
              <w:jc w:val="both"/>
              <w:rPr>
                <w:color w:val="000000"/>
                <w:sz w:val="20"/>
              </w:rPr>
            </w:pPr>
            <w:r w:rsidRPr="00F06D6F">
              <w:rPr>
                <w:sz w:val="20"/>
              </w:rPr>
              <w:t xml:space="preserve">In 2018, a motion judge in the Quebec Superior Court dismissed their applications under s. 11(b) of the </w:t>
            </w:r>
            <w:r w:rsidRPr="00F06D6F">
              <w:rPr>
                <w:i/>
                <w:sz w:val="20"/>
              </w:rPr>
              <w:t>Canadian Charter of Rights and Freedoms</w:t>
            </w:r>
            <w:r w:rsidRPr="00F06D6F">
              <w:rPr>
                <w:sz w:val="20"/>
              </w:rPr>
              <w:t xml:space="preserve"> for a stay of proceedings based on unreasonable delay. Mr. Bryant was found guilty on all four counts, Mr. Nagy on two counts and Mr. Milan on four counts. The applicants’ appeals from the judgment dismissing </w:t>
            </w:r>
            <w:proofErr w:type="spellStart"/>
            <w:r w:rsidRPr="00F06D6F">
              <w:rPr>
                <w:sz w:val="20"/>
              </w:rPr>
              <w:t>their s</w:t>
            </w:r>
            <w:proofErr w:type="spellEnd"/>
            <w:r w:rsidRPr="00F06D6F">
              <w:rPr>
                <w:sz w:val="20"/>
              </w:rPr>
              <w:t>. 11(b) applications were also dismissed.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lastRenderedPageBreak/>
              <w:t>January 10, 2018</w:t>
            </w:r>
          </w:p>
          <w:p w:rsidR="00D732B0" w:rsidRPr="00F06D6F" w:rsidRDefault="00D732B0" w:rsidP="00D732B0">
            <w:pPr>
              <w:jc w:val="both"/>
              <w:rPr>
                <w:sz w:val="20"/>
              </w:rPr>
            </w:pPr>
            <w:r w:rsidRPr="00F06D6F">
              <w:rPr>
                <w:sz w:val="20"/>
              </w:rPr>
              <w:t>Superior Court of Quebec</w:t>
            </w:r>
          </w:p>
          <w:p w:rsidR="00D732B0" w:rsidRPr="00F06D6F" w:rsidRDefault="00D732B0" w:rsidP="00D732B0">
            <w:pPr>
              <w:jc w:val="both"/>
              <w:rPr>
                <w:sz w:val="20"/>
              </w:rPr>
            </w:pPr>
            <w:r w:rsidRPr="00F06D6F">
              <w:rPr>
                <w:sz w:val="20"/>
              </w:rPr>
              <w:t>(Longpré J.)</w:t>
            </w:r>
          </w:p>
          <w:p w:rsidR="00D732B0" w:rsidRPr="00F06D6F" w:rsidRDefault="00442B76" w:rsidP="00D732B0">
            <w:pPr>
              <w:jc w:val="both"/>
              <w:rPr>
                <w:sz w:val="20"/>
              </w:rPr>
            </w:pPr>
            <w:hyperlink r:id="rId46" w:history="1">
              <w:r w:rsidR="00D732B0" w:rsidRPr="00F06D6F">
                <w:rPr>
                  <w:rStyle w:val="Hyperlink"/>
                  <w:sz w:val="20"/>
                </w:rPr>
                <w:t>2018 QCCS 480</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 xml:space="preserve">Applications for stay of proceedings for unreasonable delay under ss. 11(b) and 24(1) of the </w:t>
            </w:r>
            <w:r w:rsidRPr="00F06D6F">
              <w:rPr>
                <w:i/>
                <w:sz w:val="20"/>
              </w:rPr>
              <w:t>Charter</w:t>
            </w:r>
            <w:r w:rsidRPr="00F06D6F">
              <w:rPr>
                <w:sz w:val="20"/>
              </w:rPr>
              <w:t xml:space="preserve"> dismissed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December 1, 2021</w:t>
            </w:r>
          </w:p>
          <w:p w:rsidR="00D732B0" w:rsidRPr="00F06D6F" w:rsidRDefault="00D732B0" w:rsidP="00D732B0">
            <w:pPr>
              <w:jc w:val="both"/>
              <w:rPr>
                <w:sz w:val="20"/>
              </w:rPr>
            </w:pPr>
            <w:r w:rsidRPr="00F06D6F">
              <w:rPr>
                <w:sz w:val="20"/>
              </w:rPr>
              <w:t>Court of Appeal of Quebec (Montréal)</w:t>
            </w:r>
          </w:p>
          <w:p w:rsidR="00D732B0" w:rsidRPr="00F06D6F" w:rsidRDefault="00D732B0" w:rsidP="00D732B0">
            <w:pPr>
              <w:jc w:val="both"/>
              <w:rPr>
                <w:sz w:val="20"/>
              </w:rPr>
            </w:pPr>
            <w:r w:rsidRPr="00F06D6F">
              <w:rPr>
                <w:sz w:val="20"/>
              </w:rPr>
              <w:t>(Gagnon, Healy and Gagné JJ.A.)</w:t>
            </w:r>
          </w:p>
          <w:p w:rsidR="00D732B0" w:rsidRPr="00F06D6F" w:rsidRDefault="00442B76" w:rsidP="00D732B0">
            <w:pPr>
              <w:jc w:val="both"/>
              <w:rPr>
                <w:sz w:val="20"/>
              </w:rPr>
            </w:pPr>
            <w:hyperlink r:id="rId47" w:history="1">
              <w:r w:rsidR="00D732B0" w:rsidRPr="00F06D6F">
                <w:rPr>
                  <w:rStyle w:val="Hyperlink"/>
                  <w:sz w:val="20"/>
                </w:rPr>
                <w:t>2021 QCCA 1807</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 xml:space="preserve">Appeals dismissed </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26 and 31,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Applications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D732B0" w:rsidRPr="00F06D6F" w:rsidRDefault="00442B76" w:rsidP="00D732B0">
      <w:pPr>
        <w:jc w:val="both"/>
        <w:rPr>
          <w:sz w:val="20"/>
        </w:rPr>
      </w:pPr>
      <w:r>
        <w:rPr>
          <w:sz w:val="20"/>
        </w:rPr>
        <w:pict>
          <v:rect id="_x0000_i1041" style="width:2in;height:1pt" o:hrpct="0" o:hralign="center" o:hrstd="t" o:hrnoshade="t" o:hr="t" fillcolor="black [3213]" stroked="f"/>
        </w:pict>
      </w:r>
    </w:p>
    <w:p w:rsidR="00D732B0" w:rsidRPr="00F06D6F" w:rsidRDefault="00D732B0"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lang w:val="fr-CA"/>
              </w:rPr>
            </w:pPr>
            <w:r w:rsidRPr="00F06D6F">
              <w:rPr>
                <w:rStyle w:val="SCCFileNumberChar"/>
                <w:sz w:val="20"/>
                <w:szCs w:val="20"/>
                <w:lang w:val="fr-CA"/>
              </w:rPr>
              <w:t>40035</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Marco Milan c. Sa Majesté la Reine</w:t>
            </w:r>
          </w:p>
          <w:p w:rsidR="00D732B0" w:rsidRPr="00F06D6F" w:rsidRDefault="00D732B0" w:rsidP="00D732B0">
            <w:pPr>
              <w:jc w:val="both"/>
              <w:rPr>
                <w:b/>
                <w:sz w:val="20"/>
                <w:lang w:val="fr-CA"/>
              </w:rPr>
            </w:pPr>
            <w:r w:rsidRPr="00F06D6F">
              <w:rPr>
                <w:b/>
                <w:sz w:val="20"/>
                <w:lang w:val="fr-CA"/>
              </w:rPr>
              <w:t>-et-</w:t>
            </w:r>
          </w:p>
          <w:p w:rsidR="00D732B0" w:rsidRPr="00F06D6F" w:rsidRDefault="00D732B0" w:rsidP="00D732B0">
            <w:pPr>
              <w:jc w:val="both"/>
              <w:rPr>
                <w:b/>
                <w:sz w:val="20"/>
                <w:lang w:val="fr-CA"/>
              </w:rPr>
            </w:pPr>
            <w:r w:rsidRPr="00F06D6F">
              <w:rPr>
                <w:b/>
                <w:sz w:val="20"/>
                <w:lang w:val="fr-CA"/>
              </w:rPr>
              <w:t>Robert Bryant, Louis Nagy c. Sa Majesté la Reine</w:t>
            </w:r>
          </w:p>
          <w:p w:rsidR="00D732B0" w:rsidRPr="00F06D6F" w:rsidRDefault="00D732B0" w:rsidP="008614A3">
            <w:pPr>
              <w:jc w:val="both"/>
              <w:rPr>
                <w:sz w:val="20"/>
                <w:lang w:val="fr-CA"/>
              </w:rPr>
            </w:pPr>
            <w:r w:rsidRPr="00F06D6F">
              <w:rPr>
                <w:sz w:val="20"/>
                <w:lang w:val="fr-CA"/>
              </w:rPr>
              <w:t>(Qc) (</w:t>
            </w:r>
            <w:r w:rsidR="008614A3" w:rsidRPr="00F06D6F">
              <w:rPr>
                <w:sz w:val="20"/>
                <w:lang w:val="fr-CA"/>
              </w:rPr>
              <w:t>C</w:t>
            </w:r>
            <w:r w:rsidRPr="00F06D6F">
              <w:rPr>
                <w:sz w:val="20"/>
                <w:lang w:val="fr-CA"/>
              </w:rPr>
              <w:t>riminelle) (</w:t>
            </w:r>
            <w:r w:rsidR="008614A3" w:rsidRPr="00F06D6F">
              <w:rPr>
                <w:sz w:val="20"/>
                <w:lang w:val="fr-CA"/>
              </w:rPr>
              <w:t>S</w:t>
            </w:r>
            <w:r w:rsidRPr="00F06D6F">
              <w:rPr>
                <w:sz w:val="20"/>
                <w:lang w:val="fr-CA"/>
              </w:rPr>
              <w:t>ur autorisation)</w:t>
            </w:r>
          </w:p>
        </w:tc>
      </w:tr>
      <w:tr w:rsidR="00D732B0" w:rsidRPr="00442B76" w:rsidTr="00D732B0">
        <w:tc>
          <w:tcPr>
            <w:tcW w:w="5000" w:type="pct"/>
            <w:gridSpan w:val="4"/>
          </w:tcPr>
          <w:p w:rsidR="00D732B0" w:rsidRPr="00F06D6F" w:rsidRDefault="00D732B0" w:rsidP="00D732B0">
            <w:pPr>
              <w:jc w:val="both"/>
              <w:rPr>
                <w:sz w:val="20"/>
                <w:lang w:val="fr-CA"/>
              </w:rPr>
            </w:pPr>
            <w:r w:rsidRPr="00F06D6F">
              <w:rPr>
                <w:i/>
                <w:sz w:val="20"/>
                <w:lang w:val="fr-CA"/>
              </w:rPr>
              <w:t>Charte des droits</w:t>
            </w:r>
            <w:r w:rsidRPr="00F06D6F">
              <w:rPr>
                <w:sz w:val="20"/>
                <w:lang w:val="fr-CA"/>
              </w:rPr>
              <w:t xml:space="preserve"> — </w:t>
            </w:r>
            <w:r w:rsidRPr="00F06D6F">
              <w:rPr>
                <w:iCs/>
                <w:sz w:val="20"/>
                <w:lang w:val="fr-CA"/>
              </w:rPr>
              <w:t>Procès dans un délai raisonnable</w:t>
            </w:r>
            <w:r w:rsidRPr="00F06D6F">
              <w:rPr>
                <w:sz w:val="20"/>
                <w:lang w:val="fr-CA"/>
              </w:rPr>
              <w:t xml:space="preserve"> — Mesure transitoire exceptionnelle — La Cour d’appel a-t-elle commis une erreur en refusant d’intervenir, s’appuyant entièrement sur la norme de révision, et ce malgré sa conclusion portant que le juge saisi de la requête a appliqué la mesure transitoire exceptionnelle d’une manière qui dépasse les lignes directrices énoncées dans l’arrêt </w:t>
            </w:r>
            <w:r w:rsidRPr="00F06D6F">
              <w:rPr>
                <w:i/>
                <w:sz w:val="20"/>
                <w:lang w:val="fr-CA"/>
              </w:rPr>
              <w:t>Morin </w:t>
            </w:r>
            <w:r w:rsidRPr="00F06D6F">
              <w:rPr>
                <w:sz w:val="20"/>
                <w:lang w:val="fr-CA"/>
              </w:rPr>
              <w:t xml:space="preserve">? — La Cour d’appel a-t-elle commis une erreur en appliquant la mesure transitoire exceptionnelle lorsqu’elle a conclu que puisque les délais encourus après le prononcé de l’arrêt </w:t>
            </w:r>
            <w:r w:rsidRPr="00F06D6F">
              <w:rPr>
                <w:i/>
                <w:sz w:val="20"/>
                <w:lang w:val="fr-CA"/>
              </w:rPr>
              <w:t>Jordan</w:t>
            </w:r>
            <w:r w:rsidRPr="00F06D6F">
              <w:rPr>
                <w:sz w:val="20"/>
                <w:lang w:val="fr-CA"/>
              </w:rPr>
              <w:t xml:space="preserve"> sont en dessous du plafond de 30 mois, l’analyse devait être principalement centrée sur les délais précédant l’arrêt </w:t>
            </w:r>
            <w:r w:rsidRPr="00F06D6F">
              <w:rPr>
                <w:i/>
                <w:sz w:val="20"/>
                <w:lang w:val="fr-CA"/>
              </w:rPr>
              <w:t>Jordan </w:t>
            </w:r>
            <w:r w:rsidRPr="00F06D6F">
              <w:rPr>
                <w:sz w:val="20"/>
                <w:lang w:val="fr-CA"/>
              </w:rPr>
              <w:t>?</w:t>
            </w:r>
          </w:p>
        </w:tc>
      </w:tr>
      <w:tr w:rsidR="00D732B0" w:rsidRPr="00442B76" w:rsidTr="00D732B0">
        <w:tc>
          <w:tcPr>
            <w:tcW w:w="5000" w:type="pct"/>
            <w:gridSpan w:val="4"/>
          </w:tcPr>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D732B0">
            <w:pPr>
              <w:jc w:val="both"/>
              <w:rPr>
                <w:color w:val="000000"/>
                <w:sz w:val="20"/>
                <w:lang w:val="fr-CA"/>
              </w:rPr>
            </w:pPr>
            <w:r w:rsidRPr="00F06D6F">
              <w:rPr>
                <w:color w:val="000000"/>
                <w:sz w:val="20"/>
                <w:lang w:val="fr-CA"/>
              </w:rPr>
              <w:t>En 2013, les demandeurs,</w:t>
            </w:r>
            <w:r w:rsidRPr="00F06D6F">
              <w:rPr>
                <w:sz w:val="20"/>
                <w:lang w:val="fr-CA"/>
              </w:rPr>
              <w:t xml:space="preserve"> Marco Milan, Robert Bryant et Louis Nagy, ont été accusés de complot en vue d'importer des stupéfiants. En 2017, quatre chefs d’accusation de complot, de possession en vue d’en faire le trafic et de trafic de cannabis et de résine de cannabis et de cocaïne ont été portés contre eux. En 2018, le juge des requêtes à la Cour supérieure du Québec a rejeté leurs demandes visant l’arrêt des procédures pour cause de délai déraisonnable en vertu de l’al. 11b) de la </w:t>
            </w:r>
            <w:r w:rsidRPr="00F06D6F">
              <w:rPr>
                <w:i/>
                <w:sz w:val="20"/>
                <w:lang w:val="fr-CA"/>
              </w:rPr>
              <w:t>Charte canadienne des droits et libertés</w:t>
            </w:r>
            <w:r w:rsidRPr="00F06D6F">
              <w:rPr>
                <w:sz w:val="20"/>
                <w:lang w:val="fr-CA"/>
              </w:rPr>
              <w:t>. M. Bryant a été déclaré coupable des quatre accusations portées contre lui, M. Nagy de deux accusations et M. Milan de quatre accusations. Les appels formés par les demandeurs contre les jugements rejetant leurs demandes fondées sur l’al. 11b) ont également été rejetés.</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10 janvier 2018</w:t>
            </w:r>
          </w:p>
          <w:p w:rsidR="00D732B0" w:rsidRPr="00F06D6F" w:rsidRDefault="00D732B0" w:rsidP="00D732B0">
            <w:pPr>
              <w:jc w:val="both"/>
              <w:rPr>
                <w:sz w:val="20"/>
                <w:lang w:val="fr-CA"/>
              </w:rPr>
            </w:pPr>
            <w:r w:rsidRPr="00F06D6F">
              <w:rPr>
                <w:sz w:val="20"/>
                <w:lang w:val="fr-CA"/>
              </w:rPr>
              <w:t>Cour supérieure du Québec</w:t>
            </w:r>
          </w:p>
          <w:p w:rsidR="00D732B0" w:rsidRPr="00F06D6F" w:rsidRDefault="00D732B0" w:rsidP="00D732B0">
            <w:pPr>
              <w:jc w:val="both"/>
              <w:rPr>
                <w:sz w:val="20"/>
                <w:lang w:val="fr-CA"/>
              </w:rPr>
            </w:pPr>
            <w:r w:rsidRPr="00F06D6F">
              <w:rPr>
                <w:sz w:val="20"/>
                <w:lang w:val="fr-CA"/>
              </w:rPr>
              <w:t>(juge Longpré)</w:t>
            </w:r>
          </w:p>
          <w:p w:rsidR="00D732B0" w:rsidRPr="00F06D6F" w:rsidRDefault="00442B76" w:rsidP="00D732B0">
            <w:pPr>
              <w:jc w:val="both"/>
              <w:rPr>
                <w:sz w:val="20"/>
                <w:lang w:val="fr-CA"/>
              </w:rPr>
            </w:pPr>
            <w:hyperlink r:id="rId48" w:history="1">
              <w:r w:rsidR="00D732B0" w:rsidRPr="00F06D6F">
                <w:rPr>
                  <w:rStyle w:val="Hyperlink"/>
                  <w:sz w:val="20"/>
                  <w:lang w:val="fr-CA"/>
                </w:rPr>
                <w:t>2018 QCCS 480</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 xml:space="preserve">Les demandes visant l’arrêt des procédures pour cause de délai déraisonnable en vertu de l’al. 11b) et du par. 24(1) de la </w:t>
            </w:r>
            <w:r w:rsidRPr="00F06D6F">
              <w:rPr>
                <w:i/>
                <w:sz w:val="20"/>
                <w:lang w:val="fr-CA"/>
              </w:rPr>
              <w:t xml:space="preserve">Charte </w:t>
            </w:r>
            <w:r w:rsidRPr="00F06D6F">
              <w:rPr>
                <w:sz w:val="20"/>
                <w:lang w:val="fr-CA"/>
              </w:rPr>
              <w:t>sont rejetées.</w:t>
            </w:r>
          </w:p>
          <w:p w:rsidR="00D732B0" w:rsidRPr="00F06D6F" w:rsidRDefault="00D732B0" w:rsidP="00D732B0">
            <w:pPr>
              <w:jc w:val="both"/>
              <w:rPr>
                <w:sz w:val="20"/>
                <w:lang w:val="fr-CA"/>
              </w:rPr>
            </w:pPr>
          </w:p>
        </w:tc>
      </w:tr>
      <w:tr w:rsidR="00D732B0" w:rsidRPr="00F06D6F" w:rsidTr="00D732B0">
        <w:tc>
          <w:tcPr>
            <w:tcW w:w="2427" w:type="pct"/>
            <w:gridSpan w:val="2"/>
          </w:tcPr>
          <w:p w:rsidR="00D732B0" w:rsidRPr="00F06D6F" w:rsidRDefault="00D732B0" w:rsidP="00D732B0">
            <w:pPr>
              <w:jc w:val="both"/>
              <w:rPr>
                <w:sz w:val="20"/>
                <w:lang w:val="fr-CA"/>
              </w:rPr>
            </w:pPr>
            <w:r w:rsidRPr="00F06D6F">
              <w:rPr>
                <w:sz w:val="20"/>
                <w:lang w:val="fr-CA"/>
              </w:rPr>
              <w:t>1</w:t>
            </w:r>
            <w:r w:rsidRPr="00F06D6F">
              <w:rPr>
                <w:sz w:val="20"/>
                <w:vertAlign w:val="superscript"/>
                <w:lang w:val="fr-CA"/>
              </w:rPr>
              <w:t>er</w:t>
            </w:r>
            <w:r w:rsidRPr="00F06D6F">
              <w:rPr>
                <w:sz w:val="20"/>
                <w:lang w:val="fr-CA"/>
              </w:rPr>
              <w:t xml:space="preserve"> décembre 2021</w:t>
            </w:r>
          </w:p>
          <w:p w:rsidR="00D732B0" w:rsidRPr="00F06D6F" w:rsidRDefault="00D732B0" w:rsidP="00D732B0">
            <w:pPr>
              <w:jc w:val="both"/>
              <w:rPr>
                <w:sz w:val="20"/>
                <w:lang w:val="fr-CA"/>
              </w:rPr>
            </w:pPr>
            <w:r w:rsidRPr="00F06D6F">
              <w:rPr>
                <w:sz w:val="20"/>
                <w:lang w:val="fr-CA"/>
              </w:rPr>
              <w:t>Cour d’appel du Québec (Montréal)</w:t>
            </w:r>
          </w:p>
          <w:p w:rsidR="00D732B0" w:rsidRPr="00F06D6F" w:rsidRDefault="00D732B0" w:rsidP="00D732B0">
            <w:pPr>
              <w:jc w:val="both"/>
              <w:rPr>
                <w:sz w:val="20"/>
                <w:lang w:val="fr-CA"/>
              </w:rPr>
            </w:pPr>
            <w:r w:rsidRPr="00F06D6F">
              <w:rPr>
                <w:sz w:val="20"/>
                <w:lang w:val="fr-CA"/>
              </w:rPr>
              <w:t>(juges Gagnon, Healy et Gagné)</w:t>
            </w:r>
          </w:p>
          <w:p w:rsidR="00D732B0" w:rsidRPr="00F06D6F" w:rsidRDefault="00442B76" w:rsidP="00D732B0">
            <w:pPr>
              <w:jc w:val="both"/>
              <w:rPr>
                <w:sz w:val="20"/>
                <w:lang w:val="fr-CA"/>
              </w:rPr>
            </w:pPr>
            <w:hyperlink r:id="rId49" w:history="1">
              <w:r w:rsidR="00D732B0" w:rsidRPr="00F06D6F">
                <w:rPr>
                  <w:rStyle w:val="Hyperlink"/>
                  <w:sz w:val="20"/>
                  <w:lang w:val="fr-CA"/>
                </w:rPr>
                <w:t>2021 QCCA 1807</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 xml:space="preserve">Les appels sont rejetés. </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26 janvier et 31 janvier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Les demandes d’autorisation d’appel sont présentées.</w:t>
            </w:r>
          </w:p>
          <w:p w:rsidR="00D732B0" w:rsidRPr="00F06D6F" w:rsidRDefault="00D732B0" w:rsidP="00D732B0">
            <w:pPr>
              <w:jc w:val="both"/>
              <w:rPr>
                <w:sz w:val="20"/>
                <w:lang w:val="fr-CA"/>
              </w:rPr>
            </w:pPr>
          </w:p>
        </w:tc>
      </w:tr>
    </w:tbl>
    <w:p w:rsidR="00D732B0" w:rsidRPr="00F06D6F" w:rsidRDefault="00D732B0" w:rsidP="00D732B0">
      <w:pPr>
        <w:jc w:val="both"/>
        <w:rPr>
          <w:sz w:val="20"/>
          <w:lang w:val="fr-CA"/>
        </w:rPr>
      </w:pPr>
    </w:p>
    <w:p w:rsidR="00D732B0" w:rsidRPr="00F06D6F" w:rsidRDefault="00442B76" w:rsidP="00D732B0">
      <w:pPr>
        <w:jc w:val="both"/>
        <w:rPr>
          <w:sz w:val="20"/>
          <w:lang w:val="fr-CA"/>
        </w:rPr>
      </w:pPr>
      <w:r>
        <w:rPr>
          <w:sz w:val="20"/>
        </w:rPr>
        <w:pict>
          <v:rect id="_x0000_i1042" style="width:2in;height:1pt" o:hrpct="0" o:hralign="center" o:hrstd="t" o:hrnoshade="t" o:hr="t" fillcolor="black [3213]" stroked="f"/>
        </w:pict>
      </w:r>
    </w:p>
    <w:p w:rsidR="0098091F" w:rsidRPr="00F06D6F" w:rsidRDefault="0098091F" w:rsidP="00D732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rPr>
            </w:pPr>
            <w:r w:rsidRPr="00F06D6F">
              <w:rPr>
                <w:rStyle w:val="SCCFileNumberChar"/>
                <w:sz w:val="20"/>
                <w:szCs w:val="20"/>
              </w:rPr>
              <w:t>40096</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T.S.C. v. Her Majesty the Queen</w:t>
            </w:r>
          </w:p>
          <w:p w:rsidR="00D732B0" w:rsidRPr="00F06D6F" w:rsidRDefault="00D732B0" w:rsidP="00D732B0">
            <w:pPr>
              <w:jc w:val="both"/>
              <w:rPr>
                <w:sz w:val="20"/>
              </w:rPr>
            </w:pPr>
            <w:r w:rsidRPr="00F06D6F">
              <w:rPr>
                <w:sz w:val="20"/>
              </w:rPr>
              <w:t>(Sask.) (Criminal) (By Leave)</w:t>
            </w:r>
          </w:p>
        </w:tc>
      </w:tr>
      <w:tr w:rsidR="00D732B0" w:rsidRPr="00F06D6F" w:rsidTr="00D732B0">
        <w:tc>
          <w:tcPr>
            <w:tcW w:w="5000" w:type="pct"/>
            <w:gridSpan w:val="4"/>
          </w:tcPr>
          <w:p w:rsidR="00D732B0" w:rsidRPr="00F06D6F" w:rsidRDefault="00D732B0" w:rsidP="00D732B0">
            <w:pPr>
              <w:pStyle w:val="SCCBanSummary"/>
              <w:rPr>
                <w:sz w:val="20"/>
                <w:szCs w:val="20"/>
              </w:rPr>
            </w:pPr>
            <w:r w:rsidRPr="00F06D6F">
              <w:rPr>
                <w:sz w:val="20"/>
                <w:szCs w:val="20"/>
              </w:rPr>
              <w:t>(Publication ban in case) (sealing order)</w:t>
            </w:r>
          </w:p>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sz w:val="20"/>
              </w:rPr>
              <w:lastRenderedPageBreak/>
              <w:t xml:space="preserve">Criminal law — Offence — Elements of offence — Sexual assault — Whether the Court of Appeal erred in law in its treatment of the </w:t>
            </w:r>
            <w:r w:rsidRPr="00F06D6F">
              <w:rPr>
                <w:i/>
                <w:sz w:val="20"/>
              </w:rPr>
              <w:t>actus reus</w:t>
            </w:r>
            <w:r w:rsidRPr="00F06D6F">
              <w:rPr>
                <w:sz w:val="20"/>
              </w:rPr>
              <w:t xml:space="preserve"> in the offence of sexual assault — Whether the Court of Appeal misapplied s. 276 of the </w:t>
            </w:r>
            <w:r w:rsidRPr="00F06D6F">
              <w:rPr>
                <w:i/>
                <w:sz w:val="20"/>
              </w:rPr>
              <w:t>Criminal Code</w:t>
            </w:r>
            <w:r w:rsidRPr="00F06D6F">
              <w:rPr>
                <w:sz w:val="20"/>
              </w:rPr>
              <w:t xml:space="preserve"> and the jurisprudence.</w:t>
            </w:r>
          </w:p>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sz w:val="20"/>
              </w:rPr>
              <w:t>T.S.C. and the complainant had a relationship. Following their child’s birth, the complainant re</w:t>
            </w:r>
            <w:r w:rsidRPr="00F06D6F">
              <w:rPr>
                <w:sz w:val="20"/>
              </w:rPr>
              <w:noBreakHyphen/>
              <w:t>established contact with T.S.C. so that he could develop a relationship with the child. At trial, the Crown tendered evidence of two sexual encounters that occurred within the same night but narrowed the scope of the sexual assault allegation to only the first encounter at the end of trial due to the complainant’s lack of recall. T.S.C. was convicted of sexual assault and was sentenced to two years’ imprisonment. The conviction appeal was dismissed. Leave to appeal the sentence was granted, and the sentence appeal was dismissed.</w:t>
            </w:r>
          </w:p>
        </w:tc>
      </w:tr>
      <w:tr w:rsidR="00D732B0" w:rsidRPr="00F06D6F" w:rsidTr="00D732B0">
        <w:tc>
          <w:tcPr>
            <w:tcW w:w="5000" w:type="pct"/>
            <w:gridSpan w:val="4"/>
          </w:tcPr>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October 8, 2020</w:t>
            </w:r>
          </w:p>
          <w:p w:rsidR="00D732B0" w:rsidRPr="00F06D6F" w:rsidRDefault="00D732B0" w:rsidP="00D732B0">
            <w:pPr>
              <w:jc w:val="both"/>
              <w:rPr>
                <w:sz w:val="20"/>
              </w:rPr>
            </w:pPr>
            <w:r w:rsidRPr="00F06D6F">
              <w:rPr>
                <w:sz w:val="20"/>
              </w:rPr>
              <w:t>Court of Queen’s Bench of Saskatchewan</w:t>
            </w:r>
          </w:p>
          <w:p w:rsidR="00D732B0" w:rsidRPr="00F06D6F" w:rsidRDefault="00D732B0" w:rsidP="00D732B0">
            <w:pPr>
              <w:jc w:val="both"/>
              <w:rPr>
                <w:sz w:val="20"/>
              </w:rPr>
            </w:pPr>
            <w:r w:rsidRPr="00F06D6F">
              <w:rPr>
                <w:sz w:val="20"/>
              </w:rPr>
              <w:t>(Klatt J.)</w:t>
            </w:r>
          </w:p>
          <w:p w:rsidR="00D732B0" w:rsidRPr="00F06D6F" w:rsidRDefault="00D732B0" w:rsidP="00D732B0">
            <w:pPr>
              <w:jc w:val="both"/>
              <w:rPr>
                <w:sz w:val="20"/>
              </w:rPr>
            </w:pPr>
            <w:r w:rsidRPr="00F06D6F">
              <w:rPr>
                <w:sz w:val="20"/>
              </w:rPr>
              <w:t>(unreported)</w:t>
            </w:r>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Conviction entered: sexual assault</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March 23, 2021</w:t>
            </w:r>
          </w:p>
          <w:p w:rsidR="00D732B0" w:rsidRPr="00F06D6F" w:rsidRDefault="00D732B0" w:rsidP="00D732B0">
            <w:pPr>
              <w:jc w:val="both"/>
              <w:rPr>
                <w:sz w:val="20"/>
              </w:rPr>
            </w:pPr>
            <w:r w:rsidRPr="00F06D6F">
              <w:rPr>
                <w:sz w:val="20"/>
              </w:rPr>
              <w:t>Court of Queen’s Bench of Saskatchewan</w:t>
            </w:r>
          </w:p>
          <w:p w:rsidR="00D732B0" w:rsidRPr="00F06D6F" w:rsidRDefault="00D732B0" w:rsidP="00D732B0">
            <w:pPr>
              <w:jc w:val="both"/>
              <w:rPr>
                <w:sz w:val="20"/>
              </w:rPr>
            </w:pPr>
            <w:r w:rsidRPr="00F06D6F">
              <w:rPr>
                <w:sz w:val="20"/>
              </w:rPr>
              <w:t>(Klatt J.)</w:t>
            </w:r>
          </w:p>
          <w:p w:rsidR="00D732B0" w:rsidRPr="00F06D6F" w:rsidRDefault="00442B76" w:rsidP="00D732B0">
            <w:pPr>
              <w:jc w:val="both"/>
              <w:rPr>
                <w:sz w:val="20"/>
              </w:rPr>
            </w:pPr>
            <w:hyperlink r:id="rId50" w:history="1">
              <w:r w:rsidR="00D732B0" w:rsidRPr="00F06D6F">
                <w:rPr>
                  <w:rStyle w:val="Hyperlink"/>
                  <w:sz w:val="20"/>
                </w:rPr>
                <w:t>2021 SKQB 82</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Sentence imposed: two years’ imprisonment</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5, 2022</w:t>
            </w:r>
          </w:p>
          <w:p w:rsidR="00D732B0" w:rsidRPr="00F06D6F" w:rsidRDefault="00D732B0" w:rsidP="00D732B0">
            <w:pPr>
              <w:jc w:val="both"/>
              <w:rPr>
                <w:sz w:val="20"/>
              </w:rPr>
            </w:pPr>
            <w:r w:rsidRPr="00F06D6F">
              <w:rPr>
                <w:sz w:val="20"/>
              </w:rPr>
              <w:t>Court of Appeal for Saskatchewan</w:t>
            </w:r>
          </w:p>
          <w:p w:rsidR="00D732B0" w:rsidRPr="00F06D6F" w:rsidRDefault="00D732B0" w:rsidP="00D732B0">
            <w:pPr>
              <w:jc w:val="both"/>
              <w:rPr>
                <w:sz w:val="20"/>
              </w:rPr>
            </w:pPr>
            <w:r w:rsidRPr="00F06D6F">
              <w:rPr>
                <w:sz w:val="20"/>
              </w:rPr>
              <w:t>(Jackson, Ryan</w:t>
            </w:r>
            <w:r w:rsidRPr="00F06D6F">
              <w:rPr>
                <w:sz w:val="20"/>
              </w:rPr>
              <w:noBreakHyphen/>
              <w:t>Froslie, Tholl JJ.A.)</w:t>
            </w:r>
          </w:p>
          <w:p w:rsidR="00D732B0" w:rsidRPr="00F06D6F" w:rsidRDefault="00D732B0" w:rsidP="00D732B0">
            <w:pPr>
              <w:jc w:val="both"/>
              <w:rPr>
                <w:sz w:val="20"/>
              </w:rPr>
            </w:pPr>
            <w:r w:rsidRPr="00F06D6F">
              <w:rPr>
                <w:sz w:val="20"/>
              </w:rPr>
              <w:t xml:space="preserve">CACR3444; </w:t>
            </w:r>
            <w:hyperlink r:id="rId51" w:history="1">
              <w:r w:rsidRPr="00F06D6F">
                <w:rPr>
                  <w:rStyle w:val="Hyperlink"/>
                  <w:sz w:val="20"/>
                </w:rPr>
                <w:t>2022 SKCA 1</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Conviction appeal dismissed; leave to appeal sentence granted, sentence appeal dismissed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21,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D732B0" w:rsidRPr="00F06D6F" w:rsidRDefault="00442B76" w:rsidP="00D732B0">
      <w:pPr>
        <w:jc w:val="both"/>
        <w:rPr>
          <w:sz w:val="20"/>
        </w:rPr>
      </w:pPr>
      <w:r>
        <w:rPr>
          <w:sz w:val="20"/>
        </w:rPr>
        <w:pict>
          <v:rect id="_x0000_i1043" style="width:2in;height:1pt" o:hrpct="0" o:hralign="center" o:hrstd="t" o:hrnoshade="t" o:hr="t" fillcolor="black [3213]" stroked="f"/>
        </w:pict>
      </w:r>
    </w:p>
    <w:p w:rsidR="00D732B0" w:rsidRPr="00F06D6F" w:rsidRDefault="00D732B0"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lang w:val="fr-CA"/>
              </w:rPr>
            </w:pPr>
            <w:r w:rsidRPr="00F06D6F">
              <w:rPr>
                <w:rStyle w:val="SCCFileNumberChar"/>
                <w:sz w:val="20"/>
                <w:szCs w:val="20"/>
                <w:lang w:val="fr-CA"/>
              </w:rPr>
              <w:t>40096</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T.S.C. c. Sa Majesté la Reine</w:t>
            </w:r>
          </w:p>
          <w:p w:rsidR="00D732B0" w:rsidRPr="00F06D6F" w:rsidRDefault="00D732B0" w:rsidP="008614A3">
            <w:pPr>
              <w:jc w:val="both"/>
              <w:rPr>
                <w:sz w:val="20"/>
                <w:lang w:val="fr-CA"/>
              </w:rPr>
            </w:pPr>
            <w:r w:rsidRPr="00F06D6F">
              <w:rPr>
                <w:sz w:val="20"/>
                <w:lang w:val="fr-CA"/>
              </w:rPr>
              <w:t>(Sask.) (</w:t>
            </w:r>
            <w:r w:rsidR="008614A3" w:rsidRPr="00F06D6F">
              <w:rPr>
                <w:sz w:val="20"/>
                <w:lang w:val="fr-CA"/>
              </w:rPr>
              <w:t>C</w:t>
            </w:r>
            <w:r w:rsidRPr="00F06D6F">
              <w:rPr>
                <w:sz w:val="20"/>
                <w:lang w:val="fr-CA"/>
              </w:rPr>
              <w:t>riminelle) (</w:t>
            </w:r>
            <w:r w:rsidR="008614A3" w:rsidRPr="00F06D6F">
              <w:rPr>
                <w:sz w:val="20"/>
                <w:lang w:val="fr-CA"/>
              </w:rPr>
              <w:t>S</w:t>
            </w:r>
            <w:r w:rsidRPr="00F06D6F">
              <w:rPr>
                <w:sz w:val="20"/>
                <w:lang w:val="fr-CA"/>
              </w:rPr>
              <w:t>ur autorisation)</w:t>
            </w:r>
          </w:p>
        </w:tc>
      </w:tr>
      <w:tr w:rsidR="00D732B0" w:rsidRPr="00442B76" w:rsidTr="00D732B0">
        <w:tc>
          <w:tcPr>
            <w:tcW w:w="5000" w:type="pct"/>
            <w:gridSpan w:val="4"/>
          </w:tcPr>
          <w:p w:rsidR="00D732B0" w:rsidRPr="00F06D6F" w:rsidRDefault="00D732B0" w:rsidP="00D732B0">
            <w:pPr>
              <w:pStyle w:val="SCCBanSummary"/>
              <w:rPr>
                <w:sz w:val="20"/>
                <w:szCs w:val="20"/>
                <w:lang w:val="fr-CA"/>
              </w:rPr>
            </w:pPr>
            <w:r w:rsidRPr="00F06D6F">
              <w:rPr>
                <w:sz w:val="20"/>
                <w:szCs w:val="20"/>
                <w:lang w:val="fr-CA"/>
              </w:rPr>
              <w:t>(Ordonnance de non-publication au dossier) (Ordonnance de mise sous scellés)</w:t>
            </w:r>
          </w:p>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D732B0">
            <w:pPr>
              <w:jc w:val="both"/>
              <w:rPr>
                <w:sz w:val="20"/>
                <w:lang w:val="fr-CA"/>
              </w:rPr>
            </w:pPr>
            <w:r w:rsidRPr="00F06D6F">
              <w:rPr>
                <w:sz w:val="20"/>
                <w:lang w:val="fr-CA"/>
              </w:rPr>
              <w:t xml:space="preserve">Droit criminel — Infraction — Éléments de l’infraction — Agression sexuelle — La Cour d’appel a-t-elle commis une erreur de droit dans son traitement de </w:t>
            </w:r>
            <w:proofErr w:type="gramStart"/>
            <w:r w:rsidRPr="00F06D6F">
              <w:rPr>
                <w:sz w:val="20"/>
                <w:lang w:val="fr-CA"/>
              </w:rPr>
              <w:t>l’</w:t>
            </w:r>
            <w:r w:rsidRPr="00F06D6F">
              <w:rPr>
                <w:i/>
                <w:sz w:val="20"/>
                <w:lang w:val="fr-CA"/>
              </w:rPr>
              <w:t>actus</w:t>
            </w:r>
            <w:proofErr w:type="gramEnd"/>
            <w:r w:rsidRPr="00F06D6F">
              <w:rPr>
                <w:i/>
                <w:sz w:val="20"/>
                <w:lang w:val="fr-CA"/>
              </w:rPr>
              <w:t xml:space="preserve"> reus</w:t>
            </w:r>
            <w:r w:rsidRPr="00F06D6F">
              <w:rPr>
                <w:sz w:val="20"/>
                <w:lang w:val="fr-CA"/>
              </w:rPr>
              <w:t xml:space="preserve"> à l’égard de l’infraction d’agression sexuelle ? — La Cour d’appel a-t-elle mal appliqué l’art. 276 du </w:t>
            </w:r>
            <w:r w:rsidRPr="00F06D6F">
              <w:rPr>
                <w:i/>
                <w:sz w:val="20"/>
                <w:lang w:val="fr-CA"/>
              </w:rPr>
              <w:t>Code criminel</w:t>
            </w:r>
            <w:r w:rsidRPr="00F06D6F">
              <w:rPr>
                <w:sz w:val="20"/>
                <w:lang w:val="fr-CA"/>
              </w:rPr>
              <w:t xml:space="preserve"> et la jurisprudence ?</w:t>
            </w:r>
          </w:p>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D732B0">
            <w:pPr>
              <w:jc w:val="both"/>
              <w:rPr>
                <w:sz w:val="20"/>
                <w:lang w:val="fr-CA"/>
              </w:rPr>
            </w:pPr>
            <w:r w:rsidRPr="00F06D6F">
              <w:rPr>
                <w:sz w:val="20"/>
                <w:lang w:val="fr-CA"/>
              </w:rPr>
              <w:t>T.S.C. et la plaignante ont eu une relation. À la suite de la naissance de leur enfant, la plaignante a repris contact avec T.S.C. pour que ce dernier puisse nouer des liens avec l’enfant. Au procès, la Couronne a présenté des éléments de preuve de relations sexuelles qui ont eu lieu à deux reprises au cours de la même nuit, mais a réduit la portée de l’allégation d’agression sexuelle à seule la première d’entre elles, à l’issue du procès, en raison de l’incapacité de la plaignante de se souvenir de tout ce qui s’était passé. T.S.C. a été déclaré coupable d’agression sexuelle et a été condamné à deux ans d’emprisonnement. L’appel de la déclaration de culpabilité a été rejeté. L’autorisation d’en appeler de la peine a été accordée, et l’appel relatif à la peine a été rejeté.</w:t>
            </w:r>
          </w:p>
        </w:tc>
      </w:tr>
      <w:tr w:rsidR="00D732B0" w:rsidRPr="00442B76" w:rsidTr="00D732B0">
        <w:tc>
          <w:tcPr>
            <w:tcW w:w="5000" w:type="pct"/>
            <w:gridSpan w:val="4"/>
          </w:tcPr>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8 octobre 2020</w:t>
            </w:r>
          </w:p>
          <w:p w:rsidR="00D732B0" w:rsidRPr="00F06D6F" w:rsidRDefault="00D732B0" w:rsidP="00D732B0">
            <w:pPr>
              <w:jc w:val="both"/>
              <w:rPr>
                <w:sz w:val="20"/>
                <w:lang w:val="fr-CA"/>
              </w:rPr>
            </w:pPr>
            <w:r w:rsidRPr="00F06D6F">
              <w:rPr>
                <w:sz w:val="20"/>
                <w:lang w:val="fr-CA"/>
              </w:rPr>
              <w:t>Cour du Banc de la Reine de la Saskatchewan</w:t>
            </w:r>
          </w:p>
          <w:p w:rsidR="00D732B0" w:rsidRPr="00F06D6F" w:rsidRDefault="00D732B0" w:rsidP="00D732B0">
            <w:pPr>
              <w:jc w:val="both"/>
              <w:rPr>
                <w:sz w:val="20"/>
                <w:lang w:val="fr-CA"/>
              </w:rPr>
            </w:pPr>
            <w:r w:rsidRPr="00F06D6F">
              <w:rPr>
                <w:sz w:val="20"/>
                <w:lang w:val="fr-CA"/>
              </w:rPr>
              <w:t>(juge Klatt)</w:t>
            </w:r>
          </w:p>
          <w:p w:rsidR="00D732B0" w:rsidRPr="00F06D6F" w:rsidRDefault="00D732B0" w:rsidP="00D732B0">
            <w:pPr>
              <w:jc w:val="both"/>
              <w:rPr>
                <w:sz w:val="20"/>
                <w:lang w:val="fr-CA"/>
              </w:rPr>
            </w:pPr>
            <w:r w:rsidRPr="00F06D6F">
              <w:rPr>
                <w:sz w:val="20"/>
                <w:lang w:val="fr-CA"/>
              </w:rPr>
              <w:t>(non publié)</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Le demandeur est déclaré coupable d’agression sexuelle.</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23 mars 2021</w:t>
            </w:r>
          </w:p>
          <w:p w:rsidR="00D732B0" w:rsidRPr="00F06D6F" w:rsidRDefault="00D732B0" w:rsidP="00D732B0">
            <w:pPr>
              <w:jc w:val="both"/>
              <w:rPr>
                <w:sz w:val="20"/>
                <w:lang w:val="fr-CA"/>
              </w:rPr>
            </w:pPr>
            <w:r w:rsidRPr="00F06D6F">
              <w:rPr>
                <w:sz w:val="20"/>
                <w:lang w:val="fr-CA"/>
              </w:rPr>
              <w:t>Cour du Banc de la Reine de la Saskatchewan</w:t>
            </w:r>
          </w:p>
          <w:p w:rsidR="00D732B0" w:rsidRPr="00F06D6F" w:rsidRDefault="00D732B0" w:rsidP="00D732B0">
            <w:pPr>
              <w:jc w:val="both"/>
              <w:rPr>
                <w:sz w:val="20"/>
                <w:lang w:val="fr-CA"/>
              </w:rPr>
            </w:pPr>
            <w:r w:rsidRPr="00F06D6F">
              <w:rPr>
                <w:sz w:val="20"/>
                <w:lang w:val="fr-CA"/>
              </w:rPr>
              <w:lastRenderedPageBreak/>
              <w:t>(juge Klatt)</w:t>
            </w:r>
          </w:p>
          <w:p w:rsidR="00D732B0" w:rsidRPr="00F06D6F" w:rsidRDefault="00442B76" w:rsidP="00D732B0">
            <w:pPr>
              <w:jc w:val="both"/>
              <w:rPr>
                <w:sz w:val="20"/>
                <w:lang w:val="fr-CA"/>
              </w:rPr>
            </w:pPr>
            <w:hyperlink r:id="rId52" w:history="1">
              <w:r w:rsidR="00D732B0" w:rsidRPr="00F06D6F">
                <w:rPr>
                  <w:rStyle w:val="Hyperlink"/>
                  <w:sz w:val="20"/>
                  <w:lang w:val="fr-CA"/>
                </w:rPr>
                <w:t>2021 SKQB 82</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Une peine d’emprisonnement de deux ans est imposée.</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5 janvier 2022</w:t>
            </w:r>
          </w:p>
          <w:p w:rsidR="00D732B0" w:rsidRPr="00F06D6F" w:rsidRDefault="00D732B0" w:rsidP="00D732B0">
            <w:pPr>
              <w:jc w:val="both"/>
              <w:rPr>
                <w:sz w:val="20"/>
                <w:lang w:val="fr-CA"/>
              </w:rPr>
            </w:pPr>
            <w:r w:rsidRPr="00F06D6F">
              <w:rPr>
                <w:sz w:val="20"/>
                <w:lang w:val="fr-CA"/>
              </w:rPr>
              <w:t>Cour d’appel de la Saskatchewan</w:t>
            </w:r>
          </w:p>
          <w:p w:rsidR="00D732B0" w:rsidRPr="00F06D6F" w:rsidRDefault="00D732B0" w:rsidP="00D732B0">
            <w:pPr>
              <w:jc w:val="both"/>
              <w:rPr>
                <w:sz w:val="20"/>
                <w:lang w:val="fr-CA"/>
              </w:rPr>
            </w:pPr>
            <w:r w:rsidRPr="00F06D6F">
              <w:rPr>
                <w:sz w:val="20"/>
                <w:lang w:val="fr-CA"/>
              </w:rPr>
              <w:t>(juges Jackson, Ryan</w:t>
            </w:r>
            <w:r w:rsidRPr="00F06D6F">
              <w:rPr>
                <w:sz w:val="20"/>
                <w:lang w:val="fr-CA"/>
              </w:rPr>
              <w:noBreakHyphen/>
              <w:t>Froslie, Tholl)</w:t>
            </w:r>
          </w:p>
          <w:p w:rsidR="00D732B0" w:rsidRPr="00F06D6F" w:rsidRDefault="00D732B0" w:rsidP="00D732B0">
            <w:pPr>
              <w:jc w:val="both"/>
              <w:rPr>
                <w:sz w:val="20"/>
                <w:lang w:val="fr-CA"/>
              </w:rPr>
            </w:pPr>
            <w:r w:rsidRPr="00F06D6F">
              <w:rPr>
                <w:sz w:val="20"/>
                <w:lang w:val="fr-CA"/>
              </w:rPr>
              <w:t xml:space="preserve">CACR3444; </w:t>
            </w:r>
            <w:hyperlink r:id="rId53" w:history="1">
              <w:r w:rsidRPr="00F06D6F">
                <w:rPr>
                  <w:rStyle w:val="Hyperlink"/>
                  <w:sz w:val="20"/>
                  <w:lang w:val="fr-CA"/>
                </w:rPr>
                <w:t>2022 SKCA 1</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L’appel de la déclaration de culpabilité est rejeté; l’autorisation d’en appeler de la peine est accordée, l’appel relatif à la peine est rejeté.</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21 janvier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d’appel est présentée.</w:t>
            </w:r>
          </w:p>
          <w:p w:rsidR="00D732B0" w:rsidRPr="00F06D6F" w:rsidRDefault="00D732B0" w:rsidP="00D732B0">
            <w:pPr>
              <w:jc w:val="both"/>
              <w:rPr>
                <w:sz w:val="20"/>
                <w:lang w:val="fr-CA"/>
              </w:rPr>
            </w:pPr>
          </w:p>
        </w:tc>
      </w:tr>
    </w:tbl>
    <w:p w:rsidR="00D732B0" w:rsidRPr="00F06D6F" w:rsidRDefault="00D732B0" w:rsidP="00D732B0">
      <w:pPr>
        <w:jc w:val="both"/>
        <w:rPr>
          <w:sz w:val="20"/>
          <w:lang w:val="fr-CA"/>
        </w:rPr>
      </w:pPr>
    </w:p>
    <w:p w:rsidR="00D732B0" w:rsidRPr="00F06D6F" w:rsidRDefault="00442B76" w:rsidP="00D732B0">
      <w:pPr>
        <w:widowControl w:val="0"/>
        <w:jc w:val="both"/>
        <w:rPr>
          <w:sz w:val="20"/>
          <w:lang w:val="fr-CA"/>
        </w:rPr>
      </w:pPr>
      <w:r>
        <w:rPr>
          <w:sz w:val="20"/>
        </w:rPr>
        <w:pict>
          <v:rect id="_x0000_i1044" style="width:2in;height:1pt" o:hrpct="0" o:hralign="center" o:hrstd="t" o:hrnoshade="t" o:hr="t" fillcolor="black [3213]" stroked="f"/>
        </w:pict>
      </w:r>
    </w:p>
    <w:p w:rsidR="00D732B0" w:rsidRPr="00F06D6F" w:rsidRDefault="00D732B0" w:rsidP="00D732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tc>
          <w:tcPr>
            <w:tcW w:w="543" w:type="pct"/>
          </w:tcPr>
          <w:p w:rsidR="00D732B0" w:rsidRPr="00F06D6F" w:rsidRDefault="00D732B0" w:rsidP="00D732B0">
            <w:pPr>
              <w:jc w:val="both"/>
              <w:rPr>
                <w:sz w:val="20"/>
              </w:rPr>
            </w:pPr>
            <w:r w:rsidRPr="00F06D6F">
              <w:rPr>
                <w:rStyle w:val="SCCFileNumberChar"/>
                <w:sz w:val="20"/>
                <w:szCs w:val="20"/>
              </w:rPr>
              <w:t>40042</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Environnement Jeunesse v. Attorney General of Canada</w:t>
            </w:r>
          </w:p>
          <w:p w:rsidR="00D732B0" w:rsidRPr="00F06D6F" w:rsidRDefault="00D732B0" w:rsidP="00D732B0">
            <w:pPr>
              <w:jc w:val="both"/>
              <w:rPr>
                <w:sz w:val="20"/>
              </w:rPr>
            </w:pPr>
            <w:r w:rsidRPr="00F06D6F">
              <w:rPr>
                <w:sz w:val="20"/>
              </w:rPr>
              <w:t>(Que.) (Civil) (By Leave)</w:t>
            </w:r>
          </w:p>
        </w:tc>
      </w:tr>
      <w:tr w:rsidR="00D732B0" w:rsidRPr="00F06D6F">
        <w:tc>
          <w:tcPr>
            <w:tcW w:w="5000" w:type="pct"/>
            <w:gridSpan w:val="4"/>
          </w:tcPr>
          <w:p w:rsidR="00D732B0" w:rsidRPr="00F06D6F" w:rsidRDefault="00D732B0" w:rsidP="00D732B0">
            <w:pPr>
              <w:jc w:val="both"/>
              <w:rPr>
                <w:sz w:val="20"/>
              </w:rPr>
            </w:pPr>
            <w:r w:rsidRPr="00F06D6F">
              <w:rPr>
                <w:sz w:val="20"/>
              </w:rPr>
              <w:t xml:space="preserve">Civil procedure ⸺ Class action ⸺ Authorization to institute class action ⸺ Justiciability of the action ⸺ Are the actions and omissions of the government of Canada to address climate change subject to judicial review under the </w:t>
            </w:r>
            <w:r w:rsidRPr="00F06D6F">
              <w:rPr>
                <w:i/>
                <w:sz w:val="20"/>
              </w:rPr>
              <w:t>Canadian Charter of Rights and Freedoms</w:t>
            </w:r>
            <w:r w:rsidRPr="00F06D6F">
              <w:rPr>
                <w:sz w:val="20"/>
              </w:rPr>
              <w:t>, 1982, c. 11 and the</w:t>
            </w:r>
            <w:r w:rsidRPr="00F06D6F">
              <w:rPr>
                <w:i/>
                <w:sz w:val="20"/>
              </w:rPr>
              <w:t xml:space="preserve"> Charter of Human Rights and Freedoms</w:t>
            </w:r>
            <w:r w:rsidRPr="00F06D6F">
              <w:rPr>
                <w:sz w:val="20"/>
              </w:rPr>
              <w:t>, CQLR c C</w:t>
            </w:r>
            <w:r w:rsidRPr="00F06D6F">
              <w:rPr>
                <w:sz w:val="20"/>
              </w:rPr>
              <w:noBreakHyphen/>
              <w:t xml:space="preserve">12? ⸺ Can the Applicant’s claim proceed by way of a class action? ⸺ </w:t>
            </w:r>
            <w:r w:rsidRPr="00F06D6F">
              <w:rPr>
                <w:i/>
                <w:sz w:val="20"/>
                <w:lang w:val="en" w:eastAsia="fr-CA"/>
              </w:rPr>
              <w:t>Code of Civil Procedure</w:t>
            </w:r>
            <w:r w:rsidRPr="00F06D6F">
              <w:rPr>
                <w:sz w:val="20"/>
                <w:lang w:val="en" w:eastAsia="fr-CA"/>
              </w:rPr>
              <w:t>, CQLR c C</w:t>
            </w:r>
            <w:r w:rsidRPr="00F06D6F">
              <w:rPr>
                <w:sz w:val="20"/>
                <w:lang w:val="en" w:eastAsia="fr-CA"/>
              </w:rPr>
              <w:noBreakHyphen/>
              <w:t>25.01, art. 575.</w:t>
            </w:r>
          </w:p>
        </w:tc>
      </w:tr>
      <w:tr w:rsidR="00D732B0" w:rsidRPr="00F06D6F">
        <w:tc>
          <w:tcPr>
            <w:tcW w:w="5000" w:type="pct"/>
            <w:gridSpan w:val="4"/>
          </w:tcPr>
          <w:p w:rsidR="00D732B0" w:rsidRPr="00F06D6F" w:rsidRDefault="00D732B0" w:rsidP="00D732B0">
            <w:pPr>
              <w:jc w:val="both"/>
              <w:rPr>
                <w:sz w:val="20"/>
              </w:rPr>
            </w:pPr>
          </w:p>
        </w:tc>
      </w:tr>
      <w:tr w:rsidR="00D732B0" w:rsidRPr="00F06D6F">
        <w:tc>
          <w:tcPr>
            <w:tcW w:w="5000" w:type="pct"/>
            <w:gridSpan w:val="4"/>
          </w:tcPr>
          <w:p w:rsidR="00D732B0" w:rsidRPr="00F06D6F" w:rsidRDefault="00D732B0" w:rsidP="00D732B0">
            <w:pPr>
              <w:jc w:val="both"/>
              <w:rPr>
                <w:sz w:val="20"/>
              </w:rPr>
            </w:pPr>
            <w:r w:rsidRPr="00F06D6F">
              <w:rPr>
                <w:sz w:val="20"/>
              </w:rPr>
              <w:t>The applicant, Environnement Jeunesse is a non-profit organization whose mission is to educate Quebec youth on environmental issues. Climate change being at the heart of its concerns, the applicant filed an application for authorization to institute a class action against the Attorney General of Canada as representative of the Government of Canada. It wishes to represent a class of persons described as “all Quebec residents aged 35 and under on November 26, 2018.” In its application, Environnement Jeunesse alleges gross negligence and inaction on the part of the Government in response to the serious dangers posed by climate change and accuses the Government of having failed to establish greenhouse gas emissions reduction targets that are consistent with its international commitments. Therefore, it accuses the Government of bad faith and adds that its inaction amounts to both a civil fault and a violation of the fundamental rights of the members of the class, namely: their right to life, their right to a healthy environment that respects biodiversity, and their right to equality, since the younger generations will have to bear a greater economic and social burden than their elders. By way of remedy, the applicant does not seek compensatory damages, but asks for the cessation of the violation and punitive damages of $100 per member. Recognizing that the distribution of such sums would be impractical, it suggests that the court instead order “the implementation of a remedial measure to curb global warming.” The Superior Court of Quebec dismissed the application and the Court of Appeal dismissed the appeal.</w:t>
            </w:r>
          </w:p>
          <w:p w:rsidR="00D732B0" w:rsidRPr="00F06D6F" w:rsidRDefault="00D732B0" w:rsidP="00D732B0">
            <w:pPr>
              <w:jc w:val="both"/>
              <w:rPr>
                <w:sz w:val="20"/>
              </w:rPr>
            </w:pPr>
          </w:p>
        </w:tc>
      </w:tr>
      <w:tr w:rsidR="00D732B0" w:rsidRPr="00F06D6F">
        <w:tc>
          <w:tcPr>
            <w:tcW w:w="2427" w:type="pct"/>
            <w:gridSpan w:val="2"/>
          </w:tcPr>
          <w:p w:rsidR="00D732B0" w:rsidRPr="00F06D6F" w:rsidRDefault="00D732B0" w:rsidP="00D732B0">
            <w:pPr>
              <w:jc w:val="both"/>
              <w:rPr>
                <w:sz w:val="20"/>
              </w:rPr>
            </w:pPr>
            <w:r w:rsidRPr="00F06D6F">
              <w:rPr>
                <w:sz w:val="20"/>
              </w:rPr>
              <w:t>July 11, 2019</w:t>
            </w:r>
          </w:p>
          <w:p w:rsidR="00D732B0" w:rsidRPr="00F06D6F" w:rsidRDefault="00D732B0" w:rsidP="00D732B0">
            <w:pPr>
              <w:jc w:val="both"/>
              <w:rPr>
                <w:sz w:val="20"/>
              </w:rPr>
            </w:pPr>
            <w:r w:rsidRPr="00F06D6F">
              <w:rPr>
                <w:sz w:val="20"/>
              </w:rPr>
              <w:t>Superior Court of Quebec</w:t>
            </w:r>
          </w:p>
          <w:p w:rsidR="00D732B0" w:rsidRPr="00F06D6F" w:rsidRDefault="00D732B0" w:rsidP="00D732B0">
            <w:pPr>
              <w:jc w:val="both"/>
              <w:rPr>
                <w:sz w:val="20"/>
              </w:rPr>
            </w:pPr>
            <w:r w:rsidRPr="00F06D6F">
              <w:rPr>
                <w:sz w:val="20"/>
              </w:rPr>
              <w:t>(Morrison J.)</w:t>
            </w:r>
          </w:p>
          <w:p w:rsidR="00D732B0" w:rsidRPr="00F06D6F" w:rsidRDefault="00442B76" w:rsidP="00D732B0">
            <w:pPr>
              <w:jc w:val="both"/>
              <w:rPr>
                <w:sz w:val="20"/>
              </w:rPr>
            </w:pPr>
            <w:hyperlink r:id="rId54" w:history="1">
              <w:r w:rsidR="00D732B0" w:rsidRPr="00F06D6F">
                <w:rPr>
                  <w:rStyle w:val="Hyperlink"/>
                  <w:sz w:val="20"/>
                </w:rPr>
                <w:t>2019 QCCS 2885</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authorization to institute class action dismissed.</w:t>
            </w:r>
          </w:p>
        </w:tc>
      </w:tr>
      <w:tr w:rsidR="00D732B0" w:rsidRPr="00F06D6F">
        <w:tc>
          <w:tcPr>
            <w:tcW w:w="2427" w:type="pct"/>
            <w:gridSpan w:val="2"/>
          </w:tcPr>
          <w:p w:rsidR="00D732B0" w:rsidRPr="00F06D6F" w:rsidRDefault="00D732B0" w:rsidP="00D732B0">
            <w:pPr>
              <w:jc w:val="both"/>
              <w:rPr>
                <w:sz w:val="20"/>
              </w:rPr>
            </w:pPr>
            <w:r w:rsidRPr="00F06D6F">
              <w:rPr>
                <w:sz w:val="20"/>
              </w:rPr>
              <w:t>December 13, 2021</w:t>
            </w:r>
          </w:p>
          <w:p w:rsidR="00D732B0" w:rsidRPr="00F06D6F" w:rsidRDefault="00D732B0" w:rsidP="00D732B0">
            <w:pPr>
              <w:jc w:val="both"/>
              <w:rPr>
                <w:sz w:val="20"/>
              </w:rPr>
            </w:pPr>
            <w:r w:rsidRPr="00F06D6F">
              <w:rPr>
                <w:sz w:val="20"/>
              </w:rPr>
              <w:t>Court of Appeal of Quebec (Montréal)</w:t>
            </w:r>
          </w:p>
          <w:p w:rsidR="00D732B0" w:rsidRPr="00F06D6F" w:rsidRDefault="00D732B0" w:rsidP="00D732B0">
            <w:pPr>
              <w:jc w:val="both"/>
              <w:rPr>
                <w:sz w:val="20"/>
              </w:rPr>
            </w:pPr>
            <w:r w:rsidRPr="00F06D6F">
              <w:rPr>
                <w:sz w:val="20"/>
              </w:rPr>
              <w:t>(Vauclair, Cotnam and Moore JJ.A.)</w:t>
            </w:r>
          </w:p>
          <w:p w:rsidR="00D732B0" w:rsidRPr="00F06D6F" w:rsidRDefault="00442B76" w:rsidP="00D732B0">
            <w:pPr>
              <w:jc w:val="both"/>
              <w:rPr>
                <w:sz w:val="20"/>
              </w:rPr>
            </w:pPr>
            <w:hyperlink r:id="rId55" w:history="1">
              <w:r w:rsidR="00D732B0" w:rsidRPr="00F06D6F">
                <w:rPr>
                  <w:rStyle w:val="Hyperlink"/>
                  <w:sz w:val="20"/>
                </w:rPr>
                <w:t>2021 QCCA 1871</w:t>
              </w:r>
            </w:hyperlink>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Appeal dismissed.</w:t>
            </w:r>
          </w:p>
          <w:p w:rsidR="00D732B0" w:rsidRPr="00F06D6F" w:rsidRDefault="00D732B0" w:rsidP="00D732B0">
            <w:pPr>
              <w:jc w:val="both"/>
              <w:rPr>
                <w:sz w:val="20"/>
              </w:rPr>
            </w:pPr>
          </w:p>
        </w:tc>
      </w:tr>
      <w:tr w:rsidR="00D732B0" w:rsidRPr="00F06D6F">
        <w:tc>
          <w:tcPr>
            <w:tcW w:w="2427" w:type="pct"/>
            <w:gridSpan w:val="2"/>
          </w:tcPr>
          <w:p w:rsidR="00D732B0" w:rsidRPr="00F06D6F" w:rsidRDefault="00D732B0" w:rsidP="00D732B0">
            <w:pPr>
              <w:jc w:val="both"/>
              <w:rPr>
                <w:sz w:val="20"/>
              </w:rPr>
            </w:pPr>
            <w:r w:rsidRPr="00F06D6F">
              <w:rPr>
                <w:sz w:val="20"/>
              </w:rPr>
              <w:t>February 11,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D732B0" w:rsidRPr="00F06D6F" w:rsidRDefault="00442B76" w:rsidP="00D732B0">
      <w:pPr>
        <w:jc w:val="both"/>
        <w:rPr>
          <w:sz w:val="20"/>
        </w:rPr>
      </w:pPr>
      <w:r>
        <w:rPr>
          <w:sz w:val="20"/>
        </w:rPr>
        <w:pict>
          <v:rect id="_x0000_i1045" style="width:2in;height:1pt" o:hrpct="0" o:hralign="center" o:hrstd="t" o:hrnoshade="t" o:hr="t" fillcolor="black [3213]" stroked="f"/>
        </w:pict>
      </w:r>
    </w:p>
    <w:p w:rsidR="00D732B0" w:rsidRPr="00F06D6F" w:rsidRDefault="00D732B0"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tc>
          <w:tcPr>
            <w:tcW w:w="543" w:type="pct"/>
          </w:tcPr>
          <w:p w:rsidR="00D732B0" w:rsidRPr="00F06D6F" w:rsidRDefault="00D732B0" w:rsidP="00D732B0">
            <w:pPr>
              <w:jc w:val="both"/>
              <w:rPr>
                <w:sz w:val="20"/>
                <w:lang w:val="fr-CA"/>
              </w:rPr>
            </w:pPr>
            <w:r w:rsidRPr="00F06D6F">
              <w:rPr>
                <w:rStyle w:val="SCCFileNumberChar"/>
                <w:sz w:val="20"/>
                <w:szCs w:val="20"/>
                <w:lang w:val="fr-CA"/>
              </w:rPr>
              <w:t>40042</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Environnement Jeunesse c. Procureur général du Canada</w:t>
            </w:r>
          </w:p>
          <w:p w:rsidR="00D732B0" w:rsidRPr="00F06D6F" w:rsidRDefault="00D732B0" w:rsidP="008614A3">
            <w:pPr>
              <w:jc w:val="both"/>
              <w:rPr>
                <w:sz w:val="20"/>
                <w:lang w:val="fr-CA"/>
              </w:rPr>
            </w:pPr>
            <w:r w:rsidRPr="00F06D6F">
              <w:rPr>
                <w:sz w:val="20"/>
                <w:lang w:val="fr-CA"/>
              </w:rPr>
              <w:t>(Qc) (</w:t>
            </w:r>
            <w:r w:rsidR="008614A3" w:rsidRPr="00F06D6F">
              <w:rPr>
                <w:sz w:val="20"/>
                <w:lang w:val="fr-CA"/>
              </w:rPr>
              <w:t>C</w:t>
            </w:r>
            <w:r w:rsidRPr="00F06D6F">
              <w:rPr>
                <w:sz w:val="20"/>
                <w:lang w:val="fr-CA"/>
              </w:rPr>
              <w:t>ivile) (</w:t>
            </w:r>
            <w:r w:rsidR="008614A3" w:rsidRPr="00F06D6F">
              <w:rPr>
                <w:sz w:val="20"/>
                <w:lang w:val="fr-CA"/>
              </w:rPr>
              <w:t>S</w:t>
            </w:r>
            <w:r w:rsidRPr="00F06D6F">
              <w:rPr>
                <w:sz w:val="20"/>
                <w:lang w:val="fr-CA"/>
              </w:rPr>
              <w:t>ur autorisation)</w:t>
            </w:r>
          </w:p>
        </w:tc>
      </w:tr>
      <w:tr w:rsidR="00D732B0" w:rsidRPr="00F06D6F">
        <w:tc>
          <w:tcPr>
            <w:tcW w:w="5000" w:type="pct"/>
            <w:gridSpan w:val="4"/>
          </w:tcPr>
          <w:p w:rsidR="00D732B0" w:rsidRPr="00F06D6F" w:rsidRDefault="00D732B0" w:rsidP="00D732B0">
            <w:pPr>
              <w:jc w:val="both"/>
              <w:rPr>
                <w:sz w:val="20"/>
                <w:lang w:val="fr-CA"/>
              </w:rPr>
            </w:pPr>
            <w:r w:rsidRPr="00F06D6F">
              <w:rPr>
                <w:sz w:val="20"/>
                <w:lang w:val="fr-CA"/>
              </w:rPr>
              <w:lastRenderedPageBreak/>
              <w:t xml:space="preserve">Procédure civile ⸺ Recours collectifs ⸺ Autorisation d’exercer une action collective ⸺ Caractère justiciable de l’action ⸺ Les actes et les omissions du gouvernement du Canada dans la lutte contre le changement climatique sont-ils susceptibles de contrôle judiciaire en vertu de la </w:t>
            </w:r>
            <w:r w:rsidRPr="00F06D6F">
              <w:rPr>
                <w:i/>
                <w:sz w:val="20"/>
                <w:lang w:val="fr-CA"/>
              </w:rPr>
              <w:t>Charte canadienne des droits et libertés</w:t>
            </w:r>
            <w:r w:rsidRPr="00F06D6F">
              <w:rPr>
                <w:sz w:val="20"/>
                <w:lang w:val="fr-CA"/>
              </w:rPr>
              <w:t xml:space="preserve">, 1982, c. 11 et de la </w:t>
            </w:r>
            <w:r w:rsidRPr="00F06D6F">
              <w:rPr>
                <w:i/>
                <w:sz w:val="20"/>
                <w:lang w:val="fr-CA"/>
              </w:rPr>
              <w:t>Charte des droits et libertés de la personne</w:t>
            </w:r>
            <w:r w:rsidRPr="00F06D6F">
              <w:rPr>
                <w:sz w:val="20"/>
                <w:lang w:val="fr-CA"/>
              </w:rPr>
              <w:t xml:space="preserve">, RLRQ, c. C-12 ? ⸺ La demande de la demanderesse peut-elle être instruite au moyen d’une action collective ? ⸺ </w:t>
            </w:r>
            <w:r w:rsidRPr="00F06D6F">
              <w:rPr>
                <w:i/>
                <w:sz w:val="20"/>
                <w:lang w:val="fr-CA" w:eastAsia="fr-CA"/>
              </w:rPr>
              <w:t>Code de procédure civile, RLRQ, c. </w:t>
            </w:r>
            <w:r w:rsidRPr="00F06D6F">
              <w:rPr>
                <w:sz w:val="20"/>
                <w:lang w:val="fr-CA" w:eastAsia="fr-CA"/>
              </w:rPr>
              <w:t>C</w:t>
            </w:r>
            <w:r w:rsidRPr="00F06D6F">
              <w:rPr>
                <w:sz w:val="20"/>
                <w:lang w:val="fr-CA" w:eastAsia="fr-CA"/>
              </w:rPr>
              <w:noBreakHyphen/>
              <w:t>25.01, art. 575.</w:t>
            </w:r>
          </w:p>
        </w:tc>
      </w:tr>
      <w:tr w:rsidR="00D732B0" w:rsidRPr="00F06D6F">
        <w:tc>
          <w:tcPr>
            <w:tcW w:w="5000" w:type="pct"/>
            <w:gridSpan w:val="4"/>
          </w:tcPr>
          <w:p w:rsidR="00D732B0" w:rsidRPr="00F06D6F" w:rsidRDefault="00D732B0" w:rsidP="00D732B0">
            <w:pPr>
              <w:jc w:val="both"/>
              <w:rPr>
                <w:sz w:val="20"/>
                <w:lang w:val="fr-CA"/>
              </w:rPr>
            </w:pPr>
          </w:p>
        </w:tc>
      </w:tr>
      <w:tr w:rsidR="00D732B0" w:rsidRPr="00442B76">
        <w:tc>
          <w:tcPr>
            <w:tcW w:w="5000" w:type="pct"/>
            <w:gridSpan w:val="4"/>
          </w:tcPr>
          <w:p w:rsidR="00D732B0" w:rsidRPr="00F06D6F" w:rsidRDefault="00D732B0" w:rsidP="00D732B0">
            <w:pPr>
              <w:jc w:val="both"/>
              <w:rPr>
                <w:sz w:val="20"/>
                <w:lang w:val="fr-CA"/>
              </w:rPr>
            </w:pPr>
            <w:r w:rsidRPr="00F06D6F">
              <w:rPr>
                <w:sz w:val="20"/>
                <w:lang w:val="fr-CA"/>
              </w:rPr>
              <w:t>La demanderesse, Environnement Jeunesse, est</w:t>
            </w:r>
            <w:r w:rsidRPr="00F06D6F">
              <w:rPr>
                <w:rFonts w:ascii="Arial" w:hAnsi="Arial" w:cs="Arial"/>
                <w:color w:val="000000"/>
                <w:sz w:val="20"/>
                <w:lang w:val="fr-CA"/>
              </w:rPr>
              <w:t xml:space="preserve"> </w:t>
            </w:r>
            <w:r w:rsidRPr="00F06D6F">
              <w:rPr>
                <w:sz w:val="20"/>
                <w:lang w:val="fr-CA"/>
              </w:rPr>
              <w:t>un organisme sans but lucratif</w:t>
            </w:r>
            <w:r w:rsidRPr="00F06D6F">
              <w:rPr>
                <w:color w:val="000000"/>
                <w:sz w:val="20"/>
                <w:lang w:val="fr-CA"/>
              </w:rPr>
              <w:t xml:space="preserve"> v</w:t>
            </w:r>
            <w:r w:rsidRPr="00F06D6F">
              <w:rPr>
                <w:sz w:val="20"/>
                <w:lang w:val="fr-CA"/>
              </w:rPr>
              <w:t>oué à l’éducation de la jeunesse québécoise relativement aux enjeux environnementaux. Le changement climatique étant au cœur de ses préoccupations, la demanderesse a déposé une demande aux fins d’exercer une action collective contre le procureur général du Canada à titre de représentant du gouvernement du Canada. Elle souhaite qu’on lui attribue le statut de représentante</w:t>
            </w:r>
            <w:r w:rsidRPr="00F06D6F">
              <w:rPr>
                <w:rFonts w:ascii="Arial" w:hAnsi="Arial" w:cs="Arial"/>
                <w:color w:val="000000"/>
                <w:sz w:val="20"/>
                <w:lang w:val="fr-CA"/>
              </w:rPr>
              <w:t xml:space="preserve"> </w:t>
            </w:r>
            <w:r w:rsidRPr="00F06D6F">
              <w:rPr>
                <w:sz w:val="20"/>
                <w:lang w:val="fr-CA"/>
              </w:rPr>
              <w:t>pour le compte du groupe de personnes décrit comme suit : « </w:t>
            </w:r>
            <w:r w:rsidRPr="00F06D6F">
              <w:rPr>
                <w:iCs/>
                <w:sz w:val="20"/>
                <w:lang w:val="fr-CA"/>
              </w:rPr>
              <w:t>Tous les résidents du Québec âgés de 35 ans et moins en date du 26 novembre 2018</w:t>
            </w:r>
            <w:r w:rsidRPr="00F06D6F">
              <w:rPr>
                <w:sz w:val="20"/>
                <w:lang w:val="fr-CA"/>
              </w:rPr>
              <w:t> ». Dans sa demande, Environnement Jeunesse allègue la négligence grossière et l’inaction de la part du gouvernement dans la lutte contre les graves dangers posés par le changement climatique, et elle l’accuse d’avoir omis d’établir des cibles de réduction d’émissions de gaz à effet de serre qui correspondent à ses obligations internationales. En conséquence, elle accuse le gouvernement de mauvaise foi, tout en ajoutant que l’inaction de ce dernier constitue une faute civile ainsi qu’une violation des droits fondamentaux des membres du groupe, notamment leur droit à la vie, leur droit à un environnement sain, respectueux de la biodiversité, et leur droit à l’égalité, car les générations plus jeunes devront assumer un fardeau économique et sociétal plus lourd que leurs aînés. En guise de réparation, au lieu de solliciter des dommages-intérêts compensatoires, la demanderesse demande que la violation de ces droits cesse et que des dommages-intérêts punitifs de 100 $ par membre soient accordés. Reconnaissant qu’il ne serait pas pratique de payer de telles sommes, elle suggère que le tribunal ordonne plutôt « la mise en place de mesures réparatrices pour freiner le réchauffement climatique ». La Cour supérieure du Québec a rejeté la demande et la Cour d’appel a rejeté l’appel.</w:t>
            </w:r>
            <w:r w:rsidRPr="00F06D6F">
              <w:rPr>
                <w:rFonts w:ascii="Arial" w:hAnsi="Arial" w:cs="Arial"/>
                <w:color w:val="000000"/>
                <w:sz w:val="20"/>
                <w:lang w:val="fr-CA"/>
              </w:rPr>
              <w:t xml:space="preserve"> </w:t>
            </w:r>
          </w:p>
          <w:p w:rsidR="00D732B0" w:rsidRPr="00F06D6F" w:rsidRDefault="00D732B0" w:rsidP="00D732B0">
            <w:pPr>
              <w:jc w:val="both"/>
              <w:rPr>
                <w:sz w:val="20"/>
                <w:lang w:val="fr-CA"/>
              </w:rPr>
            </w:pPr>
          </w:p>
        </w:tc>
      </w:tr>
      <w:tr w:rsidR="00D732B0" w:rsidRPr="00442B76">
        <w:tc>
          <w:tcPr>
            <w:tcW w:w="2427" w:type="pct"/>
            <w:gridSpan w:val="2"/>
          </w:tcPr>
          <w:p w:rsidR="00D732B0" w:rsidRPr="00F06D6F" w:rsidRDefault="00D732B0" w:rsidP="00D732B0">
            <w:pPr>
              <w:jc w:val="both"/>
              <w:rPr>
                <w:sz w:val="20"/>
                <w:lang w:val="fr-CA"/>
              </w:rPr>
            </w:pPr>
            <w:r w:rsidRPr="00F06D6F">
              <w:rPr>
                <w:sz w:val="20"/>
                <w:lang w:val="fr-CA"/>
              </w:rPr>
              <w:t>11 juillet 2019</w:t>
            </w:r>
          </w:p>
          <w:p w:rsidR="00D732B0" w:rsidRPr="00F06D6F" w:rsidRDefault="00D732B0" w:rsidP="00D732B0">
            <w:pPr>
              <w:jc w:val="both"/>
              <w:rPr>
                <w:sz w:val="20"/>
                <w:lang w:val="fr-CA"/>
              </w:rPr>
            </w:pPr>
            <w:r w:rsidRPr="00F06D6F">
              <w:rPr>
                <w:sz w:val="20"/>
                <w:lang w:val="fr-CA"/>
              </w:rPr>
              <w:t>Cour supérieure du Québec</w:t>
            </w:r>
          </w:p>
          <w:p w:rsidR="00D732B0" w:rsidRPr="00F06D6F" w:rsidRDefault="00D732B0" w:rsidP="00D732B0">
            <w:pPr>
              <w:jc w:val="both"/>
              <w:rPr>
                <w:sz w:val="20"/>
                <w:lang w:val="fr-CA"/>
              </w:rPr>
            </w:pPr>
            <w:r w:rsidRPr="00F06D6F">
              <w:rPr>
                <w:sz w:val="20"/>
                <w:lang w:val="fr-CA"/>
              </w:rPr>
              <w:t>(juge Morrison)</w:t>
            </w:r>
          </w:p>
          <w:p w:rsidR="00D732B0" w:rsidRPr="00F06D6F" w:rsidRDefault="00442B76" w:rsidP="00D732B0">
            <w:pPr>
              <w:jc w:val="both"/>
              <w:rPr>
                <w:sz w:val="20"/>
                <w:lang w:val="fr-CA"/>
              </w:rPr>
            </w:pPr>
            <w:hyperlink r:id="rId56" w:history="1">
              <w:r w:rsidR="00D732B0" w:rsidRPr="00F06D6F">
                <w:rPr>
                  <w:rStyle w:val="Hyperlink"/>
                  <w:sz w:val="20"/>
                  <w:lang w:val="fr-CA"/>
                </w:rPr>
                <w:t>2019 QCCS 2885</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d’exercer l’action collective est rejetée.</w:t>
            </w:r>
          </w:p>
        </w:tc>
      </w:tr>
      <w:tr w:rsidR="00D732B0" w:rsidRPr="00F06D6F">
        <w:tc>
          <w:tcPr>
            <w:tcW w:w="2427" w:type="pct"/>
            <w:gridSpan w:val="2"/>
          </w:tcPr>
          <w:p w:rsidR="00D732B0" w:rsidRPr="00F06D6F" w:rsidRDefault="00D732B0" w:rsidP="00D732B0">
            <w:pPr>
              <w:jc w:val="both"/>
              <w:rPr>
                <w:sz w:val="20"/>
                <w:lang w:val="fr-CA"/>
              </w:rPr>
            </w:pPr>
            <w:r w:rsidRPr="00F06D6F">
              <w:rPr>
                <w:sz w:val="20"/>
                <w:lang w:val="fr-CA"/>
              </w:rPr>
              <w:t>13 décembre 2021</w:t>
            </w:r>
          </w:p>
          <w:p w:rsidR="00D732B0" w:rsidRPr="00F06D6F" w:rsidRDefault="00D732B0" w:rsidP="00D732B0">
            <w:pPr>
              <w:jc w:val="both"/>
              <w:rPr>
                <w:sz w:val="20"/>
                <w:lang w:val="fr-CA"/>
              </w:rPr>
            </w:pPr>
            <w:r w:rsidRPr="00F06D6F">
              <w:rPr>
                <w:sz w:val="20"/>
                <w:lang w:val="fr-CA"/>
              </w:rPr>
              <w:t>Cour d’appel du Québec (Montréal)</w:t>
            </w:r>
          </w:p>
          <w:p w:rsidR="00D732B0" w:rsidRPr="00F06D6F" w:rsidRDefault="00D732B0" w:rsidP="00D732B0">
            <w:pPr>
              <w:jc w:val="both"/>
              <w:rPr>
                <w:sz w:val="20"/>
                <w:lang w:val="fr-CA"/>
              </w:rPr>
            </w:pPr>
            <w:r w:rsidRPr="00F06D6F">
              <w:rPr>
                <w:sz w:val="20"/>
                <w:lang w:val="fr-CA"/>
              </w:rPr>
              <w:t>(juges Vauclair, Cotnam et Moore)</w:t>
            </w:r>
          </w:p>
          <w:p w:rsidR="00D732B0" w:rsidRPr="00F06D6F" w:rsidRDefault="00442B76" w:rsidP="00D732B0">
            <w:pPr>
              <w:jc w:val="both"/>
              <w:rPr>
                <w:sz w:val="20"/>
                <w:lang w:val="fr-CA"/>
              </w:rPr>
            </w:pPr>
            <w:hyperlink r:id="rId57" w:history="1">
              <w:r w:rsidR="00D732B0" w:rsidRPr="00F06D6F">
                <w:rPr>
                  <w:rStyle w:val="Hyperlink"/>
                  <w:sz w:val="20"/>
                  <w:lang w:val="fr-CA"/>
                </w:rPr>
                <w:t>2021 QCCA 1871</w:t>
              </w:r>
            </w:hyperlink>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L’appel est rejeté.</w:t>
            </w:r>
          </w:p>
          <w:p w:rsidR="00D732B0" w:rsidRPr="00F06D6F" w:rsidRDefault="00D732B0" w:rsidP="00D732B0">
            <w:pPr>
              <w:jc w:val="both"/>
              <w:rPr>
                <w:sz w:val="20"/>
                <w:lang w:val="fr-CA"/>
              </w:rPr>
            </w:pPr>
          </w:p>
        </w:tc>
      </w:tr>
      <w:tr w:rsidR="00D732B0" w:rsidRPr="00442B76">
        <w:tc>
          <w:tcPr>
            <w:tcW w:w="2427" w:type="pct"/>
            <w:gridSpan w:val="2"/>
          </w:tcPr>
          <w:p w:rsidR="00D732B0" w:rsidRPr="00F06D6F" w:rsidRDefault="00D732B0" w:rsidP="00D732B0">
            <w:pPr>
              <w:jc w:val="both"/>
              <w:rPr>
                <w:sz w:val="20"/>
                <w:lang w:val="fr-CA"/>
              </w:rPr>
            </w:pPr>
            <w:r w:rsidRPr="00F06D6F">
              <w:rPr>
                <w:sz w:val="20"/>
                <w:lang w:val="fr-CA"/>
              </w:rPr>
              <w:t>11 février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d’appel est présentée.</w:t>
            </w:r>
          </w:p>
          <w:p w:rsidR="00D732B0" w:rsidRPr="00F06D6F" w:rsidRDefault="00D732B0" w:rsidP="00D732B0">
            <w:pPr>
              <w:jc w:val="both"/>
              <w:rPr>
                <w:sz w:val="20"/>
                <w:lang w:val="fr-CA"/>
              </w:rPr>
            </w:pPr>
          </w:p>
        </w:tc>
      </w:tr>
    </w:tbl>
    <w:p w:rsidR="00D732B0" w:rsidRPr="00F06D6F" w:rsidRDefault="00D732B0" w:rsidP="00D732B0">
      <w:pPr>
        <w:jc w:val="both"/>
        <w:rPr>
          <w:sz w:val="20"/>
          <w:lang w:val="fr-CA"/>
        </w:rPr>
      </w:pPr>
    </w:p>
    <w:p w:rsidR="00D732B0" w:rsidRPr="00F06D6F" w:rsidRDefault="00442B76" w:rsidP="00D732B0">
      <w:pPr>
        <w:jc w:val="both"/>
        <w:rPr>
          <w:sz w:val="20"/>
          <w:lang w:val="fr-CA"/>
        </w:rPr>
      </w:pPr>
      <w:r>
        <w:rPr>
          <w:sz w:val="20"/>
        </w:rPr>
        <w:pict>
          <v:rect id="_x0000_i1046" style="width:2in;height:1pt" o:hrpct="0" o:hralign="center" o:hrstd="t" o:hrnoshade="t" o:hr="t" fillcolor="black [3213]" stroked="f"/>
        </w:pict>
      </w:r>
    </w:p>
    <w:p w:rsidR="00D732B0" w:rsidRPr="00F06D6F" w:rsidRDefault="00D732B0" w:rsidP="00D732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rPr>
            </w:pPr>
            <w:r w:rsidRPr="00F06D6F">
              <w:rPr>
                <w:rStyle w:val="SCCFileNumberChar"/>
                <w:sz w:val="20"/>
                <w:szCs w:val="20"/>
              </w:rPr>
              <w:t>40139</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Her Majesty the Queen v. Blais Thomas Delaire</w:t>
            </w:r>
          </w:p>
          <w:p w:rsidR="00D732B0" w:rsidRPr="00F06D6F" w:rsidRDefault="00D732B0" w:rsidP="00D732B0">
            <w:pPr>
              <w:jc w:val="both"/>
              <w:rPr>
                <w:sz w:val="20"/>
              </w:rPr>
            </w:pPr>
            <w:r w:rsidRPr="00F06D6F">
              <w:rPr>
                <w:sz w:val="20"/>
              </w:rPr>
              <w:t>(Alta.) (Criminal) (By Leave)</w:t>
            </w:r>
          </w:p>
        </w:tc>
      </w:tr>
      <w:tr w:rsidR="00D732B0" w:rsidRPr="00F06D6F" w:rsidTr="00D732B0">
        <w:tc>
          <w:tcPr>
            <w:tcW w:w="5000" w:type="pct"/>
            <w:gridSpan w:val="4"/>
          </w:tcPr>
          <w:p w:rsidR="00D732B0" w:rsidRPr="00F06D6F" w:rsidRDefault="00D732B0" w:rsidP="00D732B0">
            <w:pPr>
              <w:jc w:val="both"/>
              <w:rPr>
                <w:sz w:val="20"/>
              </w:rPr>
            </w:pPr>
            <w:r w:rsidRPr="00F06D6F">
              <w:rPr>
                <w:sz w:val="20"/>
              </w:rPr>
              <w:t>Criminal law — Evidence — Appeals — Standard of review — Whether statement to police agent admissible for truth of its contents as circumstantial evidence — Whether principles governing circumstantial evidence applicable and, if so, how — Correct standard of review and how it is to be applied — Whether Court of Appeal erred in law by substituting its own view as to a proper ground of appeal without proper notice?</w:t>
            </w:r>
          </w:p>
        </w:tc>
      </w:tr>
      <w:tr w:rsidR="00D732B0" w:rsidRPr="00F06D6F" w:rsidTr="00D732B0">
        <w:tc>
          <w:tcPr>
            <w:tcW w:w="5000" w:type="pct"/>
            <w:gridSpan w:val="4"/>
          </w:tcPr>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sz w:val="20"/>
              </w:rPr>
              <w:t>Months after a fatal shooting, a police agent recorded conversations in which Mr. Delaire states that he told the shooter not to do the shooting but also that if he did do the shooting, then he should be smart and not just message the victim to meet and then shoot him. Mr. Delaire was charged for abetting the shooting and was convicted of manslaughter with a firearm. The Court of Appeal allowed an appeal and entered an acquittal.</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April 3, 2020</w:t>
            </w:r>
          </w:p>
          <w:p w:rsidR="00D732B0" w:rsidRPr="00F06D6F" w:rsidRDefault="00D732B0" w:rsidP="00D732B0">
            <w:pPr>
              <w:jc w:val="both"/>
              <w:rPr>
                <w:sz w:val="20"/>
              </w:rPr>
            </w:pPr>
            <w:r w:rsidRPr="00F06D6F">
              <w:rPr>
                <w:sz w:val="20"/>
              </w:rPr>
              <w:t>Court of Queen’s Bench of Alberta</w:t>
            </w:r>
          </w:p>
          <w:p w:rsidR="00D732B0" w:rsidRPr="00F06D6F" w:rsidRDefault="00D732B0" w:rsidP="00D732B0">
            <w:pPr>
              <w:jc w:val="both"/>
              <w:rPr>
                <w:sz w:val="20"/>
              </w:rPr>
            </w:pPr>
            <w:r w:rsidRPr="00F06D6F">
              <w:rPr>
                <w:sz w:val="20"/>
              </w:rPr>
              <w:t>(Wilson J.)(Unreported)</w:t>
            </w:r>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Conviction for manslaughter with a firearm</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lastRenderedPageBreak/>
              <w:t>February 3, 2022</w:t>
            </w:r>
          </w:p>
          <w:p w:rsidR="00D732B0" w:rsidRPr="00F06D6F" w:rsidRDefault="00D732B0" w:rsidP="00D732B0">
            <w:pPr>
              <w:jc w:val="both"/>
              <w:rPr>
                <w:sz w:val="20"/>
              </w:rPr>
            </w:pPr>
            <w:r w:rsidRPr="00F06D6F">
              <w:rPr>
                <w:sz w:val="20"/>
              </w:rPr>
              <w:t>Court of Appeal of Alberta (Calgary)</w:t>
            </w:r>
          </w:p>
          <w:p w:rsidR="00D732B0" w:rsidRPr="00F06D6F" w:rsidRDefault="00D732B0" w:rsidP="00D732B0">
            <w:pPr>
              <w:jc w:val="both"/>
              <w:rPr>
                <w:sz w:val="20"/>
              </w:rPr>
            </w:pPr>
            <w:r w:rsidRPr="00F06D6F">
              <w:rPr>
                <w:sz w:val="20"/>
              </w:rPr>
              <w:t>(Veldhuis, Strekaf, Kirker JJ.A.)</w:t>
            </w:r>
          </w:p>
          <w:p w:rsidR="00D732B0" w:rsidRPr="00F06D6F" w:rsidRDefault="00442B76" w:rsidP="00D732B0">
            <w:pPr>
              <w:jc w:val="both"/>
              <w:rPr>
                <w:sz w:val="20"/>
              </w:rPr>
            </w:pPr>
            <w:hyperlink r:id="rId58" w:history="1">
              <w:r w:rsidR="00D732B0" w:rsidRPr="00F06D6F">
                <w:rPr>
                  <w:rStyle w:val="Hyperlink"/>
                  <w:sz w:val="20"/>
                </w:rPr>
                <w:t>2022 ABCA 40</w:t>
              </w:r>
            </w:hyperlink>
            <w:r w:rsidR="00D732B0" w:rsidRPr="00F06D6F">
              <w:rPr>
                <w:sz w:val="20"/>
              </w:rPr>
              <w:t>; 2001-0175A</w:t>
            </w:r>
          </w:p>
          <w:p w:rsidR="00D732B0" w:rsidRPr="00F06D6F" w:rsidRDefault="00D732B0" w:rsidP="00D732B0">
            <w:pPr>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Appeal allowed, conviction set aside, acquittal entered</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t>April 1,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8614A3" w:rsidRPr="00F06D6F" w:rsidRDefault="00442B76" w:rsidP="00D732B0">
      <w:pPr>
        <w:jc w:val="both"/>
        <w:rPr>
          <w:sz w:val="20"/>
        </w:rPr>
      </w:pPr>
      <w:r>
        <w:rPr>
          <w:sz w:val="20"/>
        </w:rPr>
        <w:pict>
          <v:rect id="_x0000_i1047" style="width:2in;height:1pt" o:hrpct="0" o:hralign="center" o:hrstd="t" o:hrnoshade="t" o:hr="t" fillcolor="black [3213]" stroked="f"/>
        </w:pict>
      </w:r>
    </w:p>
    <w:p w:rsidR="008614A3" w:rsidRPr="00F06D6F" w:rsidRDefault="008614A3"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lang w:val="fr-CA"/>
              </w:rPr>
            </w:pPr>
            <w:r w:rsidRPr="00F06D6F">
              <w:rPr>
                <w:rStyle w:val="SCCFileNumberChar"/>
                <w:sz w:val="20"/>
                <w:szCs w:val="20"/>
                <w:lang w:val="fr-CA"/>
              </w:rPr>
              <w:t>40139</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Sa Majesté la Reine c. Blais Thomas Delaire</w:t>
            </w:r>
          </w:p>
          <w:p w:rsidR="00D732B0" w:rsidRPr="00F06D6F" w:rsidRDefault="00D732B0" w:rsidP="008614A3">
            <w:pPr>
              <w:jc w:val="both"/>
              <w:rPr>
                <w:sz w:val="20"/>
                <w:lang w:val="fr-CA"/>
              </w:rPr>
            </w:pPr>
            <w:r w:rsidRPr="00F06D6F">
              <w:rPr>
                <w:sz w:val="20"/>
                <w:lang w:val="fr-CA"/>
              </w:rPr>
              <w:t>(Alb.) (</w:t>
            </w:r>
            <w:r w:rsidR="008614A3" w:rsidRPr="00F06D6F">
              <w:rPr>
                <w:sz w:val="20"/>
                <w:lang w:val="fr-CA"/>
              </w:rPr>
              <w:t>C</w:t>
            </w:r>
            <w:r w:rsidRPr="00F06D6F">
              <w:rPr>
                <w:sz w:val="20"/>
                <w:lang w:val="fr-CA"/>
              </w:rPr>
              <w:t>riminelle) (</w:t>
            </w:r>
            <w:r w:rsidR="008614A3" w:rsidRPr="00F06D6F">
              <w:rPr>
                <w:sz w:val="20"/>
                <w:lang w:val="fr-CA"/>
              </w:rPr>
              <w:t>S</w:t>
            </w:r>
            <w:r w:rsidRPr="00F06D6F">
              <w:rPr>
                <w:sz w:val="20"/>
                <w:lang w:val="fr-CA"/>
              </w:rPr>
              <w:t>ur autorisation)</w:t>
            </w:r>
          </w:p>
        </w:tc>
      </w:tr>
      <w:tr w:rsidR="00D732B0" w:rsidRPr="00442B76" w:rsidTr="00D732B0">
        <w:tc>
          <w:tcPr>
            <w:tcW w:w="5000" w:type="pct"/>
            <w:gridSpan w:val="4"/>
          </w:tcPr>
          <w:p w:rsidR="00D732B0" w:rsidRPr="00F06D6F" w:rsidRDefault="00D732B0" w:rsidP="00D732B0">
            <w:pPr>
              <w:jc w:val="both"/>
              <w:rPr>
                <w:sz w:val="20"/>
                <w:lang w:val="fr-CA"/>
              </w:rPr>
            </w:pPr>
            <w:r w:rsidRPr="00F06D6F">
              <w:rPr>
                <w:sz w:val="20"/>
                <w:lang w:val="fr-CA"/>
              </w:rPr>
              <w:t>Droit criminel — Preuve — Appels — Norme de contrôle — La déclaration faite à un policier est-elle admissible pour établir la véracité de son contenu comme preuve circonstancielle ? — Les principes régissant la preuve circonstancielle sont-ils applicables, et dans l’affirmative, de quelle façon le sont-ils ? — Quelle norme de contrôle convient-il d’appliquer et de quelle manière faut-il appliquer celle-ci ? — La Cour d’appel a-t-elle commis une erreur de droit en substituant ses propres conclusions quant à ce qui constitue un motif d’appel approprié sans donner un avis suffisant ?</w:t>
            </w:r>
          </w:p>
        </w:tc>
      </w:tr>
      <w:tr w:rsidR="00D732B0" w:rsidRPr="00442B76" w:rsidTr="00D732B0">
        <w:tc>
          <w:tcPr>
            <w:tcW w:w="5000" w:type="pct"/>
            <w:gridSpan w:val="4"/>
          </w:tcPr>
          <w:p w:rsidR="00D732B0" w:rsidRPr="00F06D6F" w:rsidRDefault="00D732B0" w:rsidP="00D732B0">
            <w:pPr>
              <w:jc w:val="both"/>
              <w:rPr>
                <w:sz w:val="20"/>
                <w:lang w:val="fr-CA"/>
              </w:rPr>
            </w:pPr>
          </w:p>
        </w:tc>
      </w:tr>
      <w:tr w:rsidR="00D732B0" w:rsidRPr="00F06D6F" w:rsidTr="00D732B0">
        <w:tc>
          <w:tcPr>
            <w:tcW w:w="5000" w:type="pct"/>
            <w:gridSpan w:val="4"/>
          </w:tcPr>
          <w:p w:rsidR="00D732B0" w:rsidRPr="00F06D6F" w:rsidRDefault="00D732B0" w:rsidP="00D732B0">
            <w:pPr>
              <w:jc w:val="both"/>
              <w:rPr>
                <w:sz w:val="20"/>
                <w:lang w:val="fr-CA"/>
              </w:rPr>
            </w:pPr>
            <w:r w:rsidRPr="00F06D6F">
              <w:rPr>
                <w:sz w:val="20"/>
                <w:lang w:val="fr-CA"/>
              </w:rPr>
              <w:t>Des mois après une fusillade mortelle, un policier a enregistré des conversations dans lesquelles M. Delaire a déclaré qu’il a dit à l’auteur de la fusillade de ne pas aller de l’avant avec celle-ci, mais lui a aussi dit que s’il décidait de passer à l’acte qu'il devait agir de façon intelligente et ne pas simplement envoyer un message demandant à la victime de le rencontrer, et puis l’abattre. M. Delaire a été accusé d’avoir encouragé la fusillade et a été déclaré coupable d’homicide involontaire coupable avec usage d’une arme à feu. La Cour d’appel a accueilli l’appel et l’a acquitté.</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3 avril 2020</w:t>
            </w:r>
          </w:p>
          <w:p w:rsidR="00D732B0" w:rsidRPr="00F06D6F" w:rsidRDefault="00D732B0" w:rsidP="00D732B0">
            <w:pPr>
              <w:jc w:val="both"/>
              <w:rPr>
                <w:sz w:val="20"/>
                <w:lang w:val="fr-CA"/>
              </w:rPr>
            </w:pPr>
            <w:r w:rsidRPr="00F06D6F">
              <w:rPr>
                <w:sz w:val="20"/>
                <w:lang w:val="fr-CA"/>
              </w:rPr>
              <w:t>Cour du Banc de la Reine de l’Alberta</w:t>
            </w:r>
          </w:p>
          <w:p w:rsidR="00D732B0" w:rsidRPr="00F06D6F" w:rsidRDefault="00D732B0" w:rsidP="00D732B0">
            <w:pPr>
              <w:jc w:val="both"/>
              <w:rPr>
                <w:sz w:val="20"/>
                <w:lang w:val="fr-CA"/>
              </w:rPr>
            </w:pPr>
            <w:r w:rsidRPr="00F06D6F">
              <w:rPr>
                <w:sz w:val="20"/>
                <w:lang w:val="fr-CA"/>
              </w:rPr>
              <w:t>(juge Wilson) (non publié)</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déclaration de culpabilité pour homicide involontaire coupable avec usage d’une arme à feu est prononcée.</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3 février 2022</w:t>
            </w:r>
          </w:p>
          <w:p w:rsidR="00D732B0" w:rsidRPr="00F06D6F" w:rsidRDefault="00D732B0" w:rsidP="00D732B0">
            <w:pPr>
              <w:jc w:val="both"/>
              <w:rPr>
                <w:sz w:val="20"/>
                <w:lang w:val="fr-CA"/>
              </w:rPr>
            </w:pPr>
            <w:r w:rsidRPr="00F06D6F">
              <w:rPr>
                <w:sz w:val="20"/>
                <w:lang w:val="fr-CA"/>
              </w:rPr>
              <w:t>Cour d’appel de l’Alberta (Calgary)</w:t>
            </w:r>
          </w:p>
          <w:p w:rsidR="00D732B0" w:rsidRPr="00F06D6F" w:rsidRDefault="00D732B0" w:rsidP="00D732B0">
            <w:pPr>
              <w:jc w:val="both"/>
              <w:rPr>
                <w:sz w:val="20"/>
                <w:lang w:val="fr-CA"/>
              </w:rPr>
            </w:pPr>
            <w:r w:rsidRPr="00F06D6F">
              <w:rPr>
                <w:sz w:val="20"/>
                <w:lang w:val="fr-CA"/>
              </w:rPr>
              <w:t>(juges Veldhuis, Strekaf, Kirker)</w:t>
            </w:r>
          </w:p>
          <w:p w:rsidR="00D732B0" w:rsidRPr="00F06D6F" w:rsidRDefault="00442B76" w:rsidP="00D732B0">
            <w:pPr>
              <w:jc w:val="both"/>
              <w:rPr>
                <w:sz w:val="20"/>
                <w:lang w:val="fr-CA"/>
              </w:rPr>
            </w:pPr>
            <w:hyperlink r:id="rId59" w:history="1">
              <w:r w:rsidR="00D732B0" w:rsidRPr="00F06D6F">
                <w:rPr>
                  <w:rStyle w:val="Hyperlink"/>
                  <w:sz w:val="20"/>
                  <w:lang w:val="fr-CA"/>
                </w:rPr>
                <w:t>2022 ABCA 40</w:t>
              </w:r>
            </w:hyperlink>
            <w:r w:rsidR="00D732B0" w:rsidRPr="00F06D6F">
              <w:rPr>
                <w:sz w:val="20"/>
                <w:lang w:val="fr-CA"/>
              </w:rPr>
              <w:t>; 2001-0175A</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L’appel est accueilli, la déclaration de culpabilité est annulée, l’acquittement est prononcé.</w:t>
            </w:r>
          </w:p>
          <w:p w:rsidR="00D732B0" w:rsidRPr="00F06D6F" w:rsidRDefault="00D732B0" w:rsidP="00D732B0">
            <w:pPr>
              <w:jc w:val="both"/>
              <w:rPr>
                <w:sz w:val="20"/>
                <w:lang w:val="fr-CA"/>
              </w:rPr>
            </w:pP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1</w:t>
            </w:r>
            <w:r w:rsidRPr="00F06D6F">
              <w:rPr>
                <w:sz w:val="20"/>
                <w:vertAlign w:val="superscript"/>
                <w:lang w:val="fr-CA"/>
              </w:rPr>
              <w:t>er</w:t>
            </w:r>
            <w:r w:rsidRPr="00F06D6F">
              <w:rPr>
                <w:sz w:val="20"/>
                <w:lang w:val="fr-CA"/>
              </w:rPr>
              <w:t xml:space="preserve"> avril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d’appel est présentée.</w:t>
            </w:r>
          </w:p>
          <w:p w:rsidR="00D732B0" w:rsidRPr="00F06D6F" w:rsidRDefault="00D732B0" w:rsidP="00D732B0">
            <w:pPr>
              <w:jc w:val="both"/>
              <w:rPr>
                <w:sz w:val="20"/>
                <w:lang w:val="fr-CA"/>
              </w:rPr>
            </w:pPr>
          </w:p>
        </w:tc>
      </w:tr>
    </w:tbl>
    <w:p w:rsidR="00D732B0" w:rsidRPr="00F06D6F" w:rsidRDefault="00D732B0" w:rsidP="00D732B0">
      <w:pPr>
        <w:jc w:val="both"/>
        <w:rPr>
          <w:sz w:val="20"/>
          <w:lang w:val="fr-CA"/>
        </w:rPr>
      </w:pPr>
    </w:p>
    <w:p w:rsidR="00D732B0" w:rsidRPr="00F06D6F" w:rsidRDefault="00442B76" w:rsidP="00D732B0">
      <w:pPr>
        <w:widowControl w:val="0"/>
        <w:jc w:val="both"/>
        <w:rPr>
          <w:sz w:val="20"/>
          <w:lang w:val="fr-CA"/>
        </w:rPr>
      </w:pPr>
      <w:r>
        <w:rPr>
          <w:sz w:val="20"/>
        </w:rPr>
        <w:pict>
          <v:rect id="_x0000_i1048" style="width:2in;height:1pt" o:hrpct="0" o:hralign="center" o:hrstd="t" o:hrnoshade="t" o:hr="t" fillcolor="black [3213]" stroked="f"/>
        </w:pict>
      </w:r>
    </w:p>
    <w:p w:rsidR="00D732B0" w:rsidRPr="00F06D6F" w:rsidRDefault="00D732B0" w:rsidP="00D732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rPr>
            </w:pPr>
            <w:r w:rsidRPr="00F06D6F">
              <w:rPr>
                <w:rStyle w:val="SCCFileNumberChar"/>
                <w:sz w:val="20"/>
                <w:szCs w:val="20"/>
              </w:rPr>
              <w:t>40081</w:t>
            </w:r>
          </w:p>
        </w:tc>
        <w:tc>
          <w:tcPr>
            <w:tcW w:w="4457" w:type="pct"/>
            <w:gridSpan w:val="3"/>
          </w:tcPr>
          <w:p w:rsidR="00D732B0" w:rsidRPr="00F06D6F" w:rsidRDefault="00D732B0" w:rsidP="00D732B0">
            <w:pPr>
              <w:pStyle w:val="SCCLsocParty"/>
              <w:jc w:val="both"/>
              <w:rPr>
                <w:b/>
                <w:sz w:val="20"/>
                <w:szCs w:val="20"/>
                <w:lang w:val="en-US"/>
              </w:rPr>
            </w:pPr>
            <w:r w:rsidRPr="00F06D6F">
              <w:rPr>
                <w:b/>
                <w:sz w:val="20"/>
                <w:szCs w:val="20"/>
                <w:lang w:val="en-US"/>
              </w:rPr>
              <w:t>Wendy Sin Ming Ho v. Her Majesty the Queen in Right of Ontario</w:t>
            </w:r>
          </w:p>
          <w:p w:rsidR="00D732B0" w:rsidRPr="00F06D6F" w:rsidRDefault="00D732B0" w:rsidP="00D732B0">
            <w:pPr>
              <w:jc w:val="both"/>
              <w:rPr>
                <w:sz w:val="20"/>
              </w:rPr>
            </w:pPr>
            <w:r w:rsidRPr="00F06D6F">
              <w:rPr>
                <w:sz w:val="20"/>
              </w:rPr>
              <w:t>(Ont.) (Civil) (By Leave)</w:t>
            </w:r>
          </w:p>
        </w:tc>
      </w:tr>
      <w:tr w:rsidR="00D732B0" w:rsidRPr="00F06D6F" w:rsidTr="00D732B0">
        <w:tc>
          <w:tcPr>
            <w:tcW w:w="5000" w:type="pct"/>
            <w:gridSpan w:val="4"/>
          </w:tcPr>
          <w:p w:rsidR="00D732B0" w:rsidRPr="00F06D6F" w:rsidRDefault="00D732B0" w:rsidP="00D732B0">
            <w:pPr>
              <w:jc w:val="both"/>
              <w:rPr>
                <w:sz w:val="20"/>
              </w:rPr>
            </w:pPr>
            <w:r w:rsidRPr="00F06D6F">
              <w:rPr>
                <w:sz w:val="20"/>
              </w:rPr>
              <w:t>Civil procedure — Appeal — Pleadings — Statement of claim — Quashing or dismissal of action Whether the rights of the applicant were infringed — Whether the courts below erred — Whether the application for leave to appeal discloses a matter of public importance.</w:t>
            </w:r>
          </w:p>
        </w:tc>
      </w:tr>
      <w:tr w:rsidR="00D732B0" w:rsidRPr="00F06D6F" w:rsidTr="00D732B0">
        <w:tc>
          <w:tcPr>
            <w:tcW w:w="5000" w:type="pct"/>
            <w:gridSpan w:val="4"/>
          </w:tcPr>
          <w:p w:rsidR="00D732B0" w:rsidRPr="00F06D6F" w:rsidRDefault="00D732B0" w:rsidP="00D732B0">
            <w:pPr>
              <w:jc w:val="both"/>
              <w:rPr>
                <w:sz w:val="20"/>
              </w:rPr>
            </w:pPr>
          </w:p>
        </w:tc>
      </w:tr>
      <w:tr w:rsidR="00D732B0" w:rsidRPr="00F06D6F" w:rsidTr="00D732B0">
        <w:tc>
          <w:tcPr>
            <w:tcW w:w="5000" w:type="pct"/>
            <w:gridSpan w:val="4"/>
          </w:tcPr>
          <w:p w:rsidR="00D732B0" w:rsidRPr="00F06D6F" w:rsidRDefault="00D732B0" w:rsidP="00D732B0">
            <w:pPr>
              <w:jc w:val="both"/>
              <w:rPr>
                <w:sz w:val="20"/>
              </w:rPr>
            </w:pPr>
            <w:r w:rsidRPr="00F06D6F">
              <w:rPr>
                <w:sz w:val="20"/>
              </w:rPr>
              <w:t>The applicant, Wendy Sin Ming Ho, alleged that she suffered significant psychological harm from harassment and criminal threats made against her while employed at an Ontario hospital between 1999 and 2000. Her efforts to obtain redress against her employer before various tribunals were unsuccessful. She subsequently sued the Crown and the tribunals for their failure to protect her from the alleged illegal acts of her former employer. A trial judge in the Ontario Superior Court of Justice found that the tribunals were not suable entities and struck her statement of claim against the Crown with leave to amend. A motion judge in the Ontario Superior Court of Justice then struck the amended statement of claim without leave to amend and dismissed the action against the Crown as disclosing no reasonable cause of action. The Ontario Court of Appeal dismissed the applicant’s appeal from th</w:t>
            </w:r>
            <w:r w:rsidR="008614A3" w:rsidRPr="00F06D6F">
              <w:rPr>
                <w:sz w:val="20"/>
              </w:rPr>
              <w:t>e decision of the motion judge.</w:t>
            </w:r>
          </w:p>
          <w:p w:rsidR="00D732B0" w:rsidRPr="00F06D6F" w:rsidRDefault="00D732B0" w:rsidP="00D732B0">
            <w:pPr>
              <w:jc w:val="both"/>
              <w:rPr>
                <w:sz w:val="20"/>
              </w:rPr>
            </w:pPr>
          </w:p>
        </w:tc>
      </w:tr>
      <w:tr w:rsidR="00D732B0" w:rsidRPr="00F06D6F" w:rsidTr="00D732B0">
        <w:tc>
          <w:tcPr>
            <w:tcW w:w="2427" w:type="pct"/>
            <w:gridSpan w:val="2"/>
          </w:tcPr>
          <w:p w:rsidR="00D732B0" w:rsidRPr="00F06D6F" w:rsidRDefault="00D732B0" w:rsidP="00D732B0">
            <w:pPr>
              <w:jc w:val="both"/>
              <w:rPr>
                <w:sz w:val="20"/>
              </w:rPr>
            </w:pPr>
            <w:r w:rsidRPr="00F06D6F">
              <w:rPr>
                <w:sz w:val="20"/>
              </w:rPr>
              <w:lastRenderedPageBreak/>
              <w:t>March 24, 2021</w:t>
            </w:r>
          </w:p>
          <w:p w:rsidR="00D732B0" w:rsidRPr="00F06D6F" w:rsidRDefault="00D732B0" w:rsidP="00D732B0">
            <w:pPr>
              <w:jc w:val="both"/>
              <w:rPr>
                <w:sz w:val="20"/>
              </w:rPr>
            </w:pPr>
            <w:r w:rsidRPr="00F06D6F">
              <w:rPr>
                <w:sz w:val="20"/>
              </w:rPr>
              <w:t>Ontario Superior Court of Justice</w:t>
            </w:r>
          </w:p>
          <w:p w:rsidR="00D732B0" w:rsidRPr="00F06D6F" w:rsidRDefault="00D732B0" w:rsidP="00D732B0">
            <w:pPr>
              <w:tabs>
                <w:tab w:val="left" w:pos="1490"/>
              </w:tabs>
              <w:jc w:val="both"/>
              <w:rPr>
                <w:sz w:val="20"/>
              </w:rPr>
            </w:pPr>
            <w:r w:rsidRPr="00F06D6F">
              <w:rPr>
                <w:sz w:val="20"/>
              </w:rPr>
              <w:t>(Myers J.)</w:t>
            </w:r>
          </w:p>
          <w:p w:rsidR="00D732B0" w:rsidRPr="00F06D6F" w:rsidRDefault="00442B76" w:rsidP="00D732B0">
            <w:pPr>
              <w:tabs>
                <w:tab w:val="left" w:pos="1490"/>
              </w:tabs>
              <w:jc w:val="both"/>
              <w:rPr>
                <w:sz w:val="20"/>
              </w:rPr>
            </w:pPr>
            <w:hyperlink r:id="rId60" w:history="1">
              <w:r w:rsidR="00D732B0" w:rsidRPr="00F06D6F">
                <w:rPr>
                  <w:rStyle w:val="Hyperlink"/>
                  <w:sz w:val="20"/>
                </w:rPr>
                <w:t>2021 ONSC 2249</w:t>
              </w:r>
            </w:hyperlink>
          </w:p>
          <w:p w:rsidR="00D732B0" w:rsidRPr="00F06D6F" w:rsidRDefault="00D732B0" w:rsidP="00D732B0">
            <w:pPr>
              <w:tabs>
                <w:tab w:val="left" w:pos="1490"/>
              </w:tabs>
              <w:jc w:val="both"/>
              <w:rPr>
                <w:sz w:val="20"/>
              </w:rPr>
            </w:pP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 xml:space="preserve">Action dismissed </w:t>
            </w: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12, 2022</w:t>
            </w:r>
          </w:p>
          <w:p w:rsidR="00D732B0" w:rsidRPr="00F06D6F" w:rsidRDefault="00D732B0" w:rsidP="00D732B0">
            <w:pPr>
              <w:jc w:val="both"/>
              <w:rPr>
                <w:sz w:val="20"/>
              </w:rPr>
            </w:pPr>
            <w:r w:rsidRPr="00F06D6F">
              <w:rPr>
                <w:sz w:val="20"/>
              </w:rPr>
              <w:t>Court of Appeal for Ontario</w:t>
            </w:r>
          </w:p>
          <w:p w:rsidR="00D732B0" w:rsidRPr="00F06D6F" w:rsidRDefault="00D732B0" w:rsidP="00D732B0">
            <w:pPr>
              <w:jc w:val="both"/>
              <w:rPr>
                <w:sz w:val="20"/>
              </w:rPr>
            </w:pPr>
            <w:r w:rsidRPr="00F06D6F">
              <w:rPr>
                <w:sz w:val="20"/>
              </w:rPr>
              <w:t>(Rouleau, van Rensburg and Roberts JJ.A.)</w:t>
            </w:r>
          </w:p>
          <w:p w:rsidR="00D732B0" w:rsidRPr="00F06D6F" w:rsidRDefault="00442B76" w:rsidP="00D732B0">
            <w:pPr>
              <w:jc w:val="both"/>
              <w:rPr>
                <w:sz w:val="20"/>
              </w:rPr>
            </w:pPr>
            <w:hyperlink r:id="rId61" w:history="1">
              <w:r w:rsidR="00D732B0" w:rsidRPr="00F06D6F">
                <w:rPr>
                  <w:rStyle w:val="Hyperlink"/>
                  <w:sz w:val="20"/>
                </w:rPr>
                <w:t>2022 ONCA 11</w:t>
              </w:r>
            </w:hyperlink>
          </w:p>
          <w:p w:rsidR="00D732B0" w:rsidRPr="00F06D6F" w:rsidRDefault="00D732B0" w:rsidP="00D732B0">
            <w:pPr>
              <w:jc w:val="both"/>
              <w:rPr>
                <w:sz w:val="20"/>
              </w:rPr>
            </w:pPr>
            <w:r w:rsidRPr="00F06D6F">
              <w:rPr>
                <w:sz w:val="20"/>
              </w:rPr>
              <w:t>C69369</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rPr>
            </w:pPr>
            <w:r w:rsidRPr="00F06D6F">
              <w:rPr>
                <w:sz w:val="20"/>
              </w:rPr>
              <w:t>Appeal dismissed</w:t>
            </w:r>
          </w:p>
        </w:tc>
      </w:tr>
      <w:tr w:rsidR="00D732B0" w:rsidRPr="00F06D6F" w:rsidTr="00D732B0">
        <w:tc>
          <w:tcPr>
            <w:tcW w:w="2427" w:type="pct"/>
            <w:gridSpan w:val="2"/>
          </w:tcPr>
          <w:p w:rsidR="00D732B0" w:rsidRPr="00F06D6F" w:rsidRDefault="00D732B0" w:rsidP="00D732B0">
            <w:pPr>
              <w:jc w:val="both"/>
              <w:rPr>
                <w:sz w:val="20"/>
              </w:rPr>
            </w:pPr>
            <w:r w:rsidRPr="00F06D6F">
              <w:rPr>
                <w:sz w:val="20"/>
              </w:rPr>
              <w:t>January 19, 2022</w:t>
            </w:r>
          </w:p>
          <w:p w:rsidR="00D732B0" w:rsidRPr="00F06D6F" w:rsidRDefault="00D732B0" w:rsidP="00D732B0">
            <w:pPr>
              <w:jc w:val="both"/>
              <w:rPr>
                <w:sz w:val="20"/>
              </w:rPr>
            </w:pPr>
            <w:r w:rsidRPr="00F06D6F">
              <w:rPr>
                <w:sz w:val="20"/>
              </w:rPr>
              <w:t>Supreme Court of Canada</w:t>
            </w:r>
          </w:p>
        </w:tc>
        <w:tc>
          <w:tcPr>
            <w:tcW w:w="243" w:type="pct"/>
          </w:tcPr>
          <w:p w:rsidR="00D732B0" w:rsidRPr="00F06D6F" w:rsidRDefault="00D732B0" w:rsidP="00D732B0">
            <w:pPr>
              <w:jc w:val="both"/>
              <w:rPr>
                <w:sz w:val="20"/>
              </w:rPr>
            </w:pPr>
          </w:p>
        </w:tc>
        <w:tc>
          <w:tcPr>
            <w:tcW w:w="2330" w:type="pct"/>
          </w:tcPr>
          <w:p w:rsidR="00D732B0" w:rsidRPr="00F06D6F" w:rsidRDefault="00D732B0" w:rsidP="00D732B0">
            <w:pPr>
              <w:jc w:val="both"/>
              <w:rPr>
                <w:sz w:val="20"/>
              </w:rPr>
            </w:pPr>
            <w:r w:rsidRPr="00F06D6F">
              <w:rPr>
                <w:sz w:val="20"/>
              </w:rPr>
              <w:t>Application for leave to appeal filed</w:t>
            </w:r>
          </w:p>
          <w:p w:rsidR="00D732B0" w:rsidRPr="00F06D6F" w:rsidRDefault="00D732B0" w:rsidP="00D732B0">
            <w:pPr>
              <w:jc w:val="both"/>
              <w:rPr>
                <w:sz w:val="20"/>
              </w:rPr>
            </w:pPr>
          </w:p>
        </w:tc>
      </w:tr>
    </w:tbl>
    <w:p w:rsidR="00D732B0" w:rsidRPr="00F06D6F" w:rsidRDefault="00D732B0" w:rsidP="00D732B0">
      <w:pPr>
        <w:jc w:val="both"/>
        <w:rPr>
          <w:sz w:val="20"/>
        </w:rPr>
      </w:pPr>
    </w:p>
    <w:p w:rsidR="008614A3" w:rsidRPr="00F06D6F" w:rsidRDefault="00442B76" w:rsidP="00D732B0">
      <w:pPr>
        <w:jc w:val="both"/>
        <w:rPr>
          <w:sz w:val="20"/>
        </w:rPr>
      </w:pPr>
      <w:r>
        <w:rPr>
          <w:sz w:val="20"/>
        </w:rPr>
        <w:pict>
          <v:rect id="_x0000_i1049" style="width:2in;height:1pt" o:hrpct="0" o:hralign="center" o:hrstd="t" o:hrnoshade="t" o:hr="t" fillcolor="black [3213]" stroked="f"/>
        </w:pict>
      </w:r>
    </w:p>
    <w:p w:rsidR="008614A3" w:rsidRPr="00F06D6F" w:rsidRDefault="008614A3" w:rsidP="00D732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732B0" w:rsidRPr="00F06D6F" w:rsidTr="00D732B0">
        <w:tc>
          <w:tcPr>
            <w:tcW w:w="543" w:type="pct"/>
          </w:tcPr>
          <w:p w:rsidR="00D732B0" w:rsidRPr="00F06D6F" w:rsidRDefault="00D732B0" w:rsidP="00D732B0">
            <w:pPr>
              <w:jc w:val="both"/>
              <w:rPr>
                <w:sz w:val="20"/>
                <w:lang w:val="fr-CA"/>
              </w:rPr>
            </w:pPr>
            <w:r w:rsidRPr="00F06D6F">
              <w:rPr>
                <w:rStyle w:val="SCCFileNumberChar"/>
                <w:sz w:val="20"/>
                <w:szCs w:val="20"/>
                <w:lang w:val="fr-CA"/>
              </w:rPr>
              <w:t>40081</w:t>
            </w:r>
          </w:p>
        </w:tc>
        <w:tc>
          <w:tcPr>
            <w:tcW w:w="4457" w:type="pct"/>
            <w:gridSpan w:val="3"/>
          </w:tcPr>
          <w:p w:rsidR="00D732B0" w:rsidRPr="00F06D6F" w:rsidRDefault="00D732B0" w:rsidP="00D732B0">
            <w:pPr>
              <w:pStyle w:val="SCCLsocParty"/>
              <w:jc w:val="both"/>
              <w:rPr>
                <w:b/>
                <w:sz w:val="20"/>
                <w:szCs w:val="20"/>
              </w:rPr>
            </w:pPr>
            <w:r w:rsidRPr="00F06D6F">
              <w:rPr>
                <w:b/>
                <w:sz w:val="20"/>
                <w:szCs w:val="20"/>
              </w:rPr>
              <w:t>Wendy Sin Ming Ho c. Sa Majesté la Reine du chef de l’Ontario</w:t>
            </w:r>
          </w:p>
          <w:p w:rsidR="00D732B0" w:rsidRPr="00F06D6F" w:rsidRDefault="00D732B0" w:rsidP="008614A3">
            <w:pPr>
              <w:jc w:val="both"/>
              <w:rPr>
                <w:sz w:val="20"/>
                <w:lang w:val="fr-CA"/>
              </w:rPr>
            </w:pPr>
            <w:r w:rsidRPr="00F06D6F">
              <w:rPr>
                <w:sz w:val="20"/>
                <w:lang w:val="fr-CA"/>
              </w:rPr>
              <w:t>(Ont.) (</w:t>
            </w:r>
            <w:r w:rsidR="008614A3" w:rsidRPr="00F06D6F">
              <w:rPr>
                <w:sz w:val="20"/>
                <w:lang w:val="fr-CA"/>
              </w:rPr>
              <w:t>C</w:t>
            </w:r>
            <w:r w:rsidRPr="00F06D6F">
              <w:rPr>
                <w:sz w:val="20"/>
                <w:lang w:val="fr-CA"/>
              </w:rPr>
              <w:t>ivile) (</w:t>
            </w:r>
            <w:r w:rsidR="008614A3" w:rsidRPr="00F06D6F">
              <w:rPr>
                <w:sz w:val="20"/>
                <w:lang w:val="fr-CA"/>
              </w:rPr>
              <w:t>S</w:t>
            </w:r>
            <w:r w:rsidRPr="00F06D6F">
              <w:rPr>
                <w:sz w:val="20"/>
                <w:lang w:val="fr-CA"/>
              </w:rPr>
              <w:t>ur autorisation)</w:t>
            </w:r>
          </w:p>
        </w:tc>
      </w:tr>
      <w:tr w:rsidR="00D732B0" w:rsidRPr="00442B76" w:rsidTr="00D732B0">
        <w:tc>
          <w:tcPr>
            <w:tcW w:w="5000" w:type="pct"/>
            <w:gridSpan w:val="4"/>
          </w:tcPr>
          <w:p w:rsidR="00D732B0" w:rsidRPr="00F06D6F" w:rsidRDefault="00D732B0" w:rsidP="00D732B0">
            <w:pPr>
              <w:jc w:val="both"/>
              <w:rPr>
                <w:sz w:val="20"/>
                <w:lang w:val="fr-CA"/>
              </w:rPr>
            </w:pPr>
            <w:r w:rsidRPr="00F06D6F">
              <w:rPr>
                <w:sz w:val="20"/>
                <w:lang w:val="fr-CA"/>
              </w:rPr>
              <w:t>Procédure civile — Appel — Actes de procédure — Déclaration — Annulation ou rejet de l’action — Les droits de la demanderesse ont-ils été violés ? — Les tribunaux inférieurs ont-ils commis une erreur ? — La demande d’autorisation d’appel soulève-t-elle une question importante pour le public ?</w:t>
            </w:r>
          </w:p>
        </w:tc>
      </w:tr>
      <w:tr w:rsidR="00D732B0" w:rsidRPr="00442B76" w:rsidTr="00D732B0">
        <w:tc>
          <w:tcPr>
            <w:tcW w:w="5000" w:type="pct"/>
            <w:gridSpan w:val="4"/>
          </w:tcPr>
          <w:p w:rsidR="00D732B0" w:rsidRPr="00F06D6F" w:rsidRDefault="00D732B0" w:rsidP="00D732B0">
            <w:pPr>
              <w:jc w:val="both"/>
              <w:rPr>
                <w:sz w:val="20"/>
                <w:lang w:val="fr-CA"/>
              </w:rPr>
            </w:pPr>
          </w:p>
        </w:tc>
      </w:tr>
      <w:tr w:rsidR="00D732B0" w:rsidRPr="00442B76" w:rsidTr="00D732B0">
        <w:tc>
          <w:tcPr>
            <w:tcW w:w="5000" w:type="pct"/>
            <w:gridSpan w:val="4"/>
          </w:tcPr>
          <w:p w:rsidR="00D732B0" w:rsidRPr="00F06D6F" w:rsidRDefault="00D732B0" w:rsidP="008614A3">
            <w:pPr>
              <w:jc w:val="both"/>
              <w:rPr>
                <w:sz w:val="20"/>
                <w:lang w:val="fr-CA"/>
              </w:rPr>
            </w:pPr>
            <w:r w:rsidRPr="00F06D6F">
              <w:rPr>
                <w:sz w:val="20"/>
                <w:lang w:val="fr-CA"/>
              </w:rPr>
              <w:t>La demanderesse, Wendy Sin Ming Ho, alléguait avoir souffert un préjudice psychologique important à la suite de menaces criminelles et de harcèlement subis alors qu’elle travaillait dans un hôpital en Ontario entre 1999 et 2000. Elle a tenté d’obtenir une réparation de la part de son employeur auprès de différents tribunaux administratifs, mais a été déboutée chaque fois. Elle a par la suite intenté une poursuite contre la Couronne et les tribunaux administratifs pour ne pas l’avoir protégée des actes illégaux que son ancien employeur aurait commis. Le juge de première instance de la Cour supérieure de justice de l’Ontario a conclu qu’il n’est pas possible d’ester en justice contre les tribunaux administratifs, et a radié sa déclaration contre la Couronne, tout en lui accordant l’autorisation de modifier cette dernière. Le juge des motions de la Cour supérieure de justice de l’Ontario a ensuite radié la déclaration modifiée sans accorder l’autorisation de la modifier à nouveau, et a rejeté l’action contre la Couronne au motif qu’elle ne révélait aucune cause d’action raisonnable. La Cour d’appel de l’Ontario a rejeté l’appel interjeté par la demanderesse contre l</w:t>
            </w:r>
            <w:r w:rsidR="008614A3" w:rsidRPr="00F06D6F">
              <w:rPr>
                <w:sz w:val="20"/>
                <w:lang w:val="fr-CA"/>
              </w:rPr>
              <w:t>a décision du juge des motions.</w:t>
            </w:r>
          </w:p>
          <w:p w:rsidR="008614A3" w:rsidRPr="00F06D6F" w:rsidRDefault="008614A3" w:rsidP="008614A3">
            <w:pPr>
              <w:jc w:val="both"/>
              <w:rPr>
                <w:sz w:val="20"/>
                <w:lang w:val="fr-CA"/>
              </w:rPr>
            </w:pPr>
          </w:p>
        </w:tc>
      </w:tr>
      <w:tr w:rsidR="00D732B0" w:rsidRPr="00F06D6F" w:rsidTr="00D732B0">
        <w:tc>
          <w:tcPr>
            <w:tcW w:w="2427" w:type="pct"/>
            <w:gridSpan w:val="2"/>
          </w:tcPr>
          <w:p w:rsidR="00D732B0" w:rsidRPr="00F06D6F" w:rsidRDefault="00D732B0" w:rsidP="00D732B0">
            <w:pPr>
              <w:jc w:val="both"/>
              <w:rPr>
                <w:sz w:val="20"/>
                <w:lang w:val="fr-CA"/>
              </w:rPr>
            </w:pPr>
            <w:r w:rsidRPr="00F06D6F">
              <w:rPr>
                <w:sz w:val="20"/>
                <w:lang w:val="fr-CA"/>
              </w:rPr>
              <w:t>24 mars 2021</w:t>
            </w:r>
          </w:p>
          <w:p w:rsidR="00D732B0" w:rsidRPr="00F06D6F" w:rsidRDefault="00D732B0" w:rsidP="00D732B0">
            <w:pPr>
              <w:jc w:val="both"/>
              <w:rPr>
                <w:sz w:val="20"/>
                <w:lang w:val="fr-CA"/>
              </w:rPr>
            </w:pPr>
            <w:r w:rsidRPr="00F06D6F">
              <w:rPr>
                <w:sz w:val="20"/>
                <w:lang w:val="fr-CA"/>
              </w:rPr>
              <w:t>Cour supérieure de justice de l’Ontario</w:t>
            </w:r>
          </w:p>
          <w:p w:rsidR="00D732B0" w:rsidRPr="00F06D6F" w:rsidRDefault="00D732B0" w:rsidP="00D732B0">
            <w:pPr>
              <w:tabs>
                <w:tab w:val="left" w:pos="1490"/>
              </w:tabs>
              <w:jc w:val="both"/>
              <w:rPr>
                <w:sz w:val="20"/>
                <w:lang w:val="fr-CA"/>
              </w:rPr>
            </w:pPr>
            <w:r w:rsidRPr="00F06D6F">
              <w:rPr>
                <w:sz w:val="20"/>
                <w:lang w:val="fr-CA"/>
              </w:rPr>
              <w:t>(juge Myers)</w:t>
            </w:r>
          </w:p>
          <w:p w:rsidR="00D732B0" w:rsidRPr="00F06D6F" w:rsidRDefault="00442B76" w:rsidP="00D732B0">
            <w:pPr>
              <w:tabs>
                <w:tab w:val="left" w:pos="1490"/>
              </w:tabs>
              <w:jc w:val="both"/>
              <w:rPr>
                <w:sz w:val="20"/>
                <w:lang w:val="fr-CA"/>
              </w:rPr>
            </w:pPr>
            <w:hyperlink r:id="rId62" w:history="1">
              <w:r w:rsidR="00D732B0" w:rsidRPr="00F06D6F">
                <w:rPr>
                  <w:rStyle w:val="Hyperlink"/>
                  <w:sz w:val="20"/>
                  <w:lang w:val="fr-CA"/>
                </w:rPr>
                <w:t>2021 ONSC 2249</w:t>
              </w:r>
            </w:hyperlink>
          </w:p>
          <w:p w:rsidR="00D732B0" w:rsidRPr="00F06D6F" w:rsidRDefault="00D732B0" w:rsidP="00D732B0">
            <w:pPr>
              <w:tabs>
                <w:tab w:val="left" w:pos="1490"/>
              </w:tabs>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 xml:space="preserve">L’action est rejetée. </w:t>
            </w:r>
          </w:p>
        </w:tc>
      </w:tr>
      <w:tr w:rsidR="00D732B0" w:rsidRPr="00F06D6F" w:rsidTr="00D732B0">
        <w:tc>
          <w:tcPr>
            <w:tcW w:w="2427" w:type="pct"/>
            <w:gridSpan w:val="2"/>
          </w:tcPr>
          <w:p w:rsidR="00D732B0" w:rsidRPr="00F06D6F" w:rsidRDefault="00D732B0" w:rsidP="00D732B0">
            <w:pPr>
              <w:jc w:val="both"/>
              <w:rPr>
                <w:sz w:val="20"/>
                <w:lang w:val="fr-CA"/>
              </w:rPr>
            </w:pPr>
            <w:r w:rsidRPr="00F06D6F">
              <w:rPr>
                <w:sz w:val="20"/>
                <w:lang w:val="fr-CA"/>
              </w:rPr>
              <w:t>12 janvier 2022</w:t>
            </w:r>
          </w:p>
          <w:p w:rsidR="00D732B0" w:rsidRPr="00F06D6F" w:rsidRDefault="00D732B0" w:rsidP="00D732B0">
            <w:pPr>
              <w:jc w:val="both"/>
              <w:rPr>
                <w:sz w:val="20"/>
                <w:lang w:val="fr-CA"/>
              </w:rPr>
            </w:pPr>
            <w:r w:rsidRPr="00F06D6F">
              <w:rPr>
                <w:sz w:val="20"/>
                <w:lang w:val="fr-CA"/>
              </w:rPr>
              <w:t>Cour d’appel de l’Ontario</w:t>
            </w:r>
          </w:p>
          <w:p w:rsidR="00D732B0" w:rsidRPr="00F06D6F" w:rsidRDefault="00D732B0" w:rsidP="00D732B0">
            <w:pPr>
              <w:jc w:val="both"/>
              <w:rPr>
                <w:sz w:val="20"/>
                <w:lang w:val="fr-CA"/>
              </w:rPr>
            </w:pPr>
            <w:r w:rsidRPr="00F06D6F">
              <w:rPr>
                <w:sz w:val="20"/>
                <w:lang w:val="fr-CA"/>
              </w:rPr>
              <w:t>(juges Rouleau, van Rensburg et Roberts)</w:t>
            </w:r>
          </w:p>
          <w:p w:rsidR="00D732B0" w:rsidRPr="00F06D6F" w:rsidRDefault="00442B76" w:rsidP="00D732B0">
            <w:pPr>
              <w:jc w:val="both"/>
              <w:rPr>
                <w:sz w:val="20"/>
                <w:lang w:val="fr-CA"/>
              </w:rPr>
            </w:pPr>
            <w:hyperlink r:id="rId63" w:history="1">
              <w:r w:rsidR="00D732B0" w:rsidRPr="00F06D6F">
                <w:rPr>
                  <w:rStyle w:val="Hyperlink"/>
                  <w:sz w:val="20"/>
                  <w:lang w:val="fr-CA"/>
                </w:rPr>
                <w:t>2022 ONCA 11</w:t>
              </w:r>
            </w:hyperlink>
          </w:p>
          <w:p w:rsidR="00D732B0" w:rsidRPr="00F06D6F" w:rsidRDefault="00D732B0" w:rsidP="00D732B0">
            <w:pPr>
              <w:jc w:val="both"/>
              <w:rPr>
                <w:sz w:val="20"/>
                <w:lang w:val="fr-CA"/>
              </w:rPr>
            </w:pPr>
            <w:r w:rsidRPr="00F06D6F">
              <w:rPr>
                <w:sz w:val="20"/>
                <w:lang w:val="fr-CA"/>
              </w:rPr>
              <w:t>C69369</w:t>
            </w:r>
          </w:p>
          <w:p w:rsidR="00D732B0" w:rsidRPr="00F06D6F" w:rsidRDefault="00D732B0" w:rsidP="00D732B0">
            <w:pPr>
              <w:jc w:val="both"/>
              <w:rPr>
                <w:sz w:val="20"/>
                <w:lang w:val="fr-CA"/>
              </w:rPr>
            </w:pP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L’appel est rejeté.</w:t>
            </w:r>
          </w:p>
        </w:tc>
      </w:tr>
      <w:tr w:rsidR="00D732B0" w:rsidRPr="00442B76" w:rsidTr="00D732B0">
        <w:tc>
          <w:tcPr>
            <w:tcW w:w="2427" w:type="pct"/>
            <w:gridSpan w:val="2"/>
          </w:tcPr>
          <w:p w:rsidR="00D732B0" w:rsidRPr="00F06D6F" w:rsidRDefault="00D732B0" w:rsidP="00D732B0">
            <w:pPr>
              <w:jc w:val="both"/>
              <w:rPr>
                <w:sz w:val="20"/>
                <w:lang w:val="fr-CA"/>
              </w:rPr>
            </w:pPr>
            <w:r w:rsidRPr="00F06D6F">
              <w:rPr>
                <w:sz w:val="20"/>
                <w:lang w:val="fr-CA"/>
              </w:rPr>
              <w:t>19 janvier 2022</w:t>
            </w:r>
          </w:p>
          <w:p w:rsidR="00D732B0" w:rsidRPr="00F06D6F" w:rsidRDefault="00D732B0" w:rsidP="00D732B0">
            <w:pPr>
              <w:jc w:val="both"/>
              <w:rPr>
                <w:sz w:val="20"/>
                <w:lang w:val="fr-CA"/>
              </w:rPr>
            </w:pPr>
            <w:r w:rsidRPr="00F06D6F">
              <w:rPr>
                <w:sz w:val="20"/>
                <w:lang w:val="fr-CA"/>
              </w:rPr>
              <w:t>Cour suprême du Canada</w:t>
            </w:r>
          </w:p>
        </w:tc>
        <w:tc>
          <w:tcPr>
            <w:tcW w:w="243" w:type="pct"/>
          </w:tcPr>
          <w:p w:rsidR="00D732B0" w:rsidRPr="00F06D6F" w:rsidRDefault="00D732B0" w:rsidP="00D732B0">
            <w:pPr>
              <w:jc w:val="both"/>
              <w:rPr>
                <w:sz w:val="20"/>
                <w:lang w:val="fr-CA"/>
              </w:rPr>
            </w:pPr>
          </w:p>
        </w:tc>
        <w:tc>
          <w:tcPr>
            <w:tcW w:w="2330" w:type="pct"/>
          </w:tcPr>
          <w:p w:rsidR="00D732B0" w:rsidRPr="00F06D6F" w:rsidRDefault="00D732B0" w:rsidP="00D732B0">
            <w:pPr>
              <w:jc w:val="both"/>
              <w:rPr>
                <w:sz w:val="20"/>
                <w:lang w:val="fr-CA"/>
              </w:rPr>
            </w:pPr>
            <w:r w:rsidRPr="00F06D6F">
              <w:rPr>
                <w:sz w:val="20"/>
                <w:lang w:val="fr-CA"/>
              </w:rPr>
              <w:t>La demande d’autorisation d’appel est présentée.</w:t>
            </w:r>
          </w:p>
          <w:p w:rsidR="00D732B0" w:rsidRPr="00F06D6F" w:rsidRDefault="00D732B0" w:rsidP="00D732B0">
            <w:pPr>
              <w:jc w:val="both"/>
              <w:rPr>
                <w:sz w:val="20"/>
                <w:lang w:val="fr-CA"/>
              </w:rPr>
            </w:pPr>
          </w:p>
        </w:tc>
      </w:tr>
    </w:tbl>
    <w:p w:rsidR="00403CA6" w:rsidRPr="00F06D6F" w:rsidRDefault="00403CA6" w:rsidP="00403CA6">
      <w:pPr>
        <w:jc w:val="both"/>
        <w:rPr>
          <w:sz w:val="20"/>
          <w:lang w:val="fr-CA"/>
        </w:rPr>
      </w:pPr>
    </w:p>
    <w:p w:rsidR="0001473D" w:rsidRPr="00F06D6F" w:rsidRDefault="00442B76" w:rsidP="00BE597E">
      <w:pPr>
        <w:widowControl w:val="0"/>
        <w:jc w:val="both"/>
        <w:rPr>
          <w:sz w:val="20"/>
          <w:lang w:val="fr-CA"/>
        </w:rPr>
      </w:pPr>
      <w:r>
        <w:rPr>
          <w:sz w:val="20"/>
        </w:rPr>
        <w:pict>
          <v:rect id="_x0000_i1050" style="width:2in;height:1pt" o:hrpct="0" o:hralign="center" o:hrstd="t" o:hrnoshade="t" o:hr="t" fillcolor="black [3213]" stroked="f"/>
        </w:pict>
      </w:r>
    </w:p>
    <w:p w:rsidR="00FD3FA0" w:rsidRPr="00F06D6F" w:rsidRDefault="00FD3FA0" w:rsidP="00350651">
      <w:pPr>
        <w:ind w:left="142" w:hanging="142"/>
        <w:jc w:val="both"/>
        <w:rPr>
          <w:sz w:val="20"/>
        </w:rPr>
      </w:pPr>
    </w:p>
    <w:p w:rsidR="008F2F11" w:rsidRPr="00F06D6F" w:rsidRDefault="008F2F11" w:rsidP="00350651">
      <w:pPr>
        <w:ind w:left="142" w:hanging="142"/>
        <w:jc w:val="both"/>
        <w:rPr>
          <w:sz w:val="20"/>
        </w:rPr>
      </w:pPr>
    </w:p>
    <w:p w:rsidR="008F2F11" w:rsidRPr="00F06D6F" w:rsidRDefault="008F2F11" w:rsidP="00350651">
      <w:pPr>
        <w:ind w:left="142" w:hanging="142"/>
        <w:jc w:val="both"/>
        <w:rPr>
          <w:sz w:val="20"/>
        </w:rPr>
      </w:pPr>
    </w:p>
    <w:p w:rsidR="00D3344A" w:rsidRPr="00F06D6F" w:rsidRDefault="00D3344A" w:rsidP="00D3344A">
      <w:pPr>
        <w:widowControl w:val="0"/>
        <w:outlineLvl w:val="0"/>
        <w:rPr>
          <w:sz w:val="20"/>
        </w:rPr>
      </w:pPr>
      <w:r w:rsidRPr="00F06D6F">
        <w:rPr>
          <w:sz w:val="20"/>
        </w:rPr>
        <w:t xml:space="preserve">Supreme Court of Canada / Cour suprême du </w:t>
      </w:r>
      <w:proofErr w:type="gramStart"/>
      <w:r w:rsidRPr="00F06D6F">
        <w:rPr>
          <w:sz w:val="20"/>
        </w:rPr>
        <w:t>Canad</w:t>
      </w:r>
      <w:r w:rsidR="00EE289F" w:rsidRPr="00F06D6F">
        <w:rPr>
          <w:sz w:val="20"/>
        </w:rPr>
        <w:t>a</w:t>
      </w:r>
      <w:r w:rsidRPr="00F06D6F">
        <w:rPr>
          <w:sz w:val="20"/>
        </w:rPr>
        <w:t xml:space="preserve"> :</w:t>
      </w:r>
      <w:proofErr w:type="gramEnd"/>
    </w:p>
    <w:p w:rsidR="00D3344A" w:rsidRPr="00F06D6F" w:rsidRDefault="00442B76" w:rsidP="00D3344A">
      <w:pPr>
        <w:widowControl w:val="0"/>
        <w:outlineLvl w:val="0"/>
        <w:rPr>
          <w:sz w:val="20"/>
          <w:u w:val="single"/>
        </w:rPr>
      </w:pPr>
      <w:hyperlink r:id="rId64" w:history="1">
        <w:r w:rsidR="009B7391" w:rsidRPr="00F06D6F">
          <w:rPr>
            <w:rStyle w:val="Hyperlink"/>
            <w:sz w:val="20"/>
          </w:rPr>
          <w:t>comments-commentaires@scc-csc.ca</w:t>
        </w:r>
      </w:hyperlink>
    </w:p>
    <w:p w:rsidR="00D3344A" w:rsidRPr="00F06D6F" w:rsidRDefault="0065588C" w:rsidP="00D3344A">
      <w:pPr>
        <w:widowControl w:val="0"/>
        <w:outlineLvl w:val="0"/>
        <w:rPr>
          <w:sz w:val="20"/>
        </w:rPr>
      </w:pPr>
      <w:r w:rsidRPr="00F06D6F">
        <w:rPr>
          <w:sz w:val="20"/>
        </w:rPr>
        <w:lastRenderedPageBreak/>
        <w:t>613-</w:t>
      </w:r>
      <w:r w:rsidR="00D3344A" w:rsidRPr="00F06D6F">
        <w:rPr>
          <w:sz w:val="20"/>
        </w:rPr>
        <w:t>995-4330</w:t>
      </w:r>
    </w:p>
    <w:p w:rsidR="00497B5E" w:rsidRPr="00F06D6F" w:rsidRDefault="00497B5E" w:rsidP="00497B5E">
      <w:pPr>
        <w:widowControl w:val="0"/>
        <w:rPr>
          <w:sz w:val="20"/>
        </w:rPr>
      </w:pPr>
    </w:p>
    <w:p w:rsidR="00F6251B" w:rsidRPr="007607A2" w:rsidRDefault="003F43E6" w:rsidP="00F6251B">
      <w:pPr>
        <w:pStyle w:val="Footer"/>
        <w:jc w:val="center"/>
        <w:rPr>
          <w:sz w:val="20"/>
        </w:rPr>
      </w:pPr>
      <w:r w:rsidRPr="00F06D6F">
        <w:rPr>
          <w:sz w:val="20"/>
        </w:rPr>
        <w:t>- 30 -</w:t>
      </w:r>
    </w:p>
    <w:sectPr w:rsidR="00F6251B" w:rsidRPr="007607A2" w:rsidSect="00E62F93">
      <w:headerReference w:type="even" r:id="rId65"/>
      <w:headerReference w:type="default" r:id="rId66"/>
      <w:footerReference w:type="even" r:id="rId67"/>
      <w:footerReference w:type="default" r:id="rId68"/>
      <w:headerReference w:type="first" r:id="rId69"/>
      <w:footerReference w:type="first" r:id="rId7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B0" w:rsidRDefault="00D732B0" w:rsidP="0034178A">
      <w:r>
        <w:separator/>
      </w:r>
    </w:p>
  </w:endnote>
  <w:endnote w:type="continuationSeparator" w:id="0">
    <w:p w:rsidR="00D732B0" w:rsidRDefault="00D732B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B0" w:rsidRDefault="00D73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B0" w:rsidRPr="009F77F0" w:rsidRDefault="00D732B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B0" w:rsidRDefault="00D73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B0" w:rsidRDefault="00D732B0" w:rsidP="0034178A">
      <w:r>
        <w:separator/>
      </w:r>
    </w:p>
  </w:footnote>
  <w:footnote w:type="continuationSeparator" w:id="0">
    <w:p w:rsidR="00D732B0" w:rsidRDefault="00D732B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B0" w:rsidRDefault="00D73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B0" w:rsidRDefault="00D73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B0" w:rsidRDefault="00D73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FFB"/>
    <w:multiLevelType w:val="hybridMultilevel"/>
    <w:tmpl w:val="3CF0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5E5D"/>
    <w:multiLevelType w:val="hybridMultilevel"/>
    <w:tmpl w:val="D6D6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3232C"/>
    <w:multiLevelType w:val="hybridMultilevel"/>
    <w:tmpl w:val="FDE0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D6101"/>
    <w:multiLevelType w:val="hybridMultilevel"/>
    <w:tmpl w:val="589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B2A55"/>
    <w:multiLevelType w:val="hybridMultilevel"/>
    <w:tmpl w:val="BC5ED478"/>
    <w:lvl w:ilvl="0" w:tplc="B7443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73A8C"/>
    <w:multiLevelType w:val="hybridMultilevel"/>
    <w:tmpl w:val="8F565390"/>
    <w:lvl w:ilvl="0" w:tplc="2C8ECE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D4435"/>
    <w:multiLevelType w:val="hybridMultilevel"/>
    <w:tmpl w:val="E1E0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A3625D"/>
    <w:multiLevelType w:val="hybridMultilevel"/>
    <w:tmpl w:val="9C4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11"/>
  </w:num>
  <w:num w:numId="4">
    <w:abstractNumId w:val="6"/>
  </w:num>
  <w:num w:numId="5">
    <w:abstractNumId w:val="0"/>
  </w:num>
  <w:num w:numId="6">
    <w:abstractNumId w:val="5"/>
  </w:num>
  <w:num w:numId="7">
    <w:abstractNumId w:val="10"/>
  </w:num>
  <w:num w:numId="8">
    <w:abstractNumId w:val="3"/>
  </w:num>
  <w:num w:numId="9">
    <w:abstractNumId w:val="8"/>
  </w:num>
  <w:num w:numId="10">
    <w:abstractNumId w:val="1"/>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6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4E90"/>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CAC"/>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26"/>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489"/>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2CA1"/>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00B"/>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2B76"/>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965"/>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155"/>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5ED8"/>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6DE1"/>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6F4"/>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0A"/>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A3"/>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98D"/>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897"/>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91F"/>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06"/>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6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4C01"/>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2B0"/>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6D6F"/>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234F"/>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6FE"/>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customStyle="1" w:styleId="pdf-viewer-word">
    <w:name w:val="pdf-viewer-word"/>
    <w:basedOn w:val="DefaultParagraphFont"/>
    <w:rsid w:val="0074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095" TargetMode="External"/><Relationship Id="rId18" Type="http://schemas.openxmlformats.org/officeDocument/2006/relationships/hyperlink" Target="https://www.scc-csc.ca/case-dossier/info/sum-som-eng.aspx?cas=40139" TargetMode="External"/><Relationship Id="rId26" Type="http://schemas.openxmlformats.org/officeDocument/2006/relationships/hyperlink" Target="https://www.canlii.org/fr/ca/cfpi/doc/2020/2020cf982/2020cf982.pdf" TargetMode="External"/><Relationship Id="rId39" Type="http://schemas.openxmlformats.org/officeDocument/2006/relationships/hyperlink" Target="https://canlii.ca/t/jlttq" TargetMode="External"/><Relationship Id="rId21" Type="http://schemas.openxmlformats.org/officeDocument/2006/relationships/hyperlink" Target="https://www.canlii.org/en/on/onca/doc/2021/2021onca727/2021onca727.html?autocompleteStr=2021%20ONCA%20727&amp;autocompletePos=1" TargetMode="External"/><Relationship Id="rId34" Type="http://schemas.openxmlformats.org/officeDocument/2006/relationships/hyperlink" Target="https://www.canlii.org/fr/qc/qccs/doc/2021/2021qccs1245/2021qccs1245.pdf" TargetMode="External"/><Relationship Id="rId42" Type="http://schemas.openxmlformats.org/officeDocument/2006/relationships/hyperlink" Target="https://canlii.ca/t/jc79f" TargetMode="External"/><Relationship Id="rId47" Type="http://schemas.openxmlformats.org/officeDocument/2006/relationships/hyperlink" Target="https://canlii.ca/t/jl1tf" TargetMode="External"/><Relationship Id="rId50" Type="http://schemas.openxmlformats.org/officeDocument/2006/relationships/hyperlink" Target="https://canlii.ca/t/jf76h" TargetMode="External"/><Relationship Id="rId55" Type="http://schemas.openxmlformats.org/officeDocument/2006/relationships/hyperlink" Target="https://www.canlii.org/fr/qc/qcca/doc/2021/2021qcca1871/2021qcca1871.html" TargetMode="External"/><Relationship Id="rId63" Type="http://schemas.openxmlformats.org/officeDocument/2006/relationships/hyperlink" Target="https://canlii.ca/t/jlpcd"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40096" TargetMode="External"/><Relationship Id="rId29" Type="http://schemas.openxmlformats.org/officeDocument/2006/relationships/hyperlink" Target="https://canlii.ca/t/hp9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87" TargetMode="External"/><Relationship Id="rId24" Type="http://schemas.openxmlformats.org/officeDocument/2006/relationships/hyperlink" Target="https://www.canlii.org/en/ca/fct/doc/2020/2020fc982/2020fc982.pdf" TargetMode="External"/><Relationship Id="rId32" Type="http://schemas.openxmlformats.org/officeDocument/2006/relationships/hyperlink" Target="https://www.canlii.org/en/bc/bcsc/doc/2018/2018bcsc892/2018bcsc892.html?resultIndex=1" TargetMode="External"/><Relationship Id="rId37" Type="http://schemas.openxmlformats.org/officeDocument/2006/relationships/hyperlink" Target="https://www.canlii.org/fr/qc/qcca/doc/2022/2022qcca85/2022qcca85.pdf" TargetMode="External"/><Relationship Id="rId40" Type="http://schemas.openxmlformats.org/officeDocument/2006/relationships/hyperlink" Target="https://canlii.ca/t/jm6v9" TargetMode="External"/><Relationship Id="rId45" Type="http://schemas.openxmlformats.org/officeDocument/2006/relationships/hyperlink" Target="https://canlii.ca/t/jl99n" TargetMode="External"/><Relationship Id="rId53" Type="http://schemas.openxmlformats.org/officeDocument/2006/relationships/hyperlink" Target="https://canlii.ca/t/jllkk" TargetMode="External"/><Relationship Id="rId58" Type="http://schemas.openxmlformats.org/officeDocument/2006/relationships/hyperlink" Target="https://www.canlii.org/en/ab/abca/doc/2022/2022abca40/2022abca40.html?resultIndex=1"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40035" TargetMode="External"/><Relationship Id="rId23" Type="http://schemas.openxmlformats.org/officeDocument/2006/relationships/hyperlink" Target="https://www.canlii.org/en/on/onca/doc/2021/2021onca727/2021onca727.html?autocompleteStr=2021%20ONCA%20727&amp;autocompletePos=1" TargetMode="External"/><Relationship Id="rId28" Type="http://schemas.openxmlformats.org/officeDocument/2006/relationships/hyperlink" Target="https://canlii.ca/t/hp9ps" TargetMode="External"/><Relationship Id="rId36" Type="http://schemas.openxmlformats.org/officeDocument/2006/relationships/hyperlink" Target="https://www.canlii.org/fr/qc/qccs/doc/2021/2021qccs1245/2021qccs1245.pdf" TargetMode="External"/><Relationship Id="rId49" Type="http://schemas.openxmlformats.org/officeDocument/2006/relationships/hyperlink" Target="https://canlii.ca/t/jl1tf" TargetMode="External"/><Relationship Id="rId57" Type="http://schemas.openxmlformats.org/officeDocument/2006/relationships/hyperlink" Target="https://www.canlii.org/fr/qc/qcca/doc/2021/2021qcca1871/2021qcca1871.html" TargetMode="External"/><Relationship Id="rId61" Type="http://schemas.openxmlformats.org/officeDocument/2006/relationships/hyperlink" Target="https://canlii.ca/t/jlpcd" TargetMode="External"/><Relationship Id="rId10" Type="http://schemas.openxmlformats.org/officeDocument/2006/relationships/hyperlink" Target="https://www.scc-csc.ca/case-dossier/info/sum-som-eng.aspx?cas=40094" TargetMode="External"/><Relationship Id="rId19" Type="http://schemas.openxmlformats.org/officeDocument/2006/relationships/hyperlink" Target="https://www.scc-csc.ca/case-dossier/info/sum-som-eng.aspx?cas=40081" TargetMode="External"/><Relationship Id="rId31" Type="http://schemas.openxmlformats.org/officeDocument/2006/relationships/hyperlink" Target="https://www.canlii.org/en/bc/bcca/doc/2022/2022bcca11/2022bcca11.html?resultIndex=1" TargetMode="External"/><Relationship Id="rId44" Type="http://schemas.openxmlformats.org/officeDocument/2006/relationships/hyperlink" Target="https://canlii.ca/t/jc79f" TargetMode="External"/><Relationship Id="rId52" Type="http://schemas.openxmlformats.org/officeDocument/2006/relationships/hyperlink" Target="https://canlii.ca/t/jf76h" TargetMode="External"/><Relationship Id="rId60" Type="http://schemas.openxmlformats.org/officeDocument/2006/relationships/hyperlink" Target="https://canlii.ca/t/jdwn7"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40057" TargetMode="External"/><Relationship Id="rId14" Type="http://schemas.openxmlformats.org/officeDocument/2006/relationships/hyperlink" Target="https://www.scc-csc.ca/case-dossier/info/sum-som-eng.aspx?cas=40055" TargetMode="External"/><Relationship Id="rId22" Type="http://schemas.openxmlformats.org/officeDocument/2006/relationships/hyperlink" Target="https://www.canlii.org/en/on/onsc/doc/2020/2020onsc4286/2020onsc4286.html" TargetMode="External"/><Relationship Id="rId27" Type="http://schemas.openxmlformats.org/officeDocument/2006/relationships/hyperlink" Target="https://www.canlii.org/fr/ca/caf/doc/2021/2021caf225/2021caf225.pdf" TargetMode="External"/><Relationship Id="rId30" Type="http://schemas.openxmlformats.org/officeDocument/2006/relationships/hyperlink" Target="https://www.canlii.org/en/bc/bcsc/doc/2018/2018bcsc892/2018bcsc892.html?resultIndex=1" TargetMode="External"/><Relationship Id="rId35" Type="http://schemas.openxmlformats.org/officeDocument/2006/relationships/hyperlink" Target="https://www.canlii.org/fr/qc/qcca/doc/2022/2022qcca85/2022qcca85.pdf" TargetMode="External"/><Relationship Id="rId43" Type="http://schemas.openxmlformats.org/officeDocument/2006/relationships/hyperlink" Target="https://canlii.ca/t/jl99n" TargetMode="External"/><Relationship Id="rId48" Type="http://schemas.openxmlformats.org/officeDocument/2006/relationships/hyperlink" Target="https://canlii.ca/t/hw811" TargetMode="External"/><Relationship Id="rId56" Type="http://schemas.openxmlformats.org/officeDocument/2006/relationships/hyperlink" Target="https://www.canlii.org/fr/qc/qccs/doc/2019/2019qccs2885/2019qccs2885.html" TargetMode="External"/><Relationship Id="rId64" Type="http://schemas.openxmlformats.org/officeDocument/2006/relationships/hyperlink" Target="mailto:comments-commentaires@scc-csc.ca" TargetMode="External"/><Relationship Id="rId69" Type="http://schemas.openxmlformats.org/officeDocument/2006/relationships/header" Target="header3.xml"/><Relationship Id="rId8" Type="http://schemas.openxmlformats.org/officeDocument/2006/relationships/hyperlink" Target="https://www.scc-csc.ca/case-dossier/info/sum-som-eng.aspx?cas=39962" TargetMode="External"/><Relationship Id="rId51" Type="http://schemas.openxmlformats.org/officeDocument/2006/relationships/hyperlink" Target="https://canlii.ca/t/jllk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fra.aspx?cas=40102" TargetMode="External"/><Relationship Id="rId17" Type="http://schemas.openxmlformats.org/officeDocument/2006/relationships/hyperlink" Target="https://www.scc-csc.ca/case-dossier/info/sum-som-eng.aspx?cas=40042" TargetMode="External"/><Relationship Id="rId25" Type="http://schemas.openxmlformats.org/officeDocument/2006/relationships/hyperlink" Target="https://www.canlii.org/fr/ca/caf/doc/2021/2021caf225/2021caf225.pdf" TargetMode="External"/><Relationship Id="rId33" Type="http://schemas.openxmlformats.org/officeDocument/2006/relationships/hyperlink" Target="https://www.canlii.org/en/bc/bcca/doc/2022/2022bcca11/2022bcca11.html?resultIndex=1" TargetMode="External"/><Relationship Id="rId38" Type="http://schemas.openxmlformats.org/officeDocument/2006/relationships/hyperlink" Target="https://canlii.ca/t/jm6v9" TargetMode="External"/><Relationship Id="rId46" Type="http://schemas.openxmlformats.org/officeDocument/2006/relationships/hyperlink" Target="https://canlii.ca/t/hw811" TargetMode="External"/><Relationship Id="rId59" Type="http://schemas.openxmlformats.org/officeDocument/2006/relationships/hyperlink" Target="https://www.canlii.org/en/ab/abca/doc/2022/2022abca40/2022abca40.html?resultIndex=1" TargetMode="External"/><Relationship Id="rId67" Type="http://schemas.openxmlformats.org/officeDocument/2006/relationships/footer" Target="footer1.xml"/><Relationship Id="rId20" Type="http://schemas.openxmlformats.org/officeDocument/2006/relationships/hyperlink" Target="https://www.canlii.org/en/on/onsc/doc/2020/2020onsc4286/2020onsc4286.html" TargetMode="External"/><Relationship Id="rId41" Type="http://schemas.openxmlformats.org/officeDocument/2006/relationships/hyperlink" Target="https://canlii.ca/t/jlttq" TargetMode="External"/><Relationship Id="rId54" Type="http://schemas.openxmlformats.org/officeDocument/2006/relationships/hyperlink" Target="https://www.canlii.org/fr/qc/qccs/doc/2019/2019qccs2885/2019qccs2885.html" TargetMode="External"/><Relationship Id="rId62" Type="http://schemas.openxmlformats.org/officeDocument/2006/relationships/hyperlink" Target="https://canlii.ca/t/jdwn7"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DD87-04F1-4E16-BC46-795937D3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58538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2022-07-25T12:27:00Z</dcterms:modified>
</cp:coreProperties>
</file>