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D21D5" w:rsidRDefault="002A192B" w:rsidP="002A192B">
      <w:pPr>
        <w:pStyle w:val="Header"/>
        <w:jc w:val="center"/>
        <w:rPr>
          <w:b/>
          <w:sz w:val="32"/>
        </w:rPr>
      </w:pPr>
      <w:r w:rsidRPr="00FD21D5">
        <w:rPr>
          <w:b/>
          <w:sz w:val="32"/>
        </w:rPr>
        <w:t>Supreme Court of Canada / Cour suprême du Canada</w:t>
      </w:r>
    </w:p>
    <w:p w:rsidR="002A192B" w:rsidRPr="00FD21D5" w:rsidRDefault="002A192B" w:rsidP="002A192B">
      <w:pPr>
        <w:widowControl w:val="0"/>
        <w:rPr>
          <w:i/>
        </w:rPr>
      </w:pPr>
    </w:p>
    <w:p w:rsidR="002A192B" w:rsidRPr="00FD21D5" w:rsidRDefault="002A192B" w:rsidP="002A192B">
      <w:pPr>
        <w:widowControl w:val="0"/>
        <w:rPr>
          <w:i/>
        </w:rPr>
      </w:pPr>
    </w:p>
    <w:p w:rsidR="001C4415" w:rsidRPr="00FD21D5" w:rsidRDefault="001C4415" w:rsidP="001C4415">
      <w:pPr>
        <w:widowControl w:val="0"/>
        <w:rPr>
          <w:i/>
          <w:sz w:val="20"/>
        </w:rPr>
      </w:pPr>
      <w:r w:rsidRPr="00FD21D5">
        <w:rPr>
          <w:i/>
          <w:sz w:val="20"/>
        </w:rPr>
        <w:t>(</w:t>
      </w:r>
      <w:r w:rsidR="003C50BF" w:rsidRPr="00FD21D5">
        <w:rPr>
          <w:i/>
          <w:sz w:val="20"/>
        </w:rPr>
        <w:t>Le</w:t>
      </w:r>
      <w:r w:rsidRPr="00FD21D5">
        <w:rPr>
          <w:i/>
          <w:sz w:val="20"/>
        </w:rPr>
        <w:t xml:space="preserve"> français suit)</w:t>
      </w:r>
    </w:p>
    <w:p w:rsidR="001C4415" w:rsidRPr="00FD21D5" w:rsidRDefault="001C4415" w:rsidP="001C4415">
      <w:pPr>
        <w:widowControl w:val="0"/>
      </w:pPr>
    </w:p>
    <w:p w:rsidR="001C4415" w:rsidRPr="00FD21D5" w:rsidRDefault="000347C1" w:rsidP="00214729">
      <w:pPr>
        <w:widowControl w:val="0"/>
        <w:jc w:val="center"/>
        <w:rPr>
          <w:b/>
        </w:rPr>
      </w:pPr>
      <w:r w:rsidRPr="00FD21D5">
        <w:fldChar w:fldCharType="begin"/>
      </w:r>
      <w:r w:rsidR="00FA7412" w:rsidRPr="00FD21D5">
        <w:instrText xml:space="preserve"> SEQ CHAPTER \h \r 1</w:instrText>
      </w:r>
      <w:r w:rsidRPr="00FD21D5">
        <w:fldChar w:fldCharType="end"/>
      </w:r>
      <w:r w:rsidR="00455BB9" w:rsidRPr="00FD21D5">
        <w:rPr>
          <w:b/>
        </w:rPr>
        <w:t>JUDGMENT</w:t>
      </w:r>
      <w:r w:rsidR="00FA7412" w:rsidRPr="00FD21D5">
        <w:rPr>
          <w:b/>
        </w:rPr>
        <w:t xml:space="preserve"> TO BE RENDERED IN APPEA</w:t>
      </w:r>
      <w:r w:rsidR="00CC2799" w:rsidRPr="00FD21D5">
        <w:rPr>
          <w:b/>
        </w:rPr>
        <w:t>L</w:t>
      </w:r>
    </w:p>
    <w:p w:rsidR="005A7C1B" w:rsidRPr="00FD21D5" w:rsidRDefault="005A7C1B" w:rsidP="005A7C1B">
      <w:pPr>
        <w:widowControl w:val="0"/>
      </w:pPr>
    </w:p>
    <w:p w:rsidR="00EC79B0" w:rsidRPr="00FD21D5" w:rsidRDefault="00665DDB" w:rsidP="00EC79B0">
      <w:pPr>
        <w:widowControl w:val="0"/>
      </w:pPr>
      <w:r w:rsidRPr="00FD21D5">
        <w:rPr>
          <w:b/>
        </w:rPr>
        <w:t>October</w:t>
      </w:r>
      <w:r w:rsidR="00C86395" w:rsidRPr="00FD21D5">
        <w:rPr>
          <w:b/>
        </w:rPr>
        <w:t xml:space="preserve"> </w:t>
      </w:r>
      <w:r w:rsidR="00FD21D5" w:rsidRPr="00FD21D5">
        <w:rPr>
          <w:b/>
        </w:rPr>
        <w:t>2</w:t>
      </w:r>
      <w:r w:rsidR="00B658B6" w:rsidRPr="00FD21D5">
        <w:rPr>
          <w:b/>
        </w:rPr>
        <w:t>1</w:t>
      </w:r>
      <w:r w:rsidR="00EC79B0" w:rsidRPr="00FD21D5">
        <w:rPr>
          <w:b/>
        </w:rPr>
        <w:t>, 2</w:t>
      </w:r>
      <w:r w:rsidR="00E6600C" w:rsidRPr="00FD21D5">
        <w:rPr>
          <w:b/>
        </w:rPr>
        <w:t>0</w:t>
      </w:r>
      <w:r w:rsidR="009544E9" w:rsidRPr="00FD21D5">
        <w:rPr>
          <w:b/>
        </w:rPr>
        <w:t>2</w:t>
      </w:r>
      <w:r w:rsidR="00B2287D" w:rsidRPr="00FD21D5">
        <w:rPr>
          <w:b/>
        </w:rPr>
        <w:t>2</w:t>
      </w:r>
    </w:p>
    <w:p w:rsidR="00EC79B0" w:rsidRPr="00FD21D5" w:rsidRDefault="00EC79B0" w:rsidP="00EC79B0">
      <w:pPr>
        <w:widowControl w:val="0"/>
        <w:rPr>
          <w:b/>
        </w:rPr>
      </w:pPr>
      <w:r w:rsidRPr="00FD21D5">
        <w:rPr>
          <w:b/>
        </w:rPr>
        <w:t>For immediate release</w:t>
      </w:r>
    </w:p>
    <w:p w:rsidR="00EC79B0" w:rsidRPr="00FD21D5" w:rsidRDefault="00EC79B0" w:rsidP="00EC79B0">
      <w:pPr>
        <w:widowControl w:val="0"/>
      </w:pPr>
    </w:p>
    <w:p w:rsidR="00EC79B0" w:rsidRPr="00FD21D5" w:rsidRDefault="00EC79B0" w:rsidP="00EC79B0">
      <w:pPr>
        <w:widowControl w:val="0"/>
        <w:rPr>
          <w:lang w:val="fr-CA"/>
        </w:rPr>
      </w:pPr>
      <w:r w:rsidRPr="00FD21D5">
        <w:rPr>
          <w:b/>
        </w:rPr>
        <w:t>OTTAWA</w:t>
      </w:r>
      <w:r w:rsidRPr="00FD21D5">
        <w:t xml:space="preserve"> – The Supreme Court of Canad</w:t>
      </w:r>
      <w:r w:rsidR="00455BB9" w:rsidRPr="00FD21D5">
        <w:t>a announced today that judgment</w:t>
      </w:r>
      <w:r w:rsidRPr="00FD21D5">
        <w:t xml:space="preserve"> in the following appeal will be delivered at 9:45 a.m. E</w:t>
      </w:r>
      <w:r w:rsidR="00762B23" w:rsidRPr="00FD21D5">
        <w:t>D</w:t>
      </w:r>
      <w:r w:rsidR="00DC6C1E" w:rsidRPr="00FD21D5">
        <w:t>T</w:t>
      </w:r>
      <w:r w:rsidR="00D74667" w:rsidRPr="00FD21D5">
        <w:t xml:space="preserve"> on</w:t>
      </w:r>
      <w:r w:rsidR="00DC6C1E" w:rsidRPr="00FD21D5">
        <w:t xml:space="preserve"> </w:t>
      </w:r>
      <w:r w:rsidR="00FD21D5" w:rsidRPr="00FD21D5">
        <w:t>Thurs</w:t>
      </w:r>
      <w:r w:rsidR="00FC36F6" w:rsidRPr="00FD21D5">
        <w:t>day</w:t>
      </w:r>
      <w:r w:rsidR="000A7900" w:rsidRPr="00FD21D5">
        <w:t xml:space="preserve">, </w:t>
      </w:r>
      <w:r w:rsidR="00665DDB" w:rsidRPr="00FD21D5">
        <w:t>October</w:t>
      </w:r>
      <w:r w:rsidR="004E605A" w:rsidRPr="00FD21D5">
        <w:t xml:space="preserve"> </w:t>
      </w:r>
      <w:r w:rsidR="00B658B6" w:rsidRPr="00FD21D5">
        <w:t>2</w:t>
      </w:r>
      <w:r w:rsidR="00FD21D5" w:rsidRPr="00FD21D5">
        <w:t>7</w:t>
      </w:r>
      <w:r w:rsidR="00E63199" w:rsidRPr="00FD21D5">
        <w:t>, 2</w:t>
      </w:r>
      <w:r w:rsidR="0086609D" w:rsidRPr="00FD21D5">
        <w:t>0</w:t>
      </w:r>
      <w:r w:rsidR="009544E9" w:rsidRPr="00FD21D5">
        <w:t>2</w:t>
      </w:r>
      <w:r w:rsidR="00B2287D" w:rsidRPr="00FD21D5">
        <w:t>2</w:t>
      </w:r>
      <w:r w:rsidR="00455BB9" w:rsidRPr="00FD21D5">
        <w:t xml:space="preserve">. </w:t>
      </w:r>
      <w:r w:rsidR="00455BB9" w:rsidRPr="00FD21D5">
        <w:rPr>
          <w:lang w:val="fr-CA"/>
        </w:rPr>
        <w:t>This</w:t>
      </w:r>
      <w:r w:rsidRPr="00FD21D5">
        <w:rPr>
          <w:lang w:val="fr-CA"/>
        </w:rPr>
        <w:t xml:space="preserve"> list is subject to change.</w:t>
      </w:r>
    </w:p>
    <w:p w:rsidR="001F76DD" w:rsidRPr="00FD21D5" w:rsidRDefault="001F76DD" w:rsidP="001C4415">
      <w:pPr>
        <w:widowControl w:val="0"/>
        <w:rPr>
          <w:szCs w:val="24"/>
          <w:lang w:val="fr-CA"/>
        </w:rPr>
      </w:pPr>
    </w:p>
    <w:p w:rsidR="001C4415" w:rsidRPr="00FD21D5" w:rsidRDefault="001C4415" w:rsidP="001C4415">
      <w:pPr>
        <w:widowControl w:val="0"/>
        <w:rPr>
          <w:lang w:val="fr-CA"/>
        </w:rPr>
      </w:pPr>
    </w:p>
    <w:p w:rsidR="001335A1" w:rsidRPr="00FD21D5" w:rsidRDefault="001335A1" w:rsidP="001335A1">
      <w:pPr>
        <w:widowControl w:val="0"/>
        <w:jc w:val="center"/>
        <w:rPr>
          <w:b/>
          <w:lang w:val="fr-CA"/>
        </w:rPr>
      </w:pPr>
      <w:r w:rsidRPr="00FD21D5">
        <w:rPr>
          <w:b/>
          <w:lang w:val="fr-CA"/>
        </w:rPr>
        <w:t>PROCHAIN JUGEMENT</w:t>
      </w:r>
      <w:r w:rsidR="00455BB9" w:rsidRPr="00FD21D5">
        <w:rPr>
          <w:b/>
          <w:lang w:val="fr-CA"/>
        </w:rPr>
        <w:t xml:space="preserve"> SUR APPEL</w:t>
      </w:r>
    </w:p>
    <w:p w:rsidR="001335A1" w:rsidRPr="00FD21D5" w:rsidRDefault="001335A1" w:rsidP="001335A1">
      <w:pPr>
        <w:widowControl w:val="0"/>
        <w:rPr>
          <w:lang w:val="fr-CA"/>
        </w:rPr>
      </w:pPr>
    </w:p>
    <w:p w:rsidR="00EC79B0" w:rsidRPr="00FD21D5" w:rsidRDefault="00EC79B0" w:rsidP="00EC79B0">
      <w:pPr>
        <w:widowControl w:val="0"/>
        <w:rPr>
          <w:lang w:val="fr-CA"/>
        </w:rPr>
      </w:pPr>
      <w:r w:rsidRPr="00FD21D5">
        <w:rPr>
          <w:b/>
          <w:lang w:val="fr-CA"/>
        </w:rPr>
        <w:t xml:space="preserve">Le </w:t>
      </w:r>
      <w:r w:rsidR="00FD21D5" w:rsidRPr="00FD21D5">
        <w:rPr>
          <w:b/>
          <w:lang w:val="fr-CA"/>
        </w:rPr>
        <w:t>2</w:t>
      </w:r>
      <w:r w:rsidR="00B658B6" w:rsidRPr="00FD21D5">
        <w:rPr>
          <w:b/>
          <w:lang w:val="fr-CA"/>
        </w:rPr>
        <w:t>1</w:t>
      </w:r>
      <w:r w:rsidR="00FA5450" w:rsidRPr="00FD21D5">
        <w:rPr>
          <w:b/>
          <w:lang w:val="fr-CA"/>
        </w:rPr>
        <w:t xml:space="preserve"> </w:t>
      </w:r>
      <w:r w:rsidR="00665DDB" w:rsidRPr="00FD21D5">
        <w:rPr>
          <w:b/>
          <w:lang w:val="fr-CA"/>
        </w:rPr>
        <w:t>octobre</w:t>
      </w:r>
      <w:r w:rsidR="00C86395" w:rsidRPr="00FD21D5">
        <w:rPr>
          <w:b/>
          <w:lang w:val="fr-CA"/>
        </w:rPr>
        <w:t xml:space="preserve"> </w:t>
      </w:r>
      <w:r w:rsidR="0086609D" w:rsidRPr="00FD21D5">
        <w:rPr>
          <w:b/>
          <w:lang w:val="fr-CA"/>
        </w:rPr>
        <w:t>20</w:t>
      </w:r>
      <w:r w:rsidR="009544E9" w:rsidRPr="00FD21D5">
        <w:rPr>
          <w:b/>
          <w:lang w:val="fr-CA"/>
        </w:rPr>
        <w:t>2</w:t>
      </w:r>
      <w:r w:rsidR="00B2287D" w:rsidRPr="00FD21D5">
        <w:rPr>
          <w:b/>
          <w:lang w:val="fr-CA"/>
        </w:rPr>
        <w:t>2</w:t>
      </w:r>
    </w:p>
    <w:p w:rsidR="00EC79B0" w:rsidRPr="00FD21D5" w:rsidRDefault="00EC79B0" w:rsidP="00EC79B0">
      <w:pPr>
        <w:widowControl w:val="0"/>
        <w:rPr>
          <w:b/>
          <w:lang w:val="fr-CA"/>
        </w:rPr>
      </w:pPr>
      <w:r w:rsidRPr="00FD21D5">
        <w:rPr>
          <w:b/>
          <w:lang w:val="fr-CA"/>
        </w:rPr>
        <w:t>Pour diffusion immédiate</w:t>
      </w:r>
    </w:p>
    <w:p w:rsidR="00EC79B0" w:rsidRPr="00FD21D5" w:rsidRDefault="00EC79B0" w:rsidP="00EC79B0">
      <w:pPr>
        <w:widowControl w:val="0"/>
        <w:rPr>
          <w:lang w:val="fr-CA"/>
        </w:rPr>
      </w:pPr>
    </w:p>
    <w:p w:rsidR="00EC79B0" w:rsidRPr="00FD21D5" w:rsidRDefault="00EC79B0" w:rsidP="00EC79B0">
      <w:pPr>
        <w:widowControl w:val="0"/>
        <w:rPr>
          <w:lang w:val="fr-CA"/>
        </w:rPr>
      </w:pPr>
      <w:r w:rsidRPr="00FD21D5">
        <w:rPr>
          <w:b/>
          <w:lang w:val="fr-CA"/>
        </w:rPr>
        <w:t>OTTAWA</w:t>
      </w:r>
      <w:r w:rsidRPr="00FD21D5">
        <w:rPr>
          <w:lang w:val="fr-CA"/>
        </w:rPr>
        <w:t xml:space="preserve"> – La Cour suprême du Canada annonce que jugement ser</w:t>
      </w:r>
      <w:r w:rsidR="00204750" w:rsidRPr="00FD21D5">
        <w:rPr>
          <w:lang w:val="fr-CA"/>
        </w:rPr>
        <w:t>a</w:t>
      </w:r>
      <w:r w:rsidRPr="00FD21D5">
        <w:rPr>
          <w:lang w:val="fr-CA"/>
        </w:rPr>
        <w:t xml:space="preserve"> rendu dans </w:t>
      </w:r>
      <w:r w:rsidR="001F1643" w:rsidRPr="00FD21D5">
        <w:rPr>
          <w:lang w:val="fr-CA"/>
        </w:rPr>
        <w:t>l</w:t>
      </w:r>
      <w:r w:rsidR="00204750" w:rsidRPr="00FD21D5">
        <w:rPr>
          <w:lang w:val="fr-CA"/>
        </w:rPr>
        <w:t>’</w:t>
      </w:r>
      <w:r w:rsidR="001F1643" w:rsidRPr="00FD21D5">
        <w:rPr>
          <w:lang w:val="fr-CA"/>
        </w:rPr>
        <w:t xml:space="preserve">appel </w:t>
      </w:r>
      <w:r w:rsidRPr="00FD21D5">
        <w:rPr>
          <w:lang w:val="fr-CA"/>
        </w:rPr>
        <w:t xml:space="preserve">suivant le </w:t>
      </w:r>
      <w:r w:rsidR="00FD21D5" w:rsidRPr="00FD21D5">
        <w:rPr>
          <w:lang w:val="fr-CA"/>
        </w:rPr>
        <w:t>jeu</w:t>
      </w:r>
      <w:r w:rsidR="00FC36F6" w:rsidRPr="00FD21D5">
        <w:rPr>
          <w:lang w:val="fr-CA"/>
        </w:rPr>
        <w:t>di</w:t>
      </w:r>
      <w:r w:rsidR="007C1648" w:rsidRPr="00FD21D5">
        <w:rPr>
          <w:lang w:val="fr-CA"/>
        </w:rPr>
        <w:t xml:space="preserve"> </w:t>
      </w:r>
      <w:r w:rsidR="00B658B6" w:rsidRPr="00FD21D5">
        <w:rPr>
          <w:lang w:val="fr-CA"/>
        </w:rPr>
        <w:t>2</w:t>
      </w:r>
      <w:r w:rsidR="00FD21D5" w:rsidRPr="00FD21D5">
        <w:rPr>
          <w:lang w:val="fr-CA"/>
        </w:rPr>
        <w:t>7</w:t>
      </w:r>
      <w:r w:rsidR="00F62251" w:rsidRPr="00FD21D5">
        <w:rPr>
          <w:lang w:val="fr-CA"/>
        </w:rPr>
        <w:t xml:space="preserve"> </w:t>
      </w:r>
      <w:r w:rsidR="00665DDB" w:rsidRPr="00FD21D5">
        <w:rPr>
          <w:lang w:val="fr-CA"/>
        </w:rPr>
        <w:t>octobre</w:t>
      </w:r>
      <w:r w:rsidR="00282563" w:rsidRPr="00FD21D5">
        <w:rPr>
          <w:lang w:val="fr-CA"/>
        </w:rPr>
        <w:t xml:space="preserve"> </w:t>
      </w:r>
      <w:r w:rsidRPr="00FD21D5">
        <w:rPr>
          <w:lang w:val="fr-CA"/>
        </w:rPr>
        <w:t>20</w:t>
      </w:r>
      <w:r w:rsidR="009544E9" w:rsidRPr="00FD21D5">
        <w:rPr>
          <w:lang w:val="fr-CA"/>
        </w:rPr>
        <w:t>2</w:t>
      </w:r>
      <w:r w:rsidR="00973946" w:rsidRPr="00FD21D5">
        <w:rPr>
          <w:lang w:val="fr-CA"/>
        </w:rPr>
        <w:t>2</w:t>
      </w:r>
      <w:r w:rsidRPr="00FD21D5">
        <w:rPr>
          <w:lang w:val="fr-CA"/>
        </w:rPr>
        <w:t>, à 9 h 45 H</w:t>
      </w:r>
      <w:r w:rsidR="00762B23" w:rsidRPr="00FD21D5">
        <w:rPr>
          <w:lang w:val="fr-CA"/>
        </w:rPr>
        <w:t>A</w:t>
      </w:r>
      <w:r w:rsidRPr="00FD21D5">
        <w:rPr>
          <w:lang w:val="fr-CA"/>
        </w:rPr>
        <w:t>E. Cette liste est sujette à modifications.</w:t>
      </w:r>
    </w:p>
    <w:p w:rsidR="001F76DD" w:rsidRPr="00FD21D5" w:rsidRDefault="001F76DD" w:rsidP="00E92006">
      <w:pPr>
        <w:widowControl w:val="0"/>
        <w:jc w:val="both"/>
        <w:rPr>
          <w:szCs w:val="24"/>
          <w:lang w:val="fr-CA"/>
        </w:rPr>
      </w:pPr>
    </w:p>
    <w:p w:rsidR="00EF4622" w:rsidRPr="00FD21D5" w:rsidRDefault="00621226"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FD21D5" w:rsidRDefault="001335A1" w:rsidP="001335A1">
      <w:pPr>
        <w:widowControl w:val="0"/>
        <w:rPr>
          <w:szCs w:val="24"/>
          <w:lang w:val="fr-CA"/>
        </w:rPr>
      </w:pPr>
    </w:p>
    <w:p w:rsidR="00772636" w:rsidRPr="00FD21D5" w:rsidRDefault="00FD21D5" w:rsidP="00772636">
      <w:pPr>
        <w:jc w:val="both"/>
        <w:rPr>
          <w:szCs w:val="24"/>
        </w:rPr>
      </w:pPr>
      <w:r w:rsidRPr="00FD21D5">
        <w:rPr>
          <w:i/>
          <w:szCs w:val="24"/>
        </w:rPr>
        <w:t>Kerry Alexander Nahanee v. H</w:t>
      </w:r>
      <w:r w:rsidR="00621226">
        <w:rPr>
          <w:i/>
          <w:szCs w:val="24"/>
        </w:rPr>
        <w:t>is</w:t>
      </w:r>
      <w:r w:rsidRPr="00FD21D5">
        <w:rPr>
          <w:i/>
          <w:szCs w:val="24"/>
        </w:rPr>
        <w:t xml:space="preserve"> Majesty the </w:t>
      </w:r>
      <w:r w:rsidR="00621226">
        <w:rPr>
          <w:i/>
          <w:szCs w:val="24"/>
        </w:rPr>
        <w:t>King</w:t>
      </w:r>
      <w:r w:rsidR="00735BE0" w:rsidRPr="00FD21D5">
        <w:rPr>
          <w:i/>
          <w:szCs w:val="24"/>
        </w:rPr>
        <w:t xml:space="preserve"> </w:t>
      </w:r>
      <w:r w:rsidR="00772636" w:rsidRPr="00FD21D5">
        <w:rPr>
          <w:szCs w:val="24"/>
        </w:rPr>
        <w:t>(</w:t>
      </w:r>
      <w:r w:rsidRPr="00FD21D5">
        <w:rPr>
          <w:szCs w:val="24"/>
        </w:rPr>
        <w:t>B.C</w:t>
      </w:r>
      <w:r w:rsidR="000523F2" w:rsidRPr="00FD21D5">
        <w:rPr>
          <w:szCs w:val="24"/>
        </w:rPr>
        <w:t>.</w:t>
      </w:r>
      <w:r w:rsidR="00772636" w:rsidRPr="00FD21D5">
        <w:rPr>
          <w:szCs w:val="24"/>
        </w:rPr>
        <w:t>) (</w:t>
      </w:r>
      <w:hyperlink r:id="rId7" w:history="1">
        <w:r w:rsidR="00772636" w:rsidRPr="00FD21D5">
          <w:rPr>
            <w:rStyle w:val="Hyperlink"/>
            <w:szCs w:val="24"/>
          </w:rPr>
          <w:t>3</w:t>
        </w:r>
        <w:r w:rsidR="000E38C2" w:rsidRPr="00FD21D5">
          <w:rPr>
            <w:rStyle w:val="Hyperlink"/>
            <w:szCs w:val="24"/>
          </w:rPr>
          <w:t>9</w:t>
        </w:r>
        <w:r w:rsidR="00665DDB" w:rsidRPr="00FD21D5">
          <w:rPr>
            <w:rStyle w:val="Hyperlink"/>
            <w:szCs w:val="24"/>
          </w:rPr>
          <w:t>5</w:t>
        </w:r>
        <w:r w:rsidR="00B658B6" w:rsidRPr="00FD21D5">
          <w:rPr>
            <w:rStyle w:val="Hyperlink"/>
            <w:szCs w:val="24"/>
          </w:rPr>
          <w:t>9</w:t>
        </w:r>
        <w:r w:rsidRPr="00FD21D5">
          <w:rPr>
            <w:rStyle w:val="Hyperlink"/>
            <w:szCs w:val="24"/>
          </w:rPr>
          <w:t>9</w:t>
        </w:r>
      </w:hyperlink>
      <w:r w:rsidR="00772636" w:rsidRPr="00FD21D5">
        <w:rPr>
          <w:szCs w:val="24"/>
        </w:rPr>
        <w:t>)</w:t>
      </w:r>
    </w:p>
    <w:p w:rsidR="000E38C2" w:rsidRPr="00FD21D5" w:rsidRDefault="000E38C2" w:rsidP="00340C6D">
      <w:pPr>
        <w:jc w:val="both"/>
        <w:rPr>
          <w:sz w:val="20"/>
        </w:rPr>
      </w:pPr>
    </w:p>
    <w:p w:rsidR="00710E8B" w:rsidRPr="00FD21D5" w:rsidRDefault="00710E8B" w:rsidP="00340C6D">
      <w:pPr>
        <w:jc w:val="both"/>
        <w:rPr>
          <w:sz w:val="20"/>
        </w:rPr>
      </w:pPr>
    </w:p>
    <w:p w:rsidR="00FD21D5" w:rsidRPr="00FD21D5" w:rsidRDefault="00FD21D5" w:rsidP="00FD21D5">
      <w:pPr>
        <w:widowControl w:val="0"/>
        <w:tabs>
          <w:tab w:val="left" w:pos="720"/>
        </w:tabs>
        <w:ind w:left="1440" w:hanging="1440"/>
        <w:jc w:val="both"/>
        <w:rPr>
          <w:b/>
          <w:i/>
          <w:sz w:val="20"/>
          <w:lang w:val="en-CA"/>
        </w:rPr>
      </w:pPr>
      <w:r w:rsidRPr="00FD21D5">
        <w:rPr>
          <w:b/>
          <w:sz w:val="20"/>
          <w:lang w:val="en-CA"/>
        </w:rPr>
        <w:fldChar w:fldCharType="begin"/>
      </w:r>
      <w:r w:rsidRPr="00FD21D5">
        <w:rPr>
          <w:b/>
          <w:sz w:val="20"/>
        </w:rPr>
        <w:instrText xml:space="preserve"> SEQ CHAPTER \h \r 1</w:instrText>
      </w:r>
      <w:r w:rsidRPr="00FD21D5">
        <w:rPr>
          <w:b/>
          <w:sz w:val="20"/>
        </w:rPr>
        <w:fldChar w:fldCharType="end"/>
      </w:r>
      <w:r w:rsidRPr="00FD21D5">
        <w:rPr>
          <w:b/>
          <w:sz w:val="20"/>
          <w:lang w:val="en-CA"/>
        </w:rPr>
        <w:t>39599</w:t>
      </w:r>
      <w:r w:rsidRPr="00FD21D5">
        <w:rPr>
          <w:sz w:val="20"/>
          <w:lang w:val="en-CA"/>
        </w:rPr>
        <w:tab/>
      </w:r>
      <w:r w:rsidRPr="00FD21D5">
        <w:rPr>
          <w:b/>
          <w:i/>
          <w:sz w:val="20"/>
          <w:lang w:val="en-CA"/>
        </w:rPr>
        <w:t>Kerry Alexander Nahanee v. H</w:t>
      </w:r>
      <w:r w:rsidR="00621226">
        <w:rPr>
          <w:b/>
          <w:i/>
          <w:sz w:val="20"/>
          <w:lang w:val="en-CA"/>
        </w:rPr>
        <w:t>is</w:t>
      </w:r>
      <w:r w:rsidRPr="00FD21D5">
        <w:rPr>
          <w:b/>
          <w:i/>
          <w:sz w:val="20"/>
          <w:lang w:val="en-CA"/>
        </w:rPr>
        <w:t xml:space="preserve"> Majesty the </w:t>
      </w:r>
      <w:r w:rsidR="00621226">
        <w:rPr>
          <w:b/>
          <w:i/>
          <w:sz w:val="20"/>
          <w:lang w:val="en-CA"/>
        </w:rPr>
        <w:t>King</w:t>
      </w:r>
    </w:p>
    <w:p w:rsidR="00FD21D5" w:rsidRPr="00FD21D5" w:rsidRDefault="00FD21D5" w:rsidP="00FD21D5">
      <w:pPr>
        <w:pStyle w:val="SCCCaseDescriptor"/>
        <w:ind w:left="720"/>
        <w:jc w:val="both"/>
        <w:rPr>
          <w:b w:val="0"/>
          <w:sz w:val="20"/>
        </w:rPr>
      </w:pPr>
      <w:r w:rsidRPr="00FD21D5">
        <w:rPr>
          <w:b w:val="0"/>
          <w:sz w:val="20"/>
        </w:rPr>
        <w:t>(B.C.) (Criminal) (By Leave)</w:t>
      </w:r>
      <w:bookmarkStart w:id="0" w:name="4"/>
      <w:bookmarkEnd w:id="0"/>
    </w:p>
    <w:p w:rsidR="00FD21D5" w:rsidRPr="00FD21D5" w:rsidRDefault="00FD21D5" w:rsidP="00FD21D5">
      <w:pPr>
        <w:widowControl w:val="0"/>
        <w:ind w:left="1440" w:hanging="1440"/>
        <w:jc w:val="both"/>
        <w:rPr>
          <w:sz w:val="20"/>
          <w:lang w:val="en-CA"/>
        </w:rPr>
      </w:pPr>
    </w:p>
    <w:p w:rsidR="00FD21D5" w:rsidRPr="00FD21D5" w:rsidRDefault="00FD21D5" w:rsidP="00FD21D5">
      <w:pPr>
        <w:pStyle w:val="SCCBanSummary"/>
        <w:rPr>
          <w:sz w:val="20"/>
          <w:szCs w:val="20"/>
        </w:rPr>
      </w:pPr>
      <w:r w:rsidRPr="00FD21D5">
        <w:rPr>
          <w:sz w:val="20"/>
          <w:szCs w:val="20"/>
        </w:rPr>
        <w:t>(Publication ban in case)</w:t>
      </w:r>
    </w:p>
    <w:p w:rsidR="00FD21D5" w:rsidRPr="00FD21D5" w:rsidRDefault="00FD21D5" w:rsidP="00FD21D5">
      <w:pPr>
        <w:widowControl w:val="0"/>
        <w:jc w:val="both"/>
        <w:rPr>
          <w:sz w:val="20"/>
          <w:lang w:val="en-CA"/>
        </w:rPr>
      </w:pPr>
    </w:p>
    <w:p w:rsidR="00FD21D5" w:rsidRPr="00FD21D5" w:rsidRDefault="00FD21D5" w:rsidP="00FD21D5">
      <w:pPr>
        <w:tabs>
          <w:tab w:val="left" w:pos="1584"/>
        </w:tabs>
        <w:jc w:val="both"/>
        <w:textAlignment w:val="baseline"/>
        <w:rPr>
          <w:color w:val="000000"/>
          <w:sz w:val="20"/>
        </w:rPr>
      </w:pPr>
      <w:r w:rsidRPr="00FD21D5">
        <w:rPr>
          <w:sz w:val="20"/>
        </w:rPr>
        <w:t xml:space="preserve">Criminal law — Sentencing — Guilty plea — Sentencing judge exceeding sentence proposed by Crown and failing to warn parties — </w:t>
      </w:r>
      <w:r w:rsidRPr="00FD21D5">
        <w:rPr>
          <w:color w:val="000000"/>
          <w:sz w:val="20"/>
        </w:rPr>
        <w:t xml:space="preserve">Are the considerations set out in </w:t>
      </w:r>
      <w:r w:rsidRPr="00FD21D5">
        <w:rPr>
          <w:i/>
          <w:color w:val="000000"/>
          <w:sz w:val="20"/>
        </w:rPr>
        <w:t>Anthony</w:t>
      </w:r>
      <w:r w:rsidRPr="00FD21D5">
        <w:rPr>
          <w:i/>
          <w:color w:val="000000"/>
          <w:sz w:val="20"/>
        </w:rPr>
        <w:noBreakHyphen/>
        <w:t xml:space="preserve">Cook </w:t>
      </w:r>
      <w:r w:rsidRPr="00FD21D5">
        <w:rPr>
          <w:color w:val="000000"/>
          <w:sz w:val="20"/>
        </w:rPr>
        <w:t>applicable to non</w:t>
      </w:r>
      <w:r w:rsidRPr="00FD21D5">
        <w:rPr>
          <w:color w:val="000000"/>
          <w:sz w:val="20"/>
        </w:rPr>
        <w:noBreakHyphen/>
        <w:t xml:space="preserve">joint submissions where the Crown and the accused negotiate sentencing positions that reflect partial agreement or an agreed upon range </w:t>
      </w:r>
      <w:r w:rsidRPr="00FD21D5">
        <w:rPr>
          <w:sz w:val="20"/>
        </w:rPr>
        <w:t xml:space="preserve">— </w:t>
      </w:r>
      <w:r w:rsidRPr="00FD21D5">
        <w:rPr>
          <w:color w:val="000000"/>
          <w:sz w:val="20"/>
        </w:rPr>
        <w:t>Whether the failure of a trial judge to alert counsel that they intend to exceed the sentencing ceiling proposed by Crown an error in principle resulting in fundamental unfairness and warranting appellate intervention.</w:t>
      </w:r>
    </w:p>
    <w:p w:rsidR="00FD21D5" w:rsidRPr="00FD21D5" w:rsidRDefault="00FD21D5" w:rsidP="00FD21D5">
      <w:pPr>
        <w:widowControl w:val="0"/>
        <w:jc w:val="both"/>
        <w:rPr>
          <w:sz w:val="20"/>
          <w:lang w:val="en-CA"/>
        </w:rPr>
      </w:pPr>
    </w:p>
    <w:p w:rsidR="00FD21D5" w:rsidRPr="00FD21D5" w:rsidRDefault="00FD21D5" w:rsidP="00FD21D5">
      <w:pPr>
        <w:jc w:val="both"/>
        <w:rPr>
          <w:sz w:val="20"/>
        </w:rPr>
      </w:pPr>
      <w:r w:rsidRPr="00FD21D5">
        <w:rPr>
          <w:sz w:val="20"/>
        </w:rPr>
        <w:t>The appellant plead guilty to two counts of sexual assault. The appellant and Crown made sentencing submissions, which were not joint submissions. The Crown sought a 4</w:t>
      </w:r>
      <w:r w:rsidRPr="00FD21D5">
        <w:rPr>
          <w:sz w:val="20"/>
        </w:rPr>
        <w:noBreakHyphen/>
        <w:t>6 year global sentence. The appellant sought a 3 to 3.5 year global sentence. There was no guilty plea in exchange for joint submissions on sentence. The sentencing judge did not agree with the sentencing submissions, and imposed a sentence of eight years’ imprisonment. The sentencing judge did not alert counsel that she was intending to exceed the Crown’s proposed sentence. The Court of Appeal dismissed the sentence appeal.</w:t>
      </w:r>
    </w:p>
    <w:p w:rsidR="00FD21D5" w:rsidRPr="00FD21D5" w:rsidRDefault="00FD21D5" w:rsidP="00FD21D5">
      <w:pPr>
        <w:widowControl w:val="0"/>
        <w:jc w:val="both"/>
        <w:rPr>
          <w:sz w:val="20"/>
          <w:lang w:val="en-CA"/>
        </w:rPr>
      </w:pPr>
    </w:p>
    <w:p w:rsidR="00FD21D5" w:rsidRPr="00FD21D5" w:rsidRDefault="00621226" w:rsidP="00FD21D5">
      <w:pPr>
        <w:widowControl w:val="0"/>
        <w:jc w:val="both"/>
        <w:rPr>
          <w:sz w:val="20"/>
          <w:lang w:val="en-CA"/>
        </w:rPr>
      </w:pPr>
      <w:r>
        <w:rPr>
          <w:sz w:val="20"/>
        </w:rPr>
        <w:pict>
          <v:rect id="_x0000_i1026" style="width:2in;height:1pt" o:hrpct="0" o:hralign="center" o:hrstd="t" o:hrnoshade="t" o:hr="t" fillcolor="black [3213]" stroked="f"/>
        </w:pict>
      </w:r>
    </w:p>
    <w:p w:rsidR="00FD21D5" w:rsidRPr="00FD21D5" w:rsidRDefault="00FD21D5" w:rsidP="00FD21D5">
      <w:pPr>
        <w:widowControl w:val="0"/>
        <w:jc w:val="both"/>
        <w:rPr>
          <w:sz w:val="20"/>
          <w:lang w:val="en-CA"/>
        </w:rPr>
      </w:pPr>
    </w:p>
    <w:p w:rsidR="00FD21D5" w:rsidRPr="00FD21D5" w:rsidRDefault="00FD21D5" w:rsidP="00FD21D5">
      <w:pPr>
        <w:pStyle w:val="SCCLsocParty"/>
        <w:ind w:left="92" w:hanging="92"/>
        <w:rPr>
          <w:b/>
          <w:i w:val="0"/>
          <w:sz w:val="20"/>
          <w:szCs w:val="20"/>
        </w:rPr>
      </w:pPr>
      <w:r w:rsidRPr="00FD21D5">
        <w:rPr>
          <w:rStyle w:val="SCCFileNumberChar"/>
          <w:i w:val="0"/>
          <w:sz w:val="20"/>
          <w:szCs w:val="20"/>
          <w:lang w:val="fr-CA"/>
        </w:rPr>
        <w:t>39599</w:t>
      </w:r>
      <w:r w:rsidRPr="00FD21D5">
        <w:rPr>
          <w:rStyle w:val="SCCFileNumberChar"/>
          <w:sz w:val="20"/>
          <w:szCs w:val="20"/>
          <w:lang w:val="fr-CA"/>
        </w:rPr>
        <w:tab/>
      </w:r>
      <w:r w:rsidRPr="00FD21D5">
        <w:rPr>
          <w:b/>
          <w:sz w:val="20"/>
          <w:szCs w:val="20"/>
        </w:rPr>
        <w:t>Kerry Alexander Nahanee c. Sa Majesté l</w:t>
      </w:r>
      <w:r w:rsidR="00621226">
        <w:rPr>
          <w:b/>
          <w:sz w:val="20"/>
          <w:szCs w:val="20"/>
        </w:rPr>
        <w:t>e</w:t>
      </w:r>
      <w:r w:rsidRPr="00FD21D5">
        <w:rPr>
          <w:b/>
          <w:sz w:val="20"/>
          <w:szCs w:val="20"/>
        </w:rPr>
        <w:t xml:space="preserve"> R</w:t>
      </w:r>
      <w:r w:rsidR="00621226">
        <w:rPr>
          <w:b/>
          <w:sz w:val="20"/>
          <w:szCs w:val="20"/>
        </w:rPr>
        <w:t>oi</w:t>
      </w:r>
      <w:bookmarkStart w:id="1" w:name="_GoBack"/>
      <w:bookmarkEnd w:id="1"/>
    </w:p>
    <w:p w:rsidR="00FD21D5" w:rsidRPr="00FD21D5" w:rsidRDefault="00FD21D5" w:rsidP="00FD21D5">
      <w:pPr>
        <w:widowControl w:val="0"/>
        <w:ind w:left="360" w:firstLine="360"/>
        <w:jc w:val="both"/>
        <w:rPr>
          <w:sz w:val="20"/>
          <w:lang w:val="fr-CA"/>
        </w:rPr>
      </w:pPr>
      <w:r w:rsidRPr="00FD21D5">
        <w:rPr>
          <w:sz w:val="20"/>
          <w:lang w:val="fr-CA"/>
        </w:rPr>
        <w:t>(C.</w:t>
      </w:r>
      <w:r w:rsidRPr="00FD21D5">
        <w:rPr>
          <w:sz w:val="20"/>
          <w:lang w:val="fr-CA"/>
        </w:rPr>
        <w:noBreakHyphen/>
        <w:t>B.) (Criminelle) (Sur autorisation)</w:t>
      </w:r>
    </w:p>
    <w:p w:rsidR="00FD21D5" w:rsidRPr="00FD21D5" w:rsidRDefault="00FD21D5" w:rsidP="00FD21D5">
      <w:pPr>
        <w:tabs>
          <w:tab w:val="left" w:pos="720"/>
        </w:tabs>
        <w:jc w:val="both"/>
        <w:rPr>
          <w:sz w:val="20"/>
          <w:lang w:val="fr-CA"/>
        </w:rPr>
      </w:pPr>
    </w:p>
    <w:p w:rsidR="00FD21D5" w:rsidRPr="00FD21D5" w:rsidRDefault="00FD21D5" w:rsidP="00FD21D5">
      <w:pPr>
        <w:pStyle w:val="SCCBanSummary"/>
        <w:rPr>
          <w:sz w:val="20"/>
          <w:szCs w:val="20"/>
          <w:lang w:val="fr-CA"/>
        </w:rPr>
      </w:pPr>
      <w:r w:rsidRPr="00FD21D5">
        <w:rPr>
          <w:sz w:val="20"/>
          <w:szCs w:val="20"/>
          <w:lang w:val="fr-CA"/>
        </w:rPr>
        <w:t>(Ordonnance de non</w:t>
      </w:r>
      <w:r w:rsidRPr="00FD21D5">
        <w:rPr>
          <w:sz w:val="20"/>
          <w:szCs w:val="20"/>
          <w:lang w:val="fr-CA"/>
        </w:rPr>
        <w:noBreakHyphen/>
        <w:t>publication dans le dossier)</w:t>
      </w:r>
    </w:p>
    <w:p w:rsidR="00FD21D5" w:rsidRPr="00FD21D5" w:rsidRDefault="00FD21D5" w:rsidP="00FD21D5">
      <w:pPr>
        <w:widowControl w:val="0"/>
        <w:jc w:val="both"/>
        <w:rPr>
          <w:sz w:val="20"/>
          <w:lang w:val="fr-CA"/>
        </w:rPr>
      </w:pPr>
    </w:p>
    <w:p w:rsidR="00FD21D5" w:rsidRPr="00FD21D5" w:rsidRDefault="00FD21D5" w:rsidP="00FD21D5">
      <w:pPr>
        <w:widowControl w:val="0"/>
        <w:jc w:val="both"/>
        <w:rPr>
          <w:sz w:val="20"/>
          <w:lang w:val="fr-CA"/>
        </w:rPr>
      </w:pPr>
      <w:r w:rsidRPr="00FD21D5">
        <w:rPr>
          <w:sz w:val="20"/>
          <w:lang w:val="fr-CA"/>
        </w:rPr>
        <w:t xml:space="preserve">Droit criminel — Détermination de la peine — Plaidoyer de culpabilité — La juge chargée de la détermination de la </w:t>
      </w:r>
      <w:r w:rsidRPr="00FD21D5">
        <w:rPr>
          <w:sz w:val="20"/>
          <w:lang w:val="fr-CA"/>
        </w:rPr>
        <w:lastRenderedPageBreak/>
        <w:t xml:space="preserve">peine a imposé une peine plus lourde que celle proposée par le ministère public et n’a pas averti les parties — Les considérations énoncées dans l’arrêt </w:t>
      </w:r>
      <w:r w:rsidRPr="00FD21D5">
        <w:rPr>
          <w:i/>
          <w:sz w:val="20"/>
          <w:lang w:val="fr-CA"/>
        </w:rPr>
        <w:t>Anthony</w:t>
      </w:r>
      <w:r w:rsidRPr="00FD21D5">
        <w:rPr>
          <w:i/>
          <w:sz w:val="20"/>
          <w:lang w:val="fr-CA"/>
        </w:rPr>
        <w:noBreakHyphen/>
        <w:t>Cook</w:t>
      </w:r>
      <w:r w:rsidRPr="00FD21D5">
        <w:rPr>
          <w:sz w:val="20"/>
          <w:lang w:val="fr-CA"/>
        </w:rPr>
        <w:t xml:space="preserve"> sont</w:t>
      </w:r>
      <w:r w:rsidRPr="00FD21D5">
        <w:rPr>
          <w:sz w:val="20"/>
          <w:lang w:val="fr-CA"/>
        </w:rPr>
        <w:noBreakHyphen/>
        <w:t>elles applicables aux recommandations non conjointes lorsque le ministère public et l’accusé ont négocié des avis en matière de détermination de la peine qui traduisent un accord partiel ou une fourchette de peines convenue? — Le fait qu’un juge du procès n’a pas avisé les avocats quant à son intention d’imposer une peine plus lourde que la peine maximale proposée par le ministère public constitue</w:t>
      </w:r>
      <w:r w:rsidRPr="00FD21D5">
        <w:rPr>
          <w:sz w:val="20"/>
          <w:lang w:val="fr-CA"/>
        </w:rPr>
        <w:noBreakHyphen/>
        <w:t>t</w:t>
      </w:r>
      <w:r w:rsidRPr="00FD21D5">
        <w:rPr>
          <w:sz w:val="20"/>
          <w:lang w:val="fr-CA"/>
        </w:rPr>
        <w:noBreakHyphen/>
        <w:t>il une erreur de principe donnant lieu à une injustice fondamentale et justifiant une intervention en appel?</w:t>
      </w:r>
    </w:p>
    <w:p w:rsidR="00FD21D5" w:rsidRPr="00FD21D5" w:rsidRDefault="00FD21D5" w:rsidP="00FD21D5">
      <w:pPr>
        <w:widowControl w:val="0"/>
        <w:jc w:val="both"/>
        <w:rPr>
          <w:sz w:val="20"/>
          <w:lang w:val="fr-CA"/>
        </w:rPr>
      </w:pPr>
    </w:p>
    <w:p w:rsidR="00FD21D5" w:rsidRPr="00FD21D5" w:rsidRDefault="00FD21D5" w:rsidP="00FD21D5">
      <w:pPr>
        <w:jc w:val="both"/>
        <w:rPr>
          <w:sz w:val="20"/>
          <w:lang w:val="fr-CA"/>
        </w:rPr>
      </w:pPr>
      <w:r w:rsidRPr="00FD21D5">
        <w:rPr>
          <w:sz w:val="20"/>
          <w:lang w:val="fr-CA"/>
        </w:rPr>
        <w:t xml:space="preserve">L’appelant a plaidé coupable à deux chefs d’accusation d’agression sexuelle. L’appelant et le ministère public ont fait des recommandations quant à la peine, qui n’étaient pas des recommandations conjointes. Le ministère public sollicitait une peine globale de quatre à six ans, tandis que l’appelant sollicitait une peine globale de trois à trois ans et </w:t>
      </w:r>
      <w:proofErr w:type="gramStart"/>
      <w:r w:rsidRPr="00FD21D5">
        <w:rPr>
          <w:sz w:val="20"/>
          <w:lang w:val="fr-CA"/>
        </w:rPr>
        <w:t>demi</w:t>
      </w:r>
      <w:proofErr w:type="gramEnd"/>
      <w:r w:rsidRPr="00FD21D5">
        <w:rPr>
          <w:sz w:val="20"/>
          <w:lang w:val="fr-CA"/>
        </w:rPr>
        <w:t>. Aucun plaidoyer de culpabilité n’a été consenti en échange de recommandations conjointes relatives à la peine. La juge chargée de la détermination de la peine, n’étant pas d’accord avec les recommandations quant à la peine, a imposé une peine d’emprisonnement de huit ans. La juge chargée de la détermination de la peine n’a pas averti les avocats quant à son intention d’imposer une peine plus lourde que celle proposée par le ministère public. La Cour d’appel a rejeté l’appel de la peine.</w:t>
      </w:r>
    </w:p>
    <w:p w:rsidR="00973946" w:rsidRPr="00FD21D5" w:rsidRDefault="00973946">
      <w:pPr>
        <w:widowControl w:val="0"/>
        <w:jc w:val="both"/>
        <w:rPr>
          <w:sz w:val="20"/>
          <w:lang w:val="fr-CA"/>
        </w:rPr>
      </w:pPr>
    </w:p>
    <w:p w:rsidR="00F5120E" w:rsidRPr="00FD21D5" w:rsidRDefault="00621226"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FD21D5" w:rsidRDefault="00E92006" w:rsidP="00340C6D">
      <w:pPr>
        <w:jc w:val="both"/>
        <w:rPr>
          <w:sz w:val="20"/>
          <w:lang w:val="fr-CA"/>
        </w:rPr>
      </w:pPr>
    </w:p>
    <w:p w:rsidR="00E92006" w:rsidRPr="00FD21D5" w:rsidRDefault="00E92006" w:rsidP="00340C6D">
      <w:pPr>
        <w:jc w:val="both"/>
        <w:rPr>
          <w:sz w:val="20"/>
          <w:lang w:val="fr-CA"/>
        </w:rPr>
      </w:pPr>
    </w:p>
    <w:p w:rsidR="00072A63" w:rsidRPr="00FD21D5" w:rsidRDefault="00072A63" w:rsidP="00EC79B0">
      <w:pPr>
        <w:jc w:val="both"/>
        <w:rPr>
          <w:sz w:val="20"/>
          <w:lang w:val="fr-CA"/>
        </w:rPr>
      </w:pPr>
    </w:p>
    <w:p w:rsidR="001C4415" w:rsidRPr="00FD21D5" w:rsidRDefault="001C4415" w:rsidP="001C4415">
      <w:pPr>
        <w:widowControl w:val="0"/>
        <w:outlineLvl w:val="0"/>
      </w:pPr>
      <w:r w:rsidRPr="00FD21D5">
        <w:t xml:space="preserve">Supreme Court of Canada / Cour suprême du </w:t>
      </w:r>
      <w:proofErr w:type="gramStart"/>
      <w:r w:rsidRPr="00FD21D5">
        <w:t>Canada :</w:t>
      </w:r>
      <w:proofErr w:type="gramEnd"/>
      <w:r w:rsidRPr="00FD21D5">
        <w:t xml:space="preserve"> </w:t>
      </w:r>
    </w:p>
    <w:p w:rsidR="001C4415" w:rsidRPr="00FD21D5" w:rsidRDefault="00621226" w:rsidP="001C4415">
      <w:pPr>
        <w:widowControl w:val="0"/>
        <w:outlineLvl w:val="0"/>
      </w:pPr>
      <w:hyperlink r:id="rId8" w:history="1">
        <w:r w:rsidR="001C4415" w:rsidRPr="00FD21D5">
          <w:rPr>
            <w:rStyle w:val="Hyperlink"/>
          </w:rPr>
          <w:t>comments-commentaires@scc-csc.ca</w:t>
        </w:r>
      </w:hyperlink>
    </w:p>
    <w:p w:rsidR="001C4415" w:rsidRPr="00FD21D5" w:rsidRDefault="001C4415" w:rsidP="001C4415">
      <w:pPr>
        <w:widowControl w:val="0"/>
        <w:outlineLvl w:val="0"/>
      </w:pPr>
      <w:r w:rsidRPr="00FD21D5">
        <w:t>(613) 995-4330</w:t>
      </w:r>
    </w:p>
    <w:p w:rsidR="001C4415" w:rsidRPr="00FD21D5" w:rsidRDefault="001C4415" w:rsidP="001C4415">
      <w:pPr>
        <w:widowControl w:val="0"/>
        <w:rPr>
          <w:sz w:val="20"/>
        </w:rPr>
      </w:pPr>
    </w:p>
    <w:p w:rsidR="0036476C" w:rsidRPr="00A8502B" w:rsidRDefault="001C4415" w:rsidP="0036476C">
      <w:pPr>
        <w:pStyle w:val="Footer"/>
        <w:jc w:val="center"/>
        <w:rPr>
          <w:lang w:val="fr-CA"/>
        </w:rPr>
      </w:pPr>
      <w:r w:rsidRPr="00FD21D5">
        <w:rPr>
          <w:lang w:val="fr-CA"/>
        </w:rPr>
        <w:t xml:space="preserve">- 30 </w:t>
      </w:r>
      <w:r w:rsidR="003C1B6E" w:rsidRPr="00FD21D5">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226"/>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9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2022-10-17T11:35:00Z</dcterms:modified>
</cp:coreProperties>
</file>