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63FAE" w:rsidRDefault="000E391F" w:rsidP="000E391F">
      <w:pPr>
        <w:pStyle w:val="Header"/>
        <w:jc w:val="center"/>
        <w:rPr>
          <w:b/>
          <w:sz w:val="32"/>
          <w:szCs w:val="32"/>
        </w:rPr>
      </w:pPr>
      <w:r w:rsidRPr="00163FAE">
        <w:rPr>
          <w:b/>
          <w:sz w:val="32"/>
          <w:szCs w:val="32"/>
        </w:rPr>
        <w:t>Supreme Court of Canada / Cour suprême du Canada</w:t>
      </w:r>
    </w:p>
    <w:p w:rsidR="000E391F" w:rsidRPr="00163FAE" w:rsidRDefault="000E391F" w:rsidP="000E391F">
      <w:pPr>
        <w:widowControl w:val="0"/>
        <w:rPr>
          <w:sz w:val="20"/>
        </w:rPr>
      </w:pPr>
    </w:p>
    <w:p w:rsidR="000E391F" w:rsidRPr="00163FAE" w:rsidRDefault="000E391F" w:rsidP="000E391F">
      <w:pPr>
        <w:widowControl w:val="0"/>
        <w:rPr>
          <w:i/>
          <w:sz w:val="20"/>
        </w:rPr>
      </w:pPr>
    </w:p>
    <w:p w:rsidR="006F2579" w:rsidRPr="00163FAE" w:rsidRDefault="006F2579" w:rsidP="006F2579">
      <w:pPr>
        <w:widowControl w:val="0"/>
        <w:rPr>
          <w:i/>
          <w:sz w:val="20"/>
        </w:rPr>
      </w:pPr>
      <w:r w:rsidRPr="00163FAE">
        <w:rPr>
          <w:i/>
          <w:sz w:val="20"/>
        </w:rPr>
        <w:t>(</w:t>
      </w:r>
      <w:r w:rsidR="003240B6" w:rsidRPr="00163FAE">
        <w:rPr>
          <w:i/>
          <w:sz w:val="20"/>
        </w:rPr>
        <w:t>L</w:t>
      </w:r>
      <w:r w:rsidRPr="00163FAE">
        <w:rPr>
          <w:i/>
          <w:sz w:val="20"/>
        </w:rPr>
        <w:t>e français suit)</w:t>
      </w:r>
    </w:p>
    <w:p w:rsidR="006F2579" w:rsidRPr="00163FAE" w:rsidRDefault="006F2579" w:rsidP="006F2579">
      <w:pPr>
        <w:widowControl w:val="0"/>
        <w:rPr>
          <w:sz w:val="20"/>
        </w:rPr>
      </w:pPr>
    </w:p>
    <w:p w:rsidR="006F2579" w:rsidRPr="00163FAE" w:rsidRDefault="00B07908" w:rsidP="006F2579">
      <w:pPr>
        <w:widowControl w:val="0"/>
        <w:jc w:val="center"/>
        <w:rPr>
          <w:b/>
          <w:szCs w:val="24"/>
        </w:rPr>
      </w:pPr>
      <w:r w:rsidRPr="00163FAE">
        <w:rPr>
          <w:szCs w:val="24"/>
        </w:rPr>
        <w:fldChar w:fldCharType="begin"/>
      </w:r>
      <w:r w:rsidR="006F2579" w:rsidRPr="00163FAE">
        <w:rPr>
          <w:szCs w:val="24"/>
        </w:rPr>
        <w:instrText xml:space="preserve"> SEQ CHAPTER \h \r 1</w:instrText>
      </w:r>
      <w:r w:rsidRPr="00163FAE">
        <w:rPr>
          <w:szCs w:val="24"/>
        </w:rPr>
        <w:fldChar w:fldCharType="end"/>
      </w:r>
      <w:r w:rsidR="006F2579" w:rsidRPr="00163FAE">
        <w:rPr>
          <w:b/>
          <w:szCs w:val="24"/>
        </w:rPr>
        <w:t>JUDGMENT</w:t>
      </w:r>
      <w:r w:rsidR="004F5491" w:rsidRPr="00163FAE">
        <w:rPr>
          <w:b/>
          <w:szCs w:val="24"/>
        </w:rPr>
        <w:t>S</w:t>
      </w:r>
      <w:r w:rsidR="006F2579" w:rsidRPr="00163FAE">
        <w:rPr>
          <w:b/>
          <w:szCs w:val="24"/>
        </w:rPr>
        <w:t xml:space="preserve"> TO B</w:t>
      </w:r>
      <w:r w:rsidR="00001846" w:rsidRPr="00163FAE">
        <w:rPr>
          <w:b/>
          <w:szCs w:val="24"/>
        </w:rPr>
        <w:t>E RENDERED IN LE</w:t>
      </w:r>
      <w:r w:rsidR="00A0288A" w:rsidRPr="00163FAE">
        <w:rPr>
          <w:b/>
          <w:szCs w:val="24"/>
        </w:rPr>
        <w:t>A</w:t>
      </w:r>
      <w:r w:rsidR="00001846" w:rsidRPr="00163FAE">
        <w:rPr>
          <w:b/>
          <w:szCs w:val="24"/>
        </w:rPr>
        <w:t>VE APPLICATION</w:t>
      </w:r>
      <w:r w:rsidR="004F5491" w:rsidRPr="00163FAE">
        <w:rPr>
          <w:b/>
          <w:szCs w:val="24"/>
        </w:rPr>
        <w:t>S</w:t>
      </w:r>
    </w:p>
    <w:p w:rsidR="006F2579" w:rsidRPr="00163FAE" w:rsidRDefault="006F2579" w:rsidP="006F2579">
      <w:pPr>
        <w:widowControl w:val="0"/>
        <w:rPr>
          <w:szCs w:val="24"/>
        </w:rPr>
      </w:pPr>
    </w:p>
    <w:p w:rsidR="006F2579" w:rsidRPr="00163FAE" w:rsidRDefault="00DC4AAB" w:rsidP="006F2579">
      <w:pPr>
        <w:widowControl w:val="0"/>
        <w:rPr>
          <w:szCs w:val="24"/>
        </w:rPr>
      </w:pPr>
      <w:r w:rsidRPr="00163FAE">
        <w:rPr>
          <w:b/>
          <w:szCs w:val="24"/>
        </w:rPr>
        <w:t>October</w:t>
      </w:r>
      <w:r w:rsidR="00A15B66" w:rsidRPr="00163FAE">
        <w:rPr>
          <w:b/>
          <w:szCs w:val="24"/>
        </w:rPr>
        <w:t xml:space="preserve"> </w:t>
      </w:r>
      <w:r w:rsidR="00963277" w:rsidRPr="00163FAE">
        <w:rPr>
          <w:b/>
          <w:szCs w:val="24"/>
        </w:rPr>
        <w:t>24</w:t>
      </w:r>
      <w:r w:rsidR="004441C7" w:rsidRPr="00163FAE">
        <w:rPr>
          <w:b/>
          <w:szCs w:val="24"/>
        </w:rPr>
        <w:t>,</w:t>
      </w:r>
      <w:r w:rsidR="006F2579" w:rsidRPr="00163FAE">
        <w:rPr>
          <w:b/>
          <w:szCs w:val="24"/>
        </w:rPr>
        <w:t xml:space="preserve"> </w:t>
      </w:r>
      <w:r w:rsidR="0054689F" w:rsidRPr="00163FAE">
        <w:rPr>
          <w:b/>
          <w:szCs w:val="24"/>
        </w:rPr>
        <w:t>20</w:t>
      </w:r>
      <w:r w:rsidR="00526754" w:rsidRPr="00163FAE">
        <w:rPr>
          <w:b/>
          <w:szCs w:val="24"/>
        </w:rPr>
        <w:t>2</w:t>
      </w:r>
      <w:r w:rsidR="00644008" w:rsidRPr="00163FAE">
        <w:rPr>
          <w:b/>
          <w:szCs w:val="24"/>
        </w:rPr>
        <w:t>2</w:t>
      </w:r>
    </w:p>
    <w:p w:rsidR="006F2579" w:rsidRPr="00163FAE" w:rsidRDefault="00674F39" w:rsidP="006F2579">
      <w:pPr>
        <w:widowControl w:val="0"/>
        <w:rPr>
          <w:b/>
          <w:szCs w:val="24"/>
        </w:rPr>
      </w:pPr>
      <w:r w:rsidRPr="00163FAE">
        <w:rPr>
          <w:b/>
          <w:szCs w:val="24"/>
        </w:rPr>
        <w:t>For immediate release</w:t>
      </w:r>
    </w:p>
    <w:p w:rsidR="006F2579" w:rsidRPr="00163FAE" w:rsidRDefault="006F2579" w:rsidP="006F2579">
      <w:pPr>
        <w:widowControl w:val="0"/>
        <w:rPr>
          <w:szCs w:val="24"/>
        </w:rPr>
      </w:pPr>
    </w:p>
    <w:p w:rsidR="006F2579" w:rsidRPr="00163FAE" w:rsidRDefault="006F2579" w:rsidP="006F2579">
      <w:pPr>
        <w:widowControl w:val="0"/>
        <w:rPr>
          <w:szCs w:val="24"/>
          <w:lang w:val="fr-CA"/>
        </w:rPr>
      </w:pPr>
      <w:r w:rsidRPr="00163FAE">
        <w:rPr>
          <w:b/>
          <w:szCs w:val="24"/>
        </w:rPr>
        <w:t>OTTAWA</w:t>
      </w:r>
      <w:r w:rsidRPr="00163FAE">
        <w:rPr>
          <w:szCs w:val="24"/>
        </w:rPr>
        <w:t xml:space="preserve"> – The Supreme Court of Canad</w:t>
      </w:r>
      <w:r w:rsidR="006246E4" w:rsidRPr="00163FAE">
        <w:rPr>
          <w:szCs w:val="24"/>
        </w:rPr>
        <w:t>a</w:t>
      </w:r>
      <w:r w:rsidRPr="00163FAE">
        <w:rPr>
          <w:szCs w:val="24"/>
        </w:rPr>
        <w:t xml:space="preserve"> announced today that judgment in the following </w:t>
      </w:r>
      <w:r w:rsidR="00DB6199" w:rsidRPr="00163FAE">
        <w:rPr>
          <w:szCs w:val="24"/>
        </w:rPr>
        <w:t>leave application</w:t>
      </w:r>
      <w:r w:rsidR="004F5491" w:rsidRPr="00163FAE">
        <w:rPr>
          <w:szCs w:val="24"/>
        </w:rPr>
        <w:t>s</w:t>
      </w:r>
      <w:r w:rsidR="00DB6199" w:rsidRPr="00163FAE">
        <w:rPr>
          <w:szCs w:val="24"/>
        </w:rPr>
        <w:t xml:space="preserve"> </w:t>
      </w:r>
      <w:r w:rsidRPr="00163FAE">
        <w:rPr>
          <w:szCs w:val="24"/>
        </w:rPr>
        <w:t>will be delivere</w:t>
      </w:r>
      <w:r w:rsidR="00CE2C5F" w:rsidRPr="00163FAE">
        <w:rPr>
          <w:szCs w:val="24"/>
        </w:rPr>
        <w:t>d</w:t>
      </w:r>
      <w:r w:rsidRPr="00163FAE">
        <w:rPr>
          <w:szCs w:val="24"/>
        </w:rPr>
        <w:t xml:space="preserve"> at 9:45 a.m. </w:t>
      </w:r>
      <w:r w:rsidR="00E05816" w:rsidRPr="00163FAE">
        <w:rPr>
          <w:szCs w:val="24"/>
        </w:rPr>
        <w:t>E</w:t>
      </w:r>
      <w:r w:rsidR="00882B6B" w:rsidRPr="00163FAE">
        <w:rPr>
          <w:szCs w:val="24"/>
        </w:rPr>
        <w:t>D</w:t>
      </w:r>
      <w:r w:rsidR="00E05816" w:rsidRPr="00163FAE">
        <w:rPr>
          <w:szCs w:val="24"/>
        </w:rPr>
        <w:t>T</w:t>
      </w:r>
      <w:r w:rsidRPr="00163FAE">
        <w:rPr>
          <w:szCs w:val="24"/>
        </w:rPr>
        <w:t xml:space="preserve"> on </w:t>
      </w:r>
      <w:r w:rsidR="00322A9C" w:rsidRPr="00163FAE">
        <w:rPr>
          <w:szCs w:val="24"/>
        </w:rPr>
        <w:t>Thurs</w:t>
      </w:r>
      <w:r w:rsidR="00680A85" w:rsidRPr="00163FAE">
        <w:rPr>
          <w:szCs w:val="24"/>
        </w:rPr>
        <w:t>day</w:t>
      </w:r>
      <w:r w:rsidRPr="00163FAE">
        <w:rPr>
          <w:szCs w:val="24"/>
        </w:rPr>
        <w:t xml:space="preserve">, </w:t>
      </w:r>
      <w:r w:rsidR="00DC4AAB" w:rsidRPr="00163FAE">
        <w:rPr>
          <w:szCs w:val="24"/>
        </w:rPr>
        <w:t>October</w:t>
      </w:r>
      <w:r w:rsidR="00455912" w:rsidRPr="00163FAE">
        <w:rPr>
          <w:szCs w:val="24"/>
        </w:rPr>
        <w:t xml:space="preserve"> </w:t>
      </w:r>
      <w:r w:rsidR="00FA6BAB" w:rsidRPr="00163FAE">
        <w:rPr>
          <w:szCs w:val="24"/>
        </w:rPr>
        <w:t>2</w:t>
      </w:r>
      <w:r w:rsidR="00963277" w:rsidRPr="00163FAE">
        <w:rPr>
          <w:szCs w:val="24"/>
        </w:rPr>
        <w:t>7</w:t>
      </w:r>
      <w:r w:rsidR="007E112F" w:rsidRPr="00163FAE">
        <w:rPr>
          <w:szCs w:val="24"/>
        </w:rPr>
        <w:t>,</w:t>
      </w:r>
      <w:r w:rsidR="002F38D7" w:rsidRPr="00163FAE">
        <w:rPr>
          <w:szCs w:val="24"/>
        </w:rPr>
        <w:t xml:space="preserve"> </w:t>
      </w:r>
      <w:r w:rsidR="006648D1" w:rsidRPr="00163FAE">
        <w:rPr>
          <w:szCs w:val="24"/>
        </w:rPr>
        <w:t>20</w:t>
      </w:r>
      <w:r w:rsidR="00526754" w:rsidRPr="00163FAE">
        <w:rPr>
          <w:szCs w:val="24"/>
        </w:rPr>
        <w:t>2</w:t>
      </w:r>
      <w:r w:rsidR="00644008" w:rsidRPr="00163FAE">
        <w:rPr>
          <w:szCs w:val="24"/>
        </w:rPr>
        <w:t>2</w:t>
      </w:r>
      <w:r w:rsidRPr="00163FAE">
        <w:rPr>
          <w:szCs w:val="24"/>
        </w:rPr>
        <w:t xml:space="preserve">. </w:t>
      </w:r>
      <w:r w:rsidRPr="00163FAE">
        <w:rPr>
          <w:szCs w:val="24"/>
          <w:lang w:val="fr-CA"/>
        </w:rPr>
        <w:t>This list is subject to chang</w:t>
      </w:r>
      <w:r w:rsidR="00192F7F" w:rsidRPr="00163FAE">
        <w:rPr>
          <w:szCs w:val="24"/>
          <w:lang w:val="fr-CA"/>
        </w:rPr>
        <w:t>e</w:t>
      </w:r>
      <w:r w:rsidRPr="00163FAE">
        <w:rPr>
          <w:szCs w:val="24"/>
          <w:lang w:val="fr-CA"/>
        </w:rPr>
        <w:t>.</w:t>
      </w:r>
    </w:p>
    <w:p w:rsidR="00FF5AA4" w:rsidRPr="00163FAE" w:rsidRDefault="00FF5AA4" w:rsidP="006F2579">
      <w:pPr>
        <w:widowControl w:val="0"/>
        <w:rPr>
          <w:szCs w:val="24"/>
          <w:lang w:val="fr-CA"/>
        </w:rPr>
      </w:pPr>
    </w:p>
    <w:p w:rsidR="00B43418" w:rsidRPr="00163FAE" w:rsidRDefault="00B43418" w:rsidP="006F2579">
      <w:pPr>
        <w:widowControl w:val="0"/>
        <w:rPr>
          <w:szCs w:val="24"/>
          <w:lang w:val="fr-CA"/>
        </w:rPr>
      </w:pPr>
    </w:p>
    <w:p w:rsidR="006F2579" w:rsidRPr="00163FAE" w:rsidRDefault="006F2579" w:rsidP="006F2579">
      <w:pPr>
        <w:widowControl w:val="0"/>
        <w:jc w:val="center"/>
        <w:rPr>
          <w:szCs w:val="24"/>
          <w:lang w:val="fr-CA"/>
        </w:rPr>
      </w:pPr>
      <w:r w:rsidRPr="00163FAE">
        <w:rPr>
          <w:b/>
          <w:szCs w:val="24"/>
          <w:lang w:val="fr-CA"/>
        </w:rPr>
        <w:t>PROCHAIN</w:t>
      </w:r>
      <w:r w:rsidR="004F5491" w:rsidRPr="00163FAE">
        <w:rPr>
          <w:b/>
          <w:szCs w:val="24"/>
          <w:lang w:val="fr-CA"/>
        </w:rPr>
        <w:t>S</w:t>
      </w:r>
      <w:r w:rsidRPr="00163FAE">
        <w:rPr>
          <w:b/>
          <w:szCs w:val="24"/>
          <w:lang w:val="fr-CA"/>
        </w:rPr>
        <w:t xml:space="preserve"> JUGEMENT</w:t>
      </w:r>
      <w:r w:rsidR="004F5491" w:rsidRPr="00163FAE">
        <w:rPr>
          <w:b/>
          <w:szCs w:val="24"/>
          <w:lang w:val="fr-CA"/>
        </w:rPr>
        <w:t>S</w:t>
      </w:r>
      <w:r w:rsidR="00001846" w:rsidRPr="00163FAE">
        <w:rPr>
          <w:b/>
          <w:szCs w:val="24"/>
          <w:lang w:val="fr-CA"/>
        </w:rPr>
        <w:t xml:space="preserve"> SUR DEMANDE</w:t>
      </w:r>
      <w:r w:rsidR="004F5491" w:rsidRPr="00163FAE">
        <w:rPr>
          <w:b/>
          <w:szCs w:val="24"/>
          <w:lang w:val="fr-CA"/>
        </w:rPr>
        <w:t>S</w:t>
      </w:r>
      <w:r w:rsidRPr="00163FAE">
        <w:rPr>
          <w:b/>
          <w:szCs w:val="24"/>
          <w:lang w:val="fr-CA"/>
        </w:rPr>
        <w:t xml:space="preserve"> D’AUTORISATION</w:t>
      </w:r>
    </w:p>
    <w:p w:rsidR="006F2579" w:rsidRPr="00163FAE" w:rsidRDefault="006F2579" w:rsidP="006F2579">
      <w:pPr>
        <w:widowControl w:val="0"/>
        <w:rPr>
          <w:szCs w:val="24"/>
          <w:lang w:val="fr-CA"/>
        </w:rPr>
      </w:pPr>
    </w:p>
    <w:p w:rsidR="006F2579" w:rsidRPr="00163FAE" w:rsidRDefault="006F2579" w:rsidP="006F2579">
      <w:pPr>
        <w:widowControl w:val="0"/>
        <w:rPr>
          <w:szCs w:val="24"/>
          <w:lang w:val="fr-CA"/>
        </w:rPr>
      </w:pPr>
      <w:r w:rsidRPr="00163FAE">
        <w:rPr>
          <w:b/>
          <w:szCs w:val="24"/>
          <w:lang w:val="fr-CA"/>
        </w:rPr>
        <w:t>Le</w:t>
      </w:r>
      <w:r w:rsidR="00957A76" w:rsidRPr="00163FAE">
        <w:rPr>
          <w:b/>
          <w:szCs w:val="24"/>
          <w:lang w:val="fr-CA"/>
        </w:rPr>
        <w:t xml:space="preserve"> </w:t>
      </w:r>
      <w:r w:rsidR="00963277" w:rsidRPr="00163FAE">
        <w:rPr>
          <w:b/>
          <w:szCs w:val="24"/>
          <w:lang w:val="fr-CA"/>
        </w:rPr>
        <w:t>24</w:t>
      </w:r>
      <w:r w:rsidR="00FA6BAB" w:rsidRPr="00163FAE">
        <w:rPr>
          <w:b/>
          <w:szCs w:val="24"/>
          <w:lang w:val="fr-CA"/>
        </w:rPr>
        <w:t xml:space="preserve"> </w:t>
      </w:r>
      <w:r w:rsidR="00DC4AAB" w:rsidRPr="00163FAE">
        <w:rPr>
          <w:b/>
          <w:szCs w:val="24"/>
          <w:lang w:val="fr-CA"/>
        </w:rPr>
        <w:t>octobre</w:t>
      </w:r>
      <w:r w:rsidR="00A151D1" w:rsidRPr="00163FAE">
        <w:rPr>
          <w:b/>
          <w:szCs w:val="24"/>
          <w:lang w:val="fr-CA"/>
        </w:rPr>
        <w:t xml:space="preserve"> 20</w:t>
      </w:r>
      <w:r w:rsidR="00526754" w:rsidRPr="00163FAE">
        <w:rPr>
          <w:b/>
          <w:szCs w:val="24"/>
          <w:lang w:val="fr-CA"/>
        </w:rPr>
        <w:t>2</w:t>
      </w:r>
      <w:r w:rsidR="00644008" w:rsidRPr="00163FAE">
        <w:rPr>
          <w:b/>
          <w:szCs w:val="24"/>
          <w:lang w:val="fr-CA"/>
        </w:rPr>
        <w:t>2</w:t>
      </w:r>
    </w:p>
    <w:p w:rsidR="006F2579" w:rsidRPr="00163FAE" w:rsidRDefault="006F2579" w:rsidP="006F2579">
      <w:pPr>
        <w:widowControl w:val="0"/>
        <w:rPr>
          <w:b/>
          <w:szCs w:val="24"/>
          <w:lang w:val="fr-CA"/>
        </w:rPr>
      </w:pPr>
      <w:r w:rsidRPr="00163FAE">
        <w:rPr>
          <w:b/>
          <w:szCs w:val="24"/>
          <w:lang w:val="fr-CA"/>
        </w:rPr>
        <w:t>Pour diffusion immédiate</w:t>
      </w:r>
    </w:p>
    <w:p w:rsidR="006F2579" w:rsidRPr="00163FAE" w:rsidRDefault="006F2579" w:rsidP="006F2579">
      <w:pPr>
        <w:widowControl w:val="0"/>
        <w:rPr>
          <w:szCs w:val="24"/>
          <w:lang w:val="fr-CA"/>
        </w:rPr>
      </w:pPr>
    </w:p>
    <w:p w:rsidR="006F2579" w:rsidRPr="00163FAE" w:rsidRDefault="006F2579" w:rsidP="006F2579">
      <w:pPr>
        <w:widowControl w:val="0"/>
        <w:rPr>
          <w:szCs w:val="24"/>
          <w:lang w:val="fr-CA"/>
        </w:rPr>
      </w:pPr>
      <w:r w:rsidRPr="00163FAE">
        <w:rPr>
          <w:b/>
          <w:szCs w:val="24"/>
          <w:lang w:val="fr-CA"/>
        </w:rPr>
        <w:t>OTTAWA</w:t>
      </w:r>
      <w:r w:rsidRPr="00163FAE">
        <w:rPr>
          <w:szCs w:val="24"/>
          <w:lang w:val="fr-CA"/>
        </w:rPr>
        <w:t xml:space="preserve"> – La Cour suprême du Canada annonce que jugement ser</w:t>
      </w:r>
      <w:r w:rsidR="004259F9" w:rsidRPr="00163FAE">
        <w:rPr>
          <w:szCs w:val="24"/>
          <w:lang w:val="fr-CA"/>
        </w:rPr>
        <w:t>a</w:t>
      </w:r>
      <w:r w:rsidRPr="00163FAE">
        <w:rPr>
          <w:szCs w:val="24"/>
          <w:lang w:val="fr-CA"/>
        </w:rPr>
        <w:t xml:space="preserve"> rendu dans l</w:t>
      </w:r>
      <w:r w:rsidR="004F5491" w:rsidRPr="00163FAE">
        <w:rPr>
          <w:szCs w:val="24"/>
          <w:lang w:val="fr-CA"/>
        </w:rPr>
        <w:t>es</w:t>
      </w:r>
      <w:r w:rsidRPr="00163FAE">
        <w:rPr>
          <w:szCs w:val="24"/>
          <w:lang w:val="fr-CA"/>
        </w:rPr>
        <w:t xml:space="preserve"> demande</w:t>
      </w:r>
      <w:r w:rsidR="004F5491" w:rsidRPr="00163FAE">
        <w:rPr>
          <w:szCs w:val="24"/>
          <w:lang w:val="fr-CA"/>
        </w:rPr>
        <w:t>s</w:t>
      </w:r>
      <w:r w:rsidRPr="00163FAE">
        <w:rPr>
          <w:szCs w:val="24"/>
          <w:lang w:val="fr-CA"/>
        </w:rPr>
        <w:t xml:space="preserve"> d</w:t>
      </w:r>
      <w:r w:rsidR="00001846" w:rsidRPr="00163FAE">
        <w:rPr>
          <w:szCs w:val="24"/>
          <w:lang w:val="fr-CA"/>
        </w:rPr>
        <w:t>’autorisation suivante</w:t>
      </w:r>
      <w:r w:rsidR="004F5491" w:rsidRPr="00163FAE">
        <w:rPr>
          <w:szCs w:val="24"/>
          <w:lang w:val="fr-CA"/>
        </w:rPr>
        <w:t>s</w:t>
      </w:r>
      <w:r w:rsidRPr="00163FAE">
        <w:rPr>
          <w:szCs w:val="24"/>
          <w:lang w:val="fr-CA"/>
        </w:rPr>
        <w:t xml:space="preserve"> le </w:t>
      </w:r>
      <w:r w:rsidR="00322A9C" w:rsidRPr="00163FAE">
        <w:rPr>
          <w:szCs w:val="24"/>
          <w:lang w:val="fr-CA"/>
        </w:rPr>
        <w:t>jeu</w:t>
      </w:r>
      <w:r w:rsidR="00680A85" w:rsidRPr="00163FAE">
        <w:rPr>
          <w:szCs w:val="24"/>
          <w:lang w:val="fr-CA"/>
        </w:rPr>
        <w:t>di</w:t>
      </w:r>
      <w:r w:rsidRPr="00163FAE">
        <w:rPr>
          <w:szCs w:val="24"/>
          <w:lang w:val="fr-CA"/>
        </w:rPr>
        <w:t xml:space="preserve"> </w:t>
      </w:r>
      <w:r w:rsidR="00FA6BAB" w:rsidRPr="00163FAE">
        <w:rPr>
          <w:szCs w:val="24"/>
          <w:lang w:val="fr-CA"/>
        </w:rPr>
        <w:t>2</w:t>
      </w:r>
      <w:r w:rsidR="00963277" w:rsidRPr="00163FAE">
        <w:rPr>
          <w:szCs w:val="24"/>
          <w:lang w:val="fr-CA"/>
        </w:rPr>
        <w:t>7</w:t>
      </w:r>
      <w:r w:rsidR="009E0BD3" w:rsidRPr="00163FAE">
        <w:rPr>
          <w:szCs w:val="24"/>
          <w:lang w:val="fr-CA"/>
        </w:rPr>
        <w:t xml:space="preserve"> </w:t>
      </w:r>
      <w:r w:rsidR="00DC4AAB" w:rsidRPr="00163FAE">
        <w:rPr>
          <w:szCs w:val="24"/>
          <w:lang w:val="fr-CA"/>
        </w:rPr>
        <w:t>octobre</w:t>
      </w:r>
      <w:r w:rsidR="00694391" w:rsidRPr="00163FAE">
        <w:rPr>
          <w:szCs w:val="24"/>
          <w:lang w:val="fr-CA"/>
        </w:rPr>
        <w:t xml:space="preserve"> 2</w:t>
      </w:r>
      <w:r w:rsidR="006648D1" w:rsidRPr="00163FAE">
        <w:rPr>
          <w:szCs w:val="24"/>
          <w:lang w:val="fr-CA"/>
        </w:rPr>
        <w:t>0</w:t>
      </w:r>
      <w:r w:rsidR="00526754" w:rsidRPr="00163FAE">
        <w:rPr>
          <w:szCs w:val="24"/>
          <w:lang w:val="fr-CA"/>
        </w:rPr>
        <w:t>2</w:t>
      </w:r>
      <w:r w:rsidR="00644008" w:rsidRPr="00163FAE">
        <w:rPr>
          <w:szCs w:val="24"/>
          <w:lang w:val="fr-CA"/>
        </w:rPr>
        <w:t>2</w:t>
      </w:r>
      <w:r w:rsidRPr="00163FAE">
        <w:rPr>
          <w:szCs w:val="24"/>
          <w:lang w:val="fr-CA"/>
        </w:rPr>
        <w:t xml:space="preserve">, à 9 h 45 </w:t>
      </w:r>
      <w:r w:rsidR="000627A2" w:rsidRPr="00163FAE">
        <w:rPr>
          <w:szCs w:val="24"/>
          <w:lang w:val="fr-CA"/>
        </w:rPr>
        <w:t>H</w:t>
      </w:r>
      <w:r w:rsidR="00882B6B" w:rsidRPr="00163FAE">
        <w:rPr>
          <w:szCs w:val="24"/>
          <w:lang w:val="fr-CA"/>
        </w:rPr>
        <w:t>A</w:t>
      </w:r>
      <w:r w:rsidRPr="00163FAE">
        <w:rPr>
          <w:szCs w:val="24"/>
          <w:lang w:val="fr-CA"/>
        </w:rPr>
        <w:t>E. Cette liste est sujette à modification</w:t>
      </w:r>
      <w:r w:rsidR="00130ADB" w:rsidRPr="00163FAE">
        <w:rPr>
          <w:szCs w:val="24"/>
          <w:lang w:val="fr-CA"/>
        </w:rPr>
        <w:t>s</w:t>
      </w:r>
      <w:r w:rsidRPr="00163FAE">
        <w:rPr>
          <w:szCs w:val="24"/>
          <w:lang w:val="fr-CA"/>
        </w:rPr>
        <w:t>.</w:t>
      </w:r>
    </w:p>
    <w:p w:rsidR="0080556B" w:rsidRPr="00163FAE" w:rsidRDefault="0080556B" w:rsidP="005F2A78">
      <w:pPr>
        <w:widowControl w:val="0"/>
        <w:tabs>
          <w:tab w:val="left" w:pos="3840"/>
        </w:tabs>
        <w:jc w:val="both"/>
        <w:rPr>
          <w:sz w:val="20"/>
          <w:lang w:val="fr-CA"/>
        </w:rPr>
      </w:pPr>
    </w:p>
    <w:p w:rsidR="00867C61" w:rsidRPr="00163FAE" w:rsidRDefault="00163FAE" w:rsidP="009B14F4">
      <w:pPr>
        <w:widowControl w:val="0"/>
        <w:jc w:val="both"/>
        <w:rPr>
          <w:sz w:val="20"/>
        </w:rPr>
      </w:pPr>
      <w:r w:rsidRPr="00163FAE">
        <w:rPr>
          <w:sz w:val="20"/>
        </w:rPr>
        <w:pict>
          <v:rect id="_x0000_i1025" style="width:2in;height:1pt" o:hrpct="0" o:hralign="center" o:hrstd="t" o:hrnoshade="t" o:hr="t" fillcolor="black [3213]" stroked="f"/>
        </w:pict>
      </w:r>
    </w:p>
    <w:p w:rsidR="004A6E51" w:rsidRPr="00163FAE" w:rsidRDefault="004A6E51" w:rsidP="00963277">
      <w:pPr>
        <w:ind w:left="357" w:hanging="357"/>
        <w:rPr>
          <w:sz w:val="20"/>
          <w:lang w:val="fr-CA"/>
        </w:rPr>
      </w:pPr>
    </w:p>
    <w:p w:rsidR="009D35E4" w:rsidRPr="00163FAE" w:rsidRDefault="009D35E4" w:rsidP="009D35E4">
      <w:pPr>
        <w:pStyle w:val="ListParagraph"/>
        <w:numPr>
          <w:ilvl w:val="0"/>
          <w:numId w:val="18"/>
        </w:numPr>
        <w:ind w:left="357" w:hanging="357"/>
        <w:rPr>
          <w:sz w:val="20"/>
        </w:rPr>
      </w:pPr>
      <w:r w:rsidRPr="00163FAE">
        <w:rPr>
          <w:i/>
          <w:sz w:val="20"/>
        </w:rPr>
        <w:t>Manitoba Federation of Labour (in its own right and on behalf of The Partnership to Defend Public Services), et al. v. Government of Manitoba</w:t>
      </w:r>
      <w:r w:rsidRPr="00163FAE">
        <w:rPr>
          <w:sz w:val="20"/>
        </w:rPr>
        <w:t xml:space="preserve"> (Man.) (Civil) (By Leave) (</w:t>
      </w:r>
      <w:hyperlink r:id="rId8" w:history="1">
        <w:r w:rsidRPr="00163FAE">
          <w:rPr>
            <w:rStyle w:val="Hyperlink"/>
            <w:sz w:val="20"/>
          </w:rPr>
          <w:t>39952</w:t>
        </w:r>
      </w:hyperlink>
      <w:r w:rsidRPr="00163FAE">
        <w:rPr>
          <w:sz w:val="20"/>
        </w:rPr>
        <w:t>)</w:t>
      </w:r>
    </w:p>
    <w:p w:rsidR="009D35E4" w:rsidRPr="00163FAE" w:rsidRDefault="009D35E4" w:rsidP="009D35E4">
      <w:pPr>
        <w:ind w:left="357" w:hanging="357"/>
        <w:rPr>
          <w:sz w:val="20"/>
        </w:rPr>
      </w:pPr>
    </w:p>
    <w:p w:rsidR="00963277" w:rsidRPr="00163FAE" w:rsidRDefault="00963277" w:rsidP="009D35E4">
      <w:pPr>
        <w:pStyle w:val="SCCLsocParty"/>
        <w:numPr>
          <w:ilvl w:val="0"/>
          <w:numId w:val="18"/>
        </w:numPr>
        <w:ind w:left="357" w:hanging="357"/>
        <w:jc w:val="left"/>
        <w:rPr>
          <w:i/>
          <w:sz w:val="20"/>
          <w:szCs w:val="20"/>
          <w:lang w:val="en-US"/>
        </w:rPr>
      </w:pPr>
      <w:r w:rsidRPr="00163FAE">
        <w:rPr>
          <w:i/>
          <w:sz w:val="20"/>
          <w:szCs w:val="20"/>
          <w:lang w:val="en-US"/>
        </w:rPr>
        <w:t>Elaine Biddersingh v. His Majesty the King</w:t>
      </w:r>
      <w:r w:rsidRPr="00163FAE">
        <w:rPr>
          <w:sz w:val="20"/>
          <w:szCs w:val="20"/>
          <w:lang w:val="en-US"/>
        </w:rPr>
        <w:t xml:space="preserve"> (Ont.) (Criminal) (By Leave) </w:t>
      </w:r>
      <w:r w:rsidRPr="00163FAE">
        <w:rPr>
          <w:sz w:val="20"/>
          <w:lang w:val="en-US"/>
        </w:rPr>
        <w:t>(</w:t>
      </w:r>
      <w:hyperlink r:id="rId9" w:history="1">
        <w:r w:rsidRPr="00163FAE">
          <w:rPr>
            <w:rStyle w:val="Hyperlink"/>
            <w:sz w:val="20"/>
            <w:lang w:val="en-US"/>
          </w:rPr>
          <w:t>40261</w:t>
        </w:r>
      </w:hyperlink>
      <w:r w:rsidRPr="00163FAE">
        <w:rPr>
          <w:sz w:val="20"/>
          <w:lang w:val="en-US"/>
        </w:rPr>
        <w:t>)</w:t>
      </w:r>
    </w:p>
    <w:p w:rsidR="00F649C7" w:rsidRPr="00163FAE" w:rsidRDefault="00F649C7" w:rsidP="0053032E">
      <w:pPr>
        <w:widowControl w:val="0"/>
        <w:jc w:val="both"/>
        <w:rPr>
          <w:sz w:val="20"/>
        </w:rPr>
      </w:pPr>
    </w:p>
    <w:p w:rsidR="0057402C" w:rsidRPr="00163FAE" w:rsidRDefault="00163FAE" w:rsidP="0053032E">
      <w:pPr>
        <w:widowControl w:val="0"/>
        <w:jc w:val="both"/>
        <w:rPr>
          <w:sz w:val="20"/>
        </w:rPr>
      </w:pPr>
      <w:r w:rsidRPr="00163FAE">
        <w:rPr>
          <w:sz w:val="20"/>
        </w:rPr>
        <w:pict>
          <v:rect id="_x0000_i1026" style="width:2in;height:1pt" o:hrpct="0" o:hralign="center" o:hrstd="t" o:hrnoshade="t" o:hr="t" fillcolor="black [3213]" stroked="f"/>
        </w:pict>
      </w:r>
    </w:p>
    <w:p w:rsidR="00FA6BAB" w:rsidRPr="00163FAE" w:rsidRDefault="00FA6BAB"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5E4" w:rsidRPr="00163FAE" w:rsidTr="00E95A6A">
        <w:tc>
          <w:tcPr>
            <w:tcW w:w="543" w:type="pct"/>
          </w:tcPr>
          <w:p w:rsidR="009D35E4" w:rsidRPr="00163FAE" w:rsidRDefault="009D35E4" w:rsidP="009D35E4">
            <w:pPr>
              <w:jc w:val="both"/>
              <w:rPr>
                <w:sz w:val="20"/>
              </w:rPr>
            </w:pPr>
            <w:r w:rsidRPr="00163FAE">
              <w:rPr>
                <w:rStyle w:val="SCCFileNumberChar"/>
                <w:sz w:val="20"/>
                <w:szCs w:val="20"/>
              </w:rPr>
              <w:t>39952</w:t>
            </w:r>
          </w:p>
        </w:tc>
        <w:tc>
          <w:tcPr>
            <w:tcW w:w="4457" w:type="pct"/>
            <w:gridSpan w:val="3"/>
          </w:tcPr>
          <w:p w:rsidR="009D35E4" w:rsidRPr="00163FAE" w:rsidRDefault="009D35E4" w:rsidP="009D35E4">
            <w:pPr>
              <w:pStyle w:val="SCCLsocParty"/>
              <w:jc w:val="both"/>
              <w:rPr>
                <w:b/>
                <w:sz w:val="20"/>
                <w:szCs w:val="20"/>
                <w:lang w:val="en-US"/>
              </w:rPr>
            </w:pPr>
            <w:r w:rsidRPr="00163FAE">
              <w:rPr>
                <w:b/>
                <w:sz w:val="20"/>
                <w:szCs w:val="20"/>
                <w:lang w:val="en-US"/>
              </w:rPr>
              <w:t>Manitoba Federation of Labour (in its own right and on behalf of The Partnership to Defend Public Services), Manitoba Government and General Employees’ Union, Manitoba Nurses’ Union, Manitoba Teachers’ Society, International Brotherhood of Electrical Workers Locals 2034, 2085 and 435, Manitoba Association of Health Care Professionals, United Food and Commercial Workers Union Local 832, University of Manitoba Faculty Association, Canadian Union of Public Employees National, Association of Employees Supporting Education Services, General Teamsters Local Union 979, Operating Engineers of Manitoba Local 987, Professional Institute of the Public Service of Canada, Public Service Alliance of Canada, Unifor, Legal Aid Lawyers Association, United Steel, Paper and Forestry, Rubber, Manufacturing, Energy, Allied Industrial and Service Workers International Union, Locals 7975, 7106, 9074 and 8223, Winnipeg Association of Public Service Officers IFPTE Local 162, United Association of Journeymen and Apprentices of the Plumbing and Pipe Fitting Industry of the United States and Canada Local Union 254, Brandon University Faculty Association, International Alliance of Theatrical Stage Employees, Moving Picture Technicians, Artists and Allied Crafts of The United States, its Territories and Canada, Local 63, United Brotherhood of Carpenters &amp; Joiners of America, Local Union No. 1515, Physician and Clinical Assistants of Manitoba Inc., University of Winnipeg Faculty Association v. Government of Manitoba</w:t>
            </w:r>
          </w:p>
          <w:p w:rsidR="009D35E4" w:rsidRPr="00163FAE" w:rsidRDefault="009D35E4" w:rsidP="009D35E4">
            <w:pPr>
              <w:jc w:val="both"/>
              <w:rPr>
                <w:sz w:val="20"/>
              </w:rPr>
            </w:pPr>
            <w:r w:rsidRPr="00163FAE">
              <w:rPr>
                <w:sz w:val="20"/>
              </w:rPr>
              <w:t>(Man.) (Civil) (By Leave)</w:t>
            </w:r>
          </w:p>
        </w:tc>
      </w:tr>
      <w:tr w:rsidR="009D35E4" w:rsidRPr="00163FAE" w:rsidTr="00E95A6A">
        <w:tc>
          <w:tcPr>
            <w:tcW w:w="5000" w:type="pct"/>
            <w:gridSpan w:val="4"/>
          </w:tcPr>
          <w:p w:rsidR="009D35E4" w:rsidRPr="00163FAE" w:rsidRDefault="009D35E4" w:rsidP="009D35E4">
            <w:pPr>
              <w:jc w:val="both"/>
              <w:rPr>
                <w:sz w:val="20"/>
              </w:rPr>
            </w:pPr>
            <w:r w:rsidRPr="00163FAE">
              <w:rPr>
                <w:sz w:val="20"/>
              </w:rPr>
              <w:t xml:space="preserve">Constitutional law — </w:t>
            </w:r>
            <w:r w:rsidRPr="00163FAE">
              <w:rPr>
                <w:i/>
                <w:sz w:val="20"/>
              </w:rPr>
              <w:t>Charter of Rights</w:t>
            </w:r>
            <w:r w:rsidRPr="00163FAE">
              <w:rPr>
                <w:sz w:val="20"/>
              </w:rPr>
              <w:t xml:space="preserve"> — Freedom of association — Right to collective bargaining — Provincial wage restraint legislation enacted but not in force — Trial judge concluding that legislation </w:t>
            </w:r>
            <w:r w:rsidRPr="00163FAE">
              <w:rPr>
                <w:iCs/>
                <w:color w:val="000000"/>
                <w:sz w:val="20"/>
              </w:rPr>
              <w:t xml:space="preserve">violates freedom of </w:t>
            </w:r>
            <w:r w:rsidRPr="00163FAE">
              <w:rPr>
                <w:iCs/>
                <w:color w:val="000000"/>
                <w:sz w:val="20"/>
              </w:rPr>
              <w:lastRenderedPageBreak/>
              <w:t>association</w:t>
            </w:r>
            <w:r w:rsidRPr="00163FAE">
              <w:rPr>
                <w:sz w:val="20"/>
              </w:rPr>
              <w:t xml:space="preserve"> — Court of Appeal allowing appeal and holding legislation did not substantially interfere with s. 2(d) associational rights — Whether a fact</w:t>
            </w:r>
            <w:r w:rsidRPr="00163FAE">
              <w:rPr>
                <w:sz w:val="20"/>
              </w:rPr>
              <w:noBreakHyphen/>
              <w:t xml:space="preserve">specific and contextual analysis is required in determining the constitutionality of legislation including wage restraint laws, under s. 2(d) of the </w:t>
            </w:r>
            <w:r w:rsidRPr="00163FAE">
              <w:rPr>
                <w:i/>
                <w:sz w:val="20"/>
              </w:rPr>
              <w:t xml:space="preserve">Charter </w:t>
            </w:r>
            <w:r w:rsidRPr="00163FAE">
              <w:rPr>
                <w:sz w:val="20"/>
              </w:rPr>
              <w:t xml:space="preserve">— What is the nature of the question and the related standard of review when assessing a trial judge’s decision that government conduct or legislation is unconstitutional? — </w:t>
            </w:r>
            <w:r w:rsidRPr="00163FAE">
              <w:rPr>
                <w:i/>
                <w:sz w:val="20"/>
              </w:rPr>
              <w:t>Public Services Sustainability Act</w:t>
            </w:r>
            <w:r w:rsidRPr="00163FAE">
              <w:rPr>
                <w:sz w:val="20"/>
              </w:rPr>
              <w:t xml:space="preserve">, C.C.S.M., c. P272 </w:t>
            </w:r>
            <w:r w:rsidRPr="00163FAE">
              <w:rPr>
                <w:i/>
                <w:iCs/>
                <w:sz w:val="20"/>
              </w:rPr>
              <w:t xml:space="preserve">— </w:t>
            </w:r>
            <w:hyperlink r:id="rId10" w:anchor="!fragment/sec1" w:tgtFrame="_blank" w:history="1">
              <w:r w:rsidRPr="00163FAE">
                <w:rPr>
                  <w:rStyle w:val="Hyperlink"/>
                  <w:i/>
                  <w:iCs/>
                  <w:sz w:val="20"/>
                </w:rPr>
                <w:t>Canadian Charter of Rights and Freedoms, ss. 1</w:t>
              </w:r>
            </w:hyperlink>
            <w:r w:rsidRPr="00163FAE">
              <w:rPr>
                <w:i/>
                <w:iCs/>
                <w:sz w:val="20"/>
              </w:rPr>
              <w:t>, </w:t>
            </w:r>
            <w:hyperlink r:id="rId11" w:anchor="!fragment/sec2" w:tgtFrame="_blank" w:history="1">
              <w:r w:rsidRPr="00163FAE">
                <w:rPr>
                  <w:rStyle w:val="Hyperlink"/>
                  <w:i/>
                  <w:iCs/>
                  <w:sz w:val="20"/>
                </w:rPr>
                <w:t>2</w:t>
              </w:r>
            </w:hyperlink>
            <w:r w:rsidRPr="00163FAE">
              <w:rPr>
                <w:i/>
                <w:iCs/>
                <w:sz w:val="20"/>
              </w:rPr>
              <w:t>(d).</w:t>
            </w:r>
          </w:p>
        </w:tc>
      </w:tr>
      <w:tr w:rsidR="009D35E4" w:rsidRPr="00163FAE" w:rsidTr="00E95A6A">
        <w:tc>
          <w:tcPr>
            <w:tcW w:w="5000" w:type="pct"/>
            <w:gridSpan w:val="4"/>
          </w:tcPr>
          <w:p w:rsidR="009D35E4" w:rsidRPr="00163FAE" w:rsidRDefault="009D35E4" w:rsidP="009D35E4">
            <w:pPr>
              <w:jc w:val="both"/>
              <w:rPr>
                <w:sz w:val="20"/>
              </w:rPr>
            </w:pPr>
          </w:p>
        </w:tc>
      </w:tr>
      <w:tr w:rsidR="009D35E4" w:rsidRPr="00163FAE" w:rsidTr="00E95A6A">
        <w:tc>
          <w:tcPr>
            <w:tcW w:w="5000" w:type="pct"/>
            <w:gridSpan w:val="4"/>
          </w:tcPr>
          <w:p w:rsidR="009D35E4" w:rsidRPr="00163FAE" w:rsidRDefault="009D35E4" w:rsidP="009D35E4">
            <w:pPr>
              <w:jc w:val="both"/>
              <w:rPr>
                <w:sz w:val="20"/>
              </w:rPr>
            </w:pPr>
            <w:r w:rsidRPr="00163FAE">
              <w:rPr>
                <w:sz w:val="20"/>
              </w:rPr>
              <w:t xml:space="preserve">The </w:t>
            </w:r>
            <w:r w:rsidRPr="00163FAE">
              <w:rPr>
                <w:i/>
                <w:sz w:val="20"/>
              </w:rPr>
              <w:t>Public Services Sustainability Act</w:t>
            </w:r>
            <w:r w:rsidRPr="00163FAE">
              <w:rPr>
                <w:sz w:val="20"/>
              </w:rPr>
              <w:t>, C.C.S.M., c. P272 (“PSSA”), which was passed in 2017, is wage restraint legislation that set wage caps of 0 percent, 0 percent, 0.75 percent and 1 percent over a four</w:t>
            </w:r>
            <w:r w:rsidRPr="00163FAE">
              <w:rPr>
                <w:sz w:val="20"/>
              </w:rPr>
              <w:noBreakHyphen/>
              <w:t xml:space="preserve">year period. It applied broadly across the public service to both unionized and non-unionized employees. The applicants, the Manitoba Federation of Labour and 28 unions, sued the respondent, Government of Manitoba, claiming that the PSSA violated the s. 2(d) </w:t>
            </w:r>
            <w:r w:rsidRPr="00163FAE">
              <w:rPr>
                <w:i/>
                <w:sz w:val="20"/>
              </w:rPr>
              <w:t xml:space="preserve">Charter </w:t>
            </w:r>
            <w:r w:rsidRPr="00163FAE">
              <w:rPr>
                <w:sz w:val="20"/>
              </w:rPr>
              <w:t xml:space="preserve">rights of their members. The trial judge allowed the claim, concluding that the PSSA substantially interfered with the s. 2(d) associational rights of employees to engage in a meaningful process of collective bargaining and that this violation could not be justified under section 1. On appeal, the Court of Appeal determined that </w:t>
            </w:r>
            <w:r w:rsidRPr="00163FAE">
              <w:rPr>
                <w:i/>
                <w:sz w:val="20"/>
              </w:rPr>
              <w:t>Meredith v. Canada (Attorney General)</w:t>
            </w:r>
            <w:r w:rsidRPr="00163FAE">
              <w:rPr>
                <w:sz w:val="20"/>
              </w:rPr>
              <w:t>, 2015 SCC 2, [2015] 1 S.C.R. 125, stands for the proposition that it is not unconstitutional for a government to remove by statute the topic of wages from the bargaining table so long as the wage restraint legislation is broad</w:t>
            </w:r>
            <w:r w:rsidRPr="00163FAE">
              <w:rPr>
                <w:sz w:val="20"/>
              </w:rPr>
              <w:noBreakHyphen/>
              <w:t>based and time</w:t>
            </w:r>
            <w:r w:rsidRPr="00163FAE">
              <w:rPr>
                <w:sz w:val="20"/>
              </w:rPr>
              <w:noBreakHyphen/>
              <w:t>limited, and that it does not preclude a meaningful collective bargaining process from occurring on other important workplace matters. As the PSSA met that criteria, the Court of Appeal allowed the appeal, concluding that the PSSA did not substantially interfere with s. 2(d) associational rights.</w:t>
            </w:r>
          </w:p>
          <w:p w:rsidR="009D35E4" w:rsidRPr="00163FAE" w:rsidRDefault="009D35E4" w:rsidP="009D35E4">
            <w:pPr>
              <w:jc w:val="both"/>
              <w:rPr>
                <w:sz w:val="20"/>
              </w:rPr>
            </w:pPr>
          </w:p>
        </w:tc>
      </w:tr>
      <w:tr w:rsidR="009D35E4" w:rsidRPr="00163FAE" w:rsidTr="00E95A6A">
        <w:tc>
          <w:tcPr>
            <w:tcW w:w="2427" w:type="pct"/>
            <w:gridSpan w:val="2"/>
          </w:tcPr>
          <w:p w:rsidR="009D35E4" w:rsidRPr="00163FAE" w:rsidRDefault="009D35E4" w:rsidP="009D35E4">
            <w:pPr>
              <w:jc w:val="both"/>
              <w:rPr>
                <w:sz w:val="20"/>
              </w:rPr>
            </w:pPr>
            <w:r w:rsidRPr="00163FAE">
              <w:rPr>
                <w:sz w:val="20"/>
              </w:rPr>
              <w:t>June 11, 2020</w:t>
            </w:r>
          </w:p>
          <w:p w:rsidR="009D35E4" w:rsidRPr="00163FAE" w:rsidRDefault="009D35E4" w:rsidP="009D35E4">
            <w:pPr>
              <w:jc w:val="both"/>
              <w:rPr>
                <w:sz w:val="20"/>
              </w:rPr>
            </w:pPr>
            <w:r w:rsidRPr="00163FAE">
              <w:rPr>
                <w:sz w:val="20"/>
              </w:rPr>
              <w:t>Court of Queen’s Bench of Manitoba</w:t>
            </w:r>
          </w:p>
          <w:p w:rsidR="009D35E4" w:rsidRPr="00163FAE" w:rsidRDefault="009D35E4" w:rsidP="009D35E4">
            <w:pPr>
              <w:jc w:val="both"/>
              <w:rPr>
                <w:sz w:val="20"/>
              </w:rPr>
            </w:pPr>
            <w:r w:rsidRPr="00163FAE">
              <w:rPr>
                <w:sz w:val="20"/>
              </w:rPr>
              <w:t>(McKelvey J.)</w:t>
            </w:r>
          </w:p>
          <w:p w:rsidR="009D35E4" w:rsidRPr="00163FAE" w:rsidRDefault="00163FAE" w:rsidP="009D35E4">
            <w:pPr>
              <w:jc w:val="both"/>
              <w:rPr>
                <w:sz w:val="20"/>
              </w:rPr>
            </w:pPr>
            <w:hyperlink r:id="rId12" w:history="1">
              <w:r w:rsidR="009D35E4" w:rsidRPr="00163FAE">
                <w:rPr>
                  <w:rStyle w:val="Hyperlink"/>
                  <w:sz w:val="20"/>
                </w:rPr>
                <w:t>2020 MBQB 92</w:t>
              </w:r>
            </w:hyperlink>
          </w:p>
          <w:p w:rsidR="009D35E4" w:rsidRPr="00163FAE" w:rsidRDefault="009D35E4" w:rsidP="009D35E4">
            <w:pPr>
              <w:jc w:val="both"/>
              <w:rPr>
                <w:sz w:val="20"/>
              </w:rPr>
            </w:pPr>
          </w:p>
        </w:tc>
        <w:tc>
          <w:tcPr>
            <w:tcW w:w="243" w:type="pct"/>
          </w:tcPr>
          <w:p w:rsidR="009D35E4" w:rsidRPr="00163FAE" w:rsidRDefault="009D35E4" w:rsidP="009D35E4">
            <w:pPr>
              <w:jc w:val="both"/>
              <w:rPr>
                <w:sz w:val="20"/>
              </w:rPr>
            </w:pPr>
          </w:p>
        </w:tc>
        <w:tc>
          <w:tcPr>
            <w:tcW w:w="2330" w:type="pct"/>
          </w:tcPr>
          <w:p w:rsidR="009D35E4" w:rsidRPr="00163FAE" w:rsidRDefault="009D35E4" w:rsidP="009D35E4">
            <w:pPr>
              <w:jc w:val="both"/>
              <w:rPr>
                <w:sz w:val="20"/>
              </w:rPr>
            </w:pPr>
            <w:r w:rsidRPr="00163FAE">
              <w:rPr>
                <w:sz w:val="20"/>
              </w:rPr>
              <w:t xml:space="preserve">Applicants’ action allowed: Ss. 9–15 of </w:t>
            </w:r>
            <w:r w:rsidRPr="00163FAE">
              <w:rPr>
                <w:i/>
                <w:sz w:val="20"/>
              </w:rPr>
              <w:t>Public Services Sustainability Act</w:t>
            </w:r>
            <w:r w:rsidRPr="00163FAE">
              <w:rPr>
                <w:sz w:val="20"/>
              </w:rPr>
              <w:t xml:space="preserve"> declared invalid and of no force and effect.  </w:t>
            </w:r>
          </w:p>
          <w:p w:rsidR="009D35E4" w:rsidRPr="00163FAE" w:rsidRDefault="009D35E4" w:rsidP="009D35E4">
            <w:pPr>
              <w:jc w:val="both"/>
              <w:rPr>
                <w:sz w:val="20"/>
              </w:rPr>
            </w:pPr>
          </w:p>
        </w:tc>
      </w:tr>
      <w:tr w:rsidR="009D35E4" w:rsidRPr="00163FAE" w:rsidTr="00E95A6A">
        <w:tc>
          <w:tcPr>
            <w:tcW w:w="2427" w:type="pct"/>
            <w:gridSpan w:val="2"/>
          </w:tcPr>
          <w:p w:rsidR="009D35E4" w:rsidRPr="00163FAE" w:rsidRDefault="009D35E4" w:rsidP="009D35E4">
            <w:pPr>
              <w:jc w:val="both"/>
              <w:rPr>
                <w:sz w:val="20"/>
              </w:rPr>
            </w:pPr>
            <w:r w:rsidRPr="00163FAE">
              <w:rPr>
                <w:sz w:val="20"/>
              </w:rPr>
              <w:t>October 13, 2021</w:t>
            </w:r>
          </w:p>
          <w:p w:rsidR="009D35E4" w:rsidRPr="00163FAE" w:rsidRDefault="009D35E4" w:rsidP="009D35E4">
            <w:pPr>
              <w:jc w:val="both"/>
              <w:rPr>
                <w:sz w:val="20"/>
              </w:rPr>
            </w:pPr>
            <w:r w:rsidRPr="00163FAE">
              <w:rPr>
                <w:sz w:val="20"/>
              </w:rPr>
              <w:t>Court of Appeal of Manitoba</w:t>
            </w:r>
          </w:p>
          <w:p w:rsidR="009D35E4" w:rsidRPr="00163FAE" w:rsidRDefault="009D35E4" w:rsidP="009D35E4">
            <w:pPr>
              <w:jc w:val="both"/>
              <w:rPr>
                <w:sz w:val="20"/>
              </w:rPr>
            </w:pPr>
            <w:r w:rsidRPr="00163FAE">
              <w:rPr>
                <w:sz w:val="20"/>
              </w:rPr>
              <w:t>(Chartier C.J., Cameron and leMaistre JJ.A.)</w:t>
            </w:r>
          </w:p>
          <w:p w:rsidR="009D35E4" w:rsidRPr="00163FAE" w:rsidRDefault="00163FAE" w:rsidP="009D35E4">
            <w:pPr>
              <w:jc w:val="both"/>
              <w:rPr>
                <w:sz w:val="20"/>
              </w:rPr>
            </w:pPr>
            <w:hyperlink r:id="rId13" w:history="1">
              <w:r w:rsidR="009D35E4" w:rsidRPr="00163FAE">
                <w:rPr>
                  <w:rStyle w:val="Hyperlink"/>
                  <w:sz w:val="20"/>
                </w:rPr>
                <w:t>2021 MBCA 85</w:t>
              </w:r>
            </w:hyperlink>
            <w:r w:rsidR="009D35E4" w:rsidRPr="00163FAE">
              <w:rPr>
                <w:sz w:val="20"/>
              </w:rPr>
              <w:t xml:space="preserve"> (Docket: AI20</w:t>
            </w:r>
            <w:r w:rsidR="009D35E4" w:rsidRPr="00163FAE">
              <w:rPr>
                <w:sz w:val="20"/>
              </w:rPr>
              <w:noBreakHyphen/>
              <w:t>30</w:t>
            </w:r>
            <w:r w:rsidR="009D35E4" w:rsidRPr="00163FAE">
              <w:rPr>
                <w:sz w:val="20"/>
              </w:rPr>
              <w:noBreakHyphen/>
              <w:t>09494)</w:t>
            </w:r>
          </w:p>
          <w:p w:rsidR="009D35E4" w:rsidRPr="00163FAE" w:rsidRDefault="009D35E4" w:rsidP="009D35E4">
            <w:pPr>
              <w:jc w:val="both"/>
              <w:rPr>
                <w:sz w:val="20"/>
              </w:rPr>
            </w:pPr>
          </w:p>
        </w:tc>
        <w:tc>
          <w:tcPr>
            <w:tcW w:w="243" w:type="pct"/>
          </w:tcPr>
          <w:p w:rsidR="009D35E4" w:rsidRPr="00163FAE" w:rsidRDefault="009D35E4" w:rsidP="009D35E4">
            <w:pPr>
              <w:jc w:val="both"/>
              <w:rPr>
                <w:sz w:val="20"/>
              </w:rPr>
            </w:pPr>
          </w:p>
        </w:tc>
        <w:tc>
          <w:tcPr>
            <w:tcW w:w="2330" w:type="pct"/>
          </w:tcPr>
          <w:p w:rsidR="009D35E4" w:rsidRPr="00163FAE" w:rsidRDefault="009D35E4" w:rsidP="009D35E4">
            <w:pPr>
              <w:jc w:val="both"/>
              <w:rPr>
                <w:sz w:val="20"/>
              </w:rPr>
            </w:pPr>
            <w:r w:rsidRPr="00163FAE">
              <w:rPr>
                <w:sz w:val="20"/>
              </w:rPr>
              <w:t>Respondent’s appeal allowed.</w:t>
            </w:r>
          </w:p>
          <w:p w:rsidR="009D35E4" w:rsidRPr="00163FAE" w:rsidRDefault="009D35E4" w:rsidP="009D35E4">
            <w:pPr>
              <w:jc w:val="both"/>
              <w:rPr>
                <w:sz w:val="20"/>
              </w:rPr>
            </w:pPr>
          </w:p>
        </w:tc>
      </w:tr>
      <w:tr w:rsidR="009D35E4" w:rsidRPr="00163FAE" w:rsidTr="00E95A6A">
        <w:tc>
          <w:tcPr>
            <w:tcW w:w="2427" w:type="pct"/>
            <w:gridSpan w:val="2"/>
          </w:tcPr>
          <w:p w:rsidR="009D35E4" w:rsidRPr="00163FAE" w:rsidRDefault="009D35E4" w:rsidP="009D35E4">
            <w:pPr>
              <w:jc w:val="both"/>
              <w:rPr>
                <w:sz w:val="20"/>
              </w:rPr>
            </w:pPr>
            <w:r w:rsidRPr="00163FAE">
              <w:rPr>
                <w:sz w:val="20"/>
              </w:rPr>
              <w:t>December 13, 2021</w:t>
            </w:r>
          </w:p>
          <w:p w:rsidR="009D35E4" w:rsidRPr="00163FAE" w:rsidRDefault="009D35E4" w:rsidP="009D35E4">
            <w:pPr>
              <w:jc w:val="both"/>
              <w:rPr>
                <w:sz w:val="20"/>
              </w:rPr>
            </w:pPr>
            <w:r w:rsidRPr="00163FAE">
              <w:rPr>
                <w:sz w:val="20"/>
              </w:rPr>
              <w:t>Supreme Court of Canada</w:t>
            </w:r>
          </w:p>
        </w:tc>
        <w:tc>
          <w:tcPr>
            <w:tcW w:w="243" w:type="pct"/>
          </w:tcPr>
          <w:p w:rsidR="009D35E4" w:rsidRPr="00163FAE" w:rsidRDefault="009D35E4" w:rsidP="009D35E4">
            <w:pPr>
              <w:jc w:val="both"/>
              <w:rPr>
                <w:sz w:val="20"/>
              </w:rPr>
            </w:pPr>
          </w:p>
        </w:tc>
        <w:tc>
          <w:tcPr>
            <w:tcW w:w="2330" w:type="pct"/>
          </w:tcPr>
          <w:p w:rsidR="009D35E4" w:rsidRPr="00163FAE" w:rsidRDefault="009D35E4" w:rsidP="009D35E4">
            <w:pPr>
              <w:jc w:val="both"/>
              <w:rPr>
                <w:sz w:val="20"/>
              </w:rPr>
            </w:pPr>
            <w:r w:rsidRPr="00163FAE">
              <w:rPr>
                <w:sz w:val="20"/>
              </w:rPr>
              <w:t>Application for leave to appeal filed.</w:t>
            </w:r>
          </w:p>
        </w:tc>
      </w:tr>
    </w:tbl>
    <w:p w:rsidR="009D35E4" w:rsidRPr="00163FAE" w:rsidRDefault="009D35E4" w:rsidP="009D35E4">
      <w:pPr>
        <w:jc w:val="both"/>
        <w:rPr>
          <w:sz w:val="20"/>
        </w:rPr>
      </w:pPr>
    </w:p>
    <w:p w:rsidR="009D35E4" w:rsidRPr="00163FAE" w:rsidRDefault="00163FAE" w:rsidP="009D35E4">
      <w:pPr>
        <w:jc w:val="both"/>
        <w:rPr>
          <w:sz w:val="20"/>
        </w:rPr>
      </w:pPr>
      <w:r w:rsidRPr="00163FAE">
        <w:rPr>
          <w:sz w:val="20"/>
        </w:rPr>
        <w:pict>
          <v:rect id="_x0000_i1027" style="width:2in;height:1pt" o:hrpct="0" o:hralign="center" o:hrstd="t" o:hrnoshade="t" o:hr="t" fillcolor="black [3213]" stroked="f"/>
        </w:pict>
      </w:r>
    </w:p>
    <w:p w:rsidR="009D35E4" w:rsidRPr="00163FAE" w:rsidRDefault="009D35E4" w:rsidP="009D35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5E4" w:rsidRPr="00163FAE" w:rsidTr="00E95A6A">
        <w:tc>
          <w:tcPr>
            <w:tcW w:w="543" w:type="pct"/>
          </w:tcPr>
          <w:p w:rsidR="009D35E4" w:rsidRPr="00163FAE" w:rsidRDefault="009D35E4" w:rsidP="009D35E4">
            <w:pPr>
              <w:jc w:val="both"/>
              <w:rPr>
                <w:sz w:val="20"/>
              </w:rPr>
            </w:pPr>
            <w:r w:rsidRPr="00163FAE">
              <w:rPr>
                <w:rStyle w:val="SCCFileNumberChar"/>
                <w:sz w:val="20"/>
                <w:szCs w:val="20"/>
              </w:rPr>
              <w:t>39952</w:t>
            </w:r>
          </w:p>
        </w:tc>
        <w:tc>
          <w:tcPr>
            <w:tcW w:w="4457" w:type="pct"/>
            <w:gridSpan w:val="3"/>
          </w:tcPr>
          <w:p w:rsidR="009D35E4" w:rsidRPr="00163FAE" w:rsidRDefault="009D35E4" w:rsidP="009D35E4">
            <w:pPr>
              <w:pStyle w:val="SCCLsocParty"/>
              <w:jc w:val="both"/>
              <w:rPr>
                <w:b/>
                <w:sz w:val="20"/>
                <w:szCs w:val="20"/>
                <w:lang w:val="en-US"/>
              </w:rPr>
            </w:pPr>
            <w:r w:rsidRPr="00163FAE">
              <w:rPr>
                <w:b/>
                <w:sz w:val="20"/>
                <w:szCs w:val="20"/>
                <w:lang w:val="en-US"/>
              </w:rPr>
              <w:t>Manitoba Federation of Labour (en son propre nom et au nom du Partnership to Defend Public Services), Manitoba Government and General Employees’ Union, Manitoba Nurses’ Union, Manitoba Teachers’ Society, Fraternité internationale des ouvriers en électricité, sections locales 2034, 2085 et 435, Manitoba Association of Health Care Professionals, Travailleurs unis de l’alimentation et du commerce, section locale 832, University of Manitoba Faculty Association, Syndicat canadien de la fonction publique, Association of Employees Supporting Education Services, General Teamsters Local Union 979, Operating Engineers of Manitoba Local 987, Institut professionnel de la function publique du Canada, Alliance de la Fonction publique du Canada, Unifor, Legal Aid Lawyers Association, United Steel, Paper and Forestry, Rubber, Manufacturing, Energy, Allied Industrial and Service Workers International Union, Locals 7975, 7106, 9074 and 8223, Winnipeg Association of Public Service Officers, IFPTE Local 162, United Association of Journeymen and Apprentices of the Plumbing and Pipe Fitting Industry of the United States and Canada Local Union 254, Brandon University Faculty Association, International Alliance of Theatrical Stage Employees, Moving Picture Technicians, Artists and Allied Crafts of The United States, its Territories and Canada, Local 63, United Brotherhood of Carpenters &amp; Joiners of America, Local Union No. 1515, Physician and Clinical Assistants of Manitoba Inc., University of Winnipeg Faculty Association c. Gouvernement du Manitoba</w:t>
            </w:r>
          </w:p>
          <w:p w:rsidR="009D35E4" w:rsidRPr="00163FAE" w:rsidRDefault="009D35E4" w:rsidP="009D35E4">
            <w:pPr>
              <w:jc w:val="both"/>
              <w:rPr>
                <w:sz w:val="20"/>
              </w:rPr>
            </w:pPr>
            <w:r w:rsidRPr="00163FAE">
              <w:rPr>
                <w:sz w:val="20"/>
              </w:rPr>
              <w:t>(Man.) (Civile) (Sur autorisation)</w:t>
            </w:r>
          </w:p>
        </w:tc>
      </w:tr>
      <w:tr w:rsidR="009D35E4" w:rsidRPr="00163FAE" w:rsidTr="00E95A6A">
        <w:tc>
          <w:tcPr>
            <w:tcW w:w="5000" w:type="pct"/>
            <w:gridSpan w:val="4"/>
          </w:tcPr>
          <w:p w:rsidR="009D35E4" w:rsidRPr="00163FAE" w:rsidRDefault="009D35E4" w:rsidP="009D35E4">
            <w:pPr>
              <w:jc w:val="both"/>
              <w:rPr>
                <w:sz w:val="20"/>
                <w:lang w:val="fr-CA"/>
              </w:rPr>
            </w:pPr>
            <w:r w:rsidRPr="00163FAE">
              <w:rPr>
                <w:sz w:val="20"/>
                <w:lang w:val="fr-CA"/>
              </w:rPr>
              <w:t xml:space="preserve">Droit constitutionnel — </w:t>
            </w:r>
            <w:r w:rsidRPr="00163FAE">
              <w:rPr>
                <w:i/>
                <w:sz w:val="20"/>
                <w:lang w:val="fr-CA"/>
              </w:rPr>
              <w:t>Charte des droits</w:t>
            </w:r>
            <w:r w:rsidRPr="00163FAE">
              <w:rPr>
                <w:sz w:val="20"/>
                <w:lang w:val="fr-CA"/>
              </w:rPr>
              <w:t xml:space="preserve"> — Liberté d’association — Droit à la négociation collective — Loi provinciale de modération des salaires adoptée mais non en vigueur — Conclusion de la juge de première instance </w:t>
            </w:r>
            <w:r w:rsidRPr="00163FAE">
              <w:rPr>
                <w:sz w:val="20"/>
                <w:lang w:val="fr-CA"/>
              </w:rPr>
              <w:lastRenderedPageBreak/>
              <w:t xml:space="preserve">que la loi </w:t>
            </w:r>
            <w:r w:rsidRPr="00163FAE">
              <w:rPr>
                <w:iCs/>
                <w:color w:val="000000"/>
                <w:sz w:val="20"/>
                <w:lang w:val="fr-CA"/>
              </w:rPr>
              <w:t>viole la liberté d’association</w:t>
            </w:r>
            <w:r w:rsidRPr="00163FAE">
              <w:rPr>
                <w:sz w:val="20"/>
                <w:lang w:val="fr-CA"/>
              </w:rPr>
              <w:t xml:space="preserve"> — Cour d’appel accueillant l’appel et jugeant que la loi n’entrave pas de manière substantielle l’exercice des droits d’association garantis à l’al. 2d) — Faut</w:t>
            </w:r>
            <w:r w:rsidRPr="00163FAE">
              <w:rPr>
                <w:sz w:val="20"/>
                <w:lang w:val="fr-CA"/>
              </w:rPr>
              <w:noBreakHyphen/>
              <w:t xml:space="preserve">il procéder à une analyse contextuelle et axée sur les faits pour statuer sur la constitutionnalité de la législation, y compris les lois de modération des salaires, au regard de l’al. 2d) de la </w:t>
            </w:r>
            <w:r w:rsidRPr="00163FAE">
              <w:rPr>
                <w:i/>
                <w:sz w:val="20"/>
                <w:lang w:val="fr-CA"/>
              </w:rPr>
              <w:t xml:space="preserve">Charte </w:t>
            </w:r>
            <w:r w:rsidRPr="00163FAE">
              <w:rPr>
                <w:sz w:val="20"/>
                <w:lang w:val="fr-CA"/>
              </w:rPr>
              <w:t xml:space="preserve">— Quelle est la nature de la question et de la norme de contrôle connexe lorsqu’il s’agit d’évaluer la décision d’un juge de première instance selon laquelle des actes ou une mesure législative de l’État sont inconstitutionnels? — </w:t>
            </w:r>
            <w:r w:rsidRPr="00163FAE">
              <w:rPr>
                <w:i/>
                <w:sz w:val="20"/>
                <w:lang w:val="fr-CA"/>
              </w:rPr>
              <w:t>Loi sur la viabilité des services publics</w:t>
            </w:r>
            <w:r w:rsidRPr="00163FAE">
              <w:rPr>
                <w:sz w:val="20"/>
                <w:lang w:val="fr-CA"/>
              </w:rPr>
              <w:t xml:space="preserve">, C.P.L.M., c. P272 </w:t>
            </w:r>
            <w:r w:rsidRPr="00163FAE">
              <w:rPr>
                <w:i/>
                <w:iCs/>
                <w:sz w:val="20"/>
                <w:lang w:val="fr-CA"/>
              </w:rPr>
              <w:t xml:space="preserve">— </w:t>
            </w:r>
            <w:hyperlink r:id="rId14" w:anchor="!fragment/sec1" w:tgtFrame="_blank" w:history="1">
              <w:r w:rsidRPr="00163FAE">
                <w:rPr>
                  <w:rStyle w:val="Hyperlink"/>
                  <w:i/>
                  <w:iCs/>
                  <w:sz w:val="20"/>
                  <w:lang w:val="fr-CA"/>
                </w:rPr>
                <w:t>Charte canadienne des droits et libertés, art. 1</w:t>
              </w:r>
            </w:hyperlink>
            <w:r w:rsidRPr="00163FAE">
              <w:rPr>
                <w:i/>
                <w:iCs/>
                <w:sz w:val="20"/>
                <w:lang w:val="fr-CA"/>
              </w:rPr>
              <w:t>, </w:t>
            </w:r>
            <w:hyperlink r:id="rId15" w:anchor="!fragment/sec2" w:tgtFrame="_blank" w:history="1">
              <w:r w:rsidRPr="00163FAE">
                <w:rPr>
                  <w:rStyle w:val="Hyperlink"/>
                  <w:i/>
                  <w:iCs/>
                  <w:sz w:val="20"/>
                  <w:lang w:val="fr-CA"/>
                </w:rPr>
                <w:t>2</w:t>
              </w:r>
            </w:hyperlink>
            <w:r w:rsidRPr="00163FAE">
              <w:rPr>
                <w:i/>
                <w:iCs/>
                <w:sz w:val="20"/>
                <w:lang w:val="fr-CA"/>
              </w:rPr>
              <w:t>d).</w:t>
            </w:r>
          </w:p>
        </w:tc>
      </w:tr>
      <w:tr w:rsidR="009D35E4" w:rsidRPr="00163FAE" w:rsidTr="00E95A6A">
        <w:tc>
          <w:tcPr>
            <w:tcW w:w="5000" w:type="pct"/>
            <w:gridSpan w:val="4"/>
          </w:tcPr>
          <w:p w:rsidR="009D35E4" w:rsidRPr="00163FAE" w:rsidRDefault="009D35E4" w:rsidP="009D35E4">
            <w:pPr>
              <w:jc w:val="both"/>
              <w:rPr>
                <w:sz w:val="20"/>
                <w:lang w:val="fr-CA"/>
              </w:rPr>
            </w:pPr>
          </w:p>
        </w:tc>
      </w:tr>
      <w:tr w:rsidR="009D35E4" w:rsidRPr="00163FAE" w:rsidTr="00E95A6A">
        <w:tc>
          <w:tcPr>
            <w:tcW w:w="5000" w:type="pct"/>
            <w:gridSpan w:val="4"/>
          </w:tcPr>
          <w:p w:rsidR="009D35E4" w:rsidRPr="00163FAE" w:rsidRDefault="009D35E4" w:rsidP="009D35E4">
            <w:pPr>
              <w:jc w:val="both"/>
              <w:rPr>
                <w:sz w:val="20"/>
                <w:lang w:val="fr-CA"/>
              </w:rPr>
            </w:pPr>
            <w:r w:rsidRPr="00163FAE">
              <w:rPr>
                <w:sz w:val="20"/>
                <w:lang w:val="fr-CA"/>
              </w:rPr>
              <w:t xml:space="preserve">La </w:t>
            </w:r>
            <w:r w:rsidRPr="00163FAE">
              <w:rPr>
                <w:i/>
                <w:sz w:val="20"/>
                <w:lang w:val="fr-CA"/>
              </w:rPr>
              <w:t>Loi sur la viabilité des services publics</w:t>
            </w:r>
            <w:r w:rsidRPr="00163FAE">
              <w:rPr>
                <w:sz w:val="20"/>
                <w:lang w:val="fr-CA"/>
              </w:rPr>
              <w:t xml:space="preserve">, C.P.L.M., c. P272 (« LVSP »), qui a été adoptée en 2017, est une loi de modération des salaires qui a fixé des plafonds salariaux de 0 pour cent, 0 pour cent, 0,75 pour cent et 1 pour cent sur une période de quatre ans. Elle s’appliquait de manière large dans toute la fonction publique, tant aux fonctionnaires syndiqués qu’aux fonctionnaires non syndiqués. Les demandeurs, la Manitoba Federation of Labour et 28 syndicats, ont poursuivi l’intimé, le gouvernement du Manitoba, prétendant que la LVSP avait violé les droits garantis à leurs membres par l’al. 2d) de la </w:t>
            </w:r>
            <w:r w:rsidRPr="00163FAE">
              <w:rPr>
                <w:i/>
                <w:sz w:val="20"/>
                <w:lang w:val="fr-CA"/>
              </w:rPr>
              <w:t>Charte</w:t>
            </w:r>
            <w:r w:rsidRPr="00163FAE">
              <w:rPr>
                <w:sz w:val="20"/>
                <w:lang w:val="fr-CA"/>
              </w:rPr>
              <w:t xml:space="preserve">. La juge de première instance a accueilli la réclamation et conclu que la LVSP avait entravé substantiellement l’exercice des droits d’association, reconnus aux fonctionnaires par l’al. 2d), de s’engager dans un processus valable de négociation collective, et que cette violation ne pouvait se justifier au regard de l’article premier. En appel, la Cour d’appel a décidé que, selon l’arrêt </w:t>
            </w:r>
            <w:r w:rsidRPr="00163FAE">
              <w:rPr>
                <w:i/>
                <w:sz w:val="20"/>
                <w:lang w:val="fr-CA"/>
              </w:rPr>
              <w:t>Meredith c. Canada (Procureur général)</w:t>
            </w:r>
            <w:r w:rsidRPr="00163FAE">
              <w:rPr>
                <w:sz w:val="20"/>
                <w:lang w:val="fr-CA"/>
              </w:rPr>
              <w:t xml:space="preserve">, 2015 CSC 2, [2015] 1 R.C.S. 125, il n’est pas inconstitutionnel pour un gouvernement de retirer au moyen d’une loi les salaires de la table de négociation pourvu que la loi de modération des salaires ait une portée générale et une durée limitée. Elle ne doit pas non plus empêcher qu’il y ait un processus valable de négociation collective sur d’autres questions importantes liées au travail. Comme la LVSP répondait à ces critères, la Cour d’appel a fait </w:t>
            </w:r>
            <w:proofErr w:type="gramStart"/>
            <w:r w:rsidRPr="00163FAE">
              <w:rPr>
                <w:sz w:val="20"/>
                <w:lang w:val="fr-CA"/>
              </w:rPr>
              <w:t>droit</w:t>
            </w:r>
            <w:proofErr w:type="gramEnd"/>
            <w:r w:rsidRPr="00163FAE">
              <w:rPr>
                <w:sz w:val="20"/>
                <w:lang w:val="fr-CA"/>
              </w:rPr>
              <w:t xml:space="preserve"> à l’appel, concluant que la LVSP n’entravait pas substantiellement l’exercice des droits d’association reconnus à l’al. 2d).</w:t>
            </w:r>
          </w:p>
          <w:p w:rsidR="009D35E4" w:rsidRPr="00163FAE" w:rsidRDefault="009D35E4" w:rsidP="009D35E4">
            <w:pPr>
              <w:jc w:val="both"/>
              <w:rPr>
                <w:sz w:val="20"/>
                <w:lang w:val="fr-CA"/>
              </w:rPr>
            </w:pPr>
          </w:p>
        </w:tc>
      </w:tr>
      <w:tr w:rsidR="009D35E4" w:rsidRPr="00163FAE" w:rsidTr="00E95A6A">
        <w:tc>
          <w:tcPr>
            <w:tcW w:w="2427" w:type="pct"/>
            <w:gridSpan w:val="2"/>
          </w:tcPr>
          <w:p w:rsidR="009D35E4" w:rsidRPr="00163FAE" w:rsidRDefault="009D35E4" w:rsidP="009D35E4">
            <w:pPr>
              <w:jc w:val="both"/>
              <w:rPr>
                <w:sz w:val="20"/>
                <w:lang w:val="fr-CA"/>
              </w:rPr>
            </w:pPr>
            <w:r w:rsidRPr="00163FAE">
              <w:rPr>
                <w:sz w:val="20"/>
                <w:lang w:val="fr-CA"/>
              </w:rPr>
              <w:t>11 juin 2020</w:t>
            </w:r>
          </w:p>
          <w:p w:rsidR="009D35E4" w:rsidRPr="00163FAE" w:rsidRDefault="009D35E4" w:rsidP="009D35E4">
            <w:pPr>
              <w:jc w:val="both"/>
              <w:rPr>
                <w:sz w:val="20"/>
                <w:lang w:val="fr-CA"/>
              </w:rPr>
            </w:pPr>
            <w:r w:rsidRPr="00163FAE">
              <w:rPr>
                <w:sz w:val="20"/>
                <w:lang w:val="fr-CA"/>
              </w:rPr>
              <w:t>Cour du Banc de la Reine du Manitoba</w:t>
            </w:r>
          </w:p>
          <w:p w:rsidR="009D35E4" w:rsidRPr="00163FAE" w:rsidRDefault="009D35E4" w:rsidP="009D35E4">
            <w:pPr>
              <w:jc w:val="both"/>
              <w:rPr>
                <w:sz w:val="20"/>
              </w:rPr>
            </w:pPr>
            <w:r w:rsidRPr="00163FAE">
              <w:rPr>
                <w:sz w:val="20"/>
              </w:rPr>
              <w:t>(juge McKelvey)</w:t>
            </w:r>
          </w:p>
          <w:p w:rsidR="009D35E4" w:rsidRPr="00163FAE" w:rsidRDefault="00163FAE" w:rsidP="009D35E4">
            <w:pPr>
              <w:jc w:val="both"/>
              <w:rPr>
                <w:sz w:val="20"/>
              </w:rPr>
            </w:pPr>
            <w:hyperlink r:id="rId16" w:history="1">
              <w:r w:rsidR="009D35E4" w:rsidRPr="00163FAE">
                <w:rPr>
                  <w:rStyle w:val="Hyperlink"/>
                  <w:sz w:val="20"/>
                </w:rPr>
                <w:t>2020 MBQB 92</w:t>
              </w:r>
            </w:hyperlink>
          </w:p>
          <w:p w:rsidR="009D35E4" w:rsidRPr="00163FAE" w:rsidRDefault="009D35E4" w:rsidP="009D35E4">
            <w:pPr>
              <w:jc w:val="both"/>
              <w:rPr>
                <w:sz w:val="20"/>
              </w:rPr>
            </w:pPr>
          </w:p>
        </w:tc>
        <w:tc>
          <w:tcPr>
            <w:tcW w:w="243" w:type="pct"/>
          </w:tcPr>
          <w:p w:rsidR="009D35E4" w:rsidRPr="00163FAE" w:rsidRDefault="009D35E4" w:rsidP="009D35E4">
            <w:pPr>
              <w:jc w:val="both"/>
              <w:rPr>
                <w:sz w:val="20"/>
              </w:rPr>
            </w:pPr>
          </w:p>
        </w:tc>
        <w:tc>
          <w:tcPr>
            <w:tcW w:w="2330" w:type="pct"/>
          </w:tcPr>
          <w:p w:rsidR="009D35E4" w:rsidRPr="00163FAE" w:rsidRDefault="009D35E4" w:rsidP="009D35E4">
            <w:pPr>
              <w:jc w:val="both"/>
              <w:rPr>
                <w:sz w:val="20"/>
                <w:lang w:val="fr-CA"/>
              </w:rPr>
            </w:pPr>
            <w:r w:rsidRPr="00163FAE">
              <w:rPr>
                <w:sz w:val="20"/>
                <w:lang w:val="fr-CA"/>
              </w:rPr>
              <w:t xml:space="preserve">Action des demandeurs accueillie : art. 9 à 15 de la </w:t>
            </w:r>
            <w:r w:rsidRPr="00163FAE">
              <w:rPr>
                <w:i/>
                <w:sz w:val="20"/>
                <w:lang w:val="fr-CA"/>
              </w:rPr>
              <w:t xml:space="preserve">Loi sur la viabilité des services publics </w:t>
            </w:r>
            <w:r w:rsidRPr="00163FAE">
              <w:rPr>
                <w:sz w:val="20"/>
                <w:lang w:val="fr-CA"/>
              </w:rPr>
              <w:t>déclarée invalide et inopérante.</w:t>
            </w:r>
          </w:p>
          <w:p w:rsidR="009D35E4" w:rsidRPr="00163FAE" w:rsidRDefault="009D35E4" w:rsidP="009D35E4">
            <w:pPr>
              <w:jc w:val="both"/>
              <w:rPr>
                <w:sz w:val="20"/>
                <w:lang w:val="fr-CA"/>
              </w:rPr>
            </w:pPr>
          </w:p>
        </w:tc>
      </w:tr>
      <w:tr w:rsidR="009D35E4" w:rsidRPr="00163FAE" w:rsidTr="00E95A6A">
        <w:tc>
          <w:tcPr>
            <w:tcW w:w="2427" w:type="pct"/>
            <w:gridSpan w:val="2"/>
          </w:tcPr>
          <w:p w:rsidR="009D35E4" w:rsidRPr="00163FAE" w:rsidRDefault="009D35E4" w:rsidP="009D35E4">
            <w:pPr>
              <w:jc w:val="both"/>
              <w:rPr>
                <w:sz w:val="20"/>
                <w:lang w:val="fr-CA"/>
              </w:rPr>
            </w:pPr>
            <w:r w:rsidRPr="00163FAE">
              <w:rPr>
                <w:sz w:val="20"/>
                <w:lang w:val="fr-CA"/>
              </w:rPr>
              <w:t>13 octobre 2021</w:t>
            </w:r>
          </w:p>
          <w:p w:rsidR="009D35E4" w:rsidRPr="00163FAE" w:rsidRDefault="009D35E4" w:rsidP="009D35E4">
            <w:pPr>
              <w:jc w:val="both"/>
              <w:rPr>
                <w:sz w:val="20"/>
                <w:lang w:val="fr-CA"/>
              </w:rPr>
            </w:pPr>
            <w:r w:rsidRPr="00163FAE">
              <w:rPr>
                <w:sz w:val="20"/>
                <w:lang w:val="fr-CA"/>
              </w:rPr>
              <w:t>Cour d’appel du Manitoba</w:t>
            </w:r>
          </w:p>
          <w:p w:rsidR="009D35E4" w:rsidRPr="00163FAE" w:rsidRDefault="009D35E4" w:rsidP="009D35E4">
            <w:pPr>
              <w:jc w:val="both"/>
              <w:rPr>
                <w:sz w:val="20"/>
                <w:lang w:val="fr-CA"/>
              </w:rPr>
            </w:pPr>
            <w:r w:rsidRPr="00163FAE">
              <w:rPr>
                <w:sz w:val="20"/>
                <w:lang w:val="fr-CA"/>
              </w:rPr>
              <w:t>(juge en chef Chartier et juges Cameron et leMaistre)</w:t>
            </w:r>
          </w:p>
          <w:p w:rsidR="009D35E4" w:rsidRPr="00163FAE" w:rsidRDefault="00163FAE" w:rsidP="009D35E4">
            <w:pPr>
              <w:jc w:val="both"/>
              <w:rPr>
                <w:sz w:val="20"/>
                <w:lang w:val="fr-CA"/>
              </w:rPr>
            </w:pPr>
            <w:hyperlink r:id="rId17" w:history="1">
              <w:r w:rsidR="009D35E4" w:rsidRPr="00163FAE">
                <w:rPr>
                  <w:rStyle w:val="Hyperlink"/>
                  <w:sz w:val="20"/>
                  <w:lang w:val="fr-CA"/>
                </w:rPr>
                <w:t>2021 MBCA 85</w:t>
              </w:r>
            </w:hyperlink>
            <w:r w:rsidR="009D35E4" w:rsidRPr="00163FAE">
              <w:rPr>
                <w:sz w:val="20"/>
                <w:lang w:val="fr-CA"/>
              </w:rPr>
              <w:t xml:space="preserve"> (Dossier : AI20</w:t>
            </w:r>
            <w:r w:rsidR="009D35E4" w:rsidRPr="00163FAE">
              <w:rPr>
                <w:sz w:val="20"/>
                <w:lang w:val="fr-CA"/>
              </w:rPr>
              <w:noBreakHyphen/>
              <w:t>30</w:t>
            </w:r>
            <w:r w:rsidR="009D35E4" w:rsidRPr="00163FAE">
              <w:rPr>
                <w:sz w:val="20"/>
                <w:lang w:val="fr-CA"/>
              </w:rPr>
              <w:noBreakHyphen/>
              <w:t>09494)</w:t>
            </w:r>
          </w:p>
          <w:p w:rsidR="009D35E4" w:rsidRPr="00163FAE" w:rsidRDefault="009D35E4" w:rsidP="009D35E4">
            <w:pPr>
              <w:jc w:val="both"/>
              <w:rPr>
                <w:sz w:val="20"/>
                <w:lang w:val="fr-CA"/>
              </w:rPr>
            </w:pPr>
          </w:p>
        </w:tc>
        <w:tc>
          <w:tcPr>
            <w:tcW w:w="243" w:type="pct"/>
          </w:tcPr>
          <w:p w:rsidR="009D35E4" w:rsidRPr="00163FAE" w:rsidRDefault="009D35E4" w:rsidP="009D35E4">
            <w:pPr>
              <w:jc w:val="both"/>
              <w:rPr>
                <w:sz w:val="20"/>
                <w:lang w:val="fr-CA"/>
              </w:rPr>
            </w:pPr>
          </w:p>
        </w:tc>
        <w:tc>
          <w:tcPr>
            <w:tcW w:w="2330" w:type="pct"/>
          </w:tcPr>
          <w:p w:rsidR="009D35E4" w:rsidRPr="00163FAE" w:rsidRDefault="009D35E4" w:rsidP="009D35E4">
            <w:pPr>
              <w:jc w:val="both"/>
              <w:rPr>
                <w:sz w:val="20"/>
              </w:rPr>
            </w:pPr>
            <w:r w:rsidRPr="00163FAE">
              <w:rPr>
                <w:sz w:val="20"/>
              </w:rPr>
              <w:t>Appel de l’intimé accueilli.</w:t>
            </w:r>
          </w:p>
          <w:p w:rsidR="009D35E4" w:rsidRPr="00163FAE" w:rsidRDefault="009D35E4" w:rsidP="009D35E4">
            <w:pPr>
              <w:jc w:val="both"/>
              <w:rPr>
                <w:sz w:val="20"/>
              </w:rPr>
            </w:pPr>
          </w:p>
        </w:tc>
      </w:tr>
      <w:tr w:rsidR="009D35E4" w:rsidRPr="00163FAE" w:rsidTr="00E95A6A">
        <w:tc>
          <w:tcPr>
            <w:tcW w:w="2427" w:type="pct"/>
            <w:gridSpan w:val="2"/>
          </w:tcPr>
          <w:p w:rsidR="009D35E4" w:rsidRPr="00163FAE" w:rsidRDefault="009D35E4" w:rsidP="009D35E4">
            <w:pPr>
              <w:jc w:val="both"/>
              <w:rPr>
                <w:sz w:val="20"/>
                <w:lang w:val="fr-CA"/>
              </w:rPr>
            </w:pPr>
            <w:r w:rsidRPr="00163FAE">
              <w:rPr>
                <w:sz w:val="20"/>
                <w:lang w:val="fr-CA"/>
              </w:rPr>
              <w:t>13 décembre 2021</w:t>
            </w:r>
          </w:p>
          <w:p w:rsidR="009D35E4" w:rsidRPr="00163FAE" w:rsidRDefault="009D35E4" w:rsidP="009D35E4">
            <w:pPr>
              <w:jc w:val="both"/>
              <w:rPr>
                <w:sz w:val="20"/>
                <w:lang w:val="fr-CA"/>
              </w:rPr>
            </w:pPr>
            <w:r w:rsidRPr="00163FAE">
              <w:rPr>
                <w:sz w:val="20"/>
                <w:lang w:val="fr-CA"/>
              </w:rPr>
              <w:t>Cour suprême du Canada</w:t>
            </w:r>
          </w:p>
        </w:tc>
        <w:tc>
          <w:tcPr>
            <w:tcW w:w="243" w:type="pct"/>
          </w:tcPr>
          <w:p w:rsidR="009D35E4" w:rsidRPr="00163FAE" w:rsidRDefault="009D35E4" w:rsidP="009D35E4">
            <w:pPr>
              <w:jc w:val="both"/>
              <w:rPr>
                <w:sz w:val="20"/>
                <w:lang w:val="fr-CA"/>
              </w:rPr>
            </w:pPr>
          </w:p>
        </w:tc>
        <w:tc>
          <w:tcPr>
            <w:tcW w:w="2330" w:type="pct"/>
          </w:tcPr>
          <w:p w:rsidR="009D35E4" w:rsidRPr="00163FAE" w:rsidRDefault="009D35E4" w:rsidP="009D35E4">
            <w:pPr>
              <w:jc w:val="both"/>
              <w:rPr>
                <w:sz w:val="20"/>
                <w:lang w:val="fr-CA"/>
              </w:rPr>
            </w:pPr>
            <w:r w:rsidRPr="00163FAE">
              <w:rPr>
                <w:sz w:val="20"/>
                <w:lang w:val="fr-CA"/>
              </w:rPr>
              <w:t>Dépôt de la demande d’autorisation d’appel.</w:t>
            </w:r>
          </w:p>
        </w:tc>
      </w:tr>
    </w:tbl>
    <w:p w:rsidR="009D35E4" w:rsidRPr="00163FAE" w:rsidRDefault="009D35E4" w:rsidP="002B2C2E">
      <w:pPr>
        <w:widowControl w:val="0"/>
        <w:jc w:val="both"/>
        <w:rPr>
          <w:sz w:val="20"/>
          <w:lang w:val="fr-CA"/>
        </w:rPr>
      </w:pPr>
    </w:p>
    <w:p w:rsidR="009D35E4" w:rsidRPr="00163FAE" w:rsidRDefault="00163FAE" w:rsidP="002B2C2E">
      <w:pPr>
        <w:widowControl w:val="0"/>
        <w:jc w:val="both"/>
        <w:rPr>
          <w:sz w:val="20"/>
        </w:rPr>
      </w:pPr>
      <w:r w:rsidRPr="00163FAE">
        <w:rPr>
          <w:sz w:val="20"/>
        </w:rPr>
        <w:pict>
          <v:rect id="_x0000_i1028" style="width:2in;height:1pt" o:hrpct="0" o:hralign="center" o:hrstd="t" o:hrnoshade="t" o:hr="t" fillcolor="black [3213]" stroked="f"/>
        </w:pict>
      </w:r>
    </w:p>
    <w:p w:rsidR="009D35E4" w:rsidRPr="00163FAE" w:rsidRDefault="009D35E4"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63277" w:rsidRPr="00163FAE" w:rsidTr="00E95A6A">
        <w:tc>
          <w:tcPr>
            <w:tcW w:w="543" w:type="pct"/>
          </w:tcPr>
          <w:p w:rsidR="00963277" w:rsidRPr="00163FAE" w:rsidRDefault="00963277" w:rsidP="00963277">
            <w:pPr>
              <w:jc w:val="both"/>
              <w:rPr>
                <w:sz w:val="20"/>
              </w:rPr>
            </w:pPr>
            <w:r w:rsidRPr="00163FAE">
              <w:rPr>
                <w:rStyle w:val="SCCFileNumberChar"/>
                <w:sz w:val="20"/>
                <w:szCs w:val="20"/>
              </w:rPr>
              <w:t>40261</w:t>
            </w:r>
          </w:p>
        </w:tc>
        <w:tc>
          <w:tcPr>
            <w:tcW w:w="4457" w:type="pct"/>
            <w:gridSpan w:val="3"/>
          </w:tcPr>
          <w:p w:rsidR="00963277" w:rsidRPr="00163FAE" w:rsidRDefault="00963277" w:rsidP="00963277">
            <w:pPr>
              <w:pStyle w:val="SCCLsocParty"/>
              <w:jc w:val="both"/>
              <w:rPr>
                <w:b/>
                <w:sz w:val="20"/>
                <w:szCs w:val="20"/>
                <w:lang w:val="en-US"/>
              </w:rPr>
            </w:pPr>
            <w:r w:rsidRPr="00163FAE">
              <w:rPr>
                <w:b/>
                <w:sz w:val="20"/>
                <w:szCs w:val="20"/>
                <w:lang w:val="en-US"/>
              </w:rPr>
              <w:t>Elaine Biddersingh v. His Majesty the King</w:t>
            </w:r>
          </w:p>
          <w:p w:rsidR="00963277" w:rsidRPr="00163FAE" w:rsidRDefault="00963277" w:rsidP="00963277">
            <w:pPr>
              <w:jc w:val="both"/>
              <w:rPr>
                <w:sz w:val="20"/>
              </w:rPr>
            </w:pPr>
            <w:r w:rsidRPr="00163FAE">
              <w:rPr>
                <w:sz w:val="20"/>
              </w:rPr>
              <w:t>(Ont.) (Criminal) (By Leave)</w:t>
            </w:r>
          </w:p>
        </w:tc>
      </w:tr>
      <w:tr w:rsidR="00963277" w:rsidRPr="00163FAE" w:rsidTr="00E95A6A">
        <w:tc>
          <w:tcPr>
            <w:tcW w:w="5000" w:type="pct"/>
            <w:gridSpan w:val="4"/>
          </w:tcPr>
          <w:p w:rsidR="00963277" w:rsidRPr="00163FAE" w:rsidRDefault="00963277" w:rsidP="00963277">
            <w:pPr>
              <w:jc w:val="both"/>
              <w:rPr>
                <w:sz w:val="20"/>
              </w:rPr>
            </w:pPr>
            <w:r w:rsidRPr="00163FAE">
              <w:rPr>
                <w:i/>
                <w:sz w:val="20"/>
              </w:rPr>
              <w:t>Charter of Rights and Freedoms</w:t>
            </w:r>
            <w:r w:rsidRPr="00163FAE">
              <w:rPr>
                <w:sz w:val="20"/>
              </w:rPr>
              <w:t xml:space="preserve"> — Right to a fair hearing — Criminal law — Trial without jury — What is the correct legal test for finding that the Attorney General’s refusal to consent to a judge-alone trial under s. 473(1) of the </w:t>
            </w:r>
            <w:r w:rsidRPr="00163FAE">
              <w:rPr>
                <w:i/>
                <w:sz w:val="20"/>
              </w:rPr>
              <w:t>Criminal Code</w:t>
            </w:r>
            <w:r w:rsidRPr="00163FAE">
              <w:rPr>
                <w:sz w:val="20"/>
              </w:rPr>
              <w:t xml:space="preserve"> compromises the right to a fair trial before an impartial tribunal pursuant to s. 11(d) of the </w:t>
            </w:r>
            <w:r w:rsidRPr="00163FAE">
              <w:rPr>
                <w:i/>
                <w:sz w:val="20"/>
              </w:rPr>
              <w:t>Charter</w:t>
            </w:r>
            <w:r w:rsidRPr="00163FAE">
              <w:rPr>
                <w:sz w:val="20"/>
              </w:rPr>
              <w:t>?</w:t>
            </w:r>
          </w:p>
        </w:tc>
      </w:tr>
      <w:tr w:rsidR="00963277" w:rsidRPr="00163FAE" w:rsidTr="00E95A6A">
        <w:tc>
          <w:tcPr>
            <w:tcW w:w="5000" w:type="pct"/>
            <w:gridSpan w:val="4"/>
          </w:tcPr>
          <w:p w:rsidR="00963277" w:rsidRPr="00163FAE" w:rsidRDefault="00963277" w:rsidP="00963277">
            <w:pPr>
              <w:jc w:val="both"/>
              <w:rPr>
                <w:sz w:val="20"/>
              </w:rPr>
            </w:pPr>
          </w:p>
        </w:tc>
      </w:tr>
      <w:tr w:rsidR="00963277" w:rsidRPr="00163FAE" w:rsidTr="00E95A6A">
        <w:tc>
          <w:tcPr>
            <w:tcW w:w="5000" w:type="pct"/>
            <w:gridSpan w:val="4"/>
          </w:tcPr>
          <w:p w:rsidR="00963277" w:rsidRPr="00163FAE" w:rsidRDefault="00963277" w:rsidP="00963277">
            <w:pPr>
              <w:widowControl w:val="0"/>
              <w:kinsoku w:val="0"/>
              <w:overflowPunct w:val="0"/>
              <w:jc w:val="both"/>
              <w:textAlignment w:val="baseline"/>
              <w:rPr>
                <w:sz w:val="20"/>
              </w:rPr>
            </w:pPr>
            <w:r w:rsidRPr="00163FAE">
              <w:rPr>
                <w:sz w:val="20"/>
              </w:rPr>
              <w:t>Ms. Biddersingh was charged with first degree murder and other offences in relation to the death of her step-daughter. The Attorney General refused to consent to a trial without a jury. Ms. Biddersingh applied for an order dispensing with the requirement for the Attorney General’s consent. The application was denied and a jury was empanelled. Ms. Biddersingh was convicted of second degree murder. The Court of Appeal dismissed an appeal.</w:t>
            </w:r>
          </w:p>
          <w:p w:rsidR="00963277" w:rsidRPr="00163FAE" w:rsidRDefault="00963277" w:rsidP="00963277">
            <w:pPr>
              <w:jc w:val="both"/>
              <w:rPr>
                <w:sz w:val="20"/>
              </w:rPr>
            </w:pPr>
          </w:p>
        </w:tc>
      </w:tr>
      <w:tr w:rsidR="00963277" w:rsidRPr="00163FAE" w:rsidTr="00E95A6A">
        <w:tc>
          <w:tcPr>
            <w:tcW w:w="2427" w:type="pct"/>
            <w:gridSpan w:val="2"/>
          </w:tcPr>
          <w:p w:rsidR="00963277" w:rsidRPr="00163FAE" w:rsidRDefault="00963277" w:rsidP="00963277">
            <w:pPr>
              <w:jc w:val="both"/>
              <w:rPr>
                <w:sz w:val="20"/>
              </w:rPr>
            </w:pPr>
            <w:r w:rsidRPr="00163FAE">
              <w:rPr>
                <w:sz w:val="20"/>
              </w:rPr>
              <w:t>April 12, 2016</w:t>
            </w:r>
          </w:p>
          <w:p w:rsidR="00963277" w:rsidRPr="00163FAE" w:rsidRDefault="00963277" w:rsidP="00963277">
            <w:pPr>
              <w:jc w:val="both"/>
              <w:rPr>
                <w:sz w:val="20"/>
              </w:rPr>
            </w:pPr>
            <w:r w:rsidRPr="00163FAE">
              <w:rPr>
                <w:sz w:val="20"/>
              </w:rPr>
              <w:t>Ontario Superior Court of Justice</w:t>
            </w:r>
          </w:p>
          <w:p w:rsidR="00963277" w:rsidRPr="00163FAE" w:rsidRDefault="00963277" w:rsidP="00963277">
            <w:pPr>
              <w:jc w:val="both"/>
              <w:rPr>
                <w:sz w:val="20"/>
              </w:rPr>
            </w:pPr>
            <w:r w:rsidRPr="00163FAE">
              <w:rPr>
                <w:sz w:val="20"/>
              </w:rPr>
              <w:t>(MacDonnell J.)(Unreported)</w:t>
            </w:r>
          </w:p>
          <w:p w:rsidR="00963277" w:rsidRPr="00163FAE" w:rsidRDefault="00963277" w:rsidP="00963277">
            <w:pPr>
              <w:jc w:val="both"/>
              <w:rPr>
                <w:sz w:val="20"/>
              </w:rPr>
            </w:pPr>
          </w:p>
        </w:tc>
        <w:tc>
          <w:tcPr>
            <w:tcW w:w="243" w:type="pct"/>
          </w:tcPr>
          <w:p w:rsidR="00963277" w:rsidRPr="00163FAE" w:rsidRDefault="00963277" w:rsidP="00963277">
            <w:pPr>
              <w:jc w:val="both"/>
              <w:rPr>
                <w:sz w:val="20"/>
              </w:rPr>
            </w:pPr>
          </w:p>
        </w:tc>
        <w:tc>
          <w:tcPr>
            <w:tcW w:w="2330" w:type="pct"/>
          </w:tcPr>
          <w:p w:rsidR="00963277" w:rsidRPr="00163FAE" w:rsidRDefault="00963277" w:rsidP="00963277">
            <w:pPr>
              <w:jc w:val="both"/>
              <w:rPr>
                <w:sz w:val="20"/>
              </w:rPr>
            </w:pPr>
            <w:r w:rsidRPr="00163FAE">
              <w:rPr>
                <w:sz w:val="20"/>
              </w:rPr>
              <w:t>Conviction by jury for second degree murder</w:t>
            </w:r>
          </w:p>
          <w:p w:rsidR="00963277" w:rsidRPr="00163FAE" w:rsidRDefault="00963277" w:rsidP="00963277">
            <w:pPr>
              <w:jc w:val="both"/>
              <w:rPr>
                <w:sz w:val="20"/>
              </w:rPr>
            </w:pPr>
          </w:p>
        </w:tc>
      </w:tr>
      <w:tr w:rsidR="00963277" w:rsidRPr="00163FAE" w:rsidTr="00E95A6A">
        <w:tc>
          <w:tcPr>
            <w:tcW w:w="2427" w:type="pct"/>
            <w:gridSpan w:val="2"/>
          </w:tcPr>
          <w:p w:rsidR="00963277" w:rsidRPr="00163FAE" w:rsidRDefault="00963277" w:rsidP="00963277">
            <w:pPr>
              <w:jc w:val="both"/>
              <w:rPr>
                <w:sz w:val="20"/>
              </w:rPr>
            </w:pPr>
            <w:r w:rsidRPr="00163FAE">
              <w:rPr>
                <w:sz w:val="20"/>
              </w:rPr>
              <w:t>January 10, 2022</w:t>
            </w:r>
          </w:p>
          <w:p w:rsidR="00963277" w:rsidRPr="00163FAE" w:rsidRDefault="00963277" w:rsidP="00963277">
            <w:pPr>
              <w:jc w:val="both"/>
              <w:rPr>
                <w:sz w:val="20"/>
              </w:rPr>
            </w:pPr>
            <w:r w:rsidRPr="00163FAE">
              <w:rPr>
                <w:sz w:val="20"/>
              </w:rPr>
              <w:t>Court of Appeal for Ontario</w:t>
            </w:r>
          </w:p>
          <w:p w:rsidR="00963277" w:rsidRPr="00163FAE" w:rsidRDefault="00963277" w:rsidP="00963277">
            <w:pPr>
              <w:jc w:val="both"/>
              <w:rPr>
                <w:sz w:val="20"/>
              </w:rPr>
            </w:pPr>
            <w:r w:rsidRPr="00163FAE">
              <w:rPr>
                <w:sz w:val="20"/>
              </w:rPr>
              <w:t xml:space="preserve">(Strathy, Hourigan, Paciocco JJ.A.) </w:t>
            </w:r>
          </w:p>
          <w:p w:rsidR="00963277" w:rsidRPr="00163FAE" w:rsidRDefault="00163FAE" w:rsidP="00963277">
            <w:pPr>
              <w:jc w:val="both"/>
              <w:rPr>
                <w:sz w:val="20"/>
              </w:rPr>
            </w:pPr>
            <w:hyperlink r:id="rId18" w:history="1">
              <w:r w:rsidR="00963277" w:rsidRPr="00163FAE">
                <w:rPr>
                  <w:rStyle w:val="Hyperlink"/>
                  <w:sz w:val="20"/>
                </w:rPr>
                <w:t>2022 ONCA 6</w:t>
              </w:r>
            </w:hyperlink>
            <w:r w:rsidR="00963277" w:rsidRPr="00163FAE">
              <w:rPr>
                <w:sz w:val="20"/>
              </w:rPr>
              <w:t>; C63064</w:t>
            </w:r>
          </w:p>
          <w:p w:rsidR="00963277" w:rsidRPr="00163FAE" w:rsidRDefault="00963277" w:rsidP="00963277">
            <w:pPr>
              <w:jc w:val="both"/>
              <w:rPr>
                <w:sz w:val="20"/>
              </w:rPr>
            </w:pPr>
          </w:p>
        </w:tc>
        <w:tc>
          <w:tcPr>
            <w:tcW w:w="243" w:type="pct"/>
          </w:tcPr>
          <w:p w:rsidR="00963277" w:rsidRPr="00163FAE" w:rsidRDefault="00963277" w:rsidP="00963277">
            <w:pPr>
              <w:jc w:val="both"/>
              <w:rPr>
                <w:sz w:val="20"/>
              </w:rPr>
            </w:pPr>
          </w:p>
        </w:tc>
        <w:tc>
          <w:tcPr>
            <w:tcW w:w="2330" w:type="pct"/>
          </w:tcPr>
          <w:p w:rsidR="00963277" w:rsidRPr="00163FAE" w:rsidRDefault="00963277" w:rsidP="00963277">
            <w:pPr>
              <w:jc w:val="both"/>
              <w:rPr>
                <w:sz w:val="20"/>
              </w:rPr>
            </w:pPr>
            <w:r w:rsidRPr="00163FAE">
              <w:rPr>
                <w:sz w:val="20"/>
              </w:rPr>
              <w:t>Appeal dismissed</w:t>
            </w:r>
          </w:p>
          <w:p w:rsidR="00963277" w:rsidRPr="00163FAE" w:rsidRDefault="00963277" w:rsidP="00963277">
            <w:pPr>
              <w:jc w:val="both"/>
              <w:rPr>
                <w:sz w:val="20"/>
              </w:rPr>
            </w:pPr>
          </w:p>
        </w:tc>
      </w:tr>
      <w:tr w:rsidR="00963277" w:rsidRPr="00163FAE" w:rsidTr="00E95A6A">
        <w:tc>
          <w:tcPr>
            <w:tcW w:w="2427" w:type="pct"/>
            <w:gridSpan w:val="2"/>
          </w:tcPr>
          <w:p w:rsidR="00963277" w:rsidRPr="00163FAE" w:rsidRDefault="00963277" w:rsidP="00963277">
            <w:pPr>
              <w:jc w:val="both"/>
              <w:rPr>
                <w:sz w:val="20"/>
              </w:rPr>
            </w:pPr>
            <w:r w:rsidRPr="00163FAE">
              <w:rPr>
                <w:sz w:val="20"/>
              </w:rPr>
              <w:t>June 24, 2022</w:t>
            </w:r>
          </w:p>
          <w:p w:rsidR="00963277" w:rsidRPr="00163FAE" w:rsidRDefault="00963277" w:rsidP="00963277">
            <w:pPr>
              <w:jc w:val="both"/>
              <w:rPr>
                <w:sz w:val="20"/>
              </w:rPr>
            </w:pPr>
            <w:r w:rsidRPr="00163FAE">
              <w:rPr>
                <w:sz w:val="20"/>
              </w:rPr>
              <w:t>Supreme Court of Canada</w:t>
            </w:r>
          </w:p>
          <w:p w:rsidR="00963277" w:rsidRPr="00163FAE" w:rsidRDefault="00963277" w:rsidP="00963277">
            <w:pPr>
              <w:jc w:val="both"/>
              <w:rPr>
                <w:sz w:val="20"/>
              </w:rPr>
            </w:pPr>
          </w:p>
        </w:tc>
        <w:tc>
          <w:tcPr>
            <w:tcW w:w="243" w:type="pct"/>
          </w:tcPr>
          <w:p w:rsidR="00963277" w:rsidRPr="00163FAE" w:rsidRDefault="00963277" w:rsidP="00963277">
            <w:pPr>
              <w:jc w:val="both"/>
              <w:rPr>
                <w:sz w:val="20"/>
              </w:rPr>
            </w:pPr>
          </w:p>
        </w:tc>
        <w:tc>
          <w:tcPr>
            <w:tcW w:w="2330" w:type="pct"/>
          </w:tcPr>
          <w:p w:rsidR="00963277" w:rsidRPr="00163FAE" w:rsidRDefault="00963277" w:rsidP="00963277">
            <w:pPr>
              <w:jc w:val="both"/>
              <w:rPr>
                <w:sz w:val="20"/>
              </w:rPr>
            </w:pPr>
            <w:r w:rsidRPr="00163FAE">
              <w:rPr>
                <w:sz w:val="20"/>
              </w:rPr>
              <w:t>Motion for extension of time to serve and file application for leave to appeal and Application for leave to appeal filed</w:t>
            </w:r>
          </w:p>
        </w:tc>
      </w:tr>
    </w:tbl>
    <w:p w:rsidR="00963277" w:rsidRPr="00163FAE" w:rsidRDefault="00963277" w:rsidP="00963277">
      <w:pPr>
        <w:jc w:val="both"/>
        <w:rPr>
          <w:sz w:val="20"/>
        </w:rPr>
      </w:pPr>
    </w:p>
    <w:p w:rsidR="00963277" w:rsidRPr="00163FAE" w:rsidRDefault="00163FAE" w:rsidP="00963277">
      <w:pPr>
        <w:jc w:val="both"/>
        <w:rPr>
          <w:sz w:val="20"/>
        </w:rPr>
      </w:pPr>
      <w:r w:rsidRPr="00163FAE">
        <w:rPr>
          <w:sz w:val="20"/>
        </w:rPr>
        <w:pict>
          <v:rect id="_x0000_i1029" style="width:2in;height:1pt" o:hrpct="0" o:hralign="center" o:hrstd="t" o:hrnoshade="t" o:hr="t" fillcolor="black [3213]" stroked="f"/>
        </w:pict>
      </w:r>
    </w:p>
    <w:p w:rsidR="00963277" w:rsidRPr="00163FAE" w:rsidRDefault="00963277" w:rsidP="0096327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63277" w:rsidRPr="00163FAE" w:rsidTr="00E95A6A">
        <w:tc>
          <w:tcPr>
            <w:tcW w:w="543" w:type="pct"/>
          </w:tcPr>
          <w:p w:rsidR="00963277" w:rsidRPr="00163FAE" w:rsidRDefault="00963277" w:rsidP="00963277">
            <w:pPr>
              <w:jc w:val="both"/>
              <w:rPr>
                <w:sz w:val="20"/>
                <w:lang w:val="fr-CA"/>
              </w:rPr>
            </w:pPr>
            <w:r w:rsidRPr="00163FAE">
              <w:rPr>
                <w:rStyle w:val="SCCFileNumberChar"/>
                <w:sz w:val="20"/>
                <w:szCs w:val="20"/>
                <w:lang w:val="fr-CA"/>
              </w:rPr>
              <w:t>40261</w:t>
            </w:r>
          </w:p>
        </w:tc>
        <w:tc>
          <w:tcPr>
            <w:tcW w:w="4457" w:type="pct"/>
            <w:gridSpan w:val="3"/>
          </w:tcPr>
          <w:p w:rsidR="00963277" w:rsidRPr="00163FAE" w:rsidRDefault="00963277" w:rsidP="00963277">
            <w:pPr>
              <w:pStyle w:val="SCCLsocParty"/>
              <w:jc w:val="both"/>
              <w:rPr>
                <w:b/>
                <w:sz w:val="20"/>
                <w:szCs w:val="20"/>
              </w:rPr>
            </w:pPr>
            <w:r w:rsidRPr="00163FAE">
              <w:rPr>
                <w:b/>
                <w:sz w:val="20"/>
                <w:szCs w:val="20"/>
              </w:rPr>
              <w:t>Elaine Biddersingh c. Sa Majesté le Roi</w:t>
            </w:r>
          </w:p>
          <w:p w:rsidR="00963277" w:rsidRPr="00163FAE" w:rsidRDefault="00963277" w:rsidP="00963277">
            <w:pPr>
              <w:jc w:val="both"/>
              <w:rPr>
                <w:sz w:val="20"/>
                <w:lang w:val="fr-CA"/>
              </w:rPr>
            </w:pPr>
            <w:r w:rsidRPr="00163FAE">
              <w:rPr>
                <w:sz w:val="20"/>
                <w:lang w:val="fr-CA"/>
              </w:rPr>
              <w:t>(Ont.) (Criminelle) (Sur autorisation)</w:t>
            </w:r>
          </w:p>
        </w:tc>
      </w:tr>
      <w:tr w:rsidR="00963277" w:rsidRPr="00163FAE" w:rsidTr="00E95A6A">
        <w:tc>
          <w:tcPr>
            <w:tcW w:w="5000" w:type="pct"/>
            <w:gridSpan w:val="4"/>
          </w:tcPr>
          <w:p w:rsidR="00963277" w:rsidRPr="00163FAE" w:rsidRDefault="00963277" w:rsidP="00963277">
            <w:pPr>
              <w:jc w:val="both"/>
              <w:rPr>
                <w:sz w:val="20"/>
                <w:lang w:val="fr-CA"/>
              </w:rPr>
            </w:pPr>
            <w:r w:rsidRPr="00163FAE">
              <w:rPr>
                <w:i/>
                <w:sz w:val="20"/>
                <w:lang w:val="fr-CA"/>
              </w:rPr>
              <w:t>Charte des droits et libertés</w:t>
            </w:r>
            <w:r w:rsidRPr="00163FAE">
              <w:rPr>
                <w:sz w:val="20"/>
                <w:lang w:val="fr-CA"/>
              </w:rPr>
              <w:t xml:space="preserve"> — Procès équitable — Droit criminel — Procès sans jury — Quel critère juridique convient-il d’appliquer pour décider si le refus du procureur général de consentir à un procès devant un juge seul en vertu du par. 473(1) du </w:t>
            </w:r>
            <w:r w:rsidRPr="00163FAE">
              <w:rPr>
                <w:i/>
                <w:sz w:val="20"/>
                <w:lang w:val="fr-CA"/>
              </w:rPr>
              <w:t>Code criminel</w:t>
            </w:r>
            <w:r w:rsidRPr="00163FAE">
              <w:rPr>
                <w:sz w:val="20"/>
                <w:lang w:val="fr-CA"/>
              </w:rPr>
              <w:t xml:space="preserve"> compromet le droit à un procès équitable devant un tribunal impartial en vertu de l’al. 11d) de la </w:t>
            </w:r>
            <w:r w:rsidRPr="00163FAE">
              <w:rPr>
                <w:i/>
                <w:sz w:val="20"/>
                <w:lang w:val="fr-CA"/>
              </w:rPr>
              <w:t>Charte </w:t>
            </w:r>
            <w:r w:rsidRPr="00163FAE">
              <w:rPr>
                <w:sz w:val="20"/>
                <w:lang w:val="fr-CA"/>
              </w:rPr>
              <w:t>?</w:t>
            </w:r>
          </w:p>
        </w:tc>
      </w:tr>
      <w:tr w:rsidR="00963277" w:rsidRPr="00163FAE" w:rsidTr="00E95A6A">
        <w:tc>
          <w:tcPr>
            <w:tcW w:w="5000" w:type="pct"/>
            <w:gridSpan w:val="4"/>
          </w:tcPr>
          <w:p w:rsidR="00963277" w:rsidRPr="00163FAE" w:rsidRDefault="00963277" w:rsidP="00963277">
            <w:pPr>
              <w:jc w:val="both"/>
              <w:rPr>
                <w:sz w:val="20"/>
                <w:lang w:val="fr-CA"/>
              </w:rPr>
            </w:pPr>
          </w:p>
        </w:tc>
      </w:tr>
      <w:tr w:rsidR="00963277" w:rsidRPr="00163FAE" w:rsidTr="00E95A6A">
        <w:tc>
          <w:tcPr>
            <w:tcW w:w="5000" w:type="pct"/>
            <w:gridSpan w:val="4"/>
          </w:tcPr>
          <w:p w:rsidR="00963277" w:rsidRPr="00163FAE" w:rsidRDefault="00963277" w:rsidP="00963277">
            <w:pPr>
              <w:widowControl w:val="0"/>
              <w:kinsoku w:val="0"/>
              <w:overflowPunct w:val="0"/>
              <w:jc w:val="both"/>
              <w:textAlignment w:val="baseline"/>
              <w:rPr>
                <w:sz w:val="20"/>
                <w:lang w:val="fr-CA"/>
              </w:rPr>
            </w:pPr>
            <w:r w:rsidRPr="00163FAE">
              <w:rPr>
                <w:sz w:val="20"/>
                <w:lang w:val="fr-CA"/>
              </w:rPr>
              <w:t>Madame Biddersingh a été accusée de meurtre au premier degré et d’autres infractions en lien avec le décès de sa belle-fille. Le procureur général a refusé de consentir à un procès sans jury. Madame Biddersingh a présenté une demande pour qu’une ordonnance permettant de renoncer à l’exigence d’obtenir le consentement du procureur général soit rendue. La demande a été rejetée et un jury a été constitué. Madame Biddersingh a été déclarée coupable de meurtre au deuxième degré. La Cour d’appel a rejeté l’appel.</w:t>
            </w:r>
          </w:p>
          <w:p w:rsidR="00963277" w:rsidRPr="00163FAE" w:rsidRDefault="00963277" w:rsidP="00963277">
            <w:pPr>
              <w:jc w:val="both"/>
              <w:rPr>
                <w:sz w:val="20"/>
                <w:lang w:val="fr-CA"/>
              </w:rPr>
            </w:pPr>
          </w:p>
        </w:tc>
      </w:tr>
      <w:tr w:rsidR="00963277" w:rsidRPr="00163FAE" w:rsidTr="00E95A6A">
        <w:tc>
          <w:tcPr>
            <w:tcW w:w="2427" w:type="pct"/>
            <w:gridSpan w:val="2"/>
          </w:tcPr>
          <w:p w:rsidR="00963277" w:rsidRPr="00163FAE" w:rsidRDefault="00963277" w:rsidP="00963277">
            <w:pPr>
              <w:jc w:val="both"/>
              <w:rPr>
                <w:sz w:val="20"/>
                <w:lang w:val="fr-CA"/>
              </w:rPr>
            </w:pPr>
            <w:r w:rsidRPr="00163FAE">
              <w:rPr>
                <w:sz w:val="20"/>
                <w:lang w:val="fr-CA"/>
              </w:rPr>
              <w:t>12 avril 2016</w:t>
            </w:r>
          </w:p>
          <w:p w:rsidR="00963277" w:rsidRPr="00163FAE" w:rsidRDefault="00963277" w:rsidP="00963277">
            <w:pPr>
              <w:jc w:val="both"/>
              <w:rPr>
                <w:sz w:val="20"/>
                <w:lang w:val="fr-CA"/>
              </w:rPr>
            </w:pPr>
            <w:r w:rsidRPr="00163FAE">
              <w:rPr>
                <w:sz w:val="20"/>
                <w:lang w:val="fr-CA"/>
              </w:rPr>
              <w:t xml:space="preserve">Cour supérieure de justice de l’Ontario </w:t>
            </w:r>
          </w:p>
          <w:p w:rsidR="00963277" w:rsidRPr="00163FAE" w:rsidRDefault="00963277" w:rsidP="00963277">
            <w:pPr>
              <w:jc w:val="both"/>
              <w:rPr>
                <w:sz w:val="20"/>
                <w:lang w:val="fr-CA"/>
              </w:rPr>
            </w:pPr>
            <w:r w:rsidRPr="00163FAE">
              <w:rPr>
                <w:sz w:val="20"/>
                <w:lang w:val="fr-CA"/>
              </w:rPr>
              <w:t>(juge MacDonnell) (non publié)</w:t>
            </w:r>
          </w:p>
          <w:p w:rsidR="00963277" w:rsidRPr="00163FAE" w:rsidRDefault="00963277" w:rsidP="00963277">
            <w:pPr>
              <w:jc w:val="both"/>
              <w:rPr>
                <w:sz w:val="20"/>
                <w:lang w:val="fr-CA"/>
              </w:rPr>
            </w:pPr>
          </w:p>
        </w:tc>
        <w:tc>
          <w:tcPr>
            <w:tcW w:w="243" w:type="pct"/>
          </w:tcPr>
          <w:p w:rsidR="00963277" w:rsidRPr="00163FAE" w:rsidRDefault="00963277" w:rsidP="00963277">
            <w:pPr>
              <w:jc w:val="both"/>
              <w:rPr>
                <w:sz w:val="20"/>
                <w:lang w:val="fr-CA"/>
              </w:rPr>
            </w:pPr>
          </w:p>
        </w:tc>
        <w:tc>
          <w:tcPr>
            <w:tcW w:w="2330" w:type="pct"/>
          </w:tcPr>
          <w:p w:rsidR="00963277" w:rsidRPr="00163FAE" w:rsidRDefault="00963277" w:rsidP="00963277">
            <w:pPr>
              <w:jc w:val="both"/>
              <w:rPr>
                <w:sz w:val="20"/>
                <w:lang w:val="fr-CA"/>
              </w:rPr>
            </w:pPr>
            <w:r w:rsidRPr="00163FAE">
              <w:rPr>
                <w:sz w:val="20"/>
                <w:lang w:val="fr-CA"/>
              </w:rPr>
              <w:t>La déclaration de culpabilité pour meurtre au deuxième degré est prononcée par un jury.</w:t>
            </w:r>
          </w:p>
          <w:p w:rsidR="00963277" w:rsidRPr="00163FAE" w:rsidRDefault="00963277" w:rsidP="00963277">
            <w:pPr>
              <w:jc w:val="both"/>
              <w:rPr>
                <w:sz w:val="20"/>
                <w:lang w:val="fr-CA"/>
              </w:rPr>
            </w:pPr>
          </w:p>
        </w:tc>
      </w:tr>
      <w:tr w:rsidR="00963277" w:rsidRPr="00163FAE" w:rsidTr="00E95A6A">
        <w:tc>
          <w:tcPr>
            <w:tcW w:w="2427" w:type="pct"/>
            <w:gridSpan w:val="2"/>
          </w:tcPr>
          <w:p w:rsidR="00963277" w:rsidRPr="00163FAE" w:rsidRDefault="00963277" w:rsidP="00963277">
            <w:pPr>
              <w:jc w:val="both"/>
              <w:rPr>
                <w:sz w:val="20"/>
                <w:lang w:val="fr-CA"/>
              </w:rPr>
            </w:pPr>
            <w:r w:rsidRPr="00163FAE">
              <w:rPr>
                <w:sz w:val="20"/>
                <w:lang w:val="fr-CA"/>
              </w:rPr>
              <w:t>10 janvier 2022</w:t>
            </w:r>
          </w:p>
          <w:p w:rsidR="00963277" w:rsidRPr="00163FAE" w:rsidRDefault="00963277" w:rsidP="00963277">
            <w:pPr>
              <w:jc w:val="both"/>
              <w:rPr>
                <w:sz w:val="20"/>
                <w:lang w:val="fr-CA"/>
              </w:rPr>
            </w:pPr>
            <w:r w:rsidRPr="00163FAE">
              <w:rPr>
                <w:sz w:val="20"/>
                <w:lang w:val="fr-CA"/>
              </w:rPr>
              <w:t>Cour d’appel de l’Ontario</w:t>
            </w:r>
          </w:p>
          <w:p w:rsidR="00963277" w:rsidRPr="00163FAE" w:rsidRDefault="00963277" w:rsidP="00963277">
            <w:pPr>
              <w:jc w:val="both"/>
              <w:rPr>
                <w:sz w:val="20"/>
                <w:lang w:val="fr-CA"/>
              </w:rPr>
            </w:pPr>
            <w:r w:rsidRPr="00163FAE">
              <w:rPr>
                <w:sz w:val="20"/>
                <w:lang w:val="fr-CA"/>
              </w:rPr>
              <w:t xml:space="preserve">(juges Strathy, Hourigan, Paciocco) </w:t>
            </w:r>
          </w:p>
          <w:p w:rsidR="00963277" w:rsidRPr="00163FAE" w:rsidRDefault="00163FAE" w:rsidP="00963277">
            <w:pPr>
              <w:jc w:val="both"/>
              <w:rPr>
                <w:sz w:val="20"/>
                <w:lang w:val="fr-CA"/>
              </w:rPr>
            </w:pPr>
            <w:hyperlink r:id="rId19" w:history="1">
              <w:r w:rsidR="00963277" w:rsidRPr="00163FAE">
                <w:rPr>
                  <w:rStyle w:val="Hyperlink"/>
                  <w:sz w:val="20"/>
                  <w:lang w:val="fr-CA"/>
                </w:rPr>
                <w:t>2022 ONCA 6</w:t>
              </w:r>
            </w:hyperlink>
            <w:r w:rsidR="00963277" w:rsidRPr="00163FAE">
              <w:rPr>
                <w:sz w:val="20"/>
                <w:lang w:val="fr-CA"/>
              </w:rPr>
              <w:t>; C63064</w:t>
            </w:r>
          </w:p>
          <w:p w:rsidR="00963277" w:rsidRPr="00163FAE" w:rsidRDefault="00963277" w:rsidP="00963277">
            <w:pPr>
              <w:jc w:val="both"/>
              <w:rPr>
                <w:sz w:val="20"/>
                <w:lang w:val="fr-CA"/>
              </w:rPr>
            </w:pPr>
          </w:p>
        </w:tc>
        <w:tc>
          <w:tcPr>
            <w:tcW w:w="243" w:type="pct"/>
          </w:tcPr>
          <w:p w:rsidR="00963277" w:rsidRPr="00163FAE" w:rsidRDefault="00963277" w:rsidP="00963277">
            <w:pPr>
              <w:jc w:val="both"/>
              <w:rPr>
                <w:sz w:val="20"/>
                <w:lang w:val="fr-CA"/>
              </w:rPr>
            </w:pPr>
          </w:p>
        </w:tc>
        <w:tc>
          <w:tcPr>
            <w:tcW w:w="2330" w:type="pct"/>
          </w:tcPr>
          <w:p w:rsidR="00963277" w:rsidRPr="00163FAE" w:rsidRDefault="00963277" w:rsidP="00963277">
            <w:pPr>
              <w:jc w:val="both"/>
              <w:rPr>
                <w:sz w:val="20"/>
                <w:lang w:val="fr-CA"/>
              </w:rPr>
            </w:pPr>
            <w:r w:rsidRPr="00163FAE">
              <w:rPr>
                <w:sz w:val="20"/>
                <w:lang w:val="fr-CA"/>
              </w:rPr>
              <w:t>L’appel est rejeté.</w:t>
            </w:r>
          </w:p>
          <w:p w:rsidR="00963277" w:rsidRPr="00163FAE" w:rsidRDefault="00963277" w:rsidP="00963277">
            <w:pPr>
              <w:jc w:val="both"/>
              <w:rPr>
                <w:sz w:val="20"/>
                <w:lang w:val="fr-CA"/>
              </w:rPr>
            </w:pPr>
          </w:p>
        </w:tc>
      </w:tr>
      <w:tr w:rsidR="00963277" w:rsidRPr="00163FAE" w:rsidTr="00E95A6A">
        <w:tc>
          <w:tcPr>
            <w:tcW w:w="2427" w:type="pct"/>
            <w:gridSpan w:val="2"/>
          </w:tcPr>
          <w:p w:rsidR="00963277" w:rsidRPr="00163FAE" w:rsidRDefault="00963277" w:rsidP="00963277">
            <w:pPr>
              <w:jc w:val="both"/>
              <w:rPr>
                <w:sz w:val="20"/>
                <w:lang w:val="fr-CA"/>
              </w:rPr>
            </w:pPr>
            <w:r w:rsidRPr="00163FAE">
              <w:rPr>
                <w:sz w:val="20"/>
                <w:lang w:val="fr-CA"/>
              </w:rPr>
              <w:t>24 juin 2022</w:t>
            </w:r>
          </w:p>
          <w:p w:rsidR="00963277" w:rsidRPr="00163FAE" w:rsidRDefault="00963277" w:rsidP="00963277">
            <w:pPr>
              <w:jc w:val="both"/>
              <w:rPr>
                <w:sz w:val="20"/>
                <w:lang w:val="fr-CA"/>
              </w:rPr>
            </w:pPr>
            <w:r w:rsidRPr="00163FAE">
              <w:rPr>
                <w:sz w:val="20"/>
                <w:lang w:val="fr-CA"/>
              </w:rPr>
              <w:t>Cour suprême du Canada</w:t>
            </w:r>
          </w:p>
          <w:p w:rsidR="00963277" w:rsidRPr="00163FAE" w:rsidRDefault="00963277" w:rsidP="00963277">
            <w:pPr>
              <w:jc w:val="both"/>
              <w:rPr>
                <w:sz w:val="20"/>
                <w:lang w:val="fr-CA"/>
              </w:rPr>
            </w:pPr>
          </w:p>
        </w:tc>
        <w:tc>
          <w:tcPr>
            <w:tcW w:w="243" w:type="pct"/>
          </w:tcPr>
          <w:p w:rsidR="00963277" w:rsidRPr="00163FAE" w:rsidRDefault="00963277" w:rsidP="00963277">
            <w:pPr>
              <w:jc w:val="both"/>
              <w:rPr>
                <w:sz w:val="20"/>
                <w:lang w:val="fr-CA"/>
              </w:rPr>
            </w:pPr>
          </w:p>
        </w:tc>
        <w:tc>
          <w:tcPr>
            <w:tcW w:w="2330" w:type="pct"/>
          </w:tcPr>
          <w:p w:rsidR="00963277" w:rsidRPr="00163FAE" w:rsidRDefault="00963277" w:rsidP="00963277">
            <w:pPr>
              <w:jc w:val="both"/>
              <w:rPr>
                <w:sz w:val="20"/>
                <w:lang w:val="fr-CA"/>
              </w:rPr>
            </w:pPr>
            <w:r w:rsidRPr="00163FAE">
              <w:rPr>
                <w:color w:val="000000"/>
                <w:sz w:val="20"/>
                <w:lang w:val="fr-CA"/>
              </w:rPr>
              <w:t>La requête en vue de la prorogation du délai pour signifier et déposer la demande d’autorisation d’appel et la demande d’autorisation d’appel</w:t>
            </w:r>
            <w:r w:rsidRPr="00163FAE">
              <w:rPr>
                <w:sz w:val="20"/>
                <w:lang w:val="fr-CA"/>
              </w:rPr>
              <w:t xml:space="preserve"> sont présentées.</w:t>
            </w:r>
          </w:p>
        </w:tc>
      </w:tr>
    </w:tbl>
    <w:p w:rsidR="00DC4AAB" w:rsidRPr="00163FAE" w:rsidRDefault="00DC4AAB" w:rsidP="00792D8C">
      <w:pPr>
        <w:jc w:val="both"/>
        <w:rPr>
          <w:sz w:val="20"/>
          <w:lang w:val="fr-CA"/>
        </w:rPr>
      </w:pPr>
    </w:p>
    <w:p w:rsidR="004D21AC" w:rsidRPr="00163FAE" w:rsidRDefault="00163FAE" w:rsidP="00792D8C">
      <w:pPr>
        <w:widowControl w:val="0"/>
        <w:jc w:val="both"/>
        <w:rPr>
          <w:sz w:val="20"/>
          <w:lang w:val="fr-CA"/>
        </w:rPr>
      </w:pPr>
      <w:r w:rsidRPr="00163FAE">
        <w:rPr>
          <w:sz w:val="20"/>
        </w:rPr>
        <w:pict>
          <v:rect id="_x0000_i1030" style="width:2in;height:1pt" o:hrpct="0" o:hralign="center" o:hrstd="t" o:hrnoshade="t" o:hr="t" fillcolor="black [3213]" stroked="f"/>
        </w:pict>
      </w:r>
    </w:p>
    <w:p w:rsidR="00311655" w:rsidRPr="00163FAE" w:rsidRDefault="00311655" w:rsidP="00350651">
      <w:pPr>
        <w:ind w:left="142" w:hanging="142"/>
        <w:jc w:val="both"/>
        <w:rPr>
          <w:sz w:val="20"/>
        </w:rPr>
      </w:pPr>
    </w:p>
    <w:p w:rsidR="008F2F11" w:rsidRPr="00163FAE" w:rsidRDefault="008F2F11" w:rsidP="00350651">
      <w:pPr>
        <w:ind w:left="142" w:hanging="142"/>
        <w:jc w:val="both"/>
        <w:rPr>
          <w:sz w:val="20"/>
        </w:rPr>
      </w:pPr>
    </w:p>
    <w:p w:rsidR="008F2F11" w:rsidRPr="00163FAE" w:rsidRDefault="008F2F11" w:rsidP="00350651">
      <w:pPr>
        <w:ind w:left="142" w:hanging="142"/>
        <w:jc w:val="both"/>
        <w:rPr>
          <w:sz w:val="20"/>
        </w:rPr>
      </w:pPr>
    </w:p>
    <w:p w:rsidR="00D3344A" w:rsidRPr="00163FAE" w:rsidRDefault="00D3344A" w:rsidP="00D3344A">
      <w:pPr>
        <w:widowControl w:val="0"/>
        <w:outlineLvl w:val="0"/>
        <w:rPr>
          <w:sz w:val="20"/>
        </w:rPr>
      </w:pPr>
      <w:r w:rsidRPr="00163FAE">
        <w:rPr>
          <w:sz w:val="20"/>
        </w:rPr>
        <w:t xml:space="preserve">Supreme Court of Canada / Cour suprême du </w:t>
      </w:r>
      <w:proofErr w:type="gramStart"/>
      <w:r w:rsidRPr="00163FAE">
        <w:rPr>
          <w:sz w:val="20"/>
        </w:rPr>
        <w:t>Canad</w:t>
      </w:r>
      <w:r w:rsidR="00EE289F" w:rsidRPr="00163FAE">
        <w:rPr>
          <w:sz w:val="20"/>
        </w:rPr>
        <w:t>a</w:t>
      </w:r>
      <w:r w:rsidRPr="00163FAE">
        <w:rPr>
          <w:sz w:val="20"/>
        </w:rPr>
        <w:t xml:space="preserve"> :</w:t>
      </w:r>
      <w:proofErr w:type="gramEnd"/>
    </w:p>
    <w:p w:rsidR="00D3344A" w:rsidRPr="00163FAE" w:rsidRDefault="00163FAE" w:rsidP="00D3344A">
      <w:pPr>
        <w:widowControl w:val="0"/>
        <w:outlineLvl w:val="0"/>
        <w:rPr>
          <w:sz w:val="20"/>
          <w:u w:val="single"/>
        </w:rPr>
      </w:pPr>
      <w:hyperlink r:id="rId20" w:history="1">
        <w:r w:rsidR="009B7391" w:rsidRPr="00163FAE">
          <w:rPr>
            <w:rStyle w:val="Hyperlink"/>
            <w:sz w:val="20"/>
          </w:rPr>
          <w:t>comments-commentaires@scc-csc.ca</w:t>
        </w:r>
      </w:hyperlink>
    </w:p>
    <w:p w:rsidR="00D3344A" w:rsidRPr="00163FAE" w:rsidRDefault="0065588C" w:rsidP="00D3344A">
      <w:pPr>
        <w:widowControl w:val="0"/>
        <w:outlineLvl w:val="0"/>
        <w:rPr>
          <w:sz w:val="20"/>
        </w:rPr>
      </w:pPr>
      <w:r w:rsidRPr="00163FAE">
        <w:rPr>
          <w:sz w:val="20"/>
        </w:rPr>
        <w:t>613-</w:t>
      </w:r>
      <w:r w:rsidR="00D3344A" w:rsidRPr="00163FAE">
        <w:rPr>
          <w:sz w:val="20"/>
        </w:rPr>
        <w:t>995-4330</w:t>
      </w:r>
    </w:p>
    <w:p w:rsidR="00497B5E" w:rsidRPr="00163FAE" w:rsidRDefault="00497B5E" w:rsidP="00497B5E">
      <w:pPr>
        <w:widowControl w:val="0"/>
        <w:rPr>
          <w:sz w:val="20"/>
        </w:rPr>
      </w:pPr>
    </w:p>
    <w:p w:rsidR="00F6251B" w:rsidRPr="007607A2" w:rsidRDefault="003F43E6" w:rsidP="00F6251B">
      <w:pPr>
        <w:pStyle w:val="Footer"/>
        <w:jc w:val="center"/>
        <w:rPr>
          <w:sz w:val="20"/>
        </w:rPr>
      </w:pPr>
      <w:r w:rsidRPr="00163FAE">
        <w:rPr>
          <w:sz w:val="20"/>
        </w:rPr>
        <w:t>- 30 -</w:t>
      </w:r>
      <w:bookmarkStart w:id="0" w:name="_GoBack"/>
      <w:bookmarkEnd w:id="0"/>
    </w:p>
    <w:sectPr w:rsidR="00F6251B" w:rsidRPr="007607A2" w:rsidSect="00E62F93">
      <w:headerReference w:type="even" r:id="rId21"/>
      <w:headerReference w:type="default" r:id="rId22"/>
      <w:footerReference w:type="even" r:id="rId23"/>
      <w:footerReference w:type="default" r:id="rId24"/>
      <w:headerReference w:type="first" r:id="rId25"/>
      <w:footerReference w:type="first" r:id="rId2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1A" w:rsidRDefault="00970A1A" w:rsidP="0034178A">
      <w:r>
        <w:separator/>
      </w:r>
    </w:p>
  </w:endnote>
  <w:endnote w:type="continuationSeparator" w:id="0">
    <w:p w:rsidR="00970A1A" w:rsidRDefault="00970A1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Pr="009F77F0" w:rsidRDefault="00970A1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1A" w:rsidRDefault="00970A1A" w:rsidP="0034178A">
      <w:r>
        <w:separator/>
      </w:r>
    </w:p>
  </w:footnote>
  <w:footnote w:type="continuationSeparator" w:id="0">
    <w:p w:rsidR="00970A1A" w:rsidRDefault="00970A1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9459A"/>
    <w:multiLevelType w:val="hybridMultilevel"/>
    <w:tmpl w:val="F1CA6448"/>
    <w:lvl w:ilvl="0" w:tplc="7C82F7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51835"/>
    <w:multiLevelType w:val="hybridMultilevel"/>
    <w:tmpl w:val="E9F4CFF2"/>
    <w:lvl w:ilvl="0" w:tplc="37A081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7"/>
  </w:num>
  <w:num w:numId="4">
    <w:abstractNumId w:val="9"/>
  </w:num>
  <w:num w:numId="5">
    <w:abstractNumId w:val="7"/>
  </w:num>
  <w:num w:numId="6">
    <w:abstractNumId w:val="14"/>
  </w:num>
  <w:num w:numId="7">
    <w:abstractNumId w:val="12"/>
  </w:num>
  <w:num w:numId="8">
    <w:abstractNumId w:val="16"/>
  </w:num>
  <w:num w:numId="9">
    <w:abstractNumId w:val="2"/>
  </w:num>
  <w:num w:numId="10">
    <w:abstractNumId w:val="4"/>
  </w:num>
  <w:num w:numId="11">
    <w:abstractNumId w:val="0"/>
  </w:num>
  <w:num w:numId="12">
    <w:abstractNumId w:val="13"/>
  </w:num>
  <w:num w:numId="13">
    <w:abstractNumId w:val="1"/>
  </w:num>
  <w:num w:numId="14">
    <w:abstractNumId w:val="8"/>
  </w:num>
  <w:num w:numId="15">
    <w:abstractNumId w:val="3"/>
  </w:num>
  <w:num w:numId="16">
    <w:abstractNumId w:val="5"/>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7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3FAE"/>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277"/>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35E4"/>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7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52" TargetMode="External"/><Relationship Id="rId13" Type="http://schemas.openxmlformats.org/officeDocument/2006/relationships/hyperlink" Target="https://www.canlii.org/en/mb/mbca/doc/2021/2021mbca85/2021mbca85.html" TargetMode="External"/><Relationship Id="rId18" Type="http://schemas.openxmlformats.org/officeDocument/2006/relationships/hyperlink" Target="https://www.canlii.org/en/on/onca/doc/2022/2022onca6/2022onca6.html?resultIndex=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nlii.org/en/mb/mbqb/doc/2020/2020mbqb92/2020mbqb92.html" TargetMode="External"/><Relationship Id="rId17" Type="http://schemas.openxmlformats.org/officeDocument/2006/relationships/hyperlink" Target="https://www.canlii.org/en/mb/mbca/doc/2021/2021mbca85/2021mbca85.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en/mb/mbqb/doc/2020/2020mbqb92/2020mbqb92.html"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calegis/schedule-b-to-the-canada-act-1982-uk-1982-c-11-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qweri.lexum.com/calegis/schedule-b-to-the-canada-act-1982-uk-1982-c-11-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qweri.lexum.com/calegis/schedule-b-to-the-canada-act-1982-uk-1982-c-11-en" TargetMode="External"/><Relationship Id="rId19" Type="http://schemas.openxmlformats.org/officeDocument/2006/relationships/hyperlink" Target="https://www.canlii.org/en/on/onca/doc/2022/2022onca6/2022onca6.html?resultIndex=1" TargetMode="External"/><Relationship Id="rId4" Type="http://schemas.openxmlformats.org/officeDocument/2006/relationships/settings" Target="settings.xml"/><Relationship Id="rId9" Type="http://schemas.openxmlformats.org/officeDocument/2006/relationships/hyperlink" Target="https://www.scc-csc.ca/case-dossier/info/sum-som-eng.aspx?cas=40261" TargetMode="External"/><Relationship Id="rId14" Type="http://schemas.openxmlformats.org/officeDocument/2006/relationships/hyperlink" Target="https://qweri.lexum.com/calegis/schedule-b-to-the-canada-act-1982-uk-1982-c-11-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3799-E53A-4FA6-A96B-077E9E36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2022-10-21T11:55:00Z</dcterms:modified>
</cp:coreProperties>
</file>