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22545E" w:rsidRDefault="000E391F" w:rsidP="000E391F">
      <w:pPr>
        <w:pStyle w:val="Header"/>
        <w:jc w:val="center"/>
        <w:rPr>
          <w:b/>
          <w:sz w:val="32"/>
          <w:szCs w:val="32"/>
        </w:rPr>
      </w:pPr>
      <w:r w:rsidRPr="0022545E">
        <w:rPr>
          <w:b/>
          <w:sz w:val="32"/>
          <w:szCs w:val="32"/>
        </w:rPr>
        <w:t>Supreme Court of Canada / Cour suprême du Canada</w:t>
      </w:r>
    </w:p>
    <w:p w:rsidR="000E391F" w:rsidRPr="0022545E" w:rsidRDefault="000E391F" w:rsidP="000E391F">
      <w:pPr>
        <w:widowControl w:val="0"/>
        <w:rPr>
          <w:sz w:val="20"/>
        </w:rPr>
      </w:pPr>
    </w:p>
    <w:p w:rsidR="000E391F" w:rsidRPr="0022545E" w:rsidRDefault="000E391F" w:rsidP="000E391F">
      <w:pPr>
        <w:widowControl w:val="0"/>
        <w:rPr>
          <w:i/>
          <w:sz w:val="20"/>
        </w:rPr>
      </w:pPr>
      <w:bookmarkStart w:id="0" w:name="_GoBack"/>
      <w:bookmarkEnd w:id="0"/>
    </w:p>
    <w:p w:rsidR="006F2579" w:rsidRPr="0022545E" w:rsidRDefault="006F2579" w:rsidP="006F2579">
      <w:pPr>
        <w:widowControl w:val="0"/>
        <w:rPr>
          <w:i/>
          <w:sz w:val="20"/>
        </w:rPr>
      </w:pPr>
      <w:r w:rsidRPr="0022545E">
        <w:rPr>
          <w:i/>
          <w:sz w:val="20"/>
        </w:rPr>
        <w:t>(</w:t>
      </w:r>
      <w:r w:rsidR="003240B6" w:rsidRPr="0022545E">
        <w:rPr>
          <w:i/>
          <w:sz w:val="20"/>
        </w:rPr>
        <w:t>L</w:t>
      </w:r>
      <w:r w:rsidRPr="0022545E">
        <w:rPr>
          <w:i/>
          <w:sz w:val="20"/>
        </w:rPr>
        <w:t>e français suit)</w:t>
      </w:r>
    </w:p>
    <w:p w:rsidR="006F2579" w:rsidRPr="0022545E" w:rsidRDefault="006F2579" w:rsidP="006F2579">
      <w:pPr>
        <w:widowControl w:val="0"/>
        <w:rPr>
          <w:sz w:val="20"/>
        </w:rPr>
      </w:pPr>
    </w:p>
    <w:p w:rsidR="006F2579" w:rsidRPr="0022545E" w:rsidRDefault="00B07908" w:rsidP="006F2579">
      <w:pPr>
        <w:widowControl w:val="0"/>
        <w:jc w:val="center"/>
        <w:rPr>
          <w:b/>
          <w:szCs w:val="24"/>
        </w:rPr>
      </w:pPr>
      <w:r w:rsidRPr="0022545E">
        <w:rPr>
          <w:szCs w:val="24"/>
        </w:rPr>
        <w:fldChar w:fldCharType="begin"/>
      </w:r>
      <w:r w:rsidR="006F2579" w:rsidRPr="0022545E">
        <w:rPr>
          <w:szCs w:val="24"/>
        </w:rPr>
        <w:instrText xml:space="preserve"> SEQ CHAPTER \h \r 1</w:instrText>
      </w:r>
      <w:r w:rsidRPr="0022545E">
        <w:rPr>
          <w:szCs w:val="24"/>
        </w:rPr>
        <w:fldChar w:fldCharType="end"/>
      </w:r>
      <w:r w:rsidR="006F2579" w:rsidRPr="0022545E">
        <w:rPr>
          <w:b/>
          <w:szCs w:val="24"/>
        </w:rPr>
        <w:t>JUDGMENT</w:t>
      </w:r>
      <w:r w:rsidR="004F5491" w:rsidRPr="0022545E">
        <w:rPr>
          <w:b/>
          <w:szCs w:val="24"/>
        </w:rPr>
        <w:t>S</w:t>
      </w:r>
      <w:r w:rsidR="006F2579" w:rsidRPr="0022545E">
        <w:rPr>
          <w:b/>
          <w:szCs w:val="24"/>
        </w:rPr>
        <w:t xml:space="preserve"> TO B</w:t>
      </w:r>
      <w:r w:rsidR="00001846" w:rsidRPr="0022545E">
        <w:rPr>
          <w:b/>
          <w:szCs w:val="24"/>
        </w:rPr>
        <w:t>E RENDERED IN LE</w:t>
      </w:r>
      <w:r w:rsidR="00A0288A" w:rsidRPr="0022545E">
        <w:rPr>
          <w:b/>
          <w:szCs w:val="24"/>
        </w:rPr>
        <w:t>A</w:t>
      </w:r>
      <w:r w:rsidR="00001846" w:rsidRPr="0022545E">
        <w:rPr>
          <w:b/>
          <w:szCs w:val="24"/>
        </w:rPr>
        <w:t>VE APPLICATION</w:t>
      </w:r>
      <w:r w:rsidR="004F5491" w:rsidRPr="0022545E">
        <w:rPr>
          <w:b/>
          <w:szCs w:val="24"/>
        </w:rPr>
        <w:t>S</w:t>
      </w:r>
    </w:p>
    <w:p w:rsidR="006F2579" w:rsidRPr="0022545E" w:rsidRDefault="006F2579" w:rsidP="006F2579">
      <w:pPr>
        <w:widowControl w:val="0"/>
        <w:rPr>
          <w:szCs w:val="24"/>
        </w:rPr>
      </w:pPr>
    </w:p>
    <w:p w:rsidR="006F2579" w:rsidRPr="0022545E" w:rsidRDefault="00EB4A94" w:rsidP="006F2579">
      <w:pPr>
        <w:widowControl w:val="0"/>
        <w:rPr>
          <w:szCs w:val="24"/>
        </w:rPr>
      </w:pPr>
      <w:r w:rsidRPr="0022545E">
        <w:rPr>
          <w:b/>
          <w:szCs w:val="24"/>
        </w:rPr>
        <w:t>November</w:t>
      </w:r>
      <w:r w:rsidR="00A15B66" w:rsidRPr="0022545E">
        <w:rPr>
          <w:b/>
          <w:szCs w:val="24"/>
        </w:rPr>
        <w:t xml:space="preserve"> </w:t>
      </w:r>
      <w:r w:rsidR="00946739" w:rsidRPr="0022545E">
        <w:rPr>
          <w:b/>
          <w:szCs w:val="24"/>
        </w:rPr>
        <w:t>21</w:t>
      </w:r>
      <w:r w:rsidR="004441C7" w:rsidRPr="0022545E">
        <w:rPr>
          <w:b/>
          <w:szCs w:val="24"/>
        </w:rPr>
        <w:t>,</w:t>
      </w:r>
      <w:r w:rsidR="006F2579" w:rsidRPr="0022545E">
        <w:rPr>
          <w:b/>
          <w:szCs w:val="24"/>
        </w:rPr>
        <w:t xml:space="preserve"> </w:t>
      </w:r>
      <w:r w:rsidR="0054689F" w:rsidRPr="0022545E">
        <w:rPr>
          <w:b/>
          <w:szCs w:val="24"/>
        </w:rPr>
        <w:t>20</w:t>
      </w:r>
      <w:r w:rsidR="00526754" w:rsidRPr="0022545E">
        <w:rPr>
          <w:b/>
          <w:szCs w:val="24"/>
        </w:rPr>
        <w:t>2</w:t>
      </w:r>
      <w:r w:rsidR="00644008" w:rsidRPr="0022545E">
        <w:rPr>
          <w:b/>
          <w:szCs w:val="24"/>
        </w:rPr>
        <w:t>2</w:t>
      </w:r>
    </w:p>
    <w:p w:rsidR="006F2579" w:rsidRPr="0022545E" w:rsidRDefault="00674F39" w:rsidP="006F2579">
      <w:pPr>
        <w:widowControl w:val="0"/>
        <w:rPr>
          <w:b/>
          <w:szCs w:val="24"/>
        </w:rPr>
      </w:pPr>
      <w:r w:rsidRPr="0022545E">
        <w:rPr>
          <w:b/>
          <w:szCs w:val="24"/>
        </w:rPr>
        <w:t>For immediate release</w:t>
      </w:r>
    </w:p>
    <w:p w:rsidR="006F2579" w:rsidRPr="0022545E" w:rsidRDefault="006F2579" w:rsidP="006F2579">
      <w:pPr>
        <w:widowControl w:val="0"/>
        <w:rPr>
          <w:szCs w:val="24"/>
        </w:rPr>
      </w:pPr>
    </w:p>
    <w:p w:rsidR="006F2579" w:rsidRPr="0022545E" w:rsidRDefault="006F2579" w:rsidP="006F2579">
      <w:pPr>
        <w:widowControl w:val="0"/>
        <w:rPr>
          <w:szCs w:val="24"/>
          <w:lang w:val="fr-CA"/>
        </w:rPr>
      </w:pPr>
      <w:r w:rsidRPr="0022545E">
        <w:rPr>
          <w:b/>
          <w:szCs w:val="24"/>
        </w:rPr>
        <w:t>OTTAWA</w:t>
      </w:r>
      <w:r w:rsidRPr="0022545E">
        <w:rPr>
          <w:szCs w:val="24"/>
        </w:rPr>
        <w:t xml:space="preserve"> – The Supreme Court of Canad</w:t>
      </w:r>
      <w:r w:rsidR="006246E4" w:rsidRPr="0022545E">
        <w:rPr>
          <w:szCs w:val="24"/>
        </w:rPr>
        <w:t>a</w:t>
      </w:r>
      <w:r w:rsidRPr="0022545E">
        <w:rPr>
          <w:szCs w:val="24"/>
        </w:rPr>
        <w:t xml:space="preserve"> announced today that judgment in the following </w:t>
      </w:r>
      <w:r w:rsidR="00DB6199" w:rsidRPr="0022545E">
        <w:rPr>
          <w:szCs w:val="24"/>
        </w:rPr>
        <w:t>leave application</w:t>
      </w:r>
      <w:r w:rsidR="004F5491" w:rsidRPr="0022545E">
        <w:rPr>
          <w:szCs w:val="24"/>
        </w:rPr>
        <w:t>s</w:t>
      </w:r>
      <w:r w:rsidR="00DB6199" w:rsidRPr="0022545E">
        <w:rPr>
          <w:szCs w:val="24"/>
        </w:rPr>
        <w:t xml:space="preserve"> </w:t>
      </w:r>
      <w:r w:rsidRPr="0022545E">
        <w:rPr>
          <w:szCs w:val="24"/>
        </w:rPr>
        <w:t>will be delivere</w:t>
      </w:r>
      <w:r w:rsidR="00CE2C5F" w:rsidRPr="0022545E">
        <w:rPr>
          <w:szCs w:val="24"/>
        </w:rPr>
        <w:t>d</w:t>
      </w:r>
      <w:r w:rsidRPr="0022545E">
        <w:rPr>
          <w:szCs w:val="24"/>
        </w:rPr>
        <w:t xml:space="preserve"> at 9:45 a.m. </w:t>
      </w:r>
      <w:r w:rsidR="00E05816" w:rsidRPr="0022545E">
        <w:rPr>
          <w:szCs w:val="24"/>
        </w:rPr>
        <w:t>E</w:t>
      </w:r>
      <w:r w:rsidR="00EB4A94" w:rsidRPr="0022545E">
        <w:rPr>
          <w:szCs w:val="24"/>
        </w:rPr>
        <w:t>S</w:t>
      </w:r>
      <w:r w:rsidR="00E05816" w:rsidRPr="0022545E">
        <w:rPr>
          <w:szCs w:val="24"/>
        </w:rPr>
        <w:t>T</w:t>
      </w:r>
      <w:r w:rsidRPr="0022545E">
        <w:rPr>
          <w:szCs w:val="24"/>
        </w:rPr>
        <w:t xml:space="preserve"> on </w:t>
      </w:r>
      <w:r w:rsidR="00322A9C" w:rsidRPr="0022545E">
        <w:rPr>
          <w:szCs w:val="24"/>
        </w:rPr>
        <w:t>Thurs</w:t>
      </w:r>
      <w:r w:rsidR="00680A85" w:rsidRPr="0022545E">
        <w:rPr>
          <w:szCs w:val="24"/>
        </w:rPr>
        <w:t>day</w:t>
      </w:r>
      <w:r w:rsidRPr="0022545E">
        <w:rPr>
          <w:szCs w:val="24"/>
        </w:rPr>
        <w:t xml:space="preserve">, </w:t>
      </w:r>
      <w:r w:rsidR="00EB4A94" w:rsidRPr="0022545E">
        <w:rPr>
          <w:szCs w:val="24"/>
        </w:rPr>
        <w:t>November</w:t>
      </w:r>
      <w:r w:rsidR="00455912" w:rsidRPr="0022545E">
        <w:rPr>
          <w:szCs w:val="24"/>
        </w:rPr>
        <w:t xml:space="preserve"> </w:t>
      </w:r>
      <w:r w:rsidR="00946739" w:rsidRPr="0022545E">
        <w:rPr>
          <w:szCs w:val="24"/>
        </w:rPr>
        <w:t>24</w:t>
      </w:r>
      <w:r w:rsidR="007E112F" w:rsidRPr="0022545E">
        <w:rPr>
          <w:szCs w:val="24"/>
        </w:rPr>
        <w:t>,</w:t>
      </w:r>
      <w:r w:rsidR="002F38D7" w:rsidRPr="0022545E">
        <w:rPr>
          <w:szCs w:val="24"/>
        </w:rPr>
        <w:t xml:space="preserve"> </w:t>
      </w:r>
      <w:r w:rsidR="006648D1" w:rsidRPr="0022545E">
        <w:rPr>
          <w:szCs w:val="24"/>
        </w:rPr>
        <w:t>20</w:t>
      </w:r>
      <w:r w:rsidR="00526754" w:rsidRPr="0022545E">
        <w:rPr>
          <w:szCs w:val="24"/>
        </w:rPr>
        <w:t>2</w:t>
      </w:r>
      <w:r w:rsidR="00644008" w:rsidRPr="0022545E">
        <w:rPr>
          <w:szCs w:val="24"/>
        </w:rPr>
        <w:t>2</w:t>
      </w:r>
      <w:r w:rsidRPr="0022545E">
        <w:rPr>
          <w:szCs w:val="24"/>
        </w:rPr>
        <w:t xml:space="preserve">. </w:t>
      </w:r>
      <w:r w:rsidRPr="0022545E">
        <w:rPr>
          <w:szCs w:val="24"/>
          <w:lang w:val="fr-CA"/>
        </w:rPr>
        <w:t>This list is subject to chang</w:t>
      </w:r>
      <w:r w:rsidR="00192F7F" w:rsidRPr="0022545E">
        <w:rPr>
          <w:szCs w:val="24"/>
          <w:lang w:val="fr-CA"/>
        </w:rPr>
        <w:t>e</w:t>
      </w:r>
      <w:r w:rsidRPr="0022545E">
        <w:rPr>
          <w:szCs w:val="24"/>
          <w:lang w:val="fr-CA"/>
        </w:rPr>
        <w:t>.</w:t>
      </w:r>
    </w:p>
    <w:p w:rsidR="00FF5AA4" w:rsidRPr="0022545E" w:rsidRDefault="00FF5AA4" w:rsidP="006F2579">
      <w:pPr>
        <w:widowControl w:val="0"/>
        <w:rPr>
          <w:szCs w:val="24"/>
          <w:lang w:val="fr-CA"/>
        </w:rPr>
      </w:pPr>
    </w:p>
    <w:p w:rsidR="00B43418" w:rsidRPr="0022545E" w:rsidRDefault="00B43418" w:rsidP="006F2579">
      <w:pPr>
        <w:widowControl w:val="0"/>
        <w:rPr>
          <w:szCs w:val="24"/>
          <w:lang w:val="fr-CA"/>
        </w:rPr>
      </w:pPr>
    </w:p>
    <w:p w:rsidR="006F2579" w:rsidRPr="0022545E" w:rsidRDefault="006F2579" w:rsidP="006F2579">
      <w:pPr>
        <w:widowControl w:val="0"/>
        <w:jc w:val="center"/>
        <w:rPr>
          <w:szCs w:val="24"/>
          <w:lang w:val="fr-CA"/>
        </w:rPr>
      </w:pPr>
      <w:r w:rsidRPr="0022545E">
        <w:rPr>
          <w:b/>
          <w:szCs w:val="24"/>
          <w:lang w:val="fr-CA"/>
        </w:rPr>
        <w:t>PROCHAIN</w:t>
      </w:r>
      <w:r w:rsidR="004F5491" w:rsidRPr="0022545E">
        <w:rPr>
          <w:b/>
          <w:szCs w:val="24"/>
          <w:lang w:val="fr-CA"/>
        </w:rPr>
        <w:t>S</w:t>
      </w:r>
      <w:r w:rsidRPr="0022545E">
        <w:rPr>
          <w:b/>
          <w:szCs w:val="24"/>
          <w:lang w:val="fr-CA"/>
        </w:rPr>
        <w:t xml:space="preserve"> JUGEMENT</w:t>
      </w:r>
      <w:r w:rsidR="004F5491" w:rsidRPr="0022545E">
        <w:rPr>
          <w:b/>
          <w:szCs w:val="24"/>
          <w:lang w:val="fr-CA"/>
        </w:rPr>
        <w:t>S</w:t>
      </w:r>
      <w:r w:rsidR="00001846" w:rsidRPr="0022545E">
        <w:rPr>
          <w:b/>
          <w:szCs w:val="24"/>
          <w:lang w:val="fr-CA"/>
        </w:rPr>
        <w:t xml:space="preserve"> SUR DEMANDE</w:t>
      </w:r>
      <w:r w:rsidR="004F5491" w:rsidRPr="0022545E">
        <w:rPr>
          <w:b/>
          <w:szCs w:val="24"/>
          <w:lang w:val="fr-CA"/>
        </w:rPr>
        <w:t>S</w:t>
      </w:r>
      <w:r w:rsidRPr="0022545E">
        <w:rPr>
          <w:b/>
          <w:szCs w:val="24"/>
          <w:lang w:val="fr-CA"/>
        </w:rPr>
        <w:t xml:space="preserve"> D’AUTORISATION</w:t>
      </w:r>
    </w:p>
    <w:p w:rsidR="006F2579" w:rsidRPr="0022545E" w:rsidRDefault="006F2579" w:rsidP="006F2579">
      <w:pPr>
        <w:widowControl w:val="0"/>
        <w:rPr>
          <w:szCs w:val="24"/>
          <w:lang w:val="fr-CA"/>
        </w:rPr>
      </w:pPr>
    </w:p>
    <w:p w:rsidR="006F2579" w:rsidRPr="0022545E" w:rsidRDefault="006F2579" w:rsidP="006F2579">
      <w:pPr>
        <w:widowControl w:val="0"/>
        <w:rPr>
          <w:szCs w:val="24"/>
          <w:lang w:val="fr-CA"/>
        </w:rPr>
      </w:pPr>
      <w:r w:rsidRPr="0022545E">
        <w:rPr>
          <w:b/>
          <w:szCs w:val="24"/>
          <w:lang w:val="fr-CA"/>
        </w:rPr>
        <w:t>Le</w:t>
      </w:r>
      <w:r w:rsidR="00957A76" w:rsidRPr="0022545E">
        <w:rPr>
          <w:b/>
          <w:szCs w:val="24"/>
          <w:lang w:val="fr-CA"/>
        </w:rPr>
        <w:t xml:space="preserve"> </w:t>
      </w:r>
      <w:r w:rsidR="00946739" w:rsidRPr="0022545E">
        <w:rPr>
          <w:b/>
          <w:szCs w:val="24"/>
          <w:lang w:val="fr-CA"/>
        </w:rPr>
        <w:t>21</w:t>
      </w:r>
      <w:r w:rsidR="00FA6BAB" w:rsidRPr="0022545E">
        <w:rPr>
          <w:b/>
          <w:szCs w:val="24"/>
          <w:lang w:val="fr-CA"/>
        </w:rPr>
        <w:t xml:space="preserve"> </w:t>
      </w:r>
      <w:r w:rsidR="00EB4A94" w:rsidRPr="0022545E">
        <w:rPr>
          <w:b/>
          <w:szCs w:val="24"/>
          <w:lang w:val="fr-CA"/>
        </w:rPr>
        <w:t>novembre</w:t>
      </w:r>
      <w:r w:rsidR="00A151D1" w:rsidRPr="0022545E">
        <w:rPr>
          <w:b/>
          <w:szCs w:val="24"/>
          <w:lang w:val="fr-CA"/>
        </w:rPr>
        <w:t xml:space="preserve"> 20</w:t>
      </w:r>
      <w:r w:rsidR="00526754" w:rsidRPr="0022545E">
        <w:rPr>
          <w:b/>
          <w:szCs w:val="24"/>
          <w:lang w:val="fr-CA"/>
        </w:rPr>
        <w:t>2</w:t>
      </w:r>
      <w:r w:rsidR="00644008" w:rsidRPr="0022545E">
        <w:rPr>
          <w:b/>
          <w:szCs w:val="24"/>
          <w:lang w:val="fr-CA"/>
        </w:rPr>
        <w:t>2</w:t>
      </w:r>
    </w:p>
    <w:p w:rsidR="006F2579" w:rsidRPr="0022545E" w:rsidRDefault="006F2579" w:rsidP="006F2579">
      <w:pPr>
        <w:widowControl w:val="0"/>
        <w:rPr>
          <w:b/>
          <w:szCs w:val="24"/>
          <w:lang w:val="fr-CA"/>
        </w:rPr>
      </w:pPr>
      <w:r w:rsidRPr="0022545E">
        <w:rPr>
          <w:b/>
          <w:szCs w:val="24"/>
          <w:lang w:val="fr-CA"/>
        </w:rPr>
        <w:t>Pour diffusion immédiate</w:t>
      </w:r>
    </w:p>
    <w:p w:rsidR="006F2579" w:rsidRPr="0022545E" w:rsidRDefault="006F2579" w:rsidP="006F2579">
      <w:pPr>
        <w:widowControl w:val="0"/>
        <w:rPr>
          <w:szCs w:val="24"/>
          <w:lang w:val="fr-CA"/>
        </w:rPr>
      </w:pPr>
    </w:p>
    <w:p w:rsidR="006F2579" w:rsidRPr="0022545E" w:rsidRDefault="006F2579" w:rsidP="006F2579">
      <w:pPr>
        <w:widowControl w:val="0"/>
        <w:rPr>
          <w:szCs w:val="24"/>
          <w:lang w:val="fr-CA"/>
        </w:rPr>
      </w:pPr>
      <w:r w:rsidRPr="0022545E">
        <w:rPr>
          <w:b/>
          <w:szCs w:val="24"/>
          <w:lang w:val="fr-CA"/>
        </w:rPr>
        <w:t>OTTAWA</w:t>
      </w:r>
      <w:r w:rsidRPr="0022545E">
        <w:rPr>
          <w:szCs w:val="24"/>
          <w:lang w:val="fr-CA"/>
        </w:rPr>
        <w:t xml:space="preserve"> – La Cour suprême du Canada annonce que jugement ser</w:t>
      </w:r>
      <w:r w:rsidR="004259F9" w:rsidRPr="0022545E">
        <w:rPr>
          <w:szCs w:val="24"/>
          <w:lang w:val="fr-CA"/>
        </w:rPr>
        <w:t>a</w:t>
      </w:r>
      <w:r w:rsidRPr="0022545E">
        <w:rPr>
          <w:szCs w:val="24"/>
          <w:lang w:val="fr-CA"/>
        </w:rPr>
        <w:t xml:space="preserve"> rendu dans l</w:t>
      </w:r>
      <w:r w:rsidR="004F5491" w:rsidRPr="0022545E">
        <w:rPr>
          <w:szCs w:val="24"/>
          <w:lang w:val="fr-CA"/>
        </w:rPr>
        <w:t>es</w:t>
      </w:r>
      <w:r w:rsidRPr="0022545E">
        <w:rPr>
          <w:szCs w:val="24"/>
          <w:lang w:val="fr-CA"/>
        </w:rPr>
        <w:t xml:space="preserve"> demande</w:t>
      </w:r>
      <w:r w:rsidR="004F5491" w:rsidRPr="0022545E">
        <w:rPr>
          <w:szCs w:val="24"/>
          <w:lang w:val="fr-CA"/>
        </w:rPr>
        <w:t>s</w:t>
      </w:r>
      <w:r w:rsidRPr="0022545E">
        <w:rPr>
          <w:szCs w:val="24"/>
          <w:lang w:val="fr-CA"/>
        </w:rPr>
        <w:t xml:space="preserve"> d</w:t>
      </w:r>
      <w:r w:rsidR="00001846" w:rsidRPr="0022545E">
        <w:rPr>
          <w:szCs w:val="24"/>
          <w:lang w:val="fr-CA"/>
        </w:rPr>
        <w:t>’autorisation suivante</w:t>
      </w:r>
      <w:r w:rsidR="004F5491" w:rsidRPr="0022545E">
        <w:rPr>
          <w:szCs w:val="24"/>
          <w:lang w:val="fr-CA"/>
        </w:rPr>
        <w:t>s</w:t>
      </w:r>
      <w:r w:rsidRPr="0022545E">
        <w:rPr>
          <w:szCs w:val="24"/>
          <w:lang w:val="fr-CA"/>
        </w:rPr>
        <w:t xml:space="preserve"> le </w:t>
      </w:r>
      <w:r w:rsidR="00322A9C" w:rsidRPr="0022545E">
        <w:rPr>
          <w:szCs w:val="24"/>
          <w:lang w:val="fr-CA"/>
        </w:rPr>
        <w:t>jeu</w:t>
      </w:r>
      <w:r w:rsidR="00680A85" w:rsidRPr="0022545E">
        <w:rPr>
          <w:szCs w:val="24"/>
          <w:lang w:val="fr-CA"/>
        </w:rPr>
        <w:t>di</w:t>
      </w:r>
      <w:r w:rsidRPr="0022545E">
        <w:rPr>
          <w:szCs w:val="24"/>
          <w:lang w:val="fr-CA"/>
        </w:rPr>
        <w:t xml:space="preserve"> </w:t>
      </w:r>
      <w:r w:rsidR="00946739" w:rsidRPr="0022545E">
        <w:rPr>
          <w:szCs w:val="24"/>
          <w:lang w:val="fr-CA"/>
        </w:rPr>
        <w:t>24</w:t>
      </w:r>
      <w:r w:rsidR="009E0BD3" w:rsidRPr="0022545E">
        <w:rPr>
          <w:szCs w:val="24"/>
          <w:lang w:val="fr-CA"/>
        </w:rPr>
        <w:t xml:space="preserve"> </w:t>
      </w:r>
      <w:r w:rsidR="00EB4A94" w:rsidRPr="0022545E">
        <w:rPr>
          <w:szCs w:val="24"/>
          <w:lang w:val="fr-CA"/>
        </w:rPr>
        <w:t>novem</w:t>
      </w:r>
      <w:r w:rsidR="00DC4AAB" w:rsidRPr="0022545E">
        <w:rPr>
          <w:szCs w:val="24"/>
          <w:lang w:val="fr-CA"/>
        </w:rPr>
        <w:t>bre</w:t>
      </w:r>
      <w:r w:rsidR="00694391" w:rsidRPr="0022545E">
        <w:rPr>
          <w:szCs w:val="24"/>
          <w:lang w:val="fr-CA"/>
        </w:rPr>
        <w:t xml:space="preserve"> 2</w:t>
      </w:r>
      <w:r w:rsidR="006648D1" w:rsidRPr="0022545E">
        <w:rPr>
          <w:szCs w:val="24"/>
          <w:lang w:val="fr-CA"/>
        </w:rPr>
        <w:t>0</w:t>
      </w:r>
      <w:r w:rsidR="00526754" w:rsidRPr="0022545E">
        <w:rPr>
          <w:szCs w:val="24"/>
          <w:lang w:val="fr-CA"/>
        </w:rPr>
        <w:t>2</w:t>
      </w:r>
      <w:r w:rsidR="00644008" w:rsidRPr="0022545E">
        <w:rPr>
          <w:szCs w:val="24"/>
          <w:lang w:val="fr-CA"/>
        </w:rPr>
        <w:t>2</w:t>
      </w:r>
      <w:r w:rsidRPr="0022545E">
        <w:rPr>
          <w:szCs w:val="24"/>
          <w:lang w:val="fr-CA"/>
        </w:rPr>
        <w:t xml:space="preserve">, à 9 h 45 </w:t>
      </w:r>
      <w:r w:rsidR="000627A2" w:rsidRPr="0022545E">
        <w:rPr>
          <w:szCs w:val="24"/>
          <w:lang w:val="fr-CA"/>
        </w:rPr>
        <w:t>H</w:t>
      </w:r>
      <w:r w:rsidR="00EB4A94" w:rsidRPr="0022545E">
        <w:rPr>
          <w:szCs w:val="24"/>
          <w:lang w:val="fr-CA"/>
        </w:rPr>
        <w:t>N</w:t>
      </w:r>
      <w:r w:rsidRPr="0022545E">
        <w:rPr>
          <w:szCs w:val="24"/>
          <w:lang w:val="fr-CA"/>
        </w:rPr>
        <w:t>E. Cette liste est sujette à modification</w:t>
      </w:r>
      <w:r w:rsidR="00130ADB" w:rsidRPr="0022545E">
        <w:rPr>
          <w:szCs w:val="24"/>
          <w:lang w:val="fr-CA"/>
        </w:rPr>
        <w:t>s</w:t>
      </w:r>
      <w:r w:rsidRPr="0022545E">
        <w:rPr>
          <w:szCs w:val="24"/>
          <w:lang w:val="fr-CA"/>
        </w:rPr>
        <w:t>.</w:t>
      </w:r>
    </w:p>
    <w:p w:rsidR="0080556B" w:rsidRPr="0022545E" w:rsidRDefault="0080556B" w:rsidP="005F2A78">
      <w:pPr>
        <w:widowControl w:val="0"/>
        <w:tabs>
          <w:tab w:val="left" w:pos="3840"/>
        </w:tabs>
        <w:jc w:val="both"/>
        <w:rPr>
          <w:sz w:val="20"/>
          <w:lang w:val="fr-CA"/>
        </w:rPr>
      </w:pPr>
    </w:p>
    <w:p w:rsidR="00867C61" w:rsidRPr="0022545E" w:rsidRDefault="0022545E" w:rsidP="009B14F4">
      <w:pPr>
        <w:widowControl w:val="0"/>
        <w:jc w:val="both"/>
        <w:rPr>
          <w:sz w:val="20"/>
        </w:rPr>
      </w:pPr>
      <w:r w:rsidRPr="0022545E">
        <w:rPr>
          <w:sz w:val="20"/>
        </w:rPr>
        <w:pict>
          <v:rect id="_x0000_i1025" style="width:2in;height:1pt" o:hrpct="0" o:hralign="center" o:hrstd="t" o:hrnoshade="t" o:hr="t" fillcolor="black [3213]" stroked="f"/>
        </w:pict>
      </w:r>
    </w:p>
    <w:p w:rsidR="004A6E51" w:rsidRPr="0022545E" w:rsidRDefault="004A6E51" w:rsidP="0053032E">
      <w:pPr>
        <w:rPr>
          <w:sz w:val="20"/>
          <w:lang w:val="fr-CA"/>
        </w:rPr>
      </w:pPr>
    </w:p>
    <w:p w:rsidR="00946739" w:rsidRPr="0022545E" w:rsidRDefault="00946739" w:rsidP="00946739">
      <w:pPr>
        <w:pStyle w:val="ListParagraph"/>
        <w:numPr>
          <w:ilvl w:val="0"/>
          <w:numId w:val="19"/>
        </w:numPr>
        <w:ind w:left="357" w:hanging="357"/>
        <w:contextualSpacing w:val="0"/>
        <w:rPr>
          <w:sz w:val="20"/>
        </w:rPr>
      </w:pPr>
      <w:r w:rsidRPr="0022545E">
        <w:rPr>
          <w:i/>
          <w:sz w:val="20"/>
        </w:rPr>
        <w:t xml:space="preserve">Oussama Hanza v. Law Society of Ontario, et al. </w:t>
      </w:r>
      <w:r w:rsidR="007109CA" w:rsidRPr="0022545E">
        <w:rPr>
          <w:sz w:val="20"/>
        </w:rPr>
        <w:t>(Ont.) (Civil) (By Leave)</w:t>
      </w:r>
      <w:r w:rsidRPr="0022545E">
        <w:rPr>
          <w:sz w:val="20"/>
        </w:rPr>
        <w:t xml:space="preserve"> (</w:t>
      </w:r>
      <w:hyperlink r:id="rId8" w:history="1">
        <w:r w:rsidR="007109CA" w:rsidRPr="0022545E">
          <w:rPr>
            <w:rStyle w:val="Hyperlink"/>
            <w:sz w:val="20"/>
            <w:szCs w:val="20"/>
          </w:rPr>
          <w:t>4022</w:t>
        </w:r>
        <w:r w:rsidRPr="0022545E">
          <w:rPr>
            <w:rStyle w:val="Hyperlink"/>
            <w:sz w:val="20"/>
            <w:szCs w:val="20"/>
          </w:rPr>
          <w:t>5</w:t>
        </w:r>
      </w:hyperlink>
      <w:r w:rsidRPr="0022545E">
        <w:rPr>
          <w:sz w:val="20"/>
        </w:rPr>
        <w:t>)</w:t>
      </w:r>
    </w:p>
    <w:p w:rsidR="00946739" w:rsidRPr="0022545E" w:rsidRDefault="00946739" w:rsidP="00946739">
      <w:pPr>
        <w:ind w:left="357" w:hanging="357"/>
        <w:rPr>
          <w:sz w:val="20"/>
        </w:rPr>
      </w:pPr>
    </w:p>
    <w:p w:rsidR="00946739" w:rsidRPr="0022545E" w:rsidRDefault="00946739" w:rsidP="00946739">
      <w:pPr>
        <w:pStyle w:val="ListParagraph"/>
        <w:numPr>
          <w:ilvl w:val="0"/>
          <w:numId w:val="19"/>
        </w:numPr>
        <w:ind w:left="357" w:hanging="357"/>
        <w:contextualSpacing w:val="0"/>
        <w:rPr>
          <w:sz w:val="20"/>
        </w:rPr>
      </w:pPr>
      <w:r w:rsidRPr="0022545E">
        <w:rPr>
          <w:i/>
          <w:sz w:val="20"/>
        </w:rPr>
        <w:t>E.H</w:t>
      </w:r>
      <w:r w:rsidR="00EF176E" w:rsidRPr="0022545E">
        <w:rPr>
          <w:i/>
          <w:sz w:val="20"/>
        </w:rPr>
        <w:t>.</w:t>
      </w:r>
      <w:r w:rsidRPr="0022545E">
        <w:rPr>
          <w:i/>
          <w:sz w:val="20"/>
        </w:rPr>
        <w:t xml:space="preserve"> v. S.I</w:t>
      </w:r>
      <w:r w:rsidR="00EF176E" w:rsidRPr="0022545E">
        <w:rPr>
          <w:i/>
          <w:sz w:val="20"/>
        </w:rPr>
        <w:t>.</w:t>
      </w:r>
      <w:r w:rsidRPr="0022545E">
        <w:rPr>
          <w:i/>
          <w:sz w:val="20"/>
        </w:rPr>
        <w:t xml:space="preserve"> </w:t>
      </w:r>
      <w:r w:rsidRPr="0022545E">
        <w:rPr>
          <w:sz w:val="20"/>
        </w:rPr>
        <w:t>(Que.) (Civil) (By Leave) (</w:t>
      </w:r>
      <w:hyperlink r:id="rId9" w:history="1">
        <w:r w:rsidR="007109CA" w:rsidRPr="0022545E">
          <w:rPr>
            <w:rStyle w:val="Hyperlink"/>
            <w:sz w:val="20"/>
            <w:szCs w:val="20"/>
          </w:rPr>
          <w:t>4016</w:t>
        </w:r>
        <w:r w:rsidRPr="0022545E">
          <w:rPr>
            <w:rStyle w:val="Hyperlink"/>
            <w:sz w:val="20"/>
            <w:szCs w:val="20"/>
          </w:rPr>
          <w:t>7</w:t>
        </w:r>
      </w:hyperlink>
      <w:r w:rsidRPr="0022545E">
        <w:rPr>
          <w:sz w:val="20"/>
        </w:rPr>
        <w:t>)</w:t>
      </w:r>
    </w:p>
    <w:p w:rsidR="00946739" w:rsidRPr="0022545E" w:rsidRDefault="00946739" w:rsidP="00946739">
      <w:pPr>
        <w:ind w:left="357" w:hanging="357"/>
        <w:rPr>
          <w:sz w:val="20"/>
        </w:rPr>
      </w:pPr>
    </w:p>
    <w:p w:rsidR="00946739" w:rsidRPr="0022545E" w:rsidRDefault="00946739" w:rsidP="00946739">
      <w:pPr>
        <w:pStyle w:val="ListParagraph"/>
        <w:numPr>
          <w:ilvl w:val="0"/>
          <w:numId w:val="19"/>
        </w:numPr>
        <w:ind w:left="357" w:hanging="357"/>
        <w:contextualSpacing w:val="0"/>
        <w:rPr>
          <w:sz w:val="20"/>
        </w:rPr>
      </w:pPr>
      <w:r w:rsidRPr="0022545E">
        <w:rPr>
          <w:i/>
          <w:sz w:val="20"/>
        </w:rPr>
        <w:t>Stasky St. Clair v. His Majesty the King</w:t>
      </w:r>
      <w:r w:rsidRPr="0022545E">
        <w:rPr>
          <w:sz w:val="20"/>
        </w:rPr>
        <w:t xml:space="preserve"> (Ont.) (Criminal) (By Leave) (</w:t>
      </w:r>
      <w:hyperlink r:id="rId10" w:history="1">
        <w:r w:rsidR="007109CA" w:rsidRPr="0022545E">
          <w:rPr>
            <w:rStyle w:val="Hyperlink"/>
            <w:sz w:val="20"/>
            <w:szCs w:val="20"/>
          </w:rPr>
          <w:t>40270</w:t>
        </w:r>
      </w:hyperlink>
      <w:r w:rsidRPr="0022545E">
        <w:rPr>
          <w:sz w:val="20"/>
        </w:rPr>
        <w:t>)</w:t>
      </w:r>
    </w:p>
    <w:p w:rsidR="00946739" w:rsidRPr="0022545E" w:rsidRDefault="00946739" w:rsidP="00946739">
      <w:pPr>
        <w:ind w:left="357" w:hanging="357"/>
        <w:rPr>
          <w:sz w:val="20"/>
        </w:rPr>
      </w:pPr>
    </w:p>
    <w:p w:rsidR="00946739" w:rsidRPr="0022545E" w:rsidRDefault="00946739" w:rsidP="00946739">
      <w:pPr>
        <w:pStyle w:val="ListParagraph"/>
        <w:numPr>
          <w:ilvl w:val="0"/>
          <w:numId w:val="19"/>
        </w:numPr>
        <w:ind w:left="357" w:hanging="357"/>
        <w:contextualSpacing w:val="0"/>
        <w:rPr>
          <w:sz w:val="20"/>
        </w:rPr>
      </w:pPr>
      <w:r w:rsidRPr="0022545E">
        <w:rPr>
          <w:i/>
          <w:sz w:val="20"/>
        </w:rPr>
        <w:t xml:space="preserve">Health Professions Review Board v. College of Physicians and Surgeons of British Columbia, </w:t>
      </w:r>
      <w:r w:rsidR="007109CA" w:rsidRPr="0022545E">
        <w:rPr>
          <w:i/>
          <w:sz w:val="20"/>
        </w:rPr>
        <w:t>et al.</w:t>
      </w:r>
      <w:r w:rsidRPr="0022545E">
        <w:rPr>
          <w:sz w:val="20"/>
        </w:rPr>
        <w:t xml:space="preserve"> (B.C.) (Civil) (By Leave) (</w:t>
      </w:r>
      <w:hyperlink r:id="rId11" w:history="1">
        <w:r w:rsidR="007109CA" w:rsidRPr="0022545E">
          <w:rPr>
            <w:rStyle w:val="Hyperlink"/>
            <w:sz w:val="20"/>
            <w:szCs w:val="20"/>
          </w:rPr>
          <w:t>40106</w:t>
        </w:r>
      </w:hyperlink>
      <w:r w:rsidRPr="0022545E">
        <w:rPr>
          <w:sz w:val="20"/>
        </w:rPr>
        <w:t>)</w:t>
      </w:r>
    </w:p>
    <w:p w:rsidR="00F649C7" w:rsidRPr="0022545E" w:rsidRDefault="00F649C7" w:rsidP="0053032E">
      <w:pPr>
        <w:widowControl w:val="0"/>
        <w:jc w:val="both"/>
        <w:rPr>
          <w:sz w:val="20"/>
        </w:rPr>
      </w:pPr>
    </w:p>
    <w:p w:rsidR="0057402C" w:rsidRPr="0022545E" w:rsidRDefault="0022545E" w:rsidP="0053032E">
      <w:pPr>
        <w:widowControl w:val="0"/>
        <w:jc w:val="both"/>
        <w:rPr>
          <w:sz w:val="20"/>
        </w:rPr>
      </w:pPr>
      <w:r w:rsidRPr="0022545E">
        <w:rPr>
          <w:sz w:val="20"/>
        </w:rPr>
        <w:pict>
          <v:rect id="_x0000_i1026" style="width:2in;height:1pt" o:hrpct="0" o:hralign="center" o:hrstd="t" o:hrnoshade="t" o:hr="t" fillcolor="black [3213]" stroked="f"/>
        </w:pict>
      </w:r>
    </w:p>
    <w:p w:rsidR="00946739" w:rsidRPr="0022545E" w:rsidRDefault="00946739" w:rsidP="005B2C50">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0079" w:rsidRPr="0022545E" w:rsidTr="00E95A6A">
        <w:tc>
          <w:tcPr>
            <w:tcW w:w="543" w:type="pct"/>
          </w:tcPr>
          <w:p w:rsidR="00E40079" w:rsidRPr="0022545E" w:rsidRDefault="00E40079" w:rsidP="00E40079">
            <w:pPr>
              <w:jc w:val="both"/>
              <w:rPr>
                <w:sz w:val="20"/>
              </w:rPr>
            </w:pPr>
            <w:r w:rsidRPr="0022545E">
              <w:rPr>
                <w:rStyle w:val="SCCFileNumberChar"/>
                <w:sz w:val="20"/>
                <w:szCs w:val="20"/>
              </w:rPr>
              <w:t>40225</w:t>
            </w:r>
          </w:p>
        </w:tc>
        <w:tc>
          <w:tcPr>
            <w:tcW w:w="4457" w:type="pct"/>
            <w:gridSpan w:val="3"/>
          </w:tcPr>
          <w:p w:rsidR="00E40079" w:rsidRPr="0022545E" w:rsidRDefault="00E40079" w:rsidP="00E40079">
            <w:pPr>
              <w:pStyle w:val="SCCLsocParty"/>
              <w:jc w:val="both"/>
              <w:rPr>
                <w:b/>
                <w:sz w:val="20"/>
                <w:szCs w:val="20"/>
                <w:lang w:val="en-US"/>
              </w:rPr>
            </w:pPr>
            <w:r w:rsidRPr="0022545E">
              <w:rPr>
                <w:b/>
                <w:sz w:val="20"/>
                <w:szCs w:val="20"/>
                <w:lang w:val="en-US"/>
              </w:rPr>
              <w:t>Oussama Hamza v. Law Society of Ontario, Ismail Aderonmu, Jessica Soubas, Yevgeniya Huggins, Vincent Rocheleau</w:t>
            </w:r>
          </w:p>
          <w:p w:rsidR="00E40079" w:rsidRPr="0022545E" w:rsidRDefault="00E40079" w:rsidP="00E40079">
            <w:pPr>
              <w:jc w:val="both"/>
              <w:rPr>
                <w:sz w:val="20"/>
              </w:rPr>
            </w:pPr>
            <w:r w:rsidRPr="0022545E">
              <w:rPr>
                <w:sz w:val="20"/>
              </w:rPr>
              <w:t>(Ont.) (Civil) (By Leave)</w:t>
            </w:r>
          </w:p>
        </w:tc>
      </w:tr>
      <w:tr w:rsidR="00E40079" w:rsidRPr="0022545E" w:rsidTr="00E95A6A">
        <w:tc>
          <w:tcPr>
            <w:tcW w:w="5000" w:type="pct"/>
            <w:gridSpan w:val="4"/>
          </w:tcPr>
          <w:p w:rsidR="00E40079" w:rsidRPr="0022545E" w:rsidRDefault="00E40079" w:rsidP="00E40079">
            <w:pPr>
              <w:jc w:val="both"/>
              <w:rPr>
                <w:sz w:val="20"/>
              </w:rPr>
            </w:pPr>
            <w:r w:rsidRPr="0022545E">
              <w:rPr>
                <w:sz w:val="20"/>
              </w:rPr>
              <w:t>Appeals — Applicant filing application at Superior Court for damages and various other forms of relief — Application and subsequent appeal dismissed — Whether the judgment below is based on provable facts — Whether the applicant is entitled to costs — Whether the application for leave to appeal raises an issue of public importance.</w:t>
            </w:r>
          </w:p>
        </w:tc>
      </w:tr>
      <w:tr w:rsidR="00E40079" w:rsidRPr="0022545E" w:rsidTr="00E95A6A">
        <w:tc>
          <w:tcPr>
            <w:tcW w:w="5000" w:type="pct"/>
            <w:gridSpan w:val="4"/>
          </w:tcPr>
          <w:p w:rsidR="00E40079" w:rsidRPr="0022545E" w:rsidRDefault="00E40079" w:rsidP="00E40079">
            <w:pPr>
              <w:jc w:val="both"/>
              <w:rPr>
                <w:sz w:val="20"/>
              </w:rPr>
            </w:pPr>
          </w:p>
        </w:tc>
      </w:tr>
      <w:tr w:rsidR="00E40079" w:rsidRPr="0022545E" w:rsidTr="00E95A6A">
        <w:tc>
          <w:tcPr>
            <w:tcW w:w="5000" w:type="pct"/>
            <w:gridSpan w:val="4"/>
          </w:tcPr>
          <w:p w:rsidR="00E40079" w:rsidRPr="0022545E" w:rsidRDefault="00E40079" w:rsidP="00E40079">
            <w:pPr>
              <w:tabs>
                <w:tab w:val="left" w:pos="4824"/>
              </w:tabs>
              <w:jc w:val="both"/>
              <w:rPr>
                <w:sz w:val="20"/>
                <w:lang w:eastAsia="en-CA"/>
              </w:rPr>
            </w:pPr>
            <w:r w:rsidRPr="0022545E">
              <w:rPr>
                <w:sz w:val="20"/>
                <w:lang w:eastAsia="en-CA"/>
              </w:rPr>
              <w:t xml:space="preserve">The applicant, Mr. Hamza, is a lawyer in London, Ontario. He made comments on the LinkedIn platform which led the individual respondents, Mr. Aderonmu, Ms. Soubas, Ms. Huggins and Mr. Rocheleau to make complaints to the respondent Law Society of Ontario (LSO). They alleged that the applicant’s comments were made in violation of the </w:t>
            </w:r>
            <w:r w:rsidRPr="0022545E">
              <w:rPr>
                <w:i/>
                <w:sz w:val="20"/>
                <w:lang w:eastAsia="en-CA"/>
              </w:rPr>
              <w:t xml:space="preserve">Rules of Professional Conduct </w:t>
            </w:r>
            <w:r w:rsidRPr="0022545E">
              <w:rPr>
                <w:sz w:val="20"/>
                <w:lang w:eastAsia="en-CA"/>
              </w:rPr>
              <w:t>for lawyers in Ontario. The applicant filed a Notice of Application against the respondents. He attempted to establish that the respondents’ complaints were unfounded and he sought to prevent the LSO from investigating the complaints. He also sought an order for damages and other types of relief.</w:t>
            </w:r>
          </w:p>
          <w:p w:rsidR="00E40079" w:rsidRPr="0022545E" w:rsidRDefault="00E40079" w:rsidP="00E40079">
            <w:pPr>
              <w:tabs>
                <w:tab w:val="left" w:pos="4824"/>
              </w:tabs>
              <w:jc w:val="both"/>
              <w:rPr>
                <w:sz w:val="20"/>
                <w:lang w:eastAsia="en-CA"/>
              </w:rPr>
            </w:pPr>
          </w:p>
          <w:p w:rsidR="00E40079" w:rsidRPr="0022545E" w:rsidRDefault="00E40079" w:rsidP="00E40079">
            <w:pPr>
              <w:tabs>
                <w:tab w:val="left" w:pos="4824"/>
              </w:tabs>
              <w:jc w:val="both"/>
              <w:rPr>
                <w:sz w:val="20"/>
                <w:lang w:eastAsia="en-CA"/>
              </w:rPr>
            </w:pPr>
            <w:r w:rsidRPr="0022545E">
              <w:rPr>
                <w:sz w:val="20"/>
                <w:lang w:eastAsia="en-CA"/>
              </w:rPr>
              <w:lastRenderedPageBreak/>
              <w:t>The Superior Court of Justice dismissed the application as being improperly before the court. The Court of Appeal dismissed the applicant’s appeal as being frivolous, vexatious and an abuse of the court’s process.</w:t>
            </w:r>
          </w:p>
          <w:p w:rsidR="00E40079" w:rsidRPr="0022545E" w:rsidRDefault="00E40079" w:rsidP="00E40079">
            <w:pPr>
              <w:tabs>
                <w:tab w:val="left" w:pos="4824"/>
              </w:tabs>
              <w:jc w:val="both"/>
              <w:rPr>
                <w:sz w:val="20"/>
                <w:lang w:eastAsia="en-CA"/>
              </w:rPr>
            </w:pPr>
          </w:p>
        </w:tc>
      </w:tr>
      <w:tr w:rsidR="00E40079" w:rsidRPr="0022545E" w:rsidTr="00E95A6A">
        <w:tc>
          <w:tcPr>
            <w:tcW w:w="2427" w:type="pct"/>
            <w:gridSpan w:val="2"/>
          </w:tcPr>
          <w:p w:rsidR="00E40079" w:rsidRPr="0022545E" w:rsidRDefault="00E40079" w:rsidP="00E40079">
            <w:pPr>
              <w:jc w:val="both"/>
              <w:rPr>
                <w:sz w:val="20"/>
              </w:rPr>
            </w:pPr>
            <w:r w:rsidRPr="0022545E">
              <w:rPr>
                <w:sz w:val="20"/>
              </w:rPr>
              <w:lastRenderedPageBreak/>
              <w:t>April 28, 2021</w:t>
            </w:r>
          </w:p>
          <w:p w:rsidR="00E40079" w:rsidRPr="0022545E" w:rsidRDefault="00E40079" w:rsidP="00E40079">
            <w:pPr>
              <w:jc w:val="both"/>
              <w:rPr>
                <w:sz w:val="20"/>
              </w:rPr>
            </w:pPr>
            <w:r w:rsidRPr="0022545E">
              <w:rPr>
                <w:sz w:val="20"/>
              </w:rPr>
              <w:t>Ontario Superior Court of Justice</w:t>
            </w:r>
          </w:p>
          <w:p w:rsidR="00E40079" w:rsidRPr="0022545E" w:rsidRDefault="00E40079" w:rsidP="00E40079">
            <w:pPr>
              <w:jc w:val="both"/>
              <w:rPr>
                <w:sz w:val="20"/>
              </w:rPr>
            </w:pPr>
            <w:r w:rsidRPr="0022545E">
              <w:rPr>
                <w:sz w:val="20"/>
              </w:rPr>
              <w:t>(Heeney J.)</w:t>
            </w:r>
          </w:p>
          <w:p w:rsidR="00E40079" w:rsidRPr="0022545E" w:rsidRDefault="0022545E" w:rsidP="00E40079">
            <w:pPr>
              <w:jc w:val="both"/>
              <w:rPr>
                <w:sz w:val="20"/>
              </w:rPr>
            </w:pPr>
            <w:hyperlink r:id="rId12" w:history="1">
              <w:r w:rsidR="00E40079" w:rsidRPr="0022545E">
                <w:rPr>
                  <w:rStyle w:val="Hyperlink"/>
                  <w:sz w:val="20"/>
                </w:rPr>
                <w:t>2021 ONSC 2023</w:t>
              </w:r>
            </w:hyperlink>
          </w:p>
          <w:p w:rsidR="00E40079" w:rsidRPr="0022545E" w:rsidRDefault="00E40079" w:rsidP="00E40079">
            <w:pPr>
              <w:jc w:val="both"/>
              <w:rPr>
                <w:sz w:val="20"/>
              </w:rPr>
            </w:pPr>
          </w:p>
        </w:tc>
        <w:tc>
          <w:tcPr>
            <w:tcW w:w="243" w:type="pct"/>
          </w:tcPr>
          <w:p w:rsidR="00E40079" w:rsidRPr="0022545E" w:rsidRDefault="00E40079" w:rsidP="00E40079">
            <w:pPr>
              <w:jc w:val="both"/>
              <w:rPr>
                <w:sz w:val="20"/>
              </w:rPr>
            </w:pPr>
          </w:p>
        </w:tc>
        <w:tc>
          <w:tcPr>
            <w:tcW w:w="2330" w:type="pct"/>
          </w:tcPr>
          <w:p w:rsidR="00E40079" w:rsidRPr="0022545E" w:rsidRDefault="00E40079" w:rsidP="00E40079">
            <w:pPr>
              <w:jc w:val="both"/>
              <w:rPr>
                <w:sz w:val="20"/>
              </w:rPr>
            </w:pPr>
            <w:r w:rsidRPr="0022545E">
              <w:rPr>
                <w:sz w:val="20"/>
              </w:rPr>
              <w:t>Application for damages and various other forms of relief dismissed.</w:t>
            </w:r>
          </w:p>
        </w:tc>
      </w:tr>
      <w:tr w:rsidR="00E40079" w:rsidRPr="0022545E" w:rsidTr="00E95A6A">
        <w:tc>
          <w:tcPr>
            <w:tcW w:w="2427" w:type="pct"/>
            <w:gridSpan w:val="2"/>
          </w:tcPr>
          <w:p w:rsidR="00E40079" w:rsidRPr="0022545E" w:rsidRDefault="00E40079" w:rsidP="00E40079">
            <w:pPr>
              <w:jc w:val="both"/>
              <w:rPr>
                <w:sz w:val="20"/>
              </w:rPr>
            </w:pPr>
            <w:r w:rsidRPr="0022545E">
              <w:rPr>
                <w:sz w:val="20"/>
              </w:rPr>
              <w:t>June 28, 2021</w:t>
            </w:r>
          </w:p>
          <w:p w:rsidR="00E40079" w:rsidRPr="0022545E" w:rsidRDefault="00E40079" w:rsidP="00E40079">
            <w:pPr>
              <w:jc w:val="both"/>
              <w:rPr>
                <w:sz w:val="20"/>
              </w:rPr>
            </w:pPr>
            <w:r w:rsidRPr="0022545E">
              <w:rPr>
                <w:sz w:val="20"/>
              </w:rPr>
              <w:t>Ontario Superior Court of Justice</w:t>
            </w:r>
          </w:p>
          <w:p w:rsidR="00E40079" w:rsidRPr="0022545E" w:rsidRDefault="00E40079" w:rsidP="00E40079">
            <w:pPr>
              <w:jc w:val="both"/>
              <w:rPr>
                <w:sz w:val="20"/>
              </w:rPr>
            </w:pPr>
            <w:r w:rsidRPr="0022545E">
              <w:rPr>
                <w:sz w:val="20"/>
              </w:rPr>
              <w:t>(Heeney J.)</w:t>
            </w:r>
          </w:p>
          <w:p w:rsidR="00E40079" w:rsidRPr="0022545E" w:rsidRDefault="0022545E" w:rsidP="00E40079">
            <w:pPr>
              <w:jc w:val="both"/>
              <w:rPr>
                <w:sz w:val="20"/>
              </w:rPr>
            </w:pPr>
            <w:hyperlink r:id="rId13" w:history="1">
              <w:r w:rsidR="00E40079" w:rsidRPr="0022545E">
                <w:rPr>
                  <w:rStyle w:val="Hyperlink"/>
                  <w:sz w:val="20"/>
                </w:rPr>
                <w:t>2021 ONSC 4593</w:t>
              </w:r>
            </w:hyperlink>
          </w:p>
          <w:p w:rsidR="00E40079" w:rsidRPr="0022545E" w:rsidRDefault="00E40079" w:rsidP="00E40079">
            <w:pPr>
              <w:jc w:val="both"/>
              <w:rPr>
                <w:sz w:val="20"/>
              </w:rPr>
            </w:pPr>
          </w:p>
        </w:tc>
        <w:tc>
          <w:tcPr>
            <w:tcW w:w="243" w:type="pct"/>
          </w:tcPr>
          <w:p w:rsidR="00E40079" w:rsidRPr="0022545E" w:rsidRDefault="00E40079" w:rsidP="00E40079">
            <w:pPr>
              <w:jc w:val="both"/>
              <w:rPr>
                <w:sz w:val="20"/>
              </w:rPr>
            </w:pPr>
          </w:p>
        </w:tc>
        <w:tc>
          <w:tcPr>
            <w:tcW w:w="2330" w:type="pct"/>
          </w:tcPr>
          <w:p w:rsidR="00E40079" w:rsidRPr="0022545E" w:rsidRDefault="00E40079" w:rsidP="00E40079">
            <w:pPr>
              <w:jc w:val="both"/>
              <w:rPr>
                <w:sz w:val="20"/>
              </w:rPr>
            </w:pPr>
            <w:r w:rsidRPr="0022545E">
              <w:rPr>
                <w:sz w:val="20"/>
              </w:rPr>
              <w:t>Applicant ordered to pay costs on a substantial indemnity basis to the respondents Law Society of Ontario and Ismail Aderonmu.</w:t>
            </w:r>
          </w:p>
          <w:p w:rsidR="00E40079" w:rsidRPr="0022545E" w:rsidRDefault="00E40079" w:rsidP="00E40079">
            <w:pPr>
              <w:jc w:val="both"/>
              <w:rPr>
                <w:sz w:val="20"/>
              </w:rPr>
            </w:pPr>
          </w:p>
        </w:tc>
      </w:tr>
      <w:tr w:rsidR="00E40079" w:rsidRPr="0022545E" w:rsidTr="00E95A6A">
        <w:tc>
          <w:tcPr>
            <w:tcW w:w="2427" w:type="pct"/>
            <w:gridSpan w:val="2"/>
          </w:tcPr>
          <w:p w:rsidR="00E40079" w:rsidRPr="0022545E" w:rsidRDefault="00E40079" w:rsidP="00E40079">
            <w:pPr>
              <w:jc w:val="both"/>
              <w:rPr>
                <w:sz w:val="20"/>
              </w:rPr>
            </w:pPr>
            <w:r w:rsidRPr="0022545E">
              <w:rPr>
                <w:sz w:val="20"/>
              </w:rPr>
              <w:t>November 30, 2021</w:t>
            </w:r>
          </w:p>
          <w:p w:rsidR="00E40079" w:rsidRPr="0022545E" w:rsidRDefault="00E40079" w:rsidP="00E40079">
            <w:pPr>
              <w:jc w:val="both"/>
              <w:rPr>
                <w:sz w:val="20"/>
              </w:rPr>
            </w:pPr>
            <w:r w:rsidRPr="0022545E">
              <w:rPr>
                <w:sz w:val="20"/>
              </w:rPr>
              <w:t>Court of Appeal for Ontario</w:t>
            </w:r>
          </w:p>
          <w:p w:rsidR="00E40079" w:rsidRPr="0022545E" w:rsidRDefault="00E40079" w:rsidP="00E40079">
            <w:pPr>
              <w:jc w:val="both"/>
              <w:rPr>
                <w:sz w:val="20"/>
              </w:rPr>
            </w:pPr>
            <w:r w:rsidRPr="0022545E">
              <w:rPr>
                <w:sz w:val="20"/>
              </w:rPr>
              <w:t>(van Rensburg, Roberts JJ.A. and Tzimas J. (</w:t>
            </w:r>
            <w:r w:rsidRPr="0022545E">
              <w:rPr>
                <w:i/>
                <w:sz w:val="20"/>
              </w:rPr>
              <w:t>ad hoc</w:t>
            </w:r>
            <w:r w:rsidRPr="0022545E">
              <w:rPr>
                <w:sz w:val="20"/>
              </w:rPr>
              <w:t>))</w:t>
            </w:r>
          </w:p>
          <w:p w:rsidR="00E40079" w:rsidRPr="0022545E" w:rsidRDefault="0022545E" w:rsidP="00E40079">
            <w:pPr>
              <w:jc w:val="both"/>
              <w:rPr>
                <w:sz w:val="20"/>
              </w:rPr>
            </w:pPr>
            <w:hyperlink r:id="rId14" w:history="1">
              <w:r w:rsidR="00E40079" w:rsidRPr="0022545E">
                <w:rPr>
                  <w:rStyle w:val="Hyperlink"/>
                  <w:sz w:val="20"/>
                </w:rPr>
                <w:t>2021 ONCA 852</w:t>
              </w:r>
            </w:hyperlink>
          </w:p>
          <w:p w:rsidR="00E40079" w:rsidRPr="0022545E" w:rsidRDefault="00E40079" w:rsidP="00E40079">
            <w:pPr>
              <w:jc w:val="both"/>
              <w:rPr>
                <w:sz w:val="20"/>
              </w:rPr>
            </w:pPr>
          </w:p>
        </w:tc>
        <w:tc>
          <w:tcPr>
            <w:tcW w:w="243" w:type="pct"/>
          </w:tcPr>
          <w:p w:rsidR="00E40079" w:rsidRPr="0022545E" w:rsidRDefault="00E40079" w:rsidP="00E40079">
            <w:pPr>
              <w:jc w:val="both"/>
              <w:rPr>
                <w:sz w:val="20"/>
              </w:rPr>
            </w:pPr>
          </w:p>
        </w:tc>
        <w:tc>
          <w:tcPr>
            <w:tcW w:w="2330" w:type="pct"/>
          </w:tcPr>
          <w:p w:rsidR="00E40079" w:rsidRPr="0022545E" w:rsidRDefault="00E40079" w:rsidP="00E40079">
            <w:pPr>
              <w:jc w:val="both"/>
              <w:rPr>
                <w:sz w:val="20"/>
              </w:rPr>
            </w:pPr>
            <w:r w:rsidRPr="0022545E">
              <w:rPr>
                <w:sz w:val="20"/>
              </w:rPr>
              <w:t>Appeal dismissed.</w:t>
            </w:r>
          </w:p>
          <w:p w:rsidR="00E40079" w:rsidRPr="0022545E" w:rsidRDefault="00E40079" w:rsidP="00E40079">
            <w:pPr>
              <w:jc w:val="both"/>
              <w:rPr>
                <w:sz w:val="20"/>
              </w:rPr>
            </w:pPr>
          </w:p>
        </w:tc>
      </w:tr>
      <w:tr w:rsidR="00E40079" w:rsidRPr="0022545E" w:rsidTr="00E95A6A">
        <w:tc>
          <w:tcPr>
            <w:tcW w:w="2427" w:type="pct"/>
            <w:gridSpan w:val="2"/>
          </w:tcPr>
          <w:p w:rsidR="00E40079" w:rsidRPr="0022545E" w:rsidRDefault="00E40079" w:rsidP="00E40079">
            <w:pPr>
              <w:jc w:val="both"/>
              <w:rPr>
                <w:sz w:val="20"/>
              </w:rPr>
            </w:pPr>
            <w:r w:rsidRPr="0022545E">
              <w:rPr>
                <w:sz w:val="20"/>
              </w:rPr>
              <w:t>November 30, 2021</w:t>
            </w:r>
          </w:p>
          <w:p w:rsidR="00E40079" w:rsidRPr="0022545E" w:rsidRDefault="00E40079" w:rsidP="00E40079">
            <w:pPr>
              <w:jc w:val="both"/>
              <w:rPr>
                <w:sz w:val="20"/>
              </w:rPr>
            </w:pPr>
            <w:r w:rsidRPr="0022545E">
              <w:rPr>
                <w:sz w:val="20"/>
              </w:rPr>
              <w:t>Supreme Court of Canada</w:t>
            </w:r>
          </w:p>
        </w:tc>
        <w:tc>
          <w:tcPr>
            <w:tcW w:w="243" w:type="pct"/>
          </w:tcPr>
          <w:p w:rsidR="00E40079" w:rsidRPr="0022545E" w:rsidRDefault="00E40079" w:rsidP="00E40079">
            <w:pPr>
              <w:jc w:val="both"/>
              <w:rPr>
                <w:sz w:val="20"/>
              </w:rPr>
            </w:pPr>
          </w:p>
        </w:tc>
        <w:tc>
          <w:tcPr>
            <w:tcW w:w="2330" w:type="pct"/>
          </w:tcPr>
          <w:p w:rsidR="00E40079" w:rsidRPr="0022545E" w:rsidRDefault="00E40079" w:rsidP="00E40079">
            <w:pPr>
              <w:jc w:val="both"/>
              <w:rPr>
                <w:sz w:val="20"/>
              </w:rPr>
            </w:pPr>
            <w:r w:rsidRPr="0022545E">
              <w:rPr>
                <w:sz w:val="20"/>
              </w:rPr>
              <w:t>Application for leave to appeal filed.</w:t>
            </w:r>
          </w:p>
          <w:p w:rsidR="00E40079" w:rsidRPr="0022545E" w:rsidRDefault="00E40079" w:rsidP="00E40079">
            <w:pPr>
              <w:jc w:val="both"/>
              <w:rPr>
                <w:sz w:val="20"/>
              </w:rPr>
            </w:pPr>
          </w:p>
        </w:tc>
      </w:tr>
    </w:tbl>
    <w:p w:rsidR="00E40079" w:rsidRPr="0022545E" w:rsidRDefault="00E40079" w:rsidP="00E40079">
      <w:pPr>
        <w:jc w:val="both"/>
        <w:rPr>
          <w:sz w:val="20"/>
        </w:rPr>
      </w:pPr>
    </w:p>
    <w:p w:rsidR="00E40079" w:rsidRPr="0022545E" w:rsidRDefault="0022545E" w:rsidP="00E40079">
      <w:pPr>
        <w:jc w:val="both"/>
        <w:rPr>
          <w:sz w:val="20"/>
        </w:rPr>
      </w:pPr>
      <w:r w:rsidRPr="0022545E">
        <w:rPr>
          <w:sz w:val="20"/>
        </w:rPr>
        <w:pict>
          <v:rect id="_x0000_i1027" style="width:2in;height:1pt" o:hrpct="0" o:hralign="center" o:hrstd="t" o:hrnoshade="t" o:hr="t" fillcolor="black [3213]" stroked="f"/>
        </w:pict>
      </w:r>
    </w:p>
    <w:p w:rsidR="00E40079" w:rsidRPr="0022545E" w:rsidRDefault="00E40079" w:rsidP="00E4007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0079" w:rsidRPr="0022545E" w:rsidTr="00E95A6A">
        <w:tc>
          <w:tcPr>
            <w:tcW w:w="543" w:type="pct"/>
          </w:tcPr>
          <w:p w:rsidR="00E40079" w:rsidRPr="0022545E" w:rsidRDefault="00E40079" w:rsidP="00E40079">
            <w:pPr>
              <w:jc w:val="both"/>
              <w:rPr>
                <w:sz w:val="20"/>
                <w:lang w:val="fr-CA"/>
              </w:rPr>
            </w:pPr>
            <w:r w:rsidRPr="0022545E">
              <w:rPr>
                <w:rStyle w:val="SCCFileNumberChar"/>
                <w:sz w:val="20"/>
                <w:szCs w:val="20"/>
                <w:lang w:val="fr-CA"/>
              </w:rPr>
              <w:t>40225</w:t>
            </w:r>
          </w:p>
        </w:tc>
        <w:tc>
          <w:tcPr>
            <w:tcW w:w="4457" w:type="pct"/>
            <w:gridSpan w:val="3"/>
          </w:tcPr>
          <w:p w:rsidR="00E40079" w:rsidRPr="0022545E" w:rsidRDefault="00E40079" w:rsidP="00E40079">
            <w:pPr>
              <w:pStyle w:val="SCCLsocParty"/>
              <w:jc w:val="both"/>
              <w:rPr>
                <w:b/>
                <w:sz w:val="20"/>
                <w:szCs w:val="20"/>
              </w:rPr>
            </w:pPr>
            <w:r w:rsidRPr="0022545E">
              <w:rPr>
                <w:b/>
                <w:sz w:val="20"/>
                <w:szCs w:val="20"/>
              </w:rPr>
              <w:t>Oussama Hamza c. Barreau de l’Ontario, Ismail Aderonmu, Jessica Soubas, Yevgeniya Huggins, Vincent Rocheleau</w:t>
            </w:r>
          </w:p>
          <w:p w:rsidR="00E40079" w:rsidRPr="0022545E" w:rsidRDefault="00E40079" w:rsidP="00E40079">
            <w:pPr>
              <w:jc w:val="both"/>
              <w:rPr>
                <w:sz w:val="20"/>
                <w:lang w:val="fr-CA"/>
              </w:rPr>
            </w:pPr>
            <w:r w:rsidRPr="0022545E">
              <w:rPr>
                <w:sz w:val="20"/>
                <w:lang w:val="fr-CA"/>
              </w:rPr>
              <w:t>(Ont.) (Civile) (Sur autorisation)</w:t>
            </w:r>
          </w:p>
        </w:tc>
      </w:tr>
      <w:tr w:rsidR="00E40079" w:rsidRPr="0022545E" w:rsidTr="00E95A6A">
        <w:tc>
          <w:tcPr>
            <w:tcW w:w="5000" w:type="pct"/>
            <w:gridSpan w:val="4"/>
          </w:tcPr>
          <w:p w:rsidR="00E40079" w:rsidRPr="0022545E" w:rsidRDefault="00E40079" w:rsidP="00E40079">
            <w:pPr>
              <w:jc w:val="both"/>
              <w:rPr>
                <w:sz w:val="20"/>
                <w:lang w:val="fr-CA"/>
              </w:rPr>
            </w:pPr>
            <w:r w:rsidRPr="0022545E">
              <w:rPr>
                <w:sz w:val="20"/>
                <w:lang w:val="fr-CA"/>
              </w:rPr>
              <w:t xml:space="preserve">Appels — Le demandeur a présenté une demande devant la Cour supérieure sollicitant des dommages-intérêts et </w:t>
            </w:r>
            <w:r w:rsidRPr="0022545E">
              <w:rPr>
                <w:sz w:val="20"/>
                <w:lang w:val="fr-CA" w:eastAsia="en-CA"/>
              </w:rPr>
              <w:t>diverses autres formes de réparation</w:t>
            </w:r>
            <w:r w:rsidRPr="0022545E">
              <w:rPr>
                <w:sz w:val="20"/>
                <w:lang w:val="fr-CA"/>
              </w:rPr>
              <w:t xml:space="preserve"> — La demande et l’appel subséquent ont été rejetés — Le jugement de l’instance inférieure est-il fondé sur des faits démontrables ? — Le demandeur a-t-il droit aux dépens ? — </w:t>
            </w:r>
            <w:r w:rsidRPr="0022545E">
              <w:rPr>
                <w:color w:val="000000"/>
                <w:sz w:val="20"/>
                <w:lang w:val="fr-CA"/>
              </w:rPr>
              <w:t>La demande d’autorisation d’appel soulève‐t‐elle une question d’importance pour le public ?</w:t>
            </w:r>
          </w:p>
        </w:tc>
      </w:tr>
      <w:tr w:rsidR="00E40079" w:rsidRPr="0022545E" w:rsidTr="00E95A6A">
        <w:tc>
          <w:tcPr>
            <w:tcW w:w="5000" w:type="pct"/>
            <w:gridSpan w:val="4"/>
          </w:tcPr>
          <w:p w:rsidR="00E40079" w:rsidRPr="0022545E" w:rsidRDefault="00E40079" w:rsidP="00E40079">
            <w:pPr>
              <w:jc w:val="both"/>
              <w:rPr>
                <w:sz w:val="20"/>
                <w:lang w:val="fr-CA"/>
              </w:rPr>
            </w:pPr>
          </w:p>
        </w:tc>
      </w:tr>
      <w:tr w:rsidR="00E40079" w:rsidRPr="0022545E" w:rsidTr="00E95A6A">
        <w:tc>
          <w:tcPr>
            <w:tcW w:w="5000" w:type="pct"/>
            <w:gridSpan w:val="4"/>
          </w:tcPr>
          <w:p w:rsidR="00E40079" w:rsidRPr="0022545E" w:rsidRDefault="00E40079" w:rsidP="00E40079">
            <w:pPr>
              <w:tabs>
                <w:tab w:val="left" w:pos="4824"/>
              </w:tabs>
              <w:jc w:val="both"/>
              <w:rPr>
                <w:sz w:val="20"/>
                <w:lang w:val="fr-CA" w:eastAsia="en-CA"/>
              </w:rPr>
            </w:pPr>
            <w:r w:rsidRPr="0022545E">
              <w:rPr>
                <w:sz w:val="20"/>
                <w:lang w:val="fr-CA" w:eastAsia="en-CA"/>
              </w:rPr>
              <w:t xml:space="preserve">Le demandeur, M. Hamza, est un avocat de London, en Ontario. Il a fait des commentaires sur la plateforme LinkedIn qui ont mené chacun des intimés, M. Aderonmu, Mme Soubas, Mme Huggins et M. Rocheleau à déposer des plaintes auprès du Barreau de l’Ontario intimé. Ces derniers ont allégué que les commentaires du demandeur ont été faits en violation du </w:t>
            </w:r>
            <w:r w:rsidRPr="0022545E">
              <w:rPr>
                <w:i/>
                <w:sz w:val="20"/>
                <w:lang w:val="fr-CA" w:eastAsia="en-CA"/>
              </w:rPr>
              <w:t xml:space="preserve">Code de déontologie </w:t>
            </w:r>
            <w:r w:rsidRPr="0022545E">
              <w:rPr>
                <w:sz w:val="20"/>
                <w:lang w:val="fr-CA" w:eastAsia="en-CA"/>
              </w:rPr>
              <w:t>des avocats de l’Ontario. Le demandeur a présenté un avis de demande contre les intimés. Il a tenté d’établir que les plaintes des intimés étaient sans fondement et d’empêcher le Barreau de l’Ontario d’enquêter sur celles-ci. Il a également demandé qu’une ordonnance soit rendue lui accordant des dommages-intérêts et d’autres formes de réparation.</w:t>
            </w:r>
          </w:p>
          <w:p w:rsidR="00E40079" w:rsidRPr="0022545E" w:rsidRDefault="00E40079" w:rsidP="00E40079">
            <w:pPr>
              <w:tabs>
                <w:tab w:val="left" w:pos="4824"/>
              </w:tabs>
              <w:jc w:val="both"/>
              <w:rPr>
                <w:sz w:val="20"/>
                <w:lang w:val="fr-CA" w:eastAsia="en-CA"/>
              </w:rPr>
            </w:pPr>
          </w:p>
          <w:p w:rsidR="00E40079" w:rsidRPr="0022545E" w:rsidRDefault="00E40079" w:rsidP="00E40079">
            <w:pPr>
              <w:tabs>
                <w:tab w:val="left" w:pos="4824"/>
              </w:tabs>
              <w:jc w:val="both"/>
              <w:rPr>
                <w:sz w:val="20"/>
                <w:lang w:val="fr-CA" w:eastAsia="en-CA"/>
              </w:rPr>
            </w:pPr>
            <w:r w:rsidRPr="0022545E">
              <w:rPr>
                <w:sz w:val="20"/>
                <w:lang w:val="fr-CA" w:eastAsia="en-CA"/>
              </w:rPr>
              <w:t>La Cour supérieure de justice a rejeté la demande au motif qu’elle n’aurait pas dû être présentée devant cette cour. La Cour d’appel a rejeté l’appel du demandeur au motif que cet appel était</w:t>
            </w:r>
            <w:r w:rsidRPr="0022545E">
              <w:rPr>
                <w:color w:val="000000"/>
                <w:sz w:val="20"/>
                <w:lang w:val="fr-CA"/>
              </w:rPr>
              <w:t xml:space="preserve"> frivole ou vexatoire et qu’il constituait un abus des procédures de la cour</w:t>
            </w:r>
            <w:r w:rsidRPr="0022545E">
              <w:rPr>
                <w:sz w:val="20"/>
                <w:lang w:val="fr-CA" w:eastAsia="en-CA"/>
              </w:rPr>
              <w:t>.</w:t>
            </w:r>
          </w:p>
          <w:p w:rsidR="00E40079" w:rsidRPr="0022545E" w:rsidRDefault="00E40079" w:rsidP="00E40079">
            <w:pPr>
              <w:tabs>
                <w:tab w:val="left" w:pos="4824"/>
              </w:tabs>
              <w:jc w:val="both"/>
              <w:rPr>
                <w:sz w:val="20"/>
                <w:lang w:val="fr-CA" w:eastAsia="en-CA"/>
              </w:rPr>
            </w:pPr>
          </w:p>
        </w:tc>
      </w:tr>
      <w:tr w:rsidR="00E40079" w:rsidRPr="0022545E" w:rsidTr="00E95A6A">
        <w:tc>
          <w:tcPr>
            <w:tcW w:w="2427" w:type="pct"/>
            <w:gridSpan w:val="2"/>
          </w:tcPr>
          <w:p w:rsidR="00E40079" w:rsidRPr="0022545E" w:rsidRDefault="00E40079" w:rsidP="00E40079">
            <w:pPr>
              <w:jc w:val="both"/>
              <w:rPr>
                <w:sz w:val="20"/>
                <w:lang w:val="fr-CA"/>
              </w:rPr>
            </w:pPr>
            <w:r w:rsidRPr="0022545E">
              <w:rPr>
                <w:sz w:val="20"/>
                <w:lang w:val="fr-CA"/>
              </w:rPr>
              <w:t>28 avril 2021</w:t>
            </w:r>
          </w:p>
          <w:p w:rsidR="00E40079" w:rsidRPr="0022545E" w:rsidRDefault="00E40079" w:rsidP="00E40079">
            <w:pPr>
              <w:jc w:val="both"/>
              <w:rPr>
                <w:sz w:val="20"/>
                <w:lang w:val="fr-CA"/>
              </w:rPr>
            </w:pPr>
            <w:r w:rsidRPr="0022545E">
              <w:rPr>
                <w:sz w:val="20"/>
                <w:lang w:val="fr-CA"/>
              </w:rPr>
              <w:t xml:space="preserve">Cour supérieure de justice de l’Ontario </w:t>
            </w:r>
          </w:p>
          <w:p w:rsidR="00E40079" w:rsidRPr="0022545E" w:rsidRDefault="00E40079" w:rsidP="00E40079">
            <w:pPr>
              <w:jc w:val="both"/>
              <w:rPr>
                <w:sz w:val="20"/>
                <w:lang w:val="fr-CA"/>
              </w:rPr>
            </w:pPr>
            <w:r w:rsidRPr="0022545E">
              <w:rPr>
                <w:sz w:val="20"/>
                <w:lang w:val="fr-CA"/>
              </w:rPr>
              <w:t>(juge Heeney)</w:t>
            </w:r>
          </w:p>
          <w:p w:rsidR="00E40079" w:rsidRPr="0022545E" w:rsidRDefault="0022545E" w:rsidP="00E40079">
            <w:pPr>
              <w:jc w:val="both"/>
              <w:rPr>
                <w:sz w:val="20"/>
                <w:lang w:val="fr-CA"/>
              </w:rPr>
            </w:pPr>
            <w:hyperlink r:id="rId15" w:history="1">
              <w:r w:rsidR="00E40079" w:rsidRPr="0022545E">
                <w:rPr>
                  <w:rStyle w:val="Hyperlink"/>
                  <w:sz w:val="20"/>
                  <w:lang w:val="fr-CA"/>
                </w:rPr>
                <w:t>2021 ONSC 2023</w:t>
              </w:r>
            </w:hyperlink>
          </w:p>
          <w:p w:rsidR="00E40079" w:rsidRPr="0022545E" w:rsidRDefault="00E40079" w:rsidP="00E40079">
            <w:pPr>
              <w:jc w:val="both"/>
              <w:rPr>
                <w:sz w:val="20"/>
                <w:lang w:val="fr-CA"/>
              </w:rPr>
            </w:pPr>
          </w:p>
        </w:tc>
        <w:tc>
          <w:tcPr>
            <w:tcW w:w="243" w:type="pct"/>
          </w:tcPr>
          <w:p w:rsidR="00E40079" w:rsidRPr="0022545E" w:rsidRDefault="00E40079" w:rsidP="00E40079">
            <w:pPr>
              <w:jc w:val="both"/>
              <w:rPr>
                <w:sz w:val="20"/>
                <w:lang w:val="fr-CA"/>
              </w:rPr>
            </w:pPr>
          </w:p>
        </w:tc>
        <w:tc>
          <w:tcPr>
            <w:tcW w:w="2330" w:type="pct"/>
          </w:tcPr>
          <w:p w:rsidR="00E40079" w:rsidRPr="0022545E" w:rsidRDefault="00E40079" w:rsidP="00E40079">
            <w:pPr>
              <w:jc w:val="both"/>
              <w:rPr>
                <w:sz w:val="20"/>
                <w:lang w:val="fr-CA"/>
              </w:rPr>
            </w:pPr>
            <w:r w:rsidRPr="0022545E">
              <w:rPr>
                <w:sz w:val="20"/>
                <w:lang w:val="fr-CA"/>
              </w:rPr>
              <w:t>La demande sollicitant de</w:t>
            </w:r>
            <w:r w:rsidRPr="0022545E">
              <w:rPr>
                <w:sz w:val="20"/>
                <w:lang w:val="fr-CA" w:eastAsia="en-CA"/>
              </w:rPr>
              <w:t>s dommages-intérêts et diverses autres formes de réparation est rejetée.</w:t>
            </w:r>
          </w:p>
        </w:tc>
      </w:tr>
      <w:tr w:rsidR="00E40079" w:rsidRPr="0022545E" w:rsidTr="00E95A6A">
        <w:tc>
          <w:tcPr>
            <w:tcW w:w="2427" w:type="pct"/>
            <w:gridSpan w:val="2"/>
          </w:tcPr>
          <w:p w:rsidR="00E40079" w:rsidRPr="0022545E" w:rsidRDefault="00E40079" w:rsidP="00E40079">
            <w:pPr>
              <w:jc w:val="both"/>
              <w:rPr>
                <w:sz w:val="20"/>
                <w:lang w:val="fr-CA"/>
              </w:rPr>
            </w:pPr>
            <w:r w:rsidRPr="0022545E">
              <w:rPr>
                <w:sz w:val="20"/>
                <w:lang w:val="fr-CA"/>
              </w:rPr>
              <w:t>28 juin 2021</w:t>
            </w:r>
          </w:p>
          <w:p w:rsidR="00E40079" w:rsidRPr="0022545E" w:rsidRDefault="00E40079" w:rsidP="00E40079">
            <w:pPr>
              <w:jc w:val="both"/>
              <w:rPr>
                <w:sz w:val="20"/>
                <w:lang w:val="fr-CA"/>
              </w:rPr>
            </w:pPr>
            <w:r w:rsidRPr="0022545E">
              <w:rPr>
                <w:sz w:val="20"/>
                <w:lang w:val="fr-CA"/>
              </w:rPr>
              <w:t xml:space="preserve">Cour supérieure de justice de l’Ontario </w:t>
            </w:r>
          </w:p>
          <w:p w:rsidR="00E40079" w:rsidRPr="0022545E" w:rsidRDefault="00E40079" w:rsidP="00E40079">
            <w:pPr>
              <w:jc w:val="both"/>
              <w:rPr>
                <w:sz w:val="20"/>
                <w:lang w:val="fr-CA"/>
              </w:rPr>
            </w:pPr>
            <w:r w:rsidRPr="0022545E">
              <w:rPr>
                <w:sz w:val="20"/>
                <w:lang w:val="fr-CA"/>
              </w:rPr>
              <w:t>(juge Heeney)</w:t>
            </w:r>
          </w:p>
          <w:p w:rsidR="00E40079" w:rsidRPr="0022545E" w:rsidRDefault="0022545E" w:rsidP="00E40079">
            <w:pPr>
              <w:jc w:val="both"/>
              <w:rPr>
                <w:sz w:val="20"/>
                <w:lang w:val="fr-CA"/>
              </w:rPr>
            </w:pPr>
            <w:hyperlink r:id="rId16" w:history="1">
              <w:r w:rsidR="00E40079" w:rsidRPr="0022545E">
                <w:rPr>
                  <w:rStyle w:val="Hyperlink"/>
                  <w:sz w:val="20"/>
                  <w:lang w:val="fr-CA"/>
                </w:rPr>
                <w:t>2021 ONSC 4593</w:t>
              </w:r>
            </w:hyperlink>
          </w:p>
          <w:p w:rsidR="00E40079" w:rsidRPr="0022545E" w:rsidRDefault="00E40079" w:rsidP="00E40079">
            <w:pPr>
              <w:jc w:val="both"/>
              <w:rPr>
                <w:sz w:val="20"/>
                <w:lang w:val="fr-CA"/>
              </w:rPr>
            </w:pPr>
          </w:p>
        </w:tc>
        <w:tc>
          <w:tcPr>
            <w:tcW w:w="243" w:type="pct"/>
          </w:tcPr>
          <w:p w:rsidR="00E40079" w:rsidRPr="0022545E" w:rsidRDefault="00E40079" w:rsidP="00E40079">
            <w:pPr>
              <w:jc w:val="both"/>
              <w:rPr>
                <w:sz w:val="20"/>
                <w:lang w:val="fr-CA"/>
              </w:rPr>
            </w:pPr>
          </w:p>
        </w:tc>
        <w:tc>
          <w:tcPr>
            <w:tcW w:w="2330" w:type="pct"/>
          </w:tcPr>
          <w:p w:rsidR="00E40079" w:rsidRPr="0022545E" w:rsidRDefault="00E40079" w:rsidP="00E40079">
            <w:pPr>
              <w:jc w:val="both"/>
              <w:rPr>
                <w:sz w:val="20"/>
                <w:lang w:val="fr-CA"/>
              </w:rPr>
            </w:pPr>
            <w:r w:rsidRPr="0022545E">
              <w:rPr>
                <w:sz w:val="20"/>
                <w:lang w:val="fr-CA"/>
              </w:rPr>
              <w:t>Il est ordonné au demandeur de payer les dépens des intimés le Barreau de l’Ontario et Ismail Aderonmu, sur une base d’indemnisation substantielle.</w:t>
            </w:r>
          </w:p>
          <w:p w:rsidR="00E40079" w:rsidRPr="0022545E" w:rsidRDefault="00E40079" w:rsidP="00E40079">
            <w:pPr>
              <w:jc w:val="both"/>
              <w:rPr>
                <w:sz w:val="20"/>
                <w:lang w:val="fr-CA"/>
              </w:rPr>
            </w:pPr>
          </w:p>
        </w:tc>
      </w:tr>
      <w:tr w:rsidR="00E40079" w:rsidRPr="0022545E" w:rsidTr="00E95A6A">
        <w:tc>
          <w:tcPr>
            <w:tcW w:w="2427" w:type="pct"/>
            <w:gridSpan w:val="2"/>
          </w:tcPr>
          <w:p w:rsidR="00E40079" w:rsidRPr="0022545E" w:rsidRDefault="00E40079" w:rsidP="00E40079">
            <w:pPr>
              <w:jc w:val="both"/>
              <w:rPr>
                <w:sz w:val="20"/>
                <w:lang w:val="fr-CA"/>
              </w:rPr>
            </w:pPr>
            <w:r w:rsidRPr="0022545E">
              <w:rPr>
                <w:sz w:val="20"/>
                <w:lang w:val="fr-CA"/>
              </w:rPr>
              <w:t>30 novembre 2021</w:t>
            </w:r>
          </w:p>
          <w:p w:rsidR="00E40079" w:rsidRPr="0022545E" w:rsidRDefault="00E40079" w:rsidP="00E40079">
            <w:pPr>
              <w:jc w:val="both"/>
              <w:rPr>
                <w:sz w:val="20"/>
                <w:lang w:val="fr-CA"/>
              </w:rPr>
            </w:pPr>
            <w:r w:rsidRPr="0022545E">
              <w:rPr>
                <w:sz w:val="20"/>
                <w:lang w:val="fr-CA"/>
              </w:rPr>
              <w:t>Cour d’appel de l’Ontario</w:t>
            </w:r>
          </w:p>
          <w:p w:rsidR="00E40079" w:rsidRPr="0022545E" w:rsidRDefault="00E40079" w:rsidP="00E40079">
            <w:pPr>
              <w:jc w:val="both"/>
              <w:rPr>
                <w:sz w:val="20"/>
                <w:lang w:val="fr-CA"/>
              </w:rPr>
            </w:pPr>
            <w:r w:rsidRPr="0022545E">
              <w:rPr>
                <w:sz w:val="20"/>
                <w:lang w:val="fr-CA"/>
              </w:rPr>
              <w:lastRenderedPageBreak/>
              <w:t>(juges van Rensburg, Roberts et Tzimas (</w:t>
            </w:r>
            <w:r w:rsidRPr="0022545E">
              <w:rPr>
                <w:i/>
                <w:sz w:val="20"/>
                <w:lang w:val="fr-CA"/>
              </w:rPr>
              <w:t>ad hoc</w:t>
            </w:r>
            <w:r w:rsidRPr="0022545E">
              <w:rPr>
                <w:sz w:val="20"/>
                <w:lang w:val="fr-CA"/>
              </w:rPr>
              <w:t>))</w:t>
            </w:r>
          </w:p>
          <w:p w:rsidR="00E40079" w:rsidRPr="0022545E" w:rsidRDefault="0022545E" w:rsidP="00E40079">
            <w:pPr>
              <w:jc w:val="both"/>
              <w:rPr>
                <w:sz w:val="20"/>
                <w:lang w:val="fr-CA"/>
              </w:rPr>
            </w:pPr>
            <w:hyperlink r:id="rId17" w:history="1">
              <w:r w:rsidR="00E40079" w:rsidRPr="0022545E">
                <w:rPr>
                  <w:rStyle w:val="Hyperlink"/>
                  <w:sz w:val="20"/>
                  <w:lang w:val="fr-CA"/>
                </w:rPr>
                <w:t>2021 ONCA 852</w:t>
              </w:r>
            </w:hyperlink>
          </w:p>
          <w:p w:rsidR="00E40079" w:rsidRPr="0022545E" w:rsidRDefault="00E40079" w:rsidP="00E40079">
            <w:pPr>
              <w:jc w:val="both"/>
              <w:rPr>
                <w:sz w:val="20"/>
                <w:lang w:val="fr-CA"/>
              </w:rPr>
            </w:pPr>
          </w:p>
        </w:tc>
        <w:tc>
          <w:tcPr>
            <w:tcW w:w="243" w:type="pct"/>
          </w:tcPr>
          <w:p w:rsidR="00E40079" w:rsidRPr="0022545E" w:rsidRDefault="00E40079" w:rsidP="00E40079">
            <w:pPr>
              <w:jc w:val="both"/>
              <w:rPr>
                <w:sz w:val="20"/>
                <w:lang w:val="fr-CA"/>
              </w:rPr>
            </w:pPr>
          </w:p>
        </w:tc>
        <w:tc>
          <w:tcPr>
            <w:tcW w:w="2330" w:type="pct"/>
          </w:tcPr>
          <w:p w:rsidR="00E40079" w:rsidRPr="0022545E" w:rsidRDefault="00E40079" w:rsidP="00E40079">
            <w:pPr>
              <w:jc w:val="both"/>
              <w:rPr>
                <w:sz w:val="20"/>
                <w:lang w:val="fr-CA"/>
              </w:rPr>
            </w:pPr>
            <w:r w:rsidRPr="0022545E">
              <w:rPr>
                <w:sz w:val="20"/>
                <w:lang w:val="fr-CA"/>
              </w:rPr>
              <w:t>L’appel est rejeté.</w:t>
            </w:r>
          </w:p>
          <w:p w:rsidR="00E40079" w:rsidRPr="0022545E" w:rsidRDefault="00E40079" w:rsidP="00E40079">
            <w:pPr>
              <w:jc w:val="both"/>
              <w:rPr>
                <w:sz w:val="20"/>
                <w:lang w:val="fr-CA"/>
              </w:rPr>
            </w:pPr>
          </w:p>
        </w:tc>
      </w:tr>
      <w:tr w:rsidR="00E40079" w:rsidRPr="0022545E" w:rsidTr="00E95A6A">
        <w:tc>
          <w:tcPr>
            <w:tcW w:w="2427" w:type="pct"/>
            <w:gridSpan w:val="2"/>
          </w:tcPr>
          <w:p w:rsidR="00E40079" w:rsidRPr="0022545E" w:rsidRDefault="00E40079" w:rsidP="00E40079">
            <w:pPr>
              <w:jc w:val="both"/>
              <w:rPr>
                <w:sz w:val="20"/>
                <w:lang w:val="fr-CA"/>
              </w:rPr>
            </w:pPr>
            <w:r w:rsidRPr="0022545E">
              <w:rPr>
                <w:sz w:val="20"/>
                <w:lang w:val="fr-CA"/>
              </w:rPr>
              <w:t>30 novembre 2021</w:t>
            </w:r>
          </w:p>
          <w:p w:rsidR="00E40079" w:rsidRPr="0022545E" w:rsidRDefault="00E40079" w:rsidP="00E40079">
            <w:pPr>
              <w:jc w:val="both"/>
              <w:rPr>
                <w:sz w:val="20"/>
                <w:lang w:val="fr-CA"/>
              </w:rPr>
            </w:pPr>
            <w:r w:rsidRPr="0022545E">
              <w:rPr>
                <w:sz w:val="20"/>
                <w:lang w:val="fr-CA"/>
              </w:rPr>
              <w:t>Cour suprême du Canada</w:t>
            </w:r>
          </w:p>
        </w:tc>
        <w:tc>
          <w:tcPr>
            <w:tcW w:w="243" w:type="pct"/>
          </w:tcPr>
          <w:p w:rsidR="00E40079" w:rsidRPr="0022545E" w:rsidRDefault="00E40079" w:rsidP="00E40079">
            <w:pPr>
              <w:jc w:val="both"/>
              <w:rPr>
                <w:sz w:val="20"/>
                <w:lang w:val="fr-CA"/>
              </w:rPr>
            </w:pPr>
          </w:p>
        </w:tc>
        <w:tc>
          <w:tcPr>
            <w:tcW w:w="2330" w:type="pct"/>
          </w:tcPr>
          <w:p w:rsidR="00E40079" w:rsidRPr="0022545E" w:rsidRDefault="00E40079" w:rsidP="00E40079">
            <w:pPr>
              <w:jc w:val="both"/>
              <w:rPr>
                <w:sz w:val="20"/>
                <w:lang w:val="fr-CA"/>
              </w:rPr>
            </w:pPr>
            <w:r w:rsidRPr="0022545E">
              <w:rPr>
                <w:sz w:val="20"/>
                <w:lang w:val="fr-CA"/>
              </w:rPr>
              <w:t>La demande d’autorisation d’appel est présentée.</w:t>
            </w:r>
          </w:p>
          <w:p w:rsidR="00E40079" w:rsidRPr="0022545E" w:rsidRDefault="00E40079" w:rsidP="00E40079">
            <w:pPr>
              <w:jc w:val="both"/>
              <w:rPr>
                <w:sz w:val="20"/>
                <w:lang w:val="fr-CA"/>
              </w:rPr>
            </w:pPr>
          </w:p>
        </w:tc>
      </w:tr>
    </w:tbl>
    <w:p w:rsidR="00E40079" w:rsidRPr="0022545E" w:rsidRDefault="00E40079" w:rsidP="00E40079">
      <w:pPr>
        <w:jc w:val="both"/>
        <w:rPr>
          <w:sz w:val="20"/>
          <w:lang w:val="fr-CA"/>
        </w:rPr>
      </w:pPr>
    </w:p>
    <w:p w:rsidR="00E40079" w:rsidRPr="0022545E" w:rsidRDefault="0022545E" w:rsidP="00E40079">
      <w:pPr>
        <w:jc w:val="both"/>
        <w:rPr>
          <w:sz w:val="20"/>
          <w:lang w:val="fr-CA"/>
        </w:rPr>
      </w:pPr>
      <w:r w:rsidRPr="0022545E">
        <w:rPr>
          <w:sz w:val="20"/>
        </w:rPr>
        <w:pict>
          <v:rect id="_x0000_i1028" style="width:2in;height:1pt" o:hrpct="0" o:hralign="center" o:hrstd="t" o:hrnoshade="t" o:hr="t" fillcolor="black [3213]" stroked="f"/>
        </w:pict>
      </w:r>
    </w:p>
    <w:p w:rsidR="00E40079" w:rsidRPr="0022545E" w:rsidRDefault="00E40079" w:rsidP="00E4007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0079" w:rsidRPr="0022545E">
        <w:tc>
          <w:tcPr>
            <w:tcW w:w="543" w:type="pct"/>
          </w:tcPr>
          <w:p w:rsidR="00E40079" w:rsidRPr="0022545E" w:rsidRDefault="00E40079" w:rsidP="00E40079">
            <w:pPr>
              <w:jc w:val="both"/>
              <w:rPr>
                <w:sz w:val="20"/>
              </w:rPr>
            </w:pPr>
            <w:r w:rsidRPr="0022545E">
              <w:rPr>
                <w:rStyle w:val="SCCFileNumberChar"/>
                <w:sz w:val="20"/>
                <w:szCs w:val="20"/>
              </w:rPr>
              <w:t>40167</w:t>
            </w:r>
          </w:p>
        </w:tc>
        <w:tc>
          <w:tcPr>
            <w:tcW w:w="4457" w:type="pct"/>
            <w:gridSpan w:val="3"/>
          </w:tcPr>
          <w:p w:rsidR="00E40079" w:rsidRPr="0022545E" w:rsidRDefault="00E40079" w:rsidP="00E40079">
            <w:pPr>
              <w:pStyle w:val="SCCLsocParty"/>
              <w:jc w:val="both"/>
              <w:rPr>
                <w:b/>
                <w:sz w:val="20"/>
                <w:szCs w:val="20"/>
                <w:lang w:val="en-US"/>
              </w:rPr>
            </w:pPr>
            <w:r w:rsidRPr="0022545E">
              <w:rPr>
                <w:b/>
                <w:sz w:val="20"/>
                <w:szCs w:val="20"/>
                <w:lang w:val="en-US"/>
              </w:rPr>
              <w:t>E.H. v. S.I.</w:t>
            </w:r>
          </w:p>
          <w:p w:rsidR="00E40079" w:rsidRPr="0022545E" w:rsidRDefault="00E40079" w:rsidP="00E40079">
            <w:pPr>
              <w:jc w:val="both"/>
              <w:rPr>
                <w:sz w:val="20"/>
              </w:rPr>
            </w:pPr>
            <w:r w:rsidRPr="0022545E">
              <w:rPr>
                <w:sz w:val="20"/>
              </w:rPr>
              <w:t>(Que.) (Civil) (By Leave)</w:t>
            </w:r>
          </w:p>
        </w:tc>
      </w:tr>
      <w:tr w:rsidR="00E40079" w:rsidRPr="0022545E">
        <w:tc>
          <w:tcPr>
            <w:tcW w:w="5000" w:type="pct"/>
            <w:gridSpan w:val="4"/>
          </w:tcPr>
          <w:p w:rsidR="00E40079" w:rsidRPr="0022545E" w:rsidRDefault="00E40079" w:rsidP="00E40079">
            <w:pPr>
              <w:pStyle w:val="SCCBanSummary"/>
              <w:rPr>
                <w:sz w:val="20"/>
                <w:szCs w:val="20"/>
              </w:rPr>
            </w:pPr>
            <w:r w:rsidRPr="0022545E">
              <w:rPr>
                <w:sz w:val="20"/>
                <w:szCs w:val="20"/>
              </w:rPr>
              <w:t>(Publication ban in case) (Publication ban on party)</w:t>
            </w:r>
          </w:p>
          <w:p w:rsidR="00E40079" w:rsidRPr="0022545E" w:rsidRDefault="00E40079" w:rsidP="00E40079">
            <w:pPr>
              <w:jc w:val="both"/>
              <w:rPr>
                <w:sz w:val="20"/>
              </w:rPr>
            </w:pPr>
          </w:p>
          <w:p w:rsidR="00E40079" w:rsidRPr="0022545E" w:rsidRDefault="00E40079" w:rsidP="00E40079">
            <w:pPr>
              <w:jc w:val="both"/>
              <w:rPr>
                <w:sz w:val="20"/>
              </w:rPr>
            </w:pPr>
            <w:r w:rsidRPr="0022545E">
              <w:rPr>
                <w:sz w:val="20"/>
              </w:rPr>
              <w:t xml:space="preserve">Family law ⸺ Divorce ⸺ Family residence ⸺ Family patrimony ⸺ Matrimonial regime ⸺ Debts ⸺ Partition ⸺ Did the judgment </w:t>
            </w:r>
            <w:r w:rsidRPr="0022545E">
              <w:rPr>
                <w:i/>
                <w:sz w:val="20"/>
              </w:rPr>
              <w:t xml:space="preserve">a quo </w:t>
            </w:r>
            <w:r w:rsidRPr="0022545E">
              <w:rPr>
                <w:sz w:val="20"/>
              </w:rPr>
              <w:t xml:space="preserve">manifestly err in determining the parties’ date of separation? ⸺ Did the judgment </w:t>
            </w:r>
            <w:r w:rsidRPr="0022545E">
              <w:rPr>
                <w:i/>
                <w:sz w:val="20"/>
              </w:rPr>
              <w:t>a quo</w:t>
            </w:r>
            <w:r w:rsidRPr="0022545E">
              <w:rPr>
                <w:sz w:val="20"/>
              </w:rPr>
              <w:t xml:space="preserve"> manifestly err by using the sale price of the family residence in 2018 as the starting point for the calculation of its net value? ⸺ Did the judgment </w:t>
            </w:r>
            <w:r w:rsidRPr="0022545E">
              <w:rPr>
                <w:i/>
                <w:sz w:val="20"/>
              </w:rPr>
              <w:t xml:space="preserve">a quo </w:t>
            </w:r>
            <w:r w:rsidRPr="0022545E">
              <w:rPr>
                <w:sz w:val="20"/>
              </w:rPr>
              <w:t>manifestly err in not determining the parties’ 2</w:t>
            </w:r>
            <w:r w:rsidRPr="0022545E">
              <w:rPr>
                <w:sz w:val="20"/>
                <w:vertAlign w:val="superscript"/>
              </w:rPr>
              <w:t>nd</w:t>
            </w:r>
            <w:r w:rsidRPr="0022545E">
              <w:rPr>
                <w:sz w:val="20"/>
              </w:rPr>
              <w:t xml:space="preserve"> and 3</w:t>
            </w:r>
            <w:r w:rsidRPr="0022545E">
              <w:rPr>
                <w:sz w:val="20"/>
                <w:vertAlign w:val="superscript"/>
              </w:rPr>
              <w:t>rd</w:t>
            </w:r>
            <w:r w:rsidRPr="0022545E">
              <w:rPr>
                <w:sz w:val="20"/>
              </w:rPr>
              <w:t xml:space="preserve"> credit lines secured by the family residence to be debts of the family patrimony and matrimonial regime? ⸺ Did the judgment </w:t>
            </w:r>
            <w:r w:rsidRPr="0022545E">
              <w:rPr>
                <w:i/>
                <w:sz w:val="20"/>
              </w:rPr>
              <w:t>a quo</w:t>
            </w:r>
            <w:r w:rsidRPr="0022545E">
              <w:rPr>
                <w:sz w:val="20"/>
              </w:rPr>
              <w:t xml:space="preserve"> manifestly err in not ventilating the debts of the family patrimony (real estate sales commission and personal loan)? ⸺ Did the judgment </w:t>
            </w:r>
            <w:r w:rsidRPr="0022545E">
              <w:rPr>
                <w:i/>
                <w:sz w:val="20"/>
              </w:rPr>
              <w:t>a quo</w:t>
            </w:r>
            <w:r w:rsidRPr="0022545E">
              <w:rPr>
                <w:sz w:val="20"/>
              </w:rPr>
              <w:t xml:space="preserve"> manifestly err in not ventilating the debts of the matrimonial regime (joint Mastercard balance and Revenue Quebec debt)? ⸺ Did the judgment </w:t>
            </w:r>
            <w:r w:rsidRPr="0022545E">
              <w:rPr>
                <w:i/>
                <w:sz w:val="20"/>
              </w:rPr>
              <w:t>a quo</w:t>
            </w:r>
            <w:r w:rsidRPr="0022545E">
              <w:rPr>
                <w:sz w:val="20"/>
              </w:rPr>
              <w:t xml:space="preserve"> manifestly err in determining the value of the movable property comprised in the family patrimony? ⸺ Did the judgment </w:t>
            </w:r>
            <w:r w:rsidRPr="0022545E">
              <w:rPr>
                <w:i/>
                <w:sz w:val="20"/>
              </w:rPr>
              <w:t xml:space="preserve">a quo </w:t>
            </w:r>
            <w:r w:rsidRPr="0022545E">
              <w:rPr>
                <w:sz w:val="20"/>
              </w:rPr>
              <w:t xml:space="preserve">manifestly err in omitting to attribute a value to E.H.’s movables not subject to partition and which were removed by S.I. from the family residence without colour of right? ⸺ Did the judgment </w:t>
            </w:r>
            <w:r w:rsidRPr="0022545E">
              <w:rPr>
                <w:i/>
                <w:sz w:val="20"/>
              </w:rPr>
              <w:t xml:space="preserve">a quo </w:t>
            </w:r>
            <w:r w:rsidRPr="0022545E">
              <w:rPr>
                <w:sz w:val="20"/>
              </w:rPr>
              <w:t xml:space="preserve">err manifestly in not using new evidence and referring and using S.I.’s testimony, while at the same time confirming S.I. as a non-credible witness? ⸺ </w:t>
            </w:r>
            <w:r w:rsidRPr="0022545E">
              <w:rPr>
                <w:i/>
                <w:sz w:val="20"/>
              </w:rPr>
              <w:t>Civil Code of Quebec</w:t>
            </w:r>
            <w:r w:rsidRPr="0022545E">
              <w:rPr>
                <w:sz w:val="20"/>
              </w:rPr>
              <w:t>, art. 417.</w:t>
            </w:r>
          </w:p>
        </w:tc>
      </w:tr>
      <w:tr w:rsidR="00E40079" w:rsidRPr="0022545E">
        <w:tc>
          <w:tcPr>
            <w:tcW w:w="5000" w:type="pct"/>
            <w:gridSpan w:val="4"/>
          </w:tcPr>
          <w:p w:rsidR="00E40079" w:rsidRPr="0022545E" w:rsidRDefault="00E40079" w:rsidP="00E40079">
            <w:pPr>
              <w:jc w:val="both"/>
              <w:rPr>
                <w:sz w:val="20"/>
              </w:rPr>
            </w:pPr>
          </w:p>
        </w:tc>
      </w:tr>
      <w:tr w:rsidR="00E40079" w:rsidRPr="0022545E">
        <w:tc>
          <w:tcPr>
            <w:tcW w:w="5000" w:type="pct"/>
            <w:gridSpan w:val="4"/>
          </w:tcPr>
          <w:p w:rsidR="00E40079" w:rsidRPr="0022545E" w:rsidRDefault="00E40079" w:rsidP="00E40079">
            <w:pPr>
              <w:jc w:val="both"/>
              <w:rPr>
                <w:sz w:val="20"/>
              </w:rPr>
            </w:pPr>
            <w:r w:rsidRPr="0022545E">
              <w:rPr>
                <w:sz w:val="20"/>
              </w:rPr>
              <w:t>The applicant, E.H. and the respondent, S.I. were married in September 1994. The couple had no children. They separated in December 2013 and E.H. filed divorce proceedings in May 2014. From 1985 until 2002, S.I. was working as a nurse before suffering an injury unrelated to her work. In 2005, after a two-year sick leave, her contract was terminated. She became a welfare recipient and was deemed to have a temporarily limited capacity for employment according to social services. From January 2003 until June 2010, E.H. was a shareholder and a director of a company that went bankrupt. Later on, he decided to venture into the consulting business with mitigated success. Provisional orders were provided by the Superior Court on various aspects of the case. Besides some furniture and a car, the family residence was the parties’ main asset. They accumulated various debts during their cohabitation as a married couple. The Superior Court granted the divorce on November 15, 2018. E.H. filed an incidental appeal claiming several reviewable errors made by the trial judge regarding, among other things, the calculation of the net value of the family residence, the value of movable properties to be partitioned and his refusal to distribute some debts said to be related to the acquisition, improvement or maintenance of the family residence. The Court of Appeal granted in part the incidental appeal. E.H. filed an application for leave to appeal before the Supreme Court.</w:t>
            </w:r>
          </w:p>
          <w:p w:rsidR="00E40079" w:rsidRPr="0022545E" w:rsidRDefault="00E40079" w:rsidP="00E40079">
            <w:pPr>
              <w:jc w:val="both"/>
              <w:rPr>
                <w:sz w:val="20"/>
              </w:rPr>
            </w:pPr>
          </w:p>
        </w:tc>
      </w:tr>
      <w:tr w:rsidR="00E40079" w:rsidRPr="0022545E">
        <w:tc>
          <w:tcPr>
            <w:tcW w:w="2427" w:type="pct"/>
            <w:gridSpan w:val="2"/>
          </w:tcPr>
          <w:p w:rsidR="00E40079" w:rsidRPr="0022545E" w:rsidRDefault="00E40079" w:rsidP="00E40079">
            <w:pPr>
              <w:jc w:val="both"/>
              <w:rPr>
                <w:sz w:val="20"/>
              </w:rPr>
            </w:pPr>
            <w:r w:rsidRPr="0022545E">
              <w:rPr>
                <w:sz w:val="20"/>
              </w:rPr>
              <w:t>November 15, 2018</w:t>
            </w:r>
          </w:p>
          <w:p w:rsidR="00E40079" w:rsidRPr="0022545E" w:rsidRDefault="00E40079" w:rsidP="00E40079">
            <w:pPr>
              <w:jc w:val="both"/>
              <w:rPr>
                <w:sz w:val="20"/>
              </w:rPr>
            </w:pPr>
            <w:r w:rsidRPr="0022545E">
              <w:rPr>
                <w:sz w:val="20"/>
              </w:rPr>
              <w:t>Superior Court of Quebec</w:t>
            </w:r>
          </w:p>
          <w:p w:rsidR="00E40079" w:rsidRPr="0022545E" w:rsidRDefault="00E40079" w:rsidP="00E40079">
            <w:pPr>
              <w:jc w:val="both"/>
              <w:rPr>
                <w:sz w:val="20"/>
              </w:rPr>
            </w:pPr>
            <w:r w:rsidRPr="0022545E">
              <w:rPr>
                <w:sz w:val="20"/>
              </w:rPr>
              <w:t>(St-Pierre J.)</w:t>
            </w:r>
          </w:p>
          <w:p w:rsidR="00E40079" w:rsidRPr="0022545E" w:rsidRDefault="0022545E" w:rsidP="00E40079">
            <w:pPr>
              <w:jc w:val="both"/>
              <w:rPr>
                <w:sz w:val="20"/>
              </w:rPr>
            </w:pPr>
            <w:hyperlink r:id="rId18" w:history="1">
              <w:r w:rsidR="00E40079" w:rsidRPr="0022545E">
                <w:rPr>
                  <w:rStyle w:val="Hyperlink"/>
                  <w:sz w:val="20"/>
                </w:rPr>
                <w:t>2018 QCCS 4944</w:t>
              </w:r>
            </w:hyperlink>
          </w:p>
          <w:p w:rsidR="00E40079" w:rsidRPr="0022545E" w:rsidRDefault="00E40079" w:rsidP="00E40079">
            <w:pPr>
              <w:jc w:val="both"/>
              <w:rPr>
                <w:sz w:val="20"/>
              </w:rPr>
            </w:pPr>
          </w:p>
        </w:tc>
        <w:tc>
          <w:tcPr>
            <w:tcW w:w="243" w:type="pct"/>
          </w:tcPr>
          <w:p w:rsidR="00E40079" w:rsidRPr="0022545E" w:rsidRDefault="00E40079" w:rsidP="00E40079">
            <w:pPr>
              <w:jc w:val="both"/>
              <w:rPr>
                <w:sz w:val="20"/>
              </w:rPr>
            </w:pPr>
          </w:p>
        </w:tc>
        <w:tc>
          <w:tcPr>
            <w:tcW w:w="2330" w:type="pct"/>
          </w:tcPr>
          <w:p w:rsidR="00E40079" w:rsidRPr="0022545E" w:rsidRDefault="00E40079" w:rsidP="00E40079">
            <w:pPr>
              <w:jc w:val="both"/>
              <w:rPr>
                <w:sz w:val="20"/>
              </w:rPr>
            </w:pPr>
            <w:r w:rsidRPr="0022545E">
              <w:rPr>
                <w:sz w:val="20"/>
              </w:rPr>
              <w:t>Divorce granted.</w:t>
            </w:r>
          </w:p>
          <w:p w:rsidR="00E40079" w:rsidRPr="0022545E" w:rsidRDefault="00E40079" w:rsidP="00E40079">
            <w:pPr>
              <w:jc w:val="both"/>
              <w:rPr>
                <w:sz w:val="20"/>
              </w:rPr>
            </w:pPr>
          </w:p>
        </w:tc>
      </w:tr>
      <w:tr w:rsidR="00E40079" w:rsidRPr="0022545E">
        <w:tc>
          <w:tcPr>
            <w:tcW w:w="2427" w:type="pct"/>
            <w:gridSpan w:val="2"/>
          </w:tcPr>
          <w:p w:rsidR="00E40079" w:rsidRPr="0022545E" w:rsidRDefault="00E40079" w:rsidP="00E40079">
            <w:pPr>
              <w:jc w:val="both"/>
              <w:rPr>
                <w:sz w:val="20"/>
              </w:rPr>
            </w:pPr>
            <w:r w:rsidRPr="0022545E">
              <w:rPr>
                <w:sz w:val="20"/>
              </w:rPr>
              <w:t>July 8, 2021</w:t>
            </w:r>
          </w:p>
          <w:p w:rsidR="00E40079" w:rsidRPr="0022545E" w:rsidRDefault="00E40079" w:rsidP="00E40079">
            <w:pPr>
              <w:jc w:val="both"/>
              <w:rPr>
                <w:sz w:val="20"/>
              </w:rPr>
            </w:pPr>
            <w:r w:rsidRPr="0022545E">
              <w:rPr>
                <w:sz w:val="20"/>
              </w:rPr>
              <w:t>Court of Appeal of Quebec (Montréal)</w:t>
            </w:r>
          </w:p>
          <w:p w:rsidR="00E40079" w:rsidRPr="0022545E" w:rsidRDefault="00E40079" w:rsidP="00E40079">
            <w:pPr>
              <w:jc w:val="both"/>
              <w:rPr>
                <w:sz w:val="20"/>
              </w:rPr>
            </w:pPr>
            <w:r w:rsidRPr="0022545E">
              <w:rPr>
                <w:sz w:val="20"/>
              </w:rPr>
              <w:t>(Vauclair, Mainville and Healy JJ.A.)</w:t>
            </w:r>
          </w:p>
          <w:p w:rsidR="00E40079" w:rsidRPr="0022545E" w:rsidRDefault="0022545E" w:rsidP="00E40079">
            <w:pPr>
              <w:jc w:val="both"/>
              <w:rPr>
                <w:sz w:val="20"/>
              </w:rPr>
            </w:pPr>
            <w:hyperlink r:id="rId19" w:history="1">
              <w:r w:rsidR="00E40079" w:rsidRPr="0022545E">
                <w:rPr>
                  <w:rStyle w:val="Hyperlink"/>
                  <w:sz w:val="20"/>
                </w:rPr>
                <w:t>2021 QCCA 1157</w:t>
              </w:r>
            </w:hyperlink>
          </w:p>
          <w:p w:rsidR="00E40079" w:rsidRPr="0022545E" w:rsidRDefault="00E40079" w:rsidP="00E40079">
            <w:pPr>
              <w:jc w:val="both"/>
              <w:rPr>
                <w:sz w:val="20"/>
              </w:rPr>
            </w:pPr>
          </w:p>
        </w:tc>
        <w:tc>
          <w:tcPr>
            <w:tcW w:w="243" w:type="pct"/>
          </w:tcPr>
          <w:p w:rsidR="00E40079" w:rsidRPr="0022545E" w:rsidRDefault="00E40079" w:rsidP="00E40079">
            <w:pPr>
              <w:jc w:val="both"/>
              <w:rPr>
                <w:sz w:val="20"/>
              </w:rPr>
            </w:pPr>
          </w:p>
        </w:tc>
        <w:tc>
          <w:tcPr>
            <w:tcW w:w="2330" w:type="pct"/>
          </w:tcPr>
          <w:p w:rsidR="00E40079" w:rsidRPr="0022545E" w:rsidRDefault="00E40079" w:rsidP="00E40079">
            <w:pPr>
              <w:jc w:val="both"/>
              <w:rPr>
                <w:sz w:val="20"/>
              </w:rPr>
            </w:pPr>
            <w:r w:rsidRPr="0022545E">
              <w:rPr>
                <w:sz w:val="20"/>
              </w:rPr>
              <w:t>Principal appeal dismissed.</w:t>
            </w:r>
          </w:p>
          <w:p w:rsidR="00E40079" w:rsidRPr="0022545E" w:rsidRDefault="00E40079" w:rsidP="00E40079">
            <w:pPr>
              <w:jc w:val="both"/>
              <w:rPr>
                <w:sz w:val="20"/>
              </w:rPr>
            </w:pPr>
            <w:r w:rsidRPr="0022545E">
              <w:rPr>
                <w:sz w:val="20"/>
              </w:rPr>
              <w:t>Incidental appeal allowed in part.</w:t>
            </w:r>
          </w:p>
          <w:p w:rsidR="00E40079" w:rsidRPr="0022545E" w:rsidRDefault="00E40079" w:rsidP="00E40079">
            <w:pPr>
              <w:jc w:val="both"/>
              <w:rPr>
                <w:sz w:val="20"/>
              </w:rPr>
            </w:pPr>
          </w:p>
        </w:tc>
      </w:tr>
      <w:tr w:rsidR="00E40079" w:rsidRPr="0022545E">
        <w:tc>
          <w:tcPr>
            <w:tcW w:w="2427" w:type="pct"/>
            <w:gridSpan w:val="2"/>
          </w:tcPr>
          <w:p w:rsidR="00E40079" w:rsidRPr="0022545E" w:rsidRDefault="00E40079" w:rsidP="00E40079">
            <w:pPr>
              <w:jc w:val="both"/>
              <w:rPr>
                <w:sz w:val="20"/>
              </w:rPr>
            </w:pPr>
            <w:r w:rsidRPr="0022545E">
              <w:rPr>
                <w:sz w:val="20"/>
              </w:rPr>
              <w:t>February 1, 2022</w:t>
            </w:r>
          </w:p>
          <w:p w:rsidR="00E40079" w:rsidRPr="0022545E" w:rsidRDefault="00E40079" w:rsidP="00E40079">
            <w:pPr>
              <w:jc w:val="both"/>
              <w:rPr>
                <w:sz w:val="20"/>
              </w:rPr>
            </w:pPr>
            <w:r w:rsidRPr="0022545E">
              <w:rPr>
                <w:sz w:val="20"/>
              </w:rPr>
              <w:t>Supreme Court of Canada</w:t>
            </w:r>
          </w:p>
        </w:tc>
        <w:tc>
          <w:tcPr>
            <w:tcW w:w="243" w:type="pct"/>
          </w:tcPr>
          <w:p w:rsidR="00E40079" w:rsidRPr="0022545E" w:rsidRDefault="00E40079" w:rsidP="00E40079">
            <w:pPr>
              <w:jc w:val="both"/>
              <w:rPr>
                <w:sz w:val="20"/>
              </w:rPr>
            </w:pPr>
          </w:p>
        </w:tc>
        <w:tc>
          <w:tcPr>
            <w:tcW w:w="2330" w:type="pct"/>
          </w:tcPr>
          <w:p w:rsidR="00E40079" w:rsidRPr="0022545E" w:rsidRDefault="00E40079" w:rsidP="00E40079">
            <w:pPr>
              <w:jc w:val="both"/>
              <w:rPr>
                <w:sz w:val="20"/>
              </w:rPr>
            </w:pPr>
            <w:r w:rsidRPr="0022545E">
              <w:rPr>
                <w:sz w:val="20"/>
              </w:rPr>
              <w:t>Application for leave to appeal filed</w:t>
            </w:r>
          </w:p>
          <w:p w:rsidR="00E40079" w:rsidRPr="0022545E" w:rsidRDefault="00E40079" w:rsidP="00E40079">
            <w:pPr>
              <w:jc w:val="both"/>
              <w:rPr>
                <w:sz w:val="20"/>
              </w:rPr>
            </w:pPr>
          </w:p>
        </w:tc>
      </w:tr>
    </w:tbl>
    <w:p w:rsidR="00E40079" w:rsidRPr="0022545E" w:rsidRDefault="00E40079" w:rsidP="00E40079">
      <w:pPr>
        <w:jc w:val="both"/>
        <w:rPr>
          <w:sz w:val="20"/>
        </w:rPr>
      </w:pPr>
    </w:p>
    <w:p w:rsidR="00E40079" w:rsidRPr="0022545E" w:rsidRDefault="0022545E" w:rsidP="00E40079">
      <w:pPr>
        <w:jc w:val="both"/>
        <w:rPr>
          <w:sz w:val="20"/>
        </w:rPr>
      </w:pPr>
      <w:r w:rsidRPr="0022545E">
        <w:rPr>
          <w:sz w:val="20"/>
        </w:rPr>
        <w:pict>
          <v:rect id="_x0000_i1029" style="width:2in;height:1pt" o:hrpct="0" o:hralign="center" o:hrstd="t" o:hrnoshade="t" o:hr="t" fillcolor="black [3213]" stroked="f"/>
        </w:pict>
      </w:r>
    </w:p>
    <w:p w:rsidR="00E40079" w:rsidRPr="0022545E" w:rsidRDefault="00E40079" w:rsidP="00E4007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0079" w:rsidRPr="0022545E">
        <w:tc>
          <w:tcPr>
            <w:tcW w:w="543" w:type="pct"/>
          </w:tcPr>
          <w:p w:rsidR="00E40079" w:rsidRPr="0022545E" w:rsidRDefault="00E40079" w:rsidP="00E40079">
            <w:pPr>
              <w:jc w:val="both"/>
              <w:rPr>
                <w:sz w:val="20"/>
                <w:lang w:val="fr-CA"/>
              </w:rPr>
            </w:pPr>
            <w:r w:rsidRPr="0022545E">
              <w:rPr>
                <w:rStyle w:val="SCCFileNumberChar"/>
                <w:sz w:val="20"/>
                <w:szCs w:val="20"/>
                <w:lang w:val="fr-CA"/>
              </w:rPr>
              <w:t>40167</w:t>
            </w:r>
          </w:p>
        </w:tc>
        <w:tc>
          <w:tcPr>
            <w:tcW w:w="4457" w:type="pct"/>
            <w:gridSpan w:val="3"/>
          </w:tcPr>
          <w:p w:rsidR="00E40079" w:rsidRPr="0022545E" w:rsidRDefault="00E40079" w:rsidP="00E40079">
            <w:pPr>
              <w:pStyle w:val="SCCLsocParty"/>
              <w:jc w:val="both"/>
              <w:rPr>
                <w:b/>
                <w:sz w:val="20"/>
                <w:szCs w:val="20"/>
              </w:rPr>
            </w:pPr>
            <w:r w:rsidRPr="0022545E">
              <w:rPr>
                <w:b/>
                <w:sz w:val="20"/>
                <w:szCs w:val="20"/>
              </w:rPr>
              <w:t>E.H. c. S.I.</w:t>
            </w:r>
          </w:p>
          <w:p w:rsidR="00E40079" w:rsidRPr="0022545E" w:rsidRDefault="00E40079" w:rsidP="0022545E">
            <w:pPr>
              <w:jc w:val="both"/>
              <w:rPr>
                <w:sz w:val="20"/>
                <w:lang w:val="fr-CA"/>
              </w:rPr>
            </w:pPr>
            <w:r w:rsidRPr="0022545E">
              <w:rPr>
                <w:sz w:val="20"/>
                <w:lang w:val="fr-CA"/>
              </w:rPr>
              <w:t>(Qc) (Civile) (</w:t>
            </w:r>
            <w:r w:rsidR="0022545E" w:rsidRPr="0022545E">
              <w:rPr>
                <w:sz w:val="20"/>
                <w:lang w:val="fr-CA"/>
              </w:rPr>
              <w:t>S</w:t>
            </w:r>
            <w:r w:rsidRPr="0022545E">
              <w:rPr>
                <w:sz w:val="20"/>
                <w:lang w:val="fr-CA"/>
              </w:rPr>
              <w:t>ur autorisation)</w:t>
            </w:r>
          </w:p>
        </w:tc>
      </w:tr>
      <w:tr w:rsidR="00E40079" w:rsidRPr="0022545E">
        <w:tc>
          <w:tcPr>
            <w:tcW w:w="5000" w:type="pct"/>
            <w:gridSpan w:val="4"/>
          </w:tcPr>
          <w:p w:rsidR="00E40079" w:rsidRPr="0022545E" w:rsidRDefault="00E40079" w:rsidP="00E40079">
            <w:pPr>
              <w:pStyle w:val="SCCBanSummary"/>
              <w:rPr>
                <w:sz w:val="20"/>
                <w:szCs w:val="20"/>
                <w:lang w:val="fr-CA"/>
              </w:rPr>
            </w:pPr>
            <w:r w:rsidRPr="0022545E">
              <w:rPr>
                <w:sz w:val="20"/>
                <w:szCs w:val="20"/>
                <w:lang w:val="fr-CA"/>
              </w:rPr>
              <w:t>(Ordonnance de non-publication au dossier) (Ordonnance de non-publication visant une partie)</w:t>
            </w:r>
          </w:p>
          <w:p w:rsidR="00E40079" w:rsidRPr="0022545E" w:rsidRDefault="00E40079" w:rsidP="00E40079">
            <w:pPr>
              <w:jc w:val="both"/>
              <w:rPr>
                <w:sz w:val="20"/>
                <w:lang w:val="fr-CA"/>
              </w:rPr>
            </w:pPr>
          </w:p>
          <w:p w:rsidR="00E40079" w:rsidRPr="0022545E" w:rsidRDefault="00E40079" w:rsidP="00E40079">
            <w:pPr>
              <w:jc w:val="both"/>
              <w:rPr>
                <w:sz w:val="20"/>
                <w:lang w:val="fr-CA"/>
              </w:rPr>
            </w:pPr>
            <w:r w:rsidRPr="0022545E">
              <w:rPr>
                <w:sz w:val="20"/>
                <w:lang w:val="fr-CA"/>
              </w:rPr>
              <w:t xml:space="preserve">Droit de la famille ⸺ Divorce ⸺ Résidence familiale ⸺ Patrimoine familial ⸺ Régime matrimonial ⸺ Dettes ⸺ Partage ⸺ Le jugement </w:t>
            </w:r>
            <w:r w:rsidRPr="0022545E">
              <w:rPr>
                <w:i/>
                <w:sz w:val="20"/>
                <w:lang w:val="fr-CA"/>
              </w:rPr>
              <w:t>a quo</w:t>
            </w:r>
            <w:r w:rsidRPr="0022545E">
              <w:rPr>
                <w:sz w:val="20"/>
                <w:lang w:val="fr-CA"/>
              </w:rPr>
              <w:t xml:space="preserve"> a-t-il fait manifestement erreur dans la détermination de la date de séparation des parties? ⸺ Le jugement </w:t>
            </w:r>
            <w:proofErr w:type="gramStart"/>
            <w:r w:rsidRPr="0022545E">
              <w:rPr>
                <w:i/>
                <w:sz w:val="20"/>
                <w:lang w:val="fr-CA"/>
              </w:rPr>
              <w:t>a</w:t>
            </w:r>
            <w:proofErr w:type="gramEnd"/>
            <w:r w:rsidRPr="0022545E">
              <w:rPr>
                <w:i/>
                <w:sz w:val="20"/>
                <w:lang w:val="fr-CA"/>
              </w:rPr>
              <w:t xml:space="preserve"> quo</w:t>
            </w:r>
            <w:r w:rsidRPr="0022545E">
              <w:rPr>
                <w:sz w:val="20"/>
                <w:lang w:val="fr-CA"/>
              </w:rPr>
              <w:t xml:space="preserve"> a-t-il fait manifestement erreur en utilisant le prix de vente de la résidence familiale en 2018 comme point de départ pour le calcul de sa valeur nette? ⸺ Le jugement </w:t>
            </w:r>
            <w:proofErr w:type="gramStart"/>
            <w:r w:rsidRPr="0022545E">
              <w:rPr>
                <w:i/>
                <w:sz w:val="20"/>
                <w:lang w:val="fr-CA"/>
              </w:rPr>
              <w:t>a</w:t>
            </w:r>
            <w:proofErr w:type="gramEnd"/>
            <w:r w:rsidRPr="0022545E">
              <w:rPr>
                <w:i/>
                <w:sz w:val="20"/>
                <w:lang w:val="fr-CA"/>
              </w:rPr>
              <w:t xml:space="preserve"> quo</w:t>
            </w:r>
            <w:r w:rsidRPr="0022545E">
              <w:rPr>
                <w:sz w:val="20"/>
                <w:lang w:val="fr-CA"/>
              </w:rPr>
              <w:t xml:space="preserve"> a-t-il fait manifestement erreur en n’estimant pas que les 2</w:t>
            </w:r>
            <w:r w:rsidRPr="0022545E">
              <w:rPr>
                <w:sz w:val="20"/>
                <w:vertAlign w:val="superscript"/>
                <w:lang w:val="fr-CA"/>
              </w:rPr>
              <w:t>e</w:t>
            </w:r>
            <w:r w:rsidRPr="0022545E">
              <w:rPr>
                <w:sz w:val="20"/>
                <w:lang w:val="fr-CA"/>
              </w:rPr>
              <w:t xml:space="preserve"> et 3</w:t>
            </w:r>
            <w:r w:rsidRPr="0022545E">
              <w:rPr>
                <w:sz w:val="20"/>
                <w:vertAlign w:val="superscript"/>
                <w:lang w:val="fr-CA"/>
              </w:rPr>
              <w:t>e</w:t>
            </w:r>
            <w:r w:rsidRPr="0022545E">
              <w:rPr>
                <w:sz w:val="20"/>
                <w:lang w:val="fr-CA"/>
              </w:rPr>
              <w:t xml:space="preserve"> marges de crédit garanties par la résidence familiale constituaient des dettes relativement au patrimoine familial et au régime matrimonial? ⸺ Le jugement </w:t>
            </w:r>
            <w:proofErr w:type="gramStart"/>
            <w:r w:rsidRPr="0022545E">
              <w:rPr>
                <w:i/>
                <w:sz w:val="20"/>
                <w:lang w:val="fr-CA"/>
              </w:rPr>
              <w:t>a</w:t>
            </w:r>
            <w:proofErr w:type="gramEnd"/>
            <w:r w:rsidRPr="0022545E">
              <w:rPr>
                <w:i/>
                <w:sz w:val="20"/>
                <w:lang w:val="fr-CA"/>
              </w:rPr>
              <w:t xml:space="preserve"> quo</w:t>
            </w:r>
            <w:r w:rsidRPr="0022545E">
              <w:rPr>
                <w:sz w:val="20"/>
                <w:lang w:val="fr-CA"/>
              </w:rPr>
              <w:t xml:space="preserve"> a-t-il fait manifestement erreur en ne ventilant pas les dettes du patrimoine familial (commission immobilière découlant de la vente et prêt personnel)? ⸺ Le jugement </w:t>
            </w:r>
            <w:r w:rsidRPr="0022545E">
              <w:rPr>
                <w:i/>
                <w:sz w:val="20"/>
                <w:lang w:val="fr-CA"/>
              </w:rPr>
              <w:t>a quo</w:t>
            </w:r>
            <w:r w:rsidRPr="0022545E">
              <w:rPr>
                <w:sz w:val="20"/>
                <w:lang w:val="fr-CA"/>
              </w:rPr>
              <w:t xml:space="preserve"> a-t-il fait manifestement erreur en ne ventilant pas les dettes du régime matrimonial (solde de carte de crédit conjointe MasterCard et dette envers Revenu Québec)? ⸺ Le jugement </w:t>
            </w:r>
            <w:proofErr w:type="gramStart"/>
            <w:r w:rsidRPr="0022545E">
              <w:rPr>
                <w:i/>
                <w:sz w:val="20"/>
                <w:lang w:val="fr-CA"/>
              </w:rPr>
              <w:t>a</w:t>
            </w:r>
            <w:proofErr w:type="gramEnd"/>
            <w:r w:rsidRPr="0022545E">
              <w:rPr>
                <w:i/>
                <w:sz w:val="20"/>
                <w:lang w:val="fr-CA"/>
              </w:rPr>
              <w:t xml:space="preserve"> quo</w:t>
            </w:r>
            <w:r w:rsidRPr="0022545E">
              <w:rPr>
                <w:sz w:val="20"/>
                <w:lang w:val="fr-CA"/>
              </w:rPr>
              <w:t xml:space="preserve"> a-t-il fait manifestement erreur en établissant la valeur des biens meubles faisant partie du patrimoine familial? ⸺ Le jugement </w:t>
            </w:r>
            <w:proofErr w:type="gramStart"/>
            <w:r w:rsidRPr="0022545E">
              <w:rPr>
                <w:i/>
                <w:sz w:val="20"/>
                <w:lang w:val="fr-CA"/>
              </w:rPr>
              <w:t>a</w:t>
            </w:r>
            <w:proofErr w:type="gramEnd"/>
            <w:r w:rsidRPr="0022545E">
              <w:rPr>
                <w:i/>
                <w:sz w:val="20"/>
                <w:lang w:val="fr-CA"/>
              </w:rPr>
              <w:t xml:space="preserve"> quo</w:t>
            </w:r>
            <w:r w:rsidRPr="0022545E">
              <w:rPr>
                <w:sz w:val="20"/>
                <w:lang w:val="fr-CA"/>
              </w:rPr>
              <w:t xml:space="preserve"> a-t-il fait manifestement erreur en omettant d’attribuer une valeur aux biens meubles appartenant à E.H. qui ne faisaient pas l’objet de partage et qui ont été retirés de la résidence familiale par S.I. sans apparence de droit? ⸺ Le jugement </w:t>
            </w:r>
            <w:proofErr w:type="gramStart"/>
            <w:r w:rsidRPr="0022545E">
              <w:rPr>
                <w:i/>
                <w:sz w:val="20"/>
                <w:lang w:val="fr-CA"/>
              </w:rPr>
              <w:t>a</w:t>
            </w:r>
            <w:proofErr w:type="gramEnd"/>
            <w:r w:rsidRPr="0022545E">
              <w:rPr>
                <w:i/>
                <w:sz w:val="20"/>
                <w:lang w:val="fr-CA"/>
              </w:rPr>
              <w:t xml:space="preserve"> quo</w:t>
            </w:r>
            <w:r w:rsidRPr="0022545E">
              <w:rPr>
                <w:sz w:val="20"/>
                <w:lang w:val="fr-CA"/>
              </w:rPr>
              <w:t xml:space="preserve"> a-t-il fait manifestement erreur en n’utilisant pas les nouveaux éléments de preuve et en se référant au témoignage de S.I. et en utilisant celui-ci, tout en confirmant que S.I. n’était pas crédible comme témoin? ⸺ </w:t>
            </w:r>
            <w:r w:rsidRPr="0022545E">
              <w:rPr>
                <w:i/>
                <w:sz w:val="20"/>
                <w:lang w:val="fr-CA"/>
              </w:rPr>
              <w:t>Code civil du Québec</w:t>
            </w:r>
            <w:r w:rsidRPr="0022545E">
              <w:rPr>
                <w:sz w:val="20"/>
                <w:lang w:val="fr-CA"/>
              </w:rPr>
              <w:t>, art. 417</w:t>
            </w:r>
          </w:p>
        </w:tc>
      </w:tr>
      <w:tr w:rsidR="00E40079" w:rsidRPr="0022545E">
        <w:tc>
          <w:tcPr>
            <w:tcW w:w="5000" w:type="pct"/>
            <w:gridSpan w:val="4"/>
          </w:tcPr>
          <w:p w:rsidR="00E40079" w:rsidRPr="0022545E" w:rsidRDefault="00E40079" w:rsidP="00E40079">
            <w:pPr>
              <w:jc w:val="both"/>
              <w:rPr>
                <w:sz w:val="20"/>
                <w:lang w:val="fr-CA"/>
              </w:rPr>
            </w:pPr>
          </w:p>
        </w:tc>
      </w:tr>
      <w:tr w:rsidR="00E40079" w:rsidRPr="0022545E">
        <w:tc>
          <w:tcPr>
            <w:tcW w:w="5000" w:type="pct"/>
            <w:gridSpan w:val="4"/>
          </w:tcPr>
          <w:p w:rsidR="00E40079" w:rsidRPr="0022545E" w:rsidRDefault="00E40079" w:rsidP="00E40079">
            <w:pPr>
              <w:jc w:val="both"/>
              <w:rPr>
                <w:sz w:val="20"/>
                <w:lang w:val="fr-CA"/>
              </w:rPr>
            </w:pPr>
            <w:r w:rsidRPr="0022545E">
              <w:rPr>
                <w:sz w:val="20"/>
                <w:lang w:val="fr-CA"/>
              </w:rPr>
              <w:t xml:space="preserve">Le demandeur, E.H., et l’intimée, S.I., se sont mariés en septembre 1994. Le couple n’a pas eu d’enfants. Ils se sont séparés en décembre 2013 et E.H. </w:t>
            </w:r>
            <w:proofErr w:type="gramStart"/>
            <w:r w:rsidRPr="0022545E">
              <w:rPr>
                <w:sz w:val="20"/>
                <w:lang w:val="fr-CA"/>
              </w:rPr>
              <w:t>a</w:t>
            </w:r>
            <w:proofErr w:type="gramEnd"/>
            <w:r w:rsidRPr="0022545E">
              <w:rPr>
                <w:sz w:val="20"/>
                <w:lang w:val="fr-CA"/>
              </w:rPr>
              <w:t xml:space="preserve"> demandé le divorce en mai 2014. De 1985 à 2002, S.I. travaillait en tant qu’infirmière avant de subir une blessure non liée à son travail. En 2005, après un congé de maladie de deux ans, son contrat a été résilié. Elle est devenue une bénéficiaire de l’aide sociale et était réputée avoir des contraintes sévères temporaires à l’emploi, selon les services sociaux. De janvier 2003 à juin 2010, E.H. était actionnaire et dirigeant d’une entreprise qui a fait faillite. Plus tard, il a décidé de se hasarder comme expert-conseil avec plus ou moins de succès. Des ordonnances provisoires ont été rendues par la Cour supérieure quant à divers aspects de l’affaire. À l’exception de quelques meubles et d’une voiture, la résidence familiale était le bien principal des parties. Ils ont accumulé diverses dettes lorsqu’ils cohabitaient en tant que couple marié. La Cour supérieure a accordé le divorce le 15 novembre 2018. E.H. a déposé un appel incident au motif que le juge de première instance avait commis plusieurs erreurs susceptibles de révision concernant notamment le calcul de la valeur nette de la résidence familiale, la valeur des biens meubles à être partagée, et son refus de distribuer une partie des dettes qui serait liée à l’acquisition, l’amélioration ou l’entretien de la résidence familiale. La Cour d’appel a accueilli l’appel incident en partie. E.H. a présenté une demande d’autorisation d’appel devant la Cour suprême du Canada.</w:t>
            </w:r>
          </w:p>
          <w:p w:rsidR="00E40079" w:rsidRPr="0022545E" w:rsidRDefault="00E40079" w:rsidP="00E40079">
            <w:pPr>
              <w:jc w:val="both"/>
              <w:rPr>
                <w:sz w:val="20"/>
                <w:lang w:val="fr-CA"/>
              </w:rPr>
            </w:pPr>
          </w:p>
        </w:tc>
      </w:tr>
      <w:tr w:rsidR="00E40079" w:rsidRPr="0022545E">
        <w:tc>
          <w:tcPr>
            <w:tcW w:w="2427" w:type="pct"/>
            <w:gridSpan w:val="2"/>
          </w:tcPr>
          <w:p w:rsidR="00E40079" w:rsidRPr="0022545E" w:rsidRDefault="00E40079" w:rsidP="00E40079">
            <w:pPr>
              <w:jc w:val="both"/>
              <w:rPr>
                <w:sz w:val="20"/>
                <w:lang w:val="fr-CA"/>
              </w:rPr>
            </w:pPr>
            <w:r w:rsidRPr="0022545E">
              <w:rPr>
                <w:sz w:val="20"/>
                <w:lang w:val="fr-CA"/>
              </w:rPr>
              <w:t>15 novembre 2018</w:t>
            </w:r>
          </w:p>
          <w:p w:rsidR="00E40079" w:rsidRPr="0022545E" w:rsidRDefault="00E40079" w:rsidP="00E40079">
            <w:pPr>
              <w:jc w:val="both"/>
              <w:rPr>
                <w:sz w:val="20"/>
                <w:lang w:val="fr-CA"/>
              </w:rPr>
            </w:pPr>
            <w:r w:rsidRPr="0022545E">
              <w:rPr>
                <w:sz w:val="20"/>
                <w:lang w:val="fr-CA"/>
              </w:rPr>
              <w:t>Cour supérieure du Québec</w:t>
            </w:r>
          </w:p>
          <w:p w:rsidR="00E40079" w:rsidRPr="0022545E" w:rsidRDefault="00E40079" w:rsidP="00E40079">
            <w:pPr>
              <w:jc w:val="both"/>
              <w:rPr>
                <w:sz w:val="20"/>
                <w:lang w:val="fr-CA"/>
              </w:rPr>
            </w:pPr>
            <w:r w:rsidRPr="0022545E">
              <w:rPr>
                <w:sz w:val="20"/>
                <w:lang w:val="fr-CA"/>
              </w:rPr>
              <w:t>(juge St-Pierre)</w:t>
            </w:r>
          </w:p>
          <w:p w:rsidR="00E40079" w:rsidRPr="0022545E" w:rsidRDefault="0022545E" w:rsidP="00E40079">
            <w:pPr>
              <w:jc w:val="both"/>
              <w:rPr>
                <w:sz w:val="20"/>
                <w:lang w:val="fr-CA"/>
              </w:rPr>
            </w:pPr>
            <w:hyperlink r:id="rId20" w:history="1">
              <w:r w:rsidR="00E40079" w:rsidRPr="0022545E">
                <w:rPr>
                  <w:rStyle w:val="Hyperlink"/>
                  <w:sz w:val="20"/>
                  <w:lang w:val="fr-CA"/>
                </w:rPr>
                <w:t>2018 QCCS 4944</w:t>
              </w:r>
            </w:hyperlink>
          </w:p>
          <w:p w:rsidR="00E40079" w:rsidRPr="0022545E" w:rsidRDefault="00E40079" w:rsidP="00E40079">
            <w:pPr>
              <w:jc w:val="both"/>
              <w:rPr>
                <w:sz w:val="20"/>
                <w:lang w:val="fr-CA"/>
              </w:rPr>
            </w:pPr>
          </w:p>
        </w:tc>
        <w:tc>
          <w:tcPr>
            <w:tcW w:w="243" w:type="pct"/>
          </w:tcPr>
          <w:p w:rsidR="00E40079" w:rsidRPr="0022545E" w:rsidRDefault="00E40079" w:rsidP="00E40079">
            <w:pPr>
              <w:jc w:val="both"/>
              <w:rPr>
                <w:sz w:val="20"/>
                <w:lang w:val="fr-CA"/>
              </w:rPr>
            </w:pPr>
          </w:p>
        </w:tc>
        <w:tc>
          <w:tcPr>
            <w:tcW w:w="2330" w:type="pct"/>
          </w:tcPr>
          <w:p w:rsidR="00E40079" w:rsidRPr="0022545E" w:rsidRDefault="00E40079" w:rsidP="00E40079">
            <w:pPr>
              <w:jc w:val="both"/>
              <w:rPr>
                <w:sz w:val="20"/>
                <w:lang w:val="fr-CA"/>
              </w:rPr>
            </w:pPr>
            <w:r w:rsidRPr="0022545E">
              <w:rPr>
                <w:sz w:val="20"/>
                <w:lang w:val="fr-CA"/>
              </w:rPr>
              <w:t>Le divorce est accordé.</w:t>
            </w:r>
          </w:p>
          <w:p w:rsidR="00E40079" w:rsidRPr="0022545E" w:rsidRDefault="00E40079" w:rsidP="00E40079">
            <w:pPr>
              <w:jc w:val="both"/>
              <w:rPr>
                <w:sz w:val="20"/>
                <w:lang w:val="fr-CA"/>
              </w:rPr>
            </w:pPr>
          </w:p>
        </w:tc>
      </w:tr>
      <w:tr w:rsidR="00E40079" w:rsidRPr="0022545E">
        <w:tc>
          <w:tcPr>
            <w:tcW w:w="2427" w:type="pct"/>
            <w:gridSpan w:val="2"/>
          </w:tcPr>
          <w:p w:rsidR="00E40079" w:rsidRPr="0022545E" w:rsidRDefault="00E40079" w:rsidP="00E40079">
            <w:pPr>
              <w:jc w:val="both"/>
              <w:rPr>
                <w:sz w:val="20"/>
                <w:lang w:val="fr-CA"/>
              </w:rPr>
            </w:pPr>
            <w:r w:rsidRPr="0022545E">
              <w:rPr>
                <w:sz w:val="20"/>
                <w:lang w:val="fr-CA"/>
              </w:rPr>
              <w:t>8 juillet 2021</w:t>
            </w:r>
          </w:p>
          <w:p w:rsidR="00E40079" w:rsidRPr="0022545E" w:rsidRDefault="00E40079" w:rsidP="00E40079">
            <w:pPr>
              <w:jc w:val="both"/>
              <w:rPr>
                <w:sz w:val="20"/>
                <w:lang w:val="fr-CA"/>
              </w:rPr>
            </w:pPr>
            <w:r w:rsidRPr="0022545E">
              <w:rPr>
                <w:sz w:val="20"/>
                <w:lang w:val="fr-CA"/>
              </w:rPr>
              <w:t>Cour d’appel du Québec (Montréal)</w:t>
            </w:r>
          </w:p>
          <w:p w:rsidR="00E40079" w:rsidRPr="0022545E" w:rsidRDefault="00E40079" w:rsidP="00E40079">
            <w:pPr>
              <w:jc w:val="both"/>
              <w:rPr>
                <w:sz w:val="20"/>
                <w:lang w:val="fr-CA"/>
              </w:rPr>
            </w:pPr>
            <w:r w:rsidRPr="0022545E">
              <w:rPr>
                <w:sz w:val="20"/>
                <w:lang w:val="fr-CA"/>
              </w:rPr>
              <w:t>(juges Vauclair, Mainville et Healy)</w:t>
            </w:r>
          </w:p>
          <w:p w:rsidR="00E40079" w:rsidRPr="0022545E" w:rsidRDefault="0022545E" w:rsidP="00E40079">
            <w:pPr>
              <w:jc w:val="both"/>
              <w:rPr>
                <w:sz w:val="20"/>
                <w:lang w:val="fr-CA"/>
              </w:rPr>
            </w:pPr>
            <w:hyperlink r:id="rId21" w:history="1">
              <w:r w:rsidR="00E40079" w:rsidRPr="0022545E">
                <w:rPr>
                  <w:rStyle w:val="Hyperlink"/>
                  <w:sz w:val="20"/>
                  <w:lang w:val="fr-CA"/>
                </w:rPr>
                <w:t>2021 QCCA 1157</w:t>
              </w:r>
            </w:hyperlink>
          </w:p>
          <w:p w:rsidR="00E40079" w:rsidRPr="0022545E" w:rsidRDefault="00E40079" w:rsidP="00E40079">
            <w:pPr>
              <w:jc w:val="both"/>
              <w:rPr>
                <w:sz w:val="20"/>
                <w:lang w:val="fr-CA"/>
              </w:rPr>
            </w:pPr>
          </w:p>
        </w:tc>
        <w:tc>
          <w:tcPr>
            <w:tcW w:w="243" w:type="pct"/>
          </w:tcPr>
          <w:p w:rsidR="00E40079" w:rsidRPr="0022545E" w:rsidRDefault="00E40079" w:rsidP="00E40079">
            <w:pPr>
              <w:jc w:val="both"/>
              <w:rPr>
                <w:sz w:val="20"/>
                <w:lang w:val="fr-CA"/>
              </w:rPr>
            </w:pPr>
          </w:p>
        </w:tc>
        <w:tc>
          <w:tcPr>
            <w:tcW w:w="2330" w:type="pct"/>
          </w:tcPr>
          <w:p w:rsidR="00E40079" w:rsidRPr="0022545E" w:rsidRDefault="00E40079" w:rsidP="00E40079">
            <w:pPr>
              <w:jc w:val="both"/>
              <w:rPr>
                <w:sz w:val="20"/>
                <w:lang w:val="fr-CA"/>
              </w:rPr>
            </w:pPr>
            <w:r w:rsidRPr="0022545E">
              <w:rPr>
                <w:sz w:val="20"/>
                <w:lang w:val="fr-CA"/>
              </w:rPr>
              <w:t>L’appel principal est rejeté.</w:t>
            </w:r>
          </w:p>
          <w:p w:rsidR="00E40079" w:rsidRPr="0022545E" w:rsidRDefault="00E40079" w:rsidP="00E40079">
            <w:pPr>
              <w:jc w:val="both"/>
              <w:rPr>
                <w:sz w:val="20"/>
                <w:lang w:val="fr-CA"/>
              </w:rPr>
            </w:pPr>
            <w:r w:rsidRPr="0022545E">
              <w:rPr>
                <w:sz w:val="20"/>
                <w:lang w:val="fr-CA"/>
              </w:rPr>
              <w:t>L’appel incident est accueilli en partie.</w:t>
            </w:r>
          </w:p>
          <w:p w:rsidR="00E40079" w:rsidRPr="0022545E" w:rsidRDefault="00E40079" w:rsidP="00E40079">
            <w:pPr>
              <w:jc w:val="both"/>
              <w:rPr>
                <w:sz w:val="20"/>
                <w:lang w:val="fr-CA"/>
              </w:rPr>
            </w:pPr>
          </w:p>
        </w:tc>
      </w:tr>
      <w:tr w:rsidR="00E40079" w:rsidRPr="0022545E">
        <w:tc>
          <w:tcPr>
            <w:tcW w:w="2427" w:type="pct"/>
            <w:gridSpan w:val="2"/>
          </w:tcPr>
          <w:p w:rsidR="00E40079" w:rsidRPr="0022545E" w:rsidRDefault="00E40079" w:rsidP="00E40079">
            <w:pPr>
              <w:jc w:val="both"/>
              <w:rPr>
                <w:sz w:val="20"/>
                <w:lang w:val="fr-CA"/>
              </w:rPr>
            </w:pPr>
            <w:r w:rsidRPr="0022545E">
              <w:rPr>
                <w:sz w:val="20"/>
                <w:lang w:val="fr-CA"/>
              </w:rPr>
              <w:t>1</w:t>
            </w:r>
            <w:r w:rsidRPr="0022545E">
              <w:rPr>
                <w:sz w:val="20"/>
                <w:vertAlign w:val="superscript"/>
                <w:lang w:val="fr-CA"/>
              </w:rPr>
              <w:t>er</w:t>
            </w:r>
            <w:r w:rsidRPr="0022545E">
              <w:rPr>
                <w:sz w:val="20"/>
                <w:lang w:val="fr-CA"/>
              </w:rPr>
              <w:t xml:space="preserve"> février 2022</w:t>
            </w:r>
          </w:p>
          <w:p w:rsidR="00E40079" w:rsidRPr="0022545E" w:rsidRDefault="00E40079" w:rsidP="00E40079">
            <w:pPr>
              <w:jc w:val="both"/>
              <w:rPr>
                <w:sz w:val="20"/>
                <w:lang w:val="fr-CA"/>
              </w:rPr>
            </w:pPr>
            <w:r w:rsidRPr="0022545E">
              <w:rPr>
                <w:sz w:val="20"/>
                <w:lang w:val="fr-CA"/>
              </w:rPr>
              <w:t>Cour suprême du Canada</w:t>
            </w:r>
          </w:p>
        </w:tc>
        <w:tc>
          <w:tcPr>
            <w:tcW w:w="243" w:type="pct"/>
          </w:tcPr>
          <w:p w:rsidR="00E40079" w:rsidRPr="0022545E" w:rsidRDefault="00E40079" w:rsidP="00E40079">
            <w:pPr>
              <w:jc w:val="both"/>
              <w:rPr>
                <w:sz w:val="20"/>
                <w:lang w:val="fr-CA"/>
              </w:rPr>
            </w:pPr>
          </w:p>
        </w:tc>
        <w:tc>
          <w:tcPr>
            <w:tcW w:w="2330" w:type="pct"/>
          </w:tcPr>
          <w:p w:rsidR="00E40079" w:rsidRPr="0022545E" w:rsidRDefault="00E40079" w:rsidP="00E40079">
            <w:pPr>
              <w:jc w:val="both"/>
              <w:rPr>
                <w:sz w:val="20"/>
                <w:lang w:val="fr-CA"/>
              </w:rPr>
            </w:pPr>
            <w:r w:rsidRPr="0022545E">
              <w:rPr>
                <w:sz w:val="20"/>
                <w:lang w:val="fr-CA"/>
              </w:rPr>
              <w:t>La demande d’autorisation d’appel est présentée.</w:t>
            </w:r>
          </w:p>
          <w:p w:rsidR="00E40079" w:rsidRPr="0022545E" w:rsidRDefault="00E40079" w:rsidP="00E40079">
            <w:pPr>
              <w:jc w:val="both"/>
              <w:rPr>
                <w:sz w:val="20"/>
                <w:lang w:val="fr-CA"/>
              </w:rPr>
            </w:pPr>
          </w:p>
        </w:tc>
      </w:tr>
    </w:tbl>
    <w:p w:rsidR="00E40079" w:rsidRPr="0022545E" w:rsidRDefault="00E40079" w:rsidP="00E40079">
      <w:pPr>
        <w:jc w:val="both"/>
        <w:rPr>
          <w:sz w:val="20"/>
          <w:lang w:val="fr-CA"/>
        </w:rPr>
      </w:pPr>
    </w:p>
    <w:p w:rsidR="00EF176E" w:rsidRPr="0022545E" w:rsidRDefault="0022545E" w:rsidP="00E40079">
      <w:pPr>
        <w:jc w:val="both"/>
        <w:rPr>
          <w:sz w:val="20"/>
          <w:lang w:val="fr-CA"/>
        </w:rPr>
      </w:pPr>
      <w:r w:rsidRPr="0022545E">
        <w:rPr>
          <w:sz w:val="20"/>
        </w:rPr>
        <w:pict>
          <v:rect id="_x0000_i1030" style="width:2in;height:1pt" o:hrpct="0" o:hralign="center" o:hrstd="t" o:hrnoshade="t" o:hr="t" fillcolor="black [3213]" stroked="f"/>
        </w:pict>
      </w:r>
    </w:p>
    <w:p w:rsidR="00946739" w:rsidRPr="0022545E" w:rsidRDefault="00946739" w:rsidP="00E4007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0079" w:rsidRPr="0022545E" w:rsidTr="00E95A6A">
        <w:tc>
          <w:tcPr>
            <w:tcW w:w="543" w:type="pct"/>
          </w:tcPr>
          <w:p w:rsidR="00E40079" w:rsidRPr="0022545E" w:rsidRDefault="00E40079" w:rsidP="00E40079">
            <w:pPr>
              <w:jc w:val="both"/>
              <w:rPr>
                <w:sz w:val="20"/>
              </w:rPr>
            </w:pPr>
            <w:r w:rsidRPr="0022545E">
              <w:rPr>
                <w:rStyle w:val="SCCFileNumberChar"/>
                <w:sz w:val="20"/>
                <w:szCs w:val="20"/>
              </w:rPr>
              <w:t>40270</w:t>
            </w:r>
          </w:p>
        </w:tc>
        <w:tc>
          <w:tcPr>
            <w:tcW w:w="4457" w:type="pct"/>
            <w:gridSpan w:val="3"/>
          </w:tcPr>
          <w:p w:rsidR="00E40079" w:rsidRPr="0022545E" w:rsidRDefault="00E40079" w:rsidP="00E40079">
            <w:pPr>
              <w:pStyle w:val="SCCLsocParty"/>
              <w:jc w:val="both"/>
              <w:rPr>
                <w:b/>
                <w:sz w:val="20"/>
                <w:szCs w:val="20"/>
                <w:lang w:val="en-US"/>
              </w:rPr>
            </w:pPr>
            <w:r w:rsidRPr="0022545E">
              <w:rPr>
                <w:b/>
                <w:sz w:val="20"/>
                <w:szCs w:val="20"/>
                <w:lang w:val="en-US"/>
              </w:rPr>
              <w:t>Stasky St. Clair v. His Majesty the King</w:t>
            </w:r>
          </w:p>
          <w:p w:rsidR="00E40079" w:rsidRPr="0022545E" w:rsidRDefault="00E40079" w:rsidP="00E40079">
            <w:pPr>
              <w:jc w:val="both"/>
              <w:rPr>
                <w:sz w:val="20"/>
              </w:rPr>
            </w:pPr>
            <w:r w:rsidRPr="0022545E">
              <w:rPr>
                <w:sz w:val="20"/>
              </w:rPr>
              <w:t>(Ont.) (Criminal) (By Leave)</w:t>
            </w:r>
          </w:p>
        </w:tc>
      </w:tr>
      <w:tr w:rsidR="00E40079" w:rsidRPr="0022545E" w:rsidTr="00E95A6A">
        <w:tc>
          <w:tcPr>
            <w:tcW w:w="5000" w:type="pct"/>
            <w:gridSpan w:val="4"/>
          </w:tcPr>
          <w:p w:rsidR="00E40079" w:rsidRPr="0022545E" w:rsidRDefault="00E40079" w:rsidP="00E40079">
            <w:pPr>
              <w:jc w:val="both"/>
              <w:rPr>
                <w:sz w:val="20"/>
              </w:rPr>
            </w:pPr>
            <w:r w:rsidRPr="0022545E">
              <w:rPr>
                <w:i/>
                <w:sz w:val="20"/>
              </w:rPr>
              <w:t>Charter of Rights and Freedoms</w:t>
            </w:r>
            <w:r w:rsidRPr="0022545E">
              <w:rPr>
                <w:sz w:val="20"/>
              </w:rPr>
              <w:t xml:space="preserve"> — Search and seizure — Criminal law — Appeals — Evidence — Admissibility — Whether Court of Appeal should defer to application judge’s alternative analysis pursuant to s. 24(2) of the </w:t>
            </w:r>
            <w:r w:rsidRPr="0022545E">
              <w:rPr>
                <w:i/>
                <w:sz w:val="20"/>
              </w:rPr>
              <w:t>Charter of Rights and Freedoms</w:t>
            </w:r>
            <w:r w:rsidRPr="0022545E">
              <w:rPr>
                <w:sz w:val="20"/>
              </w:rPr>
              <w:t xml:space="preserve"> if application judge incorrectly did not find a breach</w:t>
            </w:r>
            <w:r w:rsidRPr="0022545E">
              <w:rPr>
                <w:i/>
                <w:sz w:val="20"/>
              </w:rPr>
              <w:t xml:space="preserve"> </w:t>
            </w:r>
            <w:r w:rsidRPr="0022545E">
              <w:rPr>
                <w:sz w:val="20"/>
              </w:rPr>
              <w:t xml:space="preserve">of the </w:t>
            </w:r>
            <w:r w:rsidRPr="0022545E">
              <w:rPr>
                <w:i/>
                <w:sz w:val="20"/>
              </w:rPr>
              <w:t xml:space="preserve">Charter </w:t>
            </w:r>
            <w:r w:rsidRPr="0022545E">
              <w:rPr>
                <w:sz w:val="20"/>
              </w:rPr>
              <w:t>— Whether Court of Appeal erred by raising on its own motion the discoverability of evidence to minimize the impact of breaches of the</w:t>
            </w:r>
            <w:r w:rsidRPr="0022545E">
              <w:rPr>
                <w:i/>
                <w:sz w:val="20"/>
              </w:rPr>
              <w:t xml:space="preserve"> Charter </w:t>
            </w:r>
            <w:r w:rsidRPr="0022545E">
              <w:rPr>
                <w:sz w:val="20"/>
              </w:rPr>
              <w:t xml:space="preserve">on the </w:t>
            </w:r>
            <w:r w:rsidRPr="0022545E">
              <w:rPr>
                <w:i/>
                <w:sz w:val="20"/>
              </w:rPr>
              <w:t>Charter</w:t>
            </w:r>
            <w:r w:rsidRPr="0022545E">
              <w:rPr>
                <w:sz w:val="20"/>
              </w:rPr>
              <w:t>-protected interests of the accused without submissions by the Crown or factual findings by the application judge</w:t>
            </w:r>
          </w:p>
        </w:tc>
      </w:tr>
      <w:tr w:rsidR="00E40079" w:rsidRPr="0022545E" w:rsidTr="00E95A6A">
        <w:tc>
          <w:tcPr>
            <w:tcW w:w="5000" w:type="pct"/>
            <w:gridSpan w:val="4"/>
          </w:tcPr>
          <w:p w:rsidR="00E40079" w:rsidRPr="0022545E" w:rsidRDefault="00E40079" w:rsidP="00E40079">
            <w:pPr>
              <w:jc w:val="both"/>
              <w:rPr>
                <w:sz w:val="20"/>
              </w:rPr>
            </w:pPr>
          </w:p>
          <w:p w:rsidR="00E40079" w:rsidRPr="0022545E" w:rsidRDefault="00E40079" w:rsidP="00E40079">
            <w:pPr>
              <w:jc w:val="both"/>
              <w:rPr>
                <w:sz w:val="20"/>
              </w:rPr>
            </w:pPr>
            <w:r w:rsidRPr="0022545E">
              <w:rPr>
                <w:spacing w:val="-3"/>
                <w:sz w:val="20"/>
              </w:rPr>
              <w:t xml:space="preserve">Police officers arrested Mr. St. Clair for </w:t>
            </w:r>
            <w:r w:rsidRPr="0022545E">
              <w:rPr>
                <w:sz w:val="20"/>
              </w:rPr>
              <w:t xml:space="preserve">marijuana possession. He produced a genuine medical exemption card but </w:t>
            </w:r>
            <w:r w:rsidRPr="0022545E">
              <w:rPr>
                <w:spacing w:val="-2"/>
                <w:sz w:val="20"/>
              </w:rPr>
              <w:t xml:space="preserve">the arresting officer did not believe it was genuine. The officers </w:t>
            </w:r>
            <w:r w:rsidRPr="0022545E">
              <w:rPr>
                <w:sz w:val="20"/>
              </w:rPr>
              <w:t xml:space="preserve">searched Mr. St. Clair’s car incidental to arrest and found a loaded handgun. Mr. St. Clair was strip-searched at the police station and officers found cocaine. </w:t>
            </w:r>
            <w:r w:rsidRPr="0022545E">
              <w:rPr>
                <w:spacing w:val="-1"/>
                <w:sz w:val="20"/>
              </w:rPr>
              <w:t>A</w:t>
            </w:r>
            <w:r w:rsidRPr="0022545E">
              <w:rPr>
                <w:sz w:val="20"/>
              </w:rPr>
              <w:t xml:space="preserve"> motion to exclude the evidence for breach of ss. 8 and 9 of the </w:t>
            </w:r>
            <w:r w:rsidRPr="0022545E">
              <w:rPr>
                <w:i/>
                <w:sz w:val="20"/>
              </w:rPr>
              <w:t>Charter of Rights and Freedoms</w:t>
            </w:r>
            <w:r w:rsidRPr="0022545E">
              <w:rPr>
                <w:sz w:val="20"/>
              </w:rPr>
              <w:t xml:space="preserve"> was dismissed. </w:t>
            </w:r>
            <w:r w:rsidRPr="0022545E">
              <w:rPr>
                <w:spacing w:val="-1"/>
                <w:sz w:val="20"/>
              </w:rPr>
              <w:t xml:space="preserve">Mr. St. Clair was convicted for possession of cocaine for purposes of trafficking and firearms offences. The Court of Appeal held ss. 8 and 9 of the </w:t>
            </w:r>
            <w:r w:rsidRPr="0022545E">
              <w:rPr>
                <w:i/>
                <w:spacing w:val="-1"/>
                <w:sz w:val="20"/>
              </w:rPr>
              <w:t xml:space="preserve">Charter </w:t>
            </w:r>
            <w:r w:rsidRPr="0022545E">
              <w:rPr>
                <w:spacing w:val="-1"/>
                <w:sz w:val="20"/>
              </w:rPr>
              <w:t xml:space="preserve">were breached but the evidence was admissible pursuant to s. 24(2) of the </w:t>
            </w:r>
            <w:r w:rsidRPr="0022545E">
              <w:rPr>
                <w:i/>
                <w:spacing w:val="-1"/>
                <w:sz w:val="20"/>
              </w:rPr>
              <w:t>Charter</w:t>
            </w:r>
            <w:r w:rsidRPr="0022545E">
              <w:rPr>
                <w:spacing w:val="-1"/>
                <w:sz w:val="20"/>
              </w:rPr>
              <w:t>. It dismissed an appeal.</w:t>
            </w:r>
          </w:p>
        </w:tc>
      </w:tr>
      <w:tr w:rsidR="00E40079" w:rsidRPr="0022545E" w:rsidTr="00E95A6A">
        <w:tc>
          <w:tcPr>
            <w:tcW w:w="5000" w:type="pct"/>
            <w:gridSpan w:val="4"/>
          </w:tcPr>
          <w:p w:rsidR="00E40079" w:rsidRPr="0022545E" w:rsidRDefault="00E40079" w:rsidP="00E40079">
            <w:pPr>
              <w:jc w:val="both"/>
              <w:rPr>
                <w:sz w:val="20"/>
              </w:rPr>
            </w:pPr>
          </w:p>
        </w:tc>
      </w:tr>
      <w:tr w:rsidR="00E40079" w:rsidRPr="0022545E" w:rsidTr="00E95A6A">
        <w:tc>
          <w:tcPr>
            <w:tcW w:w="2427" w:type="pct"/>
            <w:gridSpan w:val="2"/>
          </w:tcPr>
          <w:p w:rsidR="00E40079" w:rsidRPr="0022545E" w:rsidRDefault="00E40079" w:rsidP="00E40079">
            <w:pPr>
              <w:jc w:val="both"/>
              <w:rPr>
                <w:sz w:val="20"/>
              </w:rPr>
            </w:pPr>
            <w:r w:rsidRPr="0022545E">
              <w:rPr>
                <w:sz w:val="20"/>
              </w:rPr>
              <w:t>September 11, 2018</w:t>
            </w:r>
          </w:p>
          <w:p w:rsidR="00E40079" w:rsidRPr="0022545E" w:rsidRDefault="00E40079" w:rsidP="00E40079">
            <w:pPr>
              <w:jc w:val="both"/>
              <w:rPr>
                <w:sz w:val="20"/>
              </w:rPr>
            </w:pPr>
            <w:r w:rsidRPr="0022545E">
              <w:rPr>
                <w:sz w:val="20"/>
              </w:rPr>
              <w:t>Ontario Superior Court of Justice</w:t>
            </w:r>
          </w:p>
          <w:p w:rsidR="00E40079" w:rsidRPr="0022545E" w:rsidRDefault="00E40079" w:rsidP="00E40079">
            <w:pPr>
              <w:jc w:val="both"/>
              <w:rPr>
                <w:sz w:val="20"/>
              </w:rPr>
            </w:pPr>
            <w:r w:rsidRPr="0022545E">
              <w:rPr>
                <w:sz w:val="20"/>
              </w:rPr>
              <w:t>(Campbell J.)</w:t>
            </w:r>
          </w:p>
          <w:p w:rsidR="00E40079" w:rsidRPr="0022545E" w:rsidRDefault="0022545E" w:rsidP="00E40079">
            <w:pPr>
              <w:jc w:val="both"/>
              <w:rPr>
                <w:sz w:val="20"/>
              </w:rPr>
            </w:pPr>
            <w:hyperlink r:id="rId22" w:history="1">
              <w:r w:rsidR="00E40079" w:rsidRPr="0022545E">
                <w:rPr>
                  <w:rStyle w:val="Hyperlink"/>
                  <w:sz w:val="20"/>
                </w:rPr>
                <w:t>2018 ONSC 5173</w:t>
              </w:r>
            </w:hyperlink>
          </w:p>
          <w:p w:rsidR="00E40079" w:rsidRPr="0022545E" w:rsidRDefault="00E40079" w:rsidP="00E40079">
            <w:pPr>
              <w:jc w:val="both"/>
              <w:rPr>
                <w:sz w:val="20"/>
              </w:rPr>
            </w:pPr>
          </w:p>
        </w:tc>
        <w:tc>
          <w:tcPr>
            <w:tcW w:w="243" w:type="pct"/>
          </w:tcPr>
          <w:p w:rsidR="00E40079" w:rsidRPr="0022545E" w:rsidRDefault="00E40079" w:rsidP="00E40079">
            <w:pPr>
              <w:jc w:val="both"/>
              <w:rPr>
                <w:sz w:val="20"/>
              </w:rPr>
            </w:pPr>
          </w:p>
        </w:tc>
        <w:tc>
          <w:tcPr>
            <w:tcW w:w="2330" w:type="pct"/>
          </w:tcPr>
          <w:p w:rsidR="00E40079" w:rsidRPr="0022545E" w:rsidRDefault="00E40079" w:rsidP="00E40079">
            <w:pPr>
              <w:jc w:val="both"/>
              <w:rPr>
                <w:sz w:val="20"/>
              </w:rPr>
            </w:pPr>
            <w:r w:rsidRPr="0022545E">
              <w:rPr>
                <w:sz w:val="20"/>
              </w:rPr>
              <w:t>Evidence ruled admissible</w:t>
            </w:r>
          </w:p>
        </w:tc>
      </w:tr>
      <w:tr w:rsidR="00E40079" w:rsidRPr="0022545E" w:rsidTr="00E95A6A">
        <w:tc>
          <w:tcPr>
            <w:tcW w:w="2427" w:type="pct"/>
            <w:gridSpan w:val="2"/>
          </w:tcPr>
          <w:p w:rsidR="00E40079" w:rsidRPr="0022545E" w:rsidRDefault="00E40079" w:rsidP="00E40079">
            <w:pPr>
              <w:jc w:val="both"/>
              <w:rPr>
                <w:sz w:val="20"/>
              </w:rPr>
            </w:pPr>
            <w:r w:rsidRPr="0022545E">
              <w:rPr>
                <w:sz w:val="20"/>
              </w:rPr>
              <w:t>August 8, 2018</w:t>
            </w:r>
          </w:p>
          <w:p w:rsidR="00E40079" w:rsidRPr="0022545E" w:rsidRDefault="00E40079" w:rsidP="00E40079">
            <w:pPr>
              <w:jc w:val="both"/>
              <w:rPr>
                <w:sz w:val="20"/>
              </w:rPr>
            </w:pPr>
            <w:r w:rsidRPr="0022545E">
              <w:rPr>
                <w:sz w:val="20"/>
              </w:rPr>
              <w:t>Ontario Superior Court of Justice</w:t>
            </w:r>
          </w:p>
          <w:p w:rsidR="00E40079" w:rsidRPr="0022545E" w:rsidRDefault="00E40079" w:rsidP="00E40079">
            <w:pPr>
              <w:jc w:val="both"/>
              <w:rPr>
                <w:sz w:val="20"/>
              </w:rPr>
            </w:pPr>
            <w:r w:rsidRPr="0022545E">
              <w:rPr>
                <w:sz w:val="20"/>
              </w:rPr>
              <w:t>(Campbell J.)</w:t>
            </w:r>
          </w:p>
          <w:p w:rsidR="00E40079" w:rsidRPr="0022545E" w:rsidRDefault="00E40079" w:rsidP="00E40079">
            <w:pPr>
              <w:jc w:val="both"/>
              <w:rPr>
                <w:sz w:val="20"/>
              </w:rPr>
            </w:pPr>
          </w:p>
        </w:tc>
        <w:tc>
          <w:tcPr>
            <w:tcW w:w="243" w:type="pct"/>
          </w:tcPr>
          <w:p w:rsidR="00E40079" w:rsidRPr="0022545E" w:rsidRDefault="00E40079" w:rsidP="00E40079">
            <w:pPr>
              <w:jc w:val="both"/>
              <w:rPr>
                <w:sz w:val="20"/>
              </w:rPr>
            </w:pPr>
          </w:p>
        </w:tc>
        <w:tc>
          <w:tcPr>
            <w:tcW w:w="2330" w:type="pct"/>
          </w:tcPr>
          <w:p w:rsidR="00E40079" w:rsidRPr="0022545E" w:rsidRDefault="00E40079" w:rsidP="00E40079">
            <w:pPr>
              <w:jc w:val="both"/>
              <w:rPr>
                <w:sz w:val="20"/>
              </w:rPr>
            </w:pPr>
            <w:r w:rsidRPr="0022545E">
              <w:rPr>
                <w:sz w:val="20"/>
              </w:rPr>
              <w:t>Convictions for</w:t>
            </w:r>
            <w:r w:rsidRPr="0022545E">
              <w:rPr>
                <w:color w:val="000000"/>
                <w:sz w:val="20"/>
              </w:rPr>
              <w:t xml:space="preserve"> possession of cocaine for the purpose of trafficking and firearms offences </w:t>
            </w:r>
          </w:p>
        </w:tc>
      </w:tr>
      <w:tr w:rsidR="00E40079" w:rsidRPr="0022545E" w:rsidTr="00E95A6A">
        <w:tc>
          <w:tcPr>
            <w:tcW w:w="2427" w:type="pct"/>
            <w:gridSpan w:val="2"/>
          </w:tcPr>
          <w:p w:rsidR="00E40079" w:rsidRPr="0022545E" w:rsidRDefault="00E40079" w:rsidP="00E40079">
            <w:pPr>
              <w:jc w:val="both"/>
              <w:rPr>
                <w:sz w:val="20"/>
              </w:rPr>
            </w:pPr>
            <w:r w:rsidRPr="0022545E">
              <w:rPr>
                <w:sz w:val="20"/>
              </w:rPr>
              <w:t>December 15, 2021</w:t>
            </w:r>
          </w:p>
          <w:p w:rsidR="00E40079" w:rsidRPr="0022545E" w:rsidRDefault="00E40079" w:rsidP="00E40079">
            <w:pPr>
              <w:jc w:val="both"/>
              <w:rPr>
                <w:sz w:val="20"/>
              </w:rPr>
            </w:pPr>
            <w:r w:rsidRPr="0022545E">
              <w:rPr>
                <w:sz w:val="20"/>
              </w:rPr>
              <w:t>Court of Appeal for Ontario</w:t>
            </w:r>
          </w:p>
          <w:p w:rsidR="00E40079" w:rsidRPr="0022545E" w:rsidRDefault="00E40079" w:rsidP="00E40079">
            <w:pPr>
              <w:jc w:val="both"/>
              <w:rPr>
                <w:sz w:val="20"/>
              </w:rPr>
            </w:pPr>
            <w:r w:rsidRPr="0022545E">
              <w:rPr>
                <w:sz w:val="20"/>
              </w:rPr>
              <w:t>(Feldman, Miller, Paciocco JJ.A.)</w:t>
            </w:r>
          </w:p>
          <w:p w:rsidR="00E40079" w:rsidRPr="0022545E" w:rsidRDefault="0022545E" w:rsidP="00E40079">
            <w:pPr>
              <w:jc w:val="both"/>
              <w:rPr>
                <w:sz w:val="20"/>
              </w:rPr>
            </w:pPr>
            <w:hyperlink r:id="rId23" w:history="1">
              <w:r w:rsidR="00E40079" w:rsidRPr="0022545E">
                <w:rPr>
                  <w:rStyle w:val="Hyperlink"/>
                  <w:sz w:val="20"/>
                </w:rPr>
                <w:t>2021 ONCA 895</w:t>
              </w:r>
            </w:hyperlink>
            <w:r w:rsidR="00E40079" w:rsidRPr="0022545E">
              <w:rPr>
                <w:sz w:val="20"/>
              </w:rPr>
              <w:t>; C66388</w:t>
            </w:r>
          </w:p>
          <w:p w:rsidR="00E40079" w:rsidRPr="0022545E" w:rsidRDefault="00E40079" w:rsidP="00E40079">
            <w:pPr>
              <w:jc w:val="both"/>
              <w:rPr>
                <w:sz w:val="20"/>
              </w:rPr>
            </w:pPr>
          </w:p>
        </w:tc>
        <w:tc>
          <w:tcPr>
            <w:tcW w:w="243" w:type="pct"/>
          </w:tcPr>
          <w:p w:rsidR="00E40079" w:rsidRPr="0022545E" w:rsidRDefault="00E40079" w:rsidP="00E40079">
            <w:pPr>
              <w:jc w:val="both"/>
              <w:rPr>
                <w:sz w:val="20"/>
              </w:rPr>
            </w:pPr>
          </w:p>
        </w:tc>
        <w:tc>
          <w:tcPr>
            <w:tcW w:w="2330" w:type="pct"/>
          </w:tcPr>
          <w:p w:rsidR="00E40079" w:rsidRPr="0022545E" w:rsidRDefault="00E40079" w:rsidP="00E40079">
            <w:pPr>
              <w:jc w:val="both"/>
              <w:rPr>
                <w:sz w:val="20"/>
              </w:rPr>
            </w:pPr>
            <w:r w:rsidRPr="0022545E">
              <w:rPr>
                <w:sz w:val="20"/>
              </w:rPr>
              <w:t>Appeal dismissed</w:t>
            </w:r>
          </w:p>
          <w:p w:rsidR="00E40079" w:rsidRPr="0022545E" w:rsidRDefault="00E40079" w:rsidP="00E40079">
            <w:pPr>
              <w:jc w:val="both"/>
              <w:rPr>
                <w:sz w:val="20"/>
              </w:rPr>
            </w:pPr>
          </w:p>
        </w:tc>
      </w:tr>
      <w:tr w:rsidR="00E40079" w:rsidRPr="0022545E" w:rsidTr="00E95A6A">
        <w:tc>
          <w:tcPr>
            <w:tcW w:w="2427" w:type="pct"/>
            <w:gridSpan w:val="2"/>
          </w:tcPr>
          <w:p w:rsidR="00E40079" w:rsidRPr="0022545E" w:rsidRDefault="00E40079" w:rsidP="00E40079">
            <w:pPr>
              <w:jc w:val="both"/>
              <w:rPr>
                <w:sz w:val="20"/>
              </w:rPr>
            </w:pPr>
            <w:r w:rsidRPr="0022545E">
              <w:rPr>
                <w:sz w:val="20"/>
              </w:rPr>
              <w:t>June 24, 2022</w:t>
            </w:r>
          </w:p>
          <w:p w:rsidR="00E40079" w:rsidRPr="0022545E" w:rsidRDefault="00E40079" w:rsidP="00E40079">
            <w:pPr>
              <w:jc w:val="both"/>
              <w:rPr>
                <w:sz w:val="20"/>
              </w:rPr>
            </w:pPr>
            <w:r w:rsidRPr="0022545E">
              <w:rPr>
                <w:sz w:val="20"/>
              </w:rPr>
              <w:t>Supreme Court of Canada</w:t>
            </w:r>
          </w:p>
        </w:tc>
        <w:tc>
          <w:tcPr>
            <w:tcW w:w="243" w:type="pct"/>
          </w:tcPr>
          <w:p w:rsidR="00E40079" w:rsidRPr="0022545E" w:rsidRDefault="00E40079" w:rsidP="00E40079">
            <w:pPr>
              <w:jc w:val="both"/>
              <w:rPr>
                <w:sz w:val="20"/>
              </w:rPr>
            </w:pPr>
          </w:p>
        </w:tc>
        <w:tc>
          <w:tcPr>
            <w:tcW w:w="2330" w:type="pct"/>
          </w:tcPr>
          <w:p w:rsidR="00E40079" w:rsidRPr="0022545E" w:rsidRDefault="00E40079" w:rsidP="00E40079">
            <w:pPr>
              <w:jc w:val="both"/>
              <w:rPr>
                <w:sz w:val="20"/>
              </w:rPr>
            </w:pPr>
            <w:r w:rsidRPr="0022545E">
              <w:rPr>
                <w:sz w:val="20"/>
              </w:rPr>
              <w:t>Motion for extension of time to serve and file application for leave to appeal and Application for leave to appeal filed</w:t>
            </w:r>
          </w:p>
        </w:tc>
      </w:tr>
    </w:tbl>
    <w:p w:rsidR="00E40079" w:rsidRPr="0022545E" w:rsidRDefault="00E40079" w:rsidP="00E40079">
      <w:pPr>
        <w:jc w:val="both"/>
        <w:rPr>
          <w:sz w:val="20"/>
        </w:rPr>
      </w:pPr>
    </w:p>
    <w:p w:rsidR="00EF176E" w:rsidRPr="0022545E" w:rsidRDefault="0022545E" w:rsidP="00E40079">
      <w:pPr>
        <w:jc w:val="both"/>
        <w:rPr>
          <w:sz w:val="20"/>
        </w:rPr>
      </w:pPr>
      <w:r w:rsidRPr="0022545E">
        <w:rPr>
          <w:sz w:val="20"/>
        </w:rPr>
        <w:pict>
          <v:rect id="_x0000_i1031" style="width:2in;height:1pt" o:hrpct="0" o:hralign="center" o:hrstd="t" o:hrnoshade="t" o:hr="t" fillcolor="black [3213]" stroked="f"/>
        </w:pict>
      </w:r>
    </w:p>
    <w:p w:rsidR="00EF176E" w:rsidRPr="0022545E" w:rsidRDefault="00EF176E" w:rsidP="00E4007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0079" w:rsidRPr="0022545E" w:rsidTr="00E95A6A">
        <w:tc>
          <w:tcPr>
            <w:tcW w:w="543" w:type="pct"/>
          </w:tcPr>
          <w:p w:rsidR="00E40079" w:rsidRPr="0022545E" w:rsidRDefault="00E40079" w:rsidP="00E40079">
            <w:pPr>
              <w:jc w:val="both"/>
              <w:rPr>
                <w:sz w:val="20"/>
                <w:lang w:val="fr-CA"/>
              </w:rPr>
            </w:pPr>
            <w:r w:rsidRPr="0022545E">
              <w:rPr>
                <w:rStyle w:val="SCCFileNumberChar"/>
                <w:sz w:val="20"/>
                <w:szCs w:val="20"/>
                <w:lang w:val="fr-CA"/>
              </w:rPr>
              <w:t>40270</w:t>
            </w:r>
          </w:p>
        </w:tc>
        <w:tc>
          <w:tcPr>
            <w:tcW w:w="4457" w:type="pct"/>
            <w:gridSpan w:val="3"/>
          </w:tcPr>
          <w:p w:rsidR="00E40079" w:rsidRPr="0022545E" w:rsidRDefault="00E40079" w:rsidP="00E40079">
            <w:pPr>
              <w:pStyle w:val="SCCLsocParty"/>
              <w:jc w:val="both"/>
              <w:rPr>
                <w:b/>
                <w:sz w:val="20"/>
                <w:szCs w:val="20"/>
              </w:rPr>
            </w:pPr>
            <w:r w:rsidRPr="0022545E">
              <w:rPr>
                <w:b/>
                <w:sz w:val="20"/>
                <w:szCs w:val="20"/>
              </w:rPr>
              <w:t>Stasky St. Clair c. Sa Majesté le Roi</w:t>
            </w:r>
          </w:p>
          <w:p w:rsidR="00E40079" w:rsidRPr="0022545E" w:rsidRDefault="00E40079" w:rsidP="00EF176E">
            <w:pPr>
              <w:jc w:val="both"/>
              <w:rPr>
                <w:sz w:val="20"/>
                <w:lang w:val="fr-CA"/>
              </w:rPr>
            </w:pPr>
            <w:r w:rsidRPr="0022545E">
              <w:rPr>
                <w:sz w:val="20"/>
                <w:lang w:val="fr-CA"/>
              </w:rPr>
              <w:t>(Ont.) (</w:t>
            </w:r>
            <w:r w:rsidR="00EF176E" w:rsidRPr="0022545E">
              <w:rPr>
                <w:sz w:val="20"/>
                <w:lang w:val="fr-CA"/>
              </w:rPr>
              <w:t>C</w:t>
            </w:r>
            <w:r w:rsidRPr="0022545E">
              <w:rPr>
                <w:sz w:val="20"/>
                <w:lang w:val="fr-CA"/>
              </w:rPr>
              <w:t>riminelle) (</w:t>
            </w:r>
            <w:r w:rsidR="00EF176E" w:rsidRPr="0022545E">
              <w:rPr>
                <w:sz w:val="20"/>
                <w:lang w:val="fr-CA"/>
              </w:rPr>
              <w:t>S</w:t>
            </w:r>
            <w:r w:rsidRPr="0022545E">
              <w:rPr>
                <w:sz w:val="20"/>
                <w:lang w:val="fr-CA"/>
              </w:rPr>
              <w:t>ur autorisation)</w:t>
            </w:r>
          </w:p>
        </w:tc>
      </w:tr>
      <w:tr w:rsidR="00E40079" w:rsidRPr="0022545E" w:rsidTr="00E95A6A">
        <w:tc>
          <w:tcPr>
            <w:tcW w:w="5000" w:type="pct"/>
            <w:gridSpan w:val="4"/>
          </w:tcPr>
          <w:p w:rsidR="00E40079" w:rsidRPr="0022545E" w:rsidRDefault="00E40079" w:rsidP="00E40079">
            <w:pPr>
              <w:jc w:val="both"/>
              <w:rPr>
                <w:sz w:val="20"/>
                <w:lang w:val="fr-CA"/>
              </w:rPr>
            </w:pPr>
            <w:r w:rsidRPr="0022545E">
              <w:rPr>
                <w:i/>
                <w:sz w:val="20"/>
                <w:lang w:val="fr-CA"/>
              </w:rPr>
              <w:t>Charte des droits et libertés</w:t>
            </w:r>
            <w:r w:rsidRPr="0022545E">
              <w:rPr>
                <w:sz w:val="20"/>
                <w:lang w:val="fr-CA"/>
              </w:rPr>
              <w:t xml:space="preserve"> — </w:t>
            </w:r>
            <w:r w:rsidRPr="0022545E">
              <w:rPr>
                <w:iCs/>
                <w:sz w:val="20"/>
                <w:lang w:val="fr-FR"/>
              </w:rPr>
              <w:t>Fouilles, perquisitions et saisies</w:t>
            </w:r>
            <w:r w:rsidRPr="0022545E">
              <w:rPr>
                <w:sz w:val="20"/>
                <w:lang w:val="fr-CA"/>
              </w:rPr>
              <w:t xml:space="preserve"> — Droit criminel — Appels — Preuve — Admissibilité — La Cour d’appel devrait-elle s’en remettre à l’analyse subsidiaire fondée sur le par. 24(2) de la </w:t>
            </w:r>
            <w:r w:rsidRPr="0022545E">
              <w:rPr>
                <w:i/>
                <w:sz w:val="20"/>
                <w:lang w:val="fr-CA"/>
              </w:rPr>
              <w:t>Charte des droits et libertés</w:t>
            </w:r>
            <w:r w:rsidRPr="0022545E">
              <w:rPr>
                <w:sz w:val="20"/>
                <w:lang w:val="fr-CA"/>
              </w:rPr>
              <w:t xml:space="preserve"> du juge de première instance, si ce dernier n’a, à tort, trouvé aucune violation de la </w:t>
            </w:r>
            <w:r w:rsidRPr="0022545E">
              <w:rPr>
                <w:i/>
                <w:sz w:val="20"/>
                <w:lang w:val="fr-CA"/>
              </w:rPr>
              <w:t>Charte </w:t>
            </w:r>
            <w:r w:rsidRPr="0022545E">
              <w:rPr>
                <w:sz w:val="20"/>
                <w:lang w:val="fr-CA"/>
              </w:rPr>
              <w:t>?</w:t>
            </w:r>
            <w:r w:rsidRPr="0022545E">
              <w:rPr>
                <w:i/>
                <w:sz w:val="20"/>
                <w:lang w:val="fr-CA"/>
              </w:rPr>
              <w:t xml:space="preserve"> </w:t>
            </w:r>
            <w:r w:rsidRPr="0022545E">
              <w:rPr>
                <w:sz w:val="20"/>
                <w:lang w:val="fr-CA"/>
              </w:rPr>
              <w:t>— La Cour d’appel a-t-elle commis une erreur en soulevant de son propre chef la possibilité de découvrir la preuve afin de minimiser l’incidence des violations de la</w:t>
            </w:r>
            <w:r w:rsidRPr="0022545E">
              <w:rPr>
                <w:i/>
                <w:sz w:val="20"/>
                <w:lang w:val="fr-CA"/>
              </w:rPr>
              <w:t xml:space="preserve"> Charte </w:t>
            </w:r>
            <w:r w:rsidRPr="0022545E">
              <w:rPr>
                <w:sz w:val="20"/>
                <w:lang w:val="fr-CA"/>
              </w:rPr>
              <w:t xml:space="preserve">sur les droits garantis à l’accusé par la </w:t>
            </w:r>
            <w:r w:rsidRPr="0022545E">
              <w:rPr>
                <w:i/>
                <w:sz w:val="20"/>
                <w:lang w:val="fr-CA"/>
              </w:rPr>
              <w:t>Charte</w:t>
            </w:r>
            <w:r w:rsidRPr="0022545E">
              <w:rPr>
                <w:sz w:val="20"/>
                <w:lang w:val="fr-CA"/>
              </w:rPr>
              <w:t>,</w:t>
            </w:r>
            <w:r w:rsidRPr="0022545E">
              <w:rPr>
                <w:i/>
                <w:sz w:val="20"/>
                <w:lang w:val="fr-CA"/>
              </w:rPr>
              <w:t xml:space="preserve"> </w:t>
            </w:r>
            <w:r w:rsidRPr="0022545E">
              <w:rPr>
                <w:sz w:val="20"/>
                <w:lang w:val="fr-CA"/>
              </w:rPr>
              <w:t>sans observations de la Couronne ni conclusions factuelles du juge de première instance ?</w:t>
            </w:r>
          </w:p>
        </w:tc>
      </w:tr>
      <w:tr w:rsidR="00E40079" w:rsidRPr="0022545E" w:rsidTr="00E95A6A">
        <w:tc>
          <w:tcPr>
            <w:tcW w:w="5000" w:type="pct"/>
            <w:gridSpan w:val="4"/>
          </w:tcPr>
          <w:p w:rsidR="00E40079" w:rsidRPr="0022545E" w:rsidRDefault="00E40079" w:rsidP="00E40079">
            <w:pPr>
              <w:jc w:val="both"/>
              <w:rPr>
                <w:sz w:val="20"/>
                <w:lang w:val="fr-CA"/>
              </w:rPr>
            </w:pPr>
          </w:p>
          <w:p w:rsidR="00E40079" w:rsidRPr="0022545E" w:rsidRDefault="00E40079" w:rsidP="00E40079">
            <w:pPr>
              <w:jc w:val="both"/>
              <w:rPr>
                <w:sz w:val="20"/>
                <w:lang w:val="fr-CA"/>
              </w:rPr>
            </w:pPr>
            <w:r w:rsidRPr="0022545E">
              <w:rPr>
                <w:spacing w:val="-3"/>
                <w:sz w:val="20"/>
                <w:lang w:val="fr-CA"/>
              </w:rPr>
              <w:t xml:space="preserve">Des policiers ont arrêté monsieur St. Clair pour </w:t>
            </w:r>
            <w:r w:rsidRPr="0022545E">
              <w:rPr>
                <w:sz w:val="20"/>
                <w:lang w:val="fr-CA"/>
              </w:rPr>
              <w:t>possession de marijuana. Il a produit une véritable carte d’exemption médicale, mais le policier qui a procédé à l’arrestation croyait qu’elle était fausse</w:t>
            </w:r>
            <w:r w:rsidRPr="0022545E">
              <w:rPr>
                <w:spacing w:val="-2"/>
                <w:sz w:val="20"/>
                <w:lang w:val="fr-CA"/>
              </w:rPr>
              <w:t>. Les policiers ont fouillé sa voiture dans le cadre d’une fouille accessoire à l’arrestation et ont trouvé une arme de poing chargée</w:t>
            </w:r>
            <w:r w:rsidRPr="0022545E">
              <w:rPr>
                <w:sz w:val="20"/>
                <w:lang w:val="fr-CA"/>
              </w:rPr>
              <w:t xml:space="preserve">. Monsieur St. Clair a été soumis à une fouille à nu à la station de police et les policiers ont trouvé de la cocaïne. Une requête visant à écarter la preuve à l’égard de la violation de l’art. 8 et de l’art. 9 de la </w:t>
            </w:r>
            <w:r w:rsidRPr="0022545E">
              <w:rPr>
                <w:i/>
                <w:sz w:val="20"/>
                <w:lang w:val="fr-CA"/>
              </w:rPr>
              <w:t>Charte des droits et libertés</w:t>
            </w:r>
            <w:r w:rsidRPr="0022545E">
              <w:rPr>
                <w:sz w:val="20"/>
                <w:lang w:val="fr-CA"/>
              </w:rPr>
              <w:t xml:space="preserve"> a été rejetée. </w:t>
            </w:r>
            <w:r w:rsidRPr="0022545E">
              <w:rPr>
                <w:spacing w:val="-1"/>
                <w:sz w:val="20"/>
                <w:lang w:val="fr-CA"/>
              </w:rPr>
              <w:t xml:space="preserve">Monsieur St. Clair a été déclaré coupable de possession de cocaïne en vue d’en faire le trafic et d’infractions liées aux armes à feu. La Cour d’appel a conclu que les articles 8 et 9 de la </w:t>
            </w:r>
            <w:r w:rsidRPr="0022545E">
              <w:rPr>
                <w:i/>
                <w:spacing w:val="-1"/>
                <w:sz w:val="20"/>
                <w:lang w:val="fr-CA"/>
              </w:rPr>
              <w:t xml:space="preserve">Charte </w:t>
            </w:r>
            <w:r w:rsidRPr="0022545E">
              <w:rPr>
                <w:spacing w:val="-1"/>
                <w:sz w:val="20"/>
                <w:lang w:val="fr-CA"/>
              </w:rPr>
              <w:t xml:space="preserve">avaient été violés, mais que la preuve était admissible en vertu de l’art. 24(2) de la </w:t>
            </w:r>
            <w:r w:rsidRPr="0022545E">
              <w:rPr>
                <w:i/>
                <w:spacing w:val="-1"/>
                <w:sz w:val="20"/>
                <w:lang w:val="fr-CA"/>
              </w:rPr>
              <w:t>Charte</w:t>
            </w:r>
            <w:r w:rsidRPr="0022545E">
              <w:rPr>
                <w:spacing w:val="-1"/>
                <w:sz w:val="20"/>
                <w:lang w:val="fr-CA"/>
              </w:rPr>
              <w:t>. Elle a rejeté l’appel.</w:t>
            </w:r>
          </w:p>
        </w:tc>
      </w:tr>
      <w:tr w:rsidR="00E40079" w:rsidRPr="0022545E" w:rsidTr="00E95A6A">
        <w:tc>
          <w:tcPr>
            <w:tcW w:w="5000" w:type="pct"/>
            <w:gridSpan w:val="4"/>
          </w:tcPr>
          <w:p w:rsidR="00E40079" w:rsidRPr="0022545E" w:rsidRDefault="00E40079" w:rsidP="00E40079">
            <w:pPr>
              <w:jc w:val="both"/>
              <w:rPr>
                <w:sz w:val="20"/>
                <w:lang w:val="fr-CA"/>
              </w:rPr>
            </w:pPr>
          </w:p>
        </w:tc>
      </w:tr>
      <w:tr w:rsidR="00E40079" w:rsidRPr="0022545E" w:rsidTr="00E95A6A">
        <w:tc>
          <w:tcPr>
            <w:tcW w:w="2427" w:type="pct"/>
            <w:gridSpan w:val="2"/>
          </w:tcPr>
          <w:p w:rsidR="00E40079" w:rsidRPr="0022545E" w:rsidRDefault="00E40079" w:rsidP="00E40079">
            <w:pPr>
              <w:jc w:val="both"/>
              <w:rPr>
                <w:sz w:val="20"/>
                <w:lang w:val="fr-CA"/>
              </w:rPr>
            </w:pPr>
            <w:r w:rsidRPr="0022545E">
              <w:rPr>
                <w:sz w:val="20"/>
                <w:lang w:val="fr-CA"/>
              </w:rPr>
              <w:t>11 septembre 2018</w:t>
            </w:r>
          </w:p>
          <w:p w:rsidR="00E40079" w:rsidRPr="0022545E" w:rsidRDefault="00E40079" w:rsidP="00E40079">
            <w:pPr>
              <w:jc w:val="both"/>
              <w:rPr>
                <w:sz w:val="20"/>
                <w:lang w:val="fr-CA"/>
              </w:rPr>
            </w:pPr>
            <w:r w:rsidRPr="0022545E">
              <w:rPr>
                <w:sz w:val="20"/>
                <w:lang w:val="fr-CA"/>
              </w:rPr>
              <w:t>Cour supérieure de justice de l’Ontario</w:t>
            </w:r>
          </w:p>
          <w:p w:rsidR="00E40079" w:rsidRPr="0022545E" w:rsidRDefault="00E40079" w:rsidP="00E40079">
            <w:pPr>
              <w:jc w:val="both"/>
              <w:rPr>
                <w:sz w:val="20"/>
                <w:lang w:val="fr-CA"/>
              </w:rPr>
            </w:pPr>
            <w:r w:rsidRPr="0022545E">
              <w:rPr>
                <w:sz w:val="20"/>
                <w:lang w:val="fr-CA"/>
              </w:rPr>
              <w:t>(juge Campbell)</w:t>
            </w:r>
          </w:p>
          <w:p w:rsidR="00E40079" w:rsidRPr="0022545E" w:rsidRDefault="0022545E" w:rsidP="00E40079">
            <w:pPr>
              <w:jc w:val="both"/>
              <w:rPr>
                <w:sz w:val="20"/>
                <w:lang w:val="fr-CA"/>
              </w:rPr>
            </w:pPr>
            <w:hyperlink r:id="rId24" w:history="1">
              <w:r w:rsidR="00E40079" w:rsidRPr="0022545E">
                <w:rPr>
                  <w:rStyle w:val="Hyperlink"/>
                  <w:sz w:val="20"/>
                  <w:lang w:val="fr-CA"/>
                </w:rPr>
                <w:t>2018 ONSC 5173</w:t>
              </w:r>
            </w:hyperlink>
          </w:p>
          <w:p w:rsidR="00E40079" w:rsidRPr="0022545E" w:rsidRDefault="00E40079" w:rsidP="00E40079">
            <w:pPr>
              <w:jc w:val="both"/>
              <w:rPr>
                <w:sz w:val="20"/>
                <w:lang w:val="fr-CA"/>
              </w:rPr>
            </w:pPr>
          </w:p>
        </w:tc>
        <w:tc>
          <w:tcPr>
            <w:tcW w:w="243" w:type="pct"/>
          </w:tcPr>
          <w:p w:rsidR="00E40079" w:rsidRPr="0022545E" w:rsidRDefault="00E40079" w:rsidP="00E40079">
            <w:pPr>
              <w:jc w:val="both"/>
              <w:rPr>
                <w:sz w:val="20"/>
                <w:lang w:val="fr-CA"/>
              </w:rPr>
            </w:pPr>
          </w:p>
        </w:tc>
        <w:tc>
          <w:tcPr>
            <w:tcW w:w="2330" w:type="pct"/>
          </w:tcPr>
          <w:p w:rsidR="00E40079" w:rsidRPr="0022545E" w:rsidRDefault="00E40079" w:rsidP="00E40079">
            <w:pPr>
              <w:jc w:val="both"/>
              <w:rPr>
                <w:sz w:val="20"/>
                <w:lang w:val="fr-CA"/>
              </w:rPr>
            </w:pPr>
            <w:r w:rsidRPr="0022545E">
              <w:rPr>
                <w:sz w:val="20"/>
                <w:lang w:val="fr-CA"/>
              </w:rPr>
              <w:t>La preuve est jugée admissible.</w:t>
            </w:r>
          </w:p>
        </w:tc>
      </w:tr>
      <w:tr w:rsidR="00E40079" w:rsidRPr="0022545E" w:rsidTr="00E95A6A">
        <w:tc>
          <w:tcPr>
            <w:tcW w:w="2427" w:type="pct"/>
            <w:gridSpan w:val="2"/>
          </w:tcPr>
          <w:p w:rsidR="00E40079" w:rsidRPr="0022545E" w:rsidRDefault="00E40079" w:rsidP="00E40079">
            <w:pPr>
              <w:jc w:val="both"/>
              <w:rPr>
                <w:sz w:val="20"/>
                <w:lang w:val="fr-CA"/>
              </w:rPr>
            </w:pPr>
            <w:r w:rsidRPr="0022545E">
              <w:rPr>
                <w:sz w:val="20"/>
                <w:lang w:val="fr-CA"/>
              </w:rPr>
              <w:t>8 août 2018</w:t>
            </w:r>
          </w:p>
          <w:p w:rsidR="00E40079" w:rsidRPr="0022545E" w:rsidRDefault="00E40079" w:rsidP="00E40079">
            <w:pPr>
              <w:jc w:val="both"/>
              <w:rPr>
                <w:sz w:val="20"/>
                <w:lang w:val="fr-CA"/>
              </w:rPr>
            </w:pPr>
            <w:r w:rsidRPr="0022545E">
              <w:rPr>
                <w:sz w:val="20"/>
                <w:lang w:val="fr-CA"/>
              </w:rPr>
              <w:t xml:space="preserve">Cour supérieure de justice de l’Ontario </w:t>
            </w:r>
          </w:p>
          <w:p w:rsidR="00E40079" w:rsidRPr="0022545E" w:rsidRDefault="00E40079" w:rsidP="00E40079">
            <w:pPr>
              <w:jc w:val="both"/>
              <w:rPr>
                <w:sz w:val="20"/>
                <w:lang w:val="fr-CA"/>
              </w:rPr>
            </w:pPr>
            <w:r w:rsidRPr="0022545E">
              <w:rPr>
                <w:sz w:val="20"/>
                <w:lang w:val="fr-CA"/>
              </w:rPr>
              <w:t>(juge Campbell)</w:t>
            </w:r>
          </w:p>
          <w:p w:rsidR="00E40079" w:rsidRPr="0022545E" w:rsidRDefault="00E40079" w:rsidP="00E40079">
            <w:pPr>
              <w:jc w:val="both"/>
              <w:rPr>
                <w:sz w:val="20"/>
                <w:lang w:val="fr-CA"/>
              </w:rPr>
            </w:pPr>
          </w:p>
        </w:tc>
        <w:tc>
          <w:tcPr>
            <w:tcW w:w="243" w:type="pct"/>
          </w:tcPr>
          <w:p w:rsidR="00E40079" w:rsidRPr="0022545E" w:rsidRDefault="00E40079" w:rsidP="00E40079">
            <w:pPr>
              <w:jc w:val="both"/>
              <w:rPr>
                <w:sz w:val="20"/>
                <w:lang w:val="fr-CA"/>
              </w:rPr>
            </w:pPr>
          </w:p>
        </w:tc>
        <w:tc>
          <w:tcPr>
            <w:tcW w:w="2330" w:type="pct"/>
          </w:tcPr>
          <w:p w:rsidR="00E40079" w:rsidRPr="0022545E" w:rsidRDefault="00E40079" w:rsidP="00E40079">
            <w:pPr>
              <w:jc w:val="both"/>
              <w:rPr>
                <w:color w:val="000000"/>
                <w:sz w:val="20"/>
                <w:lang w:val="fr-CA"/>
              </w:rPr>
            </w:pPr>
            <w:r w:rsidRPr="0022545E">
              <w:rPr>
                <w:sz w:val="20"/>
                <w:lang w:val="fr-CA"/>
              </w:rPr>
              <w:t xml:space="preserve">Les déclarations de culpabilité pour </w:t>
            </w:r>
            <w:r w:rsidRPr="0022545E">
              <w:rPr>
                <w:color w:val="000000"/>
                <w:sz w:val="20"/>
                <w:lang w:val="fr-CA"/>
              </w:rPr>
              <w:t>possession de cocaïne en vue d’en faire le trafic et</w:t>
            </w:r>
            <w:r w:rsidRPr="0022545E">
              <w:rPr>
                <w:spacing w:val="-1"/>
                <w:sz w:val="20"/>
                <w:lang w:val="fr-CA"/>
              </w:rPr>
              <w:t xml:space="preserve"> infractions liées aux armes à feu</w:t>
            </w:r>
            <w:r w:rsidRPr="0022545E">
              <w:rPr>
                <w:color w:val="000000"/>
                <w:sz w:val="20"/>
                <w:lang w:val="fr-CA"/>
              </w:rPr>
              <w:t xml:space="preserve"> sont prononcées.</w:t>
            </w:r>
          </w:p>
          <w:p w:rsidR="00E40079" w:rsidRPr="0022545E" w:rsidRDefault="00E40079" w:rsidP="00E40079">
            <w:pPr>
              <w:jc w:val="both"/>
              <w:rPr>
                <w:sz w:val="20"/>
                <w:lang w:val="fr-CA"/>
              </w:rPr>
            </w:pPr>
          </w:p>
        </w:tc>
      </w:tr>
      <w:tr w:rsidR="00E40079" w:rsidRPr="0022545E" w:rsidTr="00E95A6A">
        <w:tc>
          <w:tcPr>
            <w:tcW w:w="2427" w:type="pct"/>
            <w:gridSpan w:val="2"/>
          </w:tcPr>
          <w:p w:rsidR="00E40079" w:rsidRPr="0022545E" w:rsidRDefault="00E40079" w:rsidP="00E40079">
            <w:pPr>
              <w:jc w:val="both"/>
              <w:rPr>
                <w:sz w:val="20"/>
                <w:lang w:val="fr-CA"/>
              </w:rPr>
            </w:pPr>
            <w:r w:rsidRPr="0022545E">
              <w:rPr>
                <w:sz w:val="20"/>
                <w:lang w:val="fr-CA"/>
              </w:rPr>
              <w:t>15 décembre 2021</w:t>
            </w:r>
          </w:p>
          <w:p w:rsidR="00E40079" w:rsidRPr="0022545E" w:rsidRDefault="00E40079" w:rsidP="00E40079">
            <w:pPr>
              <w:jc w:val="both"/>
              <w:rPr>
                <w:sz w:val="20"/>
                <w:lang w:val="fr-CA"/>
              </w:rPr>
            </w:pPr>
            <w:r w:rsidRPr="0022545E">
              <w:rPr>
                <w:sz w:val="20"/>
                <w:lang w:val="fr-CA"/>
              </w:rPr>
              <w:t>Cour d’appel de l’Ontario</w:t>
            </w:r>
          </w:p>
          <w:p w:rsidR="00E40079" w:rsidRPr="0022545E" w:rsidRDefault="00E40079" w:rsidP="00E40079">
            <w:pPr>
              <w:jc w:val="both"/>
              <w:rPr>
                <w:sz w:val="20"/>
                <w:lang w:val="fr-CA"/>
              </w:rPr>
            </w:pPr>
            <w:r w:rsidRPr="0022545E">
              <w:rPr>
                <w:sz w:val="20"/>
                <w:lang w:val="fr-CA"/>
              </w:rPr>
              <w:t>(juges Feldman, Miller, Paciocco)</w:t>
            </w:r>
          </w:p>
          <w:p w:rsidR="00E40079" w:rsidRPr="0022545E" w:rsidRDefault="0022545E" w:rsidP="00E40079">
            <w:pPr>
              <w:jc w:val="both"/>
              <w:rPr>
                <w:sz w:val="20"/>
                <w:lang w:val="fr-CA"/>
              </w:rPr>
            </w:pPr>
            <w:hyperlink r:id="rId25" w:history="1">
              <w:r w:rsidR="00E40079" w:rsidRPr="0022545E">
                <w:rPr>
                  <w:rStyle w:val="Hyperlink"/>
                  <w:sz w:val="20"/>
                  <w:lang w:val="fr-CA"/>
                </w:rPr>
                <w:t>2021 ONCA 895</w:t>
              </w:r>
            </w:hyperlink>
            <w:r w:rsidR="00E40079" w:rsidRPr="0022545E">
              <w:rPr>
                <w:sz w:val="20"/>
                <w:lang w:val="fr-CA"/>
              </w:rPr>
              <w:t>; C66388</w:t>
            </w:r>
          </w:p>
          <w:p w:rsidR="00E40079" w:rsidRPr="0022545E" w:rsidRDefault="00E40079" w:rsidP="00E40079">
            <w:pPr>
              <w:jc w:val="both"/>
              <w:rPr>
                <w:sz w:val="20"/>
                <w:lang w:val="fr-CA"/>
              </w:rPr>
            </w:pPr>
          </w:p>
        </w:tc>
        <w:tc>
          <w:tcPr>
            <w:tcW w:w="243" w:type="pct"/>
          </w:tcPr>
          <w:p w:rsidR="00E40079" w:rsidRPr="0022545E" w:rsidRDefault="00E40079" w:rsidP="00E40079">
            <w:pPr>
              <w:jc w:val="both"/>
              <w:rPr>
                <w:sz w:val="20"/>
                <w:lang w:val="fr-CA"/>
              </w:rPr>
            </w:pPr>
          </w:p>
        </w:tc>
        <w:tc>
          <w:tcPr>
            <w:tcW w:w="2330" w:type="pct"/>
          </w:tcPr>
          <w:p w:rsidR="00E40079" w:rsidRPr="0022545E" w:rsidRDefault="00E40079" w:rsidP="00E40079">
            <w:pPr>
              <w:jc w:val="both"/>
              <w:rPr>
                <w:sz w:val="20"/>
                <w:lang w:val="fr-CA"/>
              </w:rPr>
            </w:pPr>
            <w:r w:rsidRPr="0022545E">
              <w:rPr>
                <w:sz w:val="20"/>
                <w:lang w:val="fr-CA"/>
              </w:rPr>
              <w:t>L’appel est rejeté.</w:t>
            </w:r>
          </w:p>
          <w:p w:rsidR="00E40079" w:rsidRPr="0022545E" w:rsidRDefault="00E40079" w:rsidP="00E40079">
            <w:pPr>
              <w:jc w:val="both"/>
              <w:rPr>
                <w:sz w:val="20"/>
                <w:lang w:val="fr-CA"/>
              </w:rPr>
            </w:pPr>
          </w:p>
        </w:tc>
      </w:tr>
      <w:tr w:rsidR="00E40079" w:rsidRPr="0022545E" w:rsidTr="00E95A6A">
        <w:tc>
          <w:tcPr>
            <w:tcW w:w="2427" w:type="pct"/>
            <w:gridSpan w:val="2"/>
          </w:tcPr>
          <w:p w:rsidR="00E40079" w:rsidRPr="0022545E" w:rsidRDefault="00E40079" w:rsidP="00E40079">
            <w:pPr>
              <w:jc w:val="both"/>
              <w:rPr>
                <w:sz w:val="20"/>
                <w:lang w:val="fr-CA"/>
              </w:rPr>
            </w:pPr>
            <w:r w:rsidRPr="0022545E">
              <w:rPr>
                <w:sz w:val="20"/>
                <w:lang w:val="fr-CA"/>
              </w:rPr>
              <w:t>24 juin 2022</w:t>
            </w:r>
          </w:p>
          <w:p w:rsidR="00E40079" w:rsidRPr="0022545E" w:rsidRDefault="00E40079" w:rsidP="00E40079">
            <w:pPr>
              <w:jc w:val="both"/>
              <w:rPr>
                <w:sz w:val="20"/>
                <w:lang w:val="fr-CA"/>
              </w:rPr>
            </w:pPr>
            <w:r w:rsidRPr="0022545E">
              <w:rPr>
                <w:sz w:val="20"/>
                <w:lang w:val="fr-CA"/>
              </w:rPr>
              <w:t>Cour suprême du Canada</w:t>
            </w:r>
          </w:p>
        </w:tc>
        <w:tc>
          <w:tcPr>
            <w:tcW w:w="243" w:type="pct"/>
          </w:tcPr>
          <w:p w:rsidR="00E40079" w:rsidRPr="0022545E" w:rsidRDefault="00E40079" w:rsidP="00E40079">
            <w:pPr>
              <w:jc w:val="both"/>
              <w:rPr>
                <w:sz w:val="20"/>
                <w:lang w:val="fr-CA"/>
              </w:rPr>
            </w:pPr>
          </w:p>
        </w:tc>
        <w:tc>
          <w:tcPr>
            <w:tcW w:w="2330" w:type="pct"/>
          </w:tcPr>
          <w:p w:rsidR="00E40079" w:rsidRPr="0022545E" w:rsidRDefault="00E40079" w:rsidP="00E40079">
            <w:pPr>
              <w:jc w:val="both"/>
              <w:rPr>
                <w:sz w:val="20"/>
                <w:lang w:val="fr-CA"/>
              </w:rPr>
            </w:pPr>
            <w:r w:rsidRPr="0022545E">
              <w:rPr>
                <w:sz w:val="20"/>
                <w:lang w:val="fr-CA"/>
              </w:rPr>
              <w:t>La requête en vue de la prorogation du délai pour signifier et déposer une demande d’autorisation d’appel et la demande d’autorisation d’appel sont présentées.</w:t>
            </w:r>
          </w:p>
        </w:tc>
      </w:tr>
    </w:tbl>
    <w:p w:rsidR="00E40079" w:rsidRPr="0022545E" w:rsidRDefault="00E40079" w:rsidP="00E40079">
      <w:pPr>
        <w:jc w:val="both"/>
        <w:rPr>
          <w:sz w:val="20"/>
          <w:lang w:val="fr-CA"/>
        </w:rPr>
      </w:pPr>
    </w:p>
    <w:p w:rsidR="00EF176E" w:rsidRPr="0022545E" w:rsidRDefault="0022545E" w:rsidP="00E40079">
      <w:pPr>
        <w:jc w:val="both"/>
        <w:rPr>
          <w:sz w:val="20"/>
          <w:lang w:val="fr-CA"/>
        </w:rPr>
      </w:pPr>
      <w:r w:rsidRPr="0022545E">
        <w:rPr>
          <w:sz w:val="20"/>
        </w:rPr>
        <w:pict>
          <v:rect id="_x0000_i1032" style="width:2in;height:1pt" o:hrpct="0" o:hralign="center" o:hrstd="t" o:hrnoshade="t" o:hr="t" fillcolor="black [3213]" stroked="f"/>
        </w:pict>
      </w:r>
    </w:p>
    <w:p w:rsidR="00946739" w:rsidRPr="0022545E" w:rsidRDefault="00946739" w:rsidP="00E4007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584"/>
        <w:gridCol w:w="360"/>
        <w:gridCol w:w="4320"/>
      </w:tblGrid>
      <w:tr w:rsidR="00E40079" w:rsidRPr="0022545E" w:rsidTr="00E95A6A">
        <w:tc>
          <w:tcPr>
            <w:tcW w:w="543" w:type="pct"/>
          </w:tcPr>
          <w:p w:rsidR="00E40079" w:rsidRPr="0022545E" w:rsidRDefault="00E40079" w:rsidP="00E40079">
            <w:pPr>
              <w:jc w:val="both"/>
              <w:rPr>
                <w:sz w:val="20"/>
              </w:rPr>
            </w:pPr>
            <w:r w:rsidRPr="0022545E">
              <w:rPr>
                <w:rStyle w:val="SCCFileNumberChar"/>
                <w:sz w:val="20"/>
                <w:szCs w:val="20"/>
              </w:rPr>
              <w:t>40106</w:t>
            </w:r>
          </w:p>
        </w:tc>
        <w:tc>
          <w:tcPr>
            <w:tcW w:w="4457" w:type="pct"/>
            <w:gridSpan w:val="3"/>
          </w:tcPr>
          <w:p w:rsidR="00E40079" w:rsidRPr="0022545E" w:rsidRDefault="00E40079" w:rsidP="00E40079">
            <w:pPr>
              <w:pStyle w:val="SCCLsocParty"/>
              <w:jc w:val="both"/>
              <w:rPr>
                <w:b/>
                <w:sz w:val="20"/>
                <w:szCs w:val="20"/>
                <w:lang w:val="en-US"/>
              </w:rPr>
            </w:pPr>
            <w:r w:rsidRPr="0022545E">
              <w:rPr>
                <w:b/>
                <w:sz w:val="20"/>
                <w:szCs w:val="20"/>
                <w:lang w:val="en-US"/>
              </w:rPr>
              <w:t>Health Professions Review Board v. College of  Physicians and Surgeons of British Columbia, Roderick Warren Bell, David Dawson</w:t>
            </w:r>
          </w:p>
          <w:p w:rsidR="00E40079" w:rsidRPr="0022545E" w:rsidRDefault="00E40079" w:rsidP="00E40079">
            <w:pPr>
              <w:jc w:val="both"/>
              <w:rPr>
                <w:sz w:val="20"/>
              </w:rPr>
            </w:pPr>
            <w:r w:rsidRPr="0022545E">
              <w:rPr>
                <w:sz w:val="20"/>
              </w:rPr>
              <w:t>(B.C.) (Civil) (By Leave)</w:t>
            </w:r>
          </w:p>
        </w:tc>
      </w:tr>
      <w:tr w:rsidR="00E40079" w:rsidRPr="0022545E" w:rsidTr="00E95A6A">
        <w:tc>
          <w:tcPr>
            <w:tcW w:w="5000" w:type="pct"/>
            <w:gridSpan w:val="4"/>
          </w:tcPr>
          <w:p w:rsidR="00E40079" w:rsidRPr="0022545E" w:rsidRDefault="00E40079" w:rsidP="00E40079">
            <w:pPr>
              <w:jc w:val="both"/>
              <w:rPr>
                <w:sz w:val="20"/>
              </w:rPr>
            </w:pPr>
            <w:r w:rsidRPr="0022545E">
              <w:rPr>
                <w:sz w:val="20"/>
              </w:rPr>
              <w:t>Administrative law — Boards and tribunals — Jurisdiction — Health Professions Review Board — Judicial review — Standard of review — Reasonableness — Whether administrative tribunal assessing reasonableness is permitted to determine contours of “reasonableness” within context of its home statute — Whether administrative tribunal entitled to assess legality of first instance body’s action and whether disposition fell reasonably within its statutory authority to decide when determining reasonableness of first instance disposition — Whether court can disregard tribunal’s decision and undertake review as if it was reviewing the first instance decision when determining whether first instance body acted reasonably — Whether court on judicial review is required to review tribunal’s decision using deferential standard of review.</w:t>
            </w:r>
          </w:p>
        </w:tc>
      </w:tr>
      <w:tr w:rsidR="00E40079" w:rsidRPr="0022545E" w:rsidTr="00E95A6A">
        <w:tc>
          <w:tcPr>
            <w:tcW w:w="5000" w:type="pct"/>
            <w:gridSpan w:val="4"/>
          </w:tcPr>
          <w:p w:rsidR="00E40079" w:rsidRPr="0022545E" w:rsidRDefault="00E40079" w:rsidP="00E40079">
            <w:pPr>
              <w:jc w:val="both"/>
              <w:rPr>
                <w:sz w:val="20"/>
              </w:rPr>
            </w:pPr>
          </w:p>
        </w:tc>
      </w:tr>
      <w:tr w:rsidR="00E40079" w:rsidRPr="0022545E" w:rsidTr="00E95A6A">
        <w:tc>
          <w:tcPr>
            <w:tcW w:w="5000" w:type="pct"/>
            <w:gridSpan w:val="4"/>
          </w:tcPr>
          <w:p w:rsidR="00E40079" w:rsidRPr="0022545E" w:rsidRDefault="00E40079" w:rsidP="00E40079">
            <w:pPr>
              <w:jc w:val="both"/>
              <w:rPr>
                <w:sz w:val="20"/>
              </w:rPr>
            </w:pPr>
            <w:r w:rsidRPr="0022545E">
              <w:rPr>
                <w:sz w:val="20"/>
              </w:rPr>
              <w:t>Mr. Dawson filed a complaint with the College of Physicians and Surgeons alleging numerous poor clinical care by Dr. Bell, his general practitioner, over many years. Broadly, he made three complaints: Dr. Bell failed to refer him to a specialist early enough in dealing with a complaint, failed to recognize a carcinoma when dealing with lesions in an adjacent area, and mismanaged certain mental health concerns. The College streamed the complaint into its summary process, which meant that it would be dealt with by the Registrar. The Registrar found some aspects of the complaint to have merit (the use of complementary and alternative therapies were of concern, the risks and benefits of certain medications should have been reviewed, and referral to the specialist should have happened earlier), but did not reprimand or discipline Dr. Bell. The Inquiry Committee formalized the Registrar’s decision. The Board held that the College’s investigations were inadequate, and the inadequacy of the investigation made it impossible to assess the reasonableness of the disposition or to determine whether the result would have been the same even if the investigation had been adequate. In addition, the Board ruled that the matter should have been dealt with by an Inquiry Committee because the disposition of the complaint was not properly within the authority of the Registrar. The Inquiry Committee was directed to obtain additional evidence, to document the steps it took throughout the investigation, and to documents its reasons for the approach it selected for obtaining the additional evidence.</w:t>
            </w:r>
          </w:p>
          <w:p w:rsidR="00E40079" w:rsidRPr="0022545E" w:rsidRDefault="00E40079" w:rsidP="00E40079">
            <w:pPr>
              <w:jc w:val="both"/>
              <w:rPr>
                <w:sz w:val="20"/>
              </w:rPr>
            </w:pPr>
          </w:p>
          <w:p w:rsidR="00E40079" w:rsidRPr="0022545E" w:rsidRDefault="00E40079" w:rsidP="00E40079">
            <w:pPr>
              <w:jc w:val="both"/>
              <w:rPr>
                <w:sz w:val="20"/>
              </w:rPr>
            </w:pPr>
            <w:r w:rsidRPr="0022545E">
              <w:rPr>
                <w:sz w:val="20"/>
              </w:rPr>
              <w:t xml:space="preserve">On judicial review, the Board’s decision was set aside. The adequacy of the investigation and the reasonableness of the disposition </w:t>
            </w:r>
            <w:r w:rsidRPr="0022545E">
              <w:rPr>
                <w:spacing w:val="-2"/>
                <w:sz w:val="20"/>
              </w:rPr>
              <w:t>were remitted to a different panel of the Board for reconsideration.</w:t>
            </w:r>
            <w:r w:rsidRPr="0022545E">
              <w:rPr>
                <w:sz w:val="20"/>
                <w:lang w:eastAsia="en-CA"/>
              </w:rPr>
              <w:t xml:space="preserve"> </w:t>
            </w:r>
            <w:r w:rsidRPr="0022545E">
              <w:rPr>
                <w:spacing w:val="-2"/>
                <w:sz w:val="20"/>
              </w:rPr>
              <w:t>The Court of Appeal held that a Board considering the adequacy of an investigation was entitled to characterize the goals of the investigation and to make judgments as to whether the efforts expended were commensurate with those goals, provided that it did not act in a patently unreasonable manner. It reinstated the Board’s order that complaint be remitted to College for further consideration on amended conditions.</w:t>
            </w:r>
          </w:p>
          <w:p w:rsidR="00E40079" w:rsidRPr="0022545E" w:rsidRDefault="00E40079" w:rsidP="00E40079">
            <w:pPr>
              <w:jc w:val="both"/>
              <w:rPr>
                <w:sz w:val="20"/>
              </w:rPr>
            </w:pPr>
          </w:p>
        </w:tc>
      </w:tr>
      <w:tr w:rsidR="00E40079" w:rsidRPr="0022545E" w:rsidTr="00F26E36">
        <w:tc>
          <w:tcPr>
            <w:tcW w:w="2476" w:type="pct"/>
            <w:gridSpan w:val="2"/>
          </w:tcPr>
          <w:p w:rsidR="00E40079" w:rsidRPr="0022545E" w:rsidRDefault="00E40079" w:rsidP="00E40079">
            <w:pPr>
              <w:jc w:val="both"/>
              <w:rPr>
                <w:sz w:val="20"/>
              </w:rPr>
            </w:pPr>
            <w:r w:rsidRPr="0022545E">
              <w:rPr>
                <w:sz w:val="20"/>
              </w:rPr>
              <w:t>July 30, 2015</w:t>
            </w:r>
          </w:p>
          <w:p w:rsidR="00E40079" w:rsidRPr="0022545E" w:rsidRDefault="00E40079" w:rsidP="00E40079">
            <w:pPr>
              <w:jc w:val="both"/>
              <w:rPr>
                <w:sz w:val="20"/>
              </w:rPr>
            </w:pPr>
            <w:r w:rsidRPr="0022545E">
              <w:rPr>
                <w:sz w:val="20"/>
              </w:rPr>
              <w:t>Health Professions Review Board</w:t>
            </w:r>
          </w:p>
          <w:p w:rsidR="00E40079" w:rsidRPr="0022545E" w:rsidRDefault="00E40079" w:rsidP="00E40079">
            <w:pPr>
              <w:jc w:val="both"/>
              <w:rPr>
                <w:sz w:val="20"/>
              </w:rPr>
            </w:pPr>
            <w:r w:rsidRPr="0022545E">
              <w:rPr>
                <w:sz w:val="20"/>
              </w:rPr>
              <w:t>(Panel Chair)</w:t>
            </w:r>
          </w:p>
          <w:p w:rsidR="00E40079" w:rsidRPr="0022545E" w:rsidRDefault="0022545E" w:rsidP="00E40079">
            <w:pPr>
              <w:jc w:val="both"/>
              <w:rPr>
                <w:sz w:val="20"/>
              </w:rPr>
            </w:pPr>
            <w:hyperlink r:id="rId26" w:history="1">
              <w:r w:rsidR="00E40079" w:rsidRPr="0022545E">
                <w:rPr>
                  <w:rStyle w:val="Hyperlink"/>
                  <w:sz w:val="20"/>
                </w:rPr>
                <w:t>2015 BCHPRB 86</w:t>
              </w:r>
            </w:hyperlink>
          </w:p>
          <w:p w:rsidR="00E40079" w:rsidRPr="0022545E" w:rsidRDefault="00E40079" w:rsidP="00E40079">
            <w:pPr>
              <w:jc w:val="both"/>
              <w:rPr>
                <w:sz w:val="20"/>
              </w:rPr>
            </w:pPr>
          </w:p>
        </w:tc>
        <w:tc>
          <w:tcPr>
            <w:tcW w:w="194" w:type="pct"/>
          </w:tcPr>
          <w:p w:rsidR="00E40079" w:rsidRPr="0022545E" w:rsidRDefault="00E40079" w:rsidP="00E40079">
            <w:pPr>
              <w:jc w:val="both"/>
              <w:rPr>
                <w:sz w:val="20"/>
              </w:rPr>
            </w:pPr>
          </w:p>
        </w:tc>
        <w:tc>
          <w:tcPr>
            <w:tcW w:w="2330" w:type="pct"/>
          </w:tcPr>
          <w:p w:rsidR="00E40079" w:rsidRPr="0022545E" w:rsidRDefault="00E40079" w:rsidP="00E40079">
            <w:pPr>
              <w:jc w:val="both"/>
              <w:rPr>
                <w:sz w:val="20"/>
              </w:rPr>
            </w:pPr>
            <w:r w:rsidRPr="0022545E">
              <w:rPr>
                <w:sz w:val="20"/>
              </w:rPr>
              <w:t>Matter referred back to Inquiry Committee under s. 50.6 to reconsider on set conditions</w:t>
            </w:r>
          </w:p>
        </w:tc>
      </w:tr>
      <w:tr w:rsidR="00E40079" w:rsidRPr="0022545E" w:rsidTr="00F26E36">
        <w:tc>
          <w:tcPr>
            <w:tcW w:w="2476" w:type="pct"/>
            <w:gridSpan w:val="2"/>
          </w:tcPr>
          <w:p w:rsidR="00E40079" w:rsidRPr="0022545E" w:rsidRDefault="00E40079" w:rsidP="00E40079">
            <w:pPr>
              <w:jc w:val="both"/>
              <w:rPr>
                <w:sz w:val="20"/>
              </w:rPr>
            </w:pPr>
            <w:r w:rsidRPr="0022545E">
              <w:rPr>
                <w:sz w:val="20"/>
              </w:rPr>
              <w:t>November 16, 2018</w:t>
            </w:r>
          </w:p>
          <w:p w:rsidR="00E40079" w:rsidRPr="0022545E" w:rsidRDefault="00E40079" w:rsidP="00E40079">
            <w:pPr>
              <w:jc w:val="both"/>
              <w:rPr>
                <w:sz w:val="20"/>
              </w:rPr>
            </w:pPr>
            <w:r w:rsidRPr="0022545E">
              <w:rPr>
                <w:sz w:val="20"/>
              </w:rPr>
              <w:t>Supreme Court of British Columbia</w:t>
            </w:r>
          </w:p>
          <w:p w:rsidR="00E40079" w:rsidRPr="0022545E" w:rsidRDefault="00E40079" w:rsidP="00E40079">
            <w:pPr>
              <w:jc w:val="both"/>
              <w:rPr>
                <w:sz w:val="20"/>
              </w:rPr>
            </w:pPr>
            <w:r w:rsidRPr="0022545E">
              <w:rPr>
                <w:sz w:val="20"/>
              </w:rPr>
              <w:t>(Dardi J.)</w:t>
            </w:r>
          </w:p>
          <w:p w:rsidR="00E40079" w:rsidRPr="0022545E" w:rsidRDefault="0022545E" w:rsidP="00E40079">
            <w:pPr>
              <w:jc w:val="both"/>
              <w:rPr>
                <w:sz w:val="20"/>
              </w:rPr>
            </w:pPr>
            <w:hyperlink r:id="rId27" w:history="1">
              <w:r w:rsidR="00E40079" w:rsidRPr="0022545E">
                <w:rPr>
                  <w:rStyle w:val="Hyperlink"/>
                  <w:sz w:val="20"/>
                </w:rPr>
                <w:t>2018 BCSC 2021</w:t>
              </w:r>
            </w:hyperlink>
          </w:p>
          <w:p w:rsidR="00E40079" w:rsidRPr="0022545E" w:rsidRDefault="00E40079" w:rsidP="00E40079">
            <w:pPr>
              <w:jc w:val="both"/>
              <w:rPr>
                <w:sz w:val="20"/>
              </w:rPr>
            </w:pPr>
          </w:p>
        </w:tc>
        <w:tc>
          <w:tcPr>
            <w:tcW w:w="194" w:type="pct"/>
          </w:tcPr>
          <w:p w:rsidR="00E40079" w:rsidRPr="0022545E" w:rsidRDefault="00E40079" w:rsidP="00E40079">
            <w:pPr>
              <w:jc w:val="both"/>
              <w:rPr>
                <w:sz w:val="20"/>
              </w:rPr>
            </w:pPr>
          </w:p>
        </w:tc>
        <w:tc>
          <w:tcPr>
            <w:tcW w:w="2330" w:type="pct"/>
          </w:tcPr>
          <w:p w:rsidR="00E40079" w:rsidRPr="0022545E" w:rsidRDefault="00E40079" w:rsidP="00E40079">
            <w:pPr>
              <w:jc w:val="both"/>
              <w:rPr>
                <w:sz w:val="20"/>
              </w:rPr>
            </w:pPr>
            <w:r w:rsidRPr="0022545E">
              <w:rPr>
                <w:sz w:val="20"/>
              </w:rPr>
              <w:t>Review Board’s decision set aside; matter of adequacy of investigation and reasonableness of disposition remitted to different panel of Review Board for reconsideration</w:t>
            </w:r>
          </w:p>
          <w:p w:rsidR="00E40079" w:rsidRPr="0022545E" w:rsidRDefault="00E40079" w:rsidP="00E40079">
            <w:pPr>
              <w:jc w:val="both"/>
              <w:rPr>
                <w:sz w:val="20"/>
              </w:rPr>
            </w:pPr>
          </w:p>
        </w:tc>
      </w:tr>
      <w:tr w:rsidR="00E40079" w:rsidRPr="0022545E" w:rsidTr="00F26E36">
        <w:tc>
          <w:tcPr>
            <w:tcW w:w="2476" w:type="pct"/>
            <w:gridSpan w:val="2"/>
          </w:tcPr>
          <w:p w:rsidR="00E40079" w:rsidRPr="0022545E" w:rsidRDefault="00E40079" w:rsidP="00E40079">
            <w:pPr>
              <w:jc w:val="both"/>
              <w:rPr>
                <w:sz w:val="20"/>
              </w:rPr>
            </w:pPr>
            <w:r w:rsidRPr="0022545E">
              <w:rPr>
                <w:sz w:val="20"/>
              </w:rPr>
              <w:t>January 12, 2022</w:t>
            </w:r>
          </w:p>
          <w:p w:rsidR="00E40079" w:rsidRPr="0022545E" w:rsidRDefault="00E40079" w:rsidP="00E40079">
            <w:pPr>
              <w:jc w:val="both"/>
              <w:rPr>
                <w:spacing w:val="-8"/>
                <w:sz w:val="20"/>
              </w:rPr>
            </w:pPr>
            <w:r w:rsidRPr="0022545E">
              <w:rPr>
                <w:spacing w:val="-8"/>
                <w:sz w:val="20"/>
              </w:rPr>
              <w:t>Court of Appeal for British Columbia (Vancouver)</w:t>
            </w:r>
          </w:p>
          <w:p w:rsidR="00E40079" w:rsidRPr="0022545E" w:rsidRDefault="00E40079" w:rsidP="00E40079">
            <w:pPr>
              <w:jc w:val="both"/>
              <w:rPr>
                <w:spacing w:val="-8"/>
                <w:sz w:val="20"/>
              </w:rPr>
            </w:pPr>
            <w:r w:rsidRPr="0022545E">
              <w:rPr>
                <w:spacing w:val="-8"/>
                <w:sz w:val="20"/>
              </w:rPr>
              <w:t>(Frankel, Groberman, Harris, Fitch, Hunter JJ.A.)</w:t>
            </w:r>
          </w:p>
          <w:p w:rsidR="00E40079" w:rsidRPr="0022545E" w:rsidRDefault="0022545E" w:rsidP="00E40079">
            <w:pPr>
              <w:jc w:val="both"/>
              <w:rPr>
                <w:sz w:val="20"/>
              </w:rPr>
            </w:pPr>
            <w:hyperlink r:id="rId28" w:history="1">
              <w:r w:rsidR="00E40079" w:rsidRPr="0022545E">
                <w:rPr>
                  <w:rStyle w:val="Hyperlink"/>
                  <w:sz w:val="20"/>
                </w:rPr>
                <w:t>2022 BCCA 10</w:t>
              </w:r>
            </w:hyperlink>
          </w:p>
          <w:p w:rsidR="00E40079" w:rsidRPr="0022545E" w:rsidRDefault="00E40079" w:rsidP="00E40079">
            <w:pPr>
              <w:jc w:val="both"/>
              <w:rPr>
                <w:sz w:val="20"/>
              </w:rPr>
            </w:pPr>
          </w:p>
        </w:tc>
        <w:tc>
          <w:tcPr>
            <w:tcW w:w="194" w:type="pct"/>
          </w:tcPr>
          <w:p w:rsidR="00E40079" w:rsidRPr="0022545E" w:rsidRDefault="00E40079" w:rsidP="00E40079">
            <w:pPr>
              <w:jc w:val="both"/>
              <w:rPr>
                <w:sz w:val="20"/>
              </w:rPr>
            </w:pPr>
          </w:p>
        </w:tc>
        <w:tc>
          <w:tcPr>
            <w:tcW w:w="2330" w:type="pct"/>
          </w:tcPr>
          <w:p w:rsidR="00E40079" w:rsidRPr="0022545E" w:rsidRDefault="00E40079" w:rsidP="00E40079">
            <w:pPr>
              <w:jc w:val="both"/>
              <w:rPr>
                <w:sz w:val="20"/>
              </w:rPr>
            </w:pPr>
            <w:r w:rsidRPr="0022545E">
              <w:rPr>
                <w:sz w:val="20"/>
              </w:rPr>
              <w:t>Review Board’s order that complaint be remitted to College for further consideration reinstated on amended conditions</w:t>
            </w:r>
          </w:p>
          <w:p w:rsidR="00E40079" w:rsidRPr="0022545E" w:rsidRDefault="00E40079" w:rsidP="00E40079">
            <w:pPr>
              <w:jc w:val="both"/>
              <w:rPr>
                <w:sz w:val="20"/>
              </w:rPr>
            </w:pPr>
          </w:p>
        </w:tc>
      </w:tr>
      <w:tr w:rsidR="00E40079" w:rsidRPr="0022545E" w:rsidTr="00F26E36">
        <w:tc>
          <w:tcPr>
            <w:tcW w:w="2476" w:type="pct"/>
            <w:gridSpan w:val="2"/>
          </w:tcPr>
          <w:p w:rsidR="00E40079" w:rsidRPr="0022545E" w:rsidRDefault="00E40079" w:rsidP="00E40079">
            <w:pPr>
              <w:jc w:val="both"/>
              <w:rPr>
                <w:sz w:val="20"/>
              </w:rPr>
            </w:pPr>
            <w:r w:rsidRPr="0022545E">
              <w:rPr>
                <w:sz w:val="20"/>
              </w:rPr>
              <w:t>March 14, 2022</w:t>
            </w:r>
          </w:p>
          <w:p w:rsidR="00E40079" w:rsidRPr="0022545E" w:rsidRDefault="00E40079" w:rsidP="00E40079">
            <w:pPr>
              <w:jc w:val="both"/>
              <w:rPr>
                <w:sz w:val="20"/>
              </w:rPr>
            </w:pPr>
            <w:r w:rsidRPr="0022545E">
              <w:rPr>
                <w:sz w:val="20"/>
              </w:rPr>
              <w:t>Supreme Court of Canada</w:t>
            </w:r>
          </w:p>
        </w:tc>
        <w:tc>
          <w:tcPr>
            <w:tcW w:w="194" w:type="pct"/>
          </w:tcPr>
          <w:p w:rsidR="00E40079" w:rsidRPr="0022545E" w:rsidRDefault="00E40079" w:rsidP="00E40079">
            <w:pPr>
              <w:jc w:val="both"/>
              <w:rPr>
                <w:sz w:val="20"/>
              </w:rPr>
            </w:pPr>
          </w:p>
        </w:tc>
        <w:tc>
          <w:tcPr>
            <w:tcW w:w="2330" w:type="pct"/>
          </w:tcPr>
          <w:p w:rsidR="00E40079" w:rsidRPr="0022545E" w:rsidRDefault="00E40079" w:rsidP="00E40079">
            <w:pPr>
              <w:jc w:val="both"/>
              <w:rPr>
                <w:sz w:val="20"/>
              </w:rPr>
            </w:pPr>
            <w:r w:rsidRPr="0022545E">
              <w:rPr>
                <w:sz w:val="20"/>
              </w:rPr>
              <w:t>Application for leave to appeal filed</w:t>
            </w:r>
          </w:p>
          <w:p w:rsidR="00E40079" w:rsidRPr="0022545E" w:rsidRDefault="00E40079" w:rsidP="00E40079">
            <w:pPr>
              <w:jc w:val="both"/>
              <w:rPr>
                <w:sz w:val="20"/>
              </w:rPr>
            </w:pPr>
          </w:p>
        </w:tc>
      </w:tr>
    </w:tbl>
    <w:p w:rsidR="00E40079" w:rsidRPr="0022545E" w:rsidRDefault="00E40079" w:rsidP="00E40079">
      <w:pPr>
        <w:jc w:val="both"/>
        <w:rPr>
          <w:sz w:val="20"/>
        </w:rPr>
      </w:pPr>
    </w:p>
    <w:p w:rsidR="00EF176E" w:rsidRPr="0022545E" w:rsidRDefault="0022545E" w:rsidP="00E40079">
      <w:pPr>
        <w:jc w:val="both"/>
        <w:rPr>
          <w:sz w:val="20"/>
        </w:rPr>
      </w:pPr>
      <w:r w:rsidRPr="0022545E">
        <w:rPr>
          <w:sz w:val="20"/>
        </w:rPr>
        <w:pict>
          <v:rect id="_x0000_i1033" style="width:2in;height:1pt" o:hrpct="0" o:hralign="center" o:hrstd="t" o:hrnoshade="t" o:hr="t" fillcolor="black [3213]" stroked="f"/>
        </w:pict>
      </w:r>
    </w:p>
    <w:p w:rsidR="00EF176E" w:rsidRPr="0022545E" w:rsidRDefault="00EF176E" w:rsidP="00E4007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584"/>
        <w:gridCol w:w="360"/>
        <w:gridCol w:w="4320"/>
      </w:tblGrid>
      <w:tr w:rsidR="00E40079" w:rsidRPr="0022545E" w:rsidTr="00E95A6A">
        <w:tc>
          <w:tcPr>
            <w:tcW w:w="543" w:type="pct"/>
          </w:tcPr>
          <w:p w:rsidR="00E40079" w:rsidRPr="0022545E" w:rsidRDefault="00E40079" w:rsidP="00E40079">
            <w:pPr>
              <w:jc w:val="both"/>
              <w:rPr>
                <w:sz w:val="20"/>
                <w:lang w:val="fr-CA"/>
              </w:rPr>
            </w:pPr>
            <w:r w:rsidRPr="0022545E">
              <w:rPr>
                <w:rStyle w:val="SCCFileNumberChar"/>
                <w:sz w:val="20"/>
                <w:szCs w:val="20"/>
                <w:lang w:val="fr-CA"/>
              </w:rPr>
              <w:t>40106</w:t>
            </w:r>
          </w:p>
        </w:tc>
        <w:tc>
          <w:tcPr>
            <w:tcW w:w="4457" w:type="pct"/>
            <w:gridSpan w:val="3"/>
          </w:tcPr>
          <w:p w:rsidR="00E40079" w:rsidRPr="0022545E" w:rsidRDefault="00E40079" w:rsidP="00E40079">
            <w:pPr>
              <w:pStyle w:val="SCCLsocParty"/>
              <w:jc w:val="both"/>
              <w:rPr>
                <w:b/>
                <w:sz w:val="20"/>
                <w:szCs w:val="20"/>
                <w:lang w:val="en-US"/>
              </w:rPr>
            </w:pPr>
            <w:r w:rsidRPr="0022545E">
              <w:rPr>
                <w:b/>
                <w:sz w:val="20"/>
                <w:szCs w:val="20"/>
                <w:lang w:val="en-US"/>
              </w:rPr>
              <w:t>Health Professions Review Board c. College of  Physicians and Surgeons of British Columbia, Roderick Warren Bell, David Dawson</w:t>
            </w:r>
          </w:p>
          <w:p w:rsidR="00E40079" w:rsidRPr="0022545E" w:rsidRDefault="00E40079" w:rsidP="00EF176E">
            <w:pPr>
              <w:jc w:val="both"/>
              <w:rPr>
                <w:sz w:val="20"/>
                <w:lang w:val="fr-CA"/>
              </w:rPr>
            </w:pPr>
            <w:r w:rsidRPr="0022545E">
              <w:rPr>
                <w:sz w:val="20"/>
                <w:lang w:val="fr-CA"/>
              </w:rPr>
              <w:t>(C.-B.) (</w:t>
            </w:r>
            <w:r w:rsidR="00EF176E" w:rsidRPr="0022545E">
              <w:rPr>
                <w:sz w:val="20"/>
                <w:lang w:val="fr-CA"/>
              </w:rPr>
              <w:t>C</w:t>
            </w:r>
            <w:r w:rsidRPr="0022545E">
              <w:rPr>
                <w:sz w:val="20"/>
                <w:lang w:val="fr-CA"/>
              </w:rPr>
              <w:t>ivile) (</w:t>
            </w:r>
            <w:r w:rsidR="00EF176E" w:rsidRPr="0022545E">
              <w:rPr>
                <w:sz w:val="20"/>
                <w:lang w:val="fr-CA"/>
              </w:rPr>
              <w:t>S</w:t>
            </w:r>
            <w:r w:rsidRPr="0022545E">
              <w:rPr>
                <w:sz w:val="20"/>
                <w:lang w:val="fr-CA"/>
              </w:rPr>
              <w:t>ur autorisation)</w:t>
            </w:r>
          </w:p>
        </w:tc>
      </w:tr>
      <w:tr w:rsidR="00E40079" w:rsidRPr="0022545E" w:rsidTr="00E95A6A">
        <w:tc>
          <w:tcPr>
            <w:tcW w:w="5000" w:type="pct"/>
            <w:gridSpan w:val="4"/>
          </w:tcPr>
          <w:p w:rsidR="00E40079" w:rsidRPr="0022545E" w:rsidRDefault="00E40079" w:rsidP="00E40079">
            <w:pPr>
              <w:jc w:val="both"/>
              <w:rPr>
                <w:sz w:val="20"/>
                <w:lang w:val="fr-CA"/>
              </w:rPr>
            </w:pPr>
            <w:r w:rsidRPr="0022545E">
              <w:rPr>
                <w:sz w:val="20"/>
                <w:lang w:val="fr-CA"/>
              </w:rPr>
              <w:t xml:space="preserve">Droit administratif — Organismes et tribunaux administratifs — Compétence — </w:t>
            </w:r>
            <w:r w:rsidRPr="0022545E">
              <w:rPr>
                <w:color w:val="000000"/>
                <w:sz w:val="20"/>
                <w:lang w:val="fr-CA"/>
              </w:rPr>
              <w:t>Commission d’examen des professions de la santé</w:t>
            </w:r>
            <w:r w:rsidRPr="0022545E">
              <w:rPr>
                <w:sz w:val="20"/>
                <w:lang w:val="fr-CA"/>
              </w:rPr>
              <w:t xml:space="preserve"> — Contrôle judiciaire — Norme de contrôle — Caractère raisonnable — Est-il permis à un tribunal administratif, dans son appréciation du caractère raisonnable, de tracer les limites du « caractère raisonnable » dans le contexte de sa loi habilitante? — Un tribunal administratif a-t-il le droit d’évaluer le caractère légal de l’action d’un organe de première instance et si la conclusion tirée par ce dernier relevait des pouvoirs de décider que lui confère la loi, lorsqu’il détermine le caractère raisonnable de la conclusion en première instance? — Une cour peut-elle ignorer la décision du tribunal administratif et entreprendre le contrôle de celle-ci comme si elle examinait la décision de première instance lorsqu’elle tranche la question de savoir si l’organe de première instance a agi de façon raisonnable? — Une cour est-elle tenue, lors du contrôle judiciaire, d’examiner la décision du tribunal administratif suivant une norme de contrôle empreinte de déférence?</w:t>
            </w:r>
          </w:p>
        </w:tc>
      </w:tr>
      <w:tr w:rsidR="00E40079" w:rsidRPr="0022545E" w:rsidTr="00E95A6A">
        <w:tc>
          <w:tcPr>
            <w:tcW w:w="5000" w:type="pct"/>
            <w:gridSpan w:val="4"/>
          </w:tcPr>
          <w:p w:rsidR="00E40079" w:rsidRPr="0022545E" w:rsidRDefault="00E40079" w:rsidP="00E40079">
            <w:pPr>
              <w:jc w:val="both"/>
              <w:rPr>
                <w:sz w:val="20"/>
                <w:lang w:val="fr-CA"/>
              </w:rPr>
            </w:pPr>
          </w:p>
        </w:tc>
      </w:tr>
      <w:tr w:rsidR="00E40079" w:rsidRPr="0022545E" w:rsidTr="00E95A6A">
        <w:tc>
          <w:tcPr>
            <w:tcW w:w="5000" w:type="pct"/>
            <w:gridSpan w:val="4"/>
          </w:tcPr>
          <w:p w:rsidR="00E40079" w:rsidRPr="0022545E" w:rsidRDefault="00E40079" w:rsidP="00E40079">
            <w:pPr>
              <w:jc w:val="both"/>
              <w:rPr>
                <w:sz w:val="20"/>
                <w:lang w:val="fr-CA"/>
              </w:rPr>
            </w:pPr>
            <w:r w:rsidRPr="0022545E">
              <w:rPr>
                <w:sz w:val="20"/>
                <w:lang w:val="fr-CA"/>
              </w:rPr>
              <w:t xml:space="preserve">Monsieur Dawson a porté plainte auprès du College of Physicians and Surgeons (le Collège) alléguant que le docteur Bell, son omnipraticien, lui avait prodigué de mauvais soins cliniques à maintes reprises, pendant de nombreuses années. En gros, il a formulé trois plaintes : le Dr Bell a omis de le diriger vers un spécialiste assez rapidement lorsqu’il s’est plaint de maux, n’a pas identifié un carcinome lorsqu’il traitait des lésions adjacentes, et a mal géré certaines préoccupations en matière de santé mentale. Le Collège a traité sa plainte par voie de procédure sommaire, ce qui signifiait qu’elle serait réglée par le registraire. Le registraire a conclu que certains aspects de la plainte étaient bien fondés (le recours à des thérapies complémentaires et alternatives était préoccupant, les risques et avantages de certains médicaments auraient dû avoir été passés en revue, et le renvoi à un spécialiste aurait dû se faire plus tôt), mais il n’a pas réprimandé le Dr Bell ni pris des mesures disciplinaires à son endroit. Le comité d’enquête a officialisé la décision du registraire. La Health Professions Review Board (la </w:t>
            </w:r>
            <w:r w:rsidRPr="0022545E">
              <w:rPr>
                <w:color w:val="000000"/>
                <w:sz w:val="20"/>
                <w:lang w:val="fr-CA"/>
              </w:rPr>
              <w:t>Commission d’examen des professions de la santé)</w:t>
            </w:r>
            <w:r w:rsidRPr="0022545E">
              <w:rPr>
                <w:sz w:val="20"/>
                <w:lang w:val="fr-CA"/>
              </w:rPr>
              <w:t xml:space="preserve"> a conclu que les enquêtes menées par le Collège étaient inadéquates, et que le caractère inadéquat de celles-ci faisait en sorte qu’il était impossible d’évaluer le caractère raisonnable de la conclusion tirée ou de déterminer si le résultat aurait été le même si l’enquête avait été adéquate. En outre, la </w:t>
            </w:r>
            <w:r w:rsidRPr="0022545E">
              <w:rPr>
                <w:color w:val="000000"/>
                <w:sz w:val="20"/>
                <w:lang w:val="fr-CA"/>
              </w:rPr>
              <w:t>Commission d’examen des professions de la santé</w:t>
            </w:r>
            <w:r w:rsidRPr="0022545E">
              <w:rPr>
                <w:sz w:val="20"/>
                <w:lang w:val="fr-CA"/>
              </w:rPr>
              <w:t xml:space="preserve"> a conclu qu’un comité d’enquête aurait dû être saisi de l’affaire puisqu’il ne relevait pas dûment de la compétence du registraire de trancher celle-ci. Il a été ordonné au comité d’enquête d’obtenir d’autres éléments de preuve, de consigner les démarches entreprises au cours de l’enquête, et de consigner les motifs pour son choix d’approche visant à obtenir d’autres éléments de preuve.</w:t>
            </w:r>
          </w:p>
          <w:p w:rsidR="00E40079" w:rsidRPr="0022545E" w:rsidRDefault="00E40079" w:rsidP="00E40079">
            <w:pPr>
              <w:jc w:val="both"/>
              <w:rPr>
                <w:sz w:val="20"/>
                <w:lang w:val="fr-CA"/>
              </w:rPr>
            </w:pPr>
          </w:p>
          <w:p w:rsidR="00E40079" w:rsidRPr="0022545E" w:rsidRDefault="00E40079" w:rsidP="00E40079">
            <w:pPr>
              <w:jc w:val="both"/>
              <w:rPr>
                <w:sz w:val="20"/>
                <w:lang w:val="fr-CA"/>
              </w:rPr>
            </w:pPr>
            <w:r w:rsidRPr="0022545E">
              <w:rPr>
                <w:sz w:val="20"/>
                <w:lang w:val="fr-CA"/>
              </w:rPr>
              <w:t>Lors du contrôle judiciaire, la décision de la</w:t>
            </w:r>
            <w:r w:rsidRPr="0022545E">
              <w:rPr>
                <w:color w:val="000000"/>
                <w:sz w:val="20"/>
                <w:lang w:val="fr-CA"/>
              </w:rPr>
              <w:t xml:space="preserve"> Commission d’examen des professions de la santé</w:t>
            </w:r>
            <w:r w:rsidRPr="0022545E">
              <w:rPr>
                <w:sz w:val="20"/>
                <w:lang w:val="fr-CA"/>
              </w:rPr>
              <w:t xml:space="preserve"> a été annulée. Les questions du caractère suffisant de l’enquête et du caractère raisonnable de la conclusion tirée ont été renvoyées à une différente formation de la Commission pour réexamen</w:t>
            </w:r>
            <w:r w:rsidRPr="0022545E">
              <w:rPr>
                <w:spacing w:val="-2"/>
                <w:sz w:val="20"/>
                <w:lang w:val="fr-CA"/>
              </w:rPr>
              <w:t>.</w:t>
            </w:r>
            <w:r w:rsidRPr="0022545E">
              <w:rPr>
                <w:sz w:val="20"/>
                <w:lang w:val="fr-CA" w:eastAsia="en-CA"/>
              </w:rPr>
              <w:t xml:space="preserve"> La</w:t>
            </w:r>
            <w:r w:rsidRPr="0022545E">
              <w:rPr>
                <w:spacing w:val="-2"/>
                <w:sz w:val="20"/>
                <w:lang w:val="fr-CA"/>
              </w:rPr>
              <w:t xml:space="preserve"> Cour d’appel a statué que, dans le cadre de son examen du caractère adéquat de l’enquête, la Commission avait le droit de caractériser les objectifs de l’enquête et de se prononcer à savoir si les efforts déployés étaient proportionnels avec ces objectifs, pourvu qu’elle n’agisse pas de façon manifestement déraisonnable. Elle a rétabli l’ordonnance de la Commission portant que la plainte soit renvoyée au Collège pour réexamen selon des conditions modifiées.</w:t>
            </w:r>
          </w:p>
          <w:p w:rsidR="00E40079" w:rsidRPr="0022545E" w:rsidRDefault="00E40079" w:rsidP="00E40079">
            <w:pPr>
              <w:jc w:val="both"/>
              <w:rPr>
                <w:sz w:val="20"/>
                <w:lang w:val="fr-CA"/>
              </w:rPr>
            </w:pPr>
          </w:p>
        </w:tc>
      </w:tr>
      <w:tr w:rsidR="00E40079" w:rsidRPr="0022545E" w:rsidTr="00F26E36">
        <w:tc>
          <w:tcPr>
            <w:tcW w:w="2476" w:type="pct"/>
            <w:gridSpan w:val="2"/>
          </w:tcPr>
          <w:p w:rsidR="00E40079" w:rsidRPr="0022545E" w:rsidRDefault="00E40079" w:rsidP="00E40079">
            <w:pPr>
              <w:jc w:val="both"/>
              <w:rPr>
                <w:sz w:val="20"/>
                <w:lang w:val="fr-CA"/>
              </w:rPr>
            </w:pPr>
            <w:r w:rsidRPr="0022545E">
              <w:rPr>
                <w:sz w:val="20"/>
                <w:lang w:val="fr-CA"/>
              </w:rPr>
              <w:t>30 juillet 2015</w:t>
            </w:r>
          </w:p>
          <w:p w:rsidR="00E40079" w:rsidRPr="0022545E" w:rsidRDefault="00E40079" w:rsidP="00E40079">
            <w:pPr>
              <w:jc w:val="both"/>
              <w:rPr>
                <w:sz w:val="20"/>
                <w:lang w:val="fr-CA"/>
              </w:rPr>
            </w:pPr>
            <w:r w:rsidRPr="0022545E">
              <w:rPr>
                <w:sz w:val="20"/>
                <w:lang w:val="fr-CA"/>
              </w:rPr>
              <w:t>Health Professions Review Board</w:t>
            </w:r>
          </w:p>
          <w:p w:rsidR="00E40079" w:rsidRPr="0022545E" w:rsidRDefault="00E40079" w:rsidP="00E40079">
            <w:pPr>
              <w:jc w:val="both"/>
              <w:rPr>
                <w:sz w:val="20"/>
                <w:lang w:val="fr-CA"/>
              </w:rPr>
            </w:pPr>
            <w:r w:rsidRPr="0022545E">
              <w:rPr>
                <w:sz w:val="20"/>
                <w:lang w:val="fr-CA"/>
              </w:rPr>
              <w:t>(présidente du panel)</w:t>
            </w:r>
          </w:p>
          <w:p w:rsidR="00E40079" w:rsidRPr="0022545E" w:rsidRDefault="0022545E" w:rsidP="00E40079">
            <w:pPr>
              <w:jc w:val="both"/>
              <w:rPr>
                <w:sz w:val="20"/>
                <w:lang w:val="fr-CA"/>
              </w:rPr>
            </w:pPr>
            <w:hyperlink r:id="rId29" w:history="1">
              <w:r w:rsidR="00E40079" w:rsidRPr="0022545E">
                <w:rPr>
                  <w:rStyle w:val="Hyperlink"/>
                  <w:sz w:val="20"/>
                  <w:lang w:val="fr-CA"/>
                </w:rPr>
                <w:t>2015 BCHPRB 86</w:t>
              </w:r>
            </w:hyperlink>
          </w:p>
          <w:p w:rsidR="00E40079" w:rsidRPr="0022545E" w:rsidRDefault="00E40079" w:rsidP="00E40079">
            <w:pPr>
              <w:jc w:val="both"/>
              <w:rPr>
                <w:sz w:val="20"/>
                <w:lang w:val="fr-CA"/>
              </w:rPr>
            </w:pPr>
          </w:p>
        </w:tc>
        <w:tc>
          <w:tcPr>
            <w:tcW w:w="194" w:type="pct"/>
          </w:tcPr>
          <w:p w:rsidR="00E40079" w:rsidRPr="0022545E" w:rsidRDefault="00E40079" w:rsidP="00E40079">
            <w:pPr>
              <w:jc w:val="both"/>
              <w:rPr>
                <w:sz w:val="20"/>
                <w:lang w:val="fr-CA"/>
              </w:rPr>
            </w:pPr>
          </w:p>
        </w:tc>
        <w:tc>
          <w:tcPr>
            <w:tcW w:w="2330" w:type="pct"/>
          </w:tcPr>
          <w:p w:rsidR="00E40079" w:rsidRPr="0022545E" w:rsidRDefault="00E40079" w:rsidP="00E40079">
            <w:pPr>
              <w:jc w:val="both"/>
              <w:rPr>
                <w:sz w:val="20"/>
                <w:lang w:val="fr-CA"/>
              </w:rPr>
            </w:pPr>
            <w:r w:rsidRPr="0022545E">
              <w:rPr>
                <w:sz w:val="20"/>
                <w:lang w:val="fr-CA"/>
              </w:rPr>
              <w:t>L’affaire est renvoyée au comité d’enquête en vertu de l’art. 50.6 pour réexamen selon des conditions fixes.</w:t>
            </w:r>
          </w:p>
        </w:tc>
      </w:tr>
      <w:tr w:rsidR="00E40079" w:rsidRPr="0022545E" w:rsidTr="00F26E36">
        <w:tc>
          <w:tcPr>
            <w:tcW w:w="2476" w:type="pct"/>
            <w:gridSpan w:val="2"/>
          </w:tcPr>
          <w:p w:rsidR="00E40079" w:rsidRPr="0022545E" w:rsidRDefault="00E40079" w:rsidP="00E40079">
            <w:pPr>
              <w:jc w:val="both"/>
              <w:rPr>
                <w:sz w:val="20"/>
                <w:lang w:val="fr-CA"/>
              </w:rPr>
            </w:pPr>
            <w:r w:rsidRPr="0022545E">
              <w:rPr>
                <w:sz w:val="20"/>
                <w:lang w:val="fr-CA"/>
              </w:rPr>
              <w:t>16 novembre 2018</w:t>
            </w:r>
          </w:p>
          <w:p w:rsidR="00E40079" w:rsidRPr="0022545E" w:rsidRDefault="00E40079" w:rsidP="00E40079">
            <w:pPr>
              <w:jc w:val="both"/>
              <w:rPr>
                <w:sz w:val="20"/>
                <w:lang w:val="fr-CA"/>
              </w:rPr>
            </w:pPr>
            <w:r w:rsidRPr="0022545E">
              <w:rPr>
                <w:sz w:val="20"/>
                <w:lang w:val="fr-CA"/>
              </w:rPr>
              <w:t>Cour suprême de la Colombie-Britannique</w:t>
            </w:r>
          </w:p>
          <w:p w:rsidR="00E40079" w:rsidRPr="0022545E" w:rsidRDefault="00E40079" w:rsidP="00E40079">
            <w:pPr>
              <w:jc w:val="both"/>
              <w:rPr>
                <w:sz w:val="20"/>
                <w:lang w:val="fr-CA"/>
              </w:rPr>
            </w:pPr>
            <w:r w:rsidRPr="0022545E">
              <w:rPr>
                <w:sz w:val="20"/>
                <w:lang w:val="fr-CA"/>
              </w:rPr>
              <w:t>(juge Dardi)</w:t>
            </w:r>
          </w:p>
          <w:p w:rsidR="00E40079" w:rsidRPr="0022545E" w:rsidRDefault="0022545E" w:rsidP="00E40079">
            <w:pPr>
              <w:jc w:val="both"/>
              <w:rPr>
                <w:sz w:val="20"/>
                <w:lang w:val="fr-CA"/>
              </w:rPr>
            </w:pPr>
            <w:hyperlink r:id="rId30" w:history="1">
              <w:r w:rsidR="00E40079" w:rsidRPr="0022545E">
                <w:rPr>
                  <w:rStyle w:val="Hyperlink"/>
                  <w:sz w:val="20"/>
                  <w:lang w:val="fr-CA"/>
                </w:rPr>
                <w:t>2018 BCSC 2021</w:t>
              </w:r>
            </w:hyperlink>
          </w:p>
          <w:p w:rsidR="00E40079" w:rsidRPr="0022545E" w:rsidRDefault="00E40079" w:rsidP="00E40079">
            <w:pPr>
              <w:jc w:val="both"/>
              <w:rPr>
                <w:sz w:val="20"/>
                <w:lang w:val="fr-CA"/>
              </w:rPr>
            </w:pPr>
          </w:p>
        </w:tc>
        <w:tc>
          <w:tcPr>
            <w:tcW w:w="194" w:type="pct"/>
          </w:tcPr>
          <w:p w:rsidR="00E40079" w:rsidRPr="0022545E" w:rsidRDefault="00E40079" w:rsidP="00E40079">
            <w:pPr>
              <w:jc w:val="both"/>
              <w:rPr>
                <w:sz w:val="20"/>
                <w:lang w:val="fr-CA"/>
              </w:rPr>
            </w:pPr>
          </w:p>
        </w:tc>
        <w:tc>
          <w:tcPr>
            <w:tcW w:w="2330" w:type="pct"/>
          </w:tcPr>
          <w:p w:rsidR="00E40079" w:rsidRPr="0022545E" w:rsidRDefault="00E40079" w:rsidP="00E40079">
            <w:pPr>
              <w:jc w:val="both"/>
              <w:rPr>
                <w:sz w:val="20"/>
                <w:lang w:val="fr-CA"/>
              </w:rPr>
            </w:pPr>
            <w:r w:rsidRPr="0022545E">
              <w:rPr>
                <w:sz w:val="20"/>
                <w:lang w:val="fr-CA"/>
              </w:rPr>
              <w:t xml:space="preserve">La décision de la </w:t>
            </w:r>
            <w:r w:rsidRPr="0022545E">
              <w:rPr>
                <w:color w:val="000000"/>
                <w:sz w:val="20"/>
                <w:lang w:val="fr-CA"/>
              </w:rPr>
              <w:t xml:space="preserve">Commission d’examen est annulée. </w:t>
            </w:r>
            <w:r w:rsidRPr="0022545E">
              <w:rPr>
                <w:sz w:val="20"/>
                <w:lang w:val="fr-CA"/>
              </w:rPr>
              <w:t>Les questions du caractère suffisant de l’enquête et du caractère raisonnable de la conclusion tirée sont renvoyées à une différente formation de la Commission pour réexamen.</w:t>
            </w:r>
          </w:p>
          <w:p w:rsidR="00E40079" w:rsidRPr="0022545E" w:rsidRDefault="00E40079" w:rsidP="00E40079">
            <w:pPr>
              <w:jc w:val="both"/>
              <w:rPr>
                <w:sz w:val="20"/>
                <w:lang w:val="fr-CA"/>
              </w:rPr>
            </w:pPr>
          </w:p>
        </w:tc>
      </w:tr>
      <w:tr w:rsidR="00E40079" w:rsidRPr="0022545E" w:rsidTr="00F26E36">
        <w:tc>
          <w:tcPr>
            <w:tcW w:w="2476" w:type="pct"/>
            <w:gridSpan w:val="2"/>
          </w:tcPr>
          <w:p w:rsidR="00E40079" w:rsidRPr="0022545E" w:rsidRDefault="00E40079" w:rsidP="00E40079">
            <w:pPr>
              <w:jc w:val="both"/>
              <w:rPr>
                <w:sz w:val="20"/>
                <w:lang w:val="fr-CA"/>
              </w:rPr>
            </w:pPr>
            <w:r w:rsidRPr="0022545E">
              <w:rPr>
                <w:sz w:val="20"/>
                <w:lang w:val="fr-CA"/>
              </w:rPr>
              <w:t>12 janvier 2022</w:t>
            </w:r>
          </w:p>
          <w:p w:rsidR="00E40079" w:rsidRPr="0022545E" w:rsidRDefault="00E40079" w:rsidP="00E40079">
            <w:pPr>
              <w:jc w:val="both"/>
              <w:rPr>
                <w:sz w:val="20"/>
                <w:lang w:val="fr-CA"/>
              </w:rPr>
            </w:pPr>
            <w:r w:rsidRPr="0022545E">
              <w:rPr>
                <w:spacing w:val="-8"/>
                <w:sz w:val="20"/>
                <w:lang w:val="fr-CA"/>
              </w:rPr>
              <w:t xml:space="preserve">Cour d’appel de la </w:t>
            </w:r>
            <w:r w:rsidRPr="0022545E">
              <w:rPr>
                <w:sz w:val="20"/>
                <w:lang w:val="fr-CA"/>
              </w:rPr>
              <w:t>Colombie-Britannique</w:t>
            </w:r>
          </w:p>
          <w:p w:rsidR="00E40079" w:rsidRPr="0022545E" w:rsidRDefault="00E40079" w:rsidP="00E40079">
            <w:pPr>
              <w:jc w:val="both"/>
              <w:rPr>
                <w:spacing w:val="-8"/>
                <w:sz w:val="20"/>
              </w:rPr>
            </w:pPr>
            <w:r w:rsidRPr="0022545E">
              <w:rPr>
                <w:spacing w:val="-8"/>
                <w:sz w:val="20"/>
              </w:rPr>
              <w:t>(Vancouver)</w:t>
            </w:r>
          </w:p>
          <w:p w:rsidR="00E40079" w:rsidRPr="0022545E" w:rsidRDefault="00E40079" w:rsidP="00E40079">
            <w:pPr>
              <w:jc w:val="both"/>
              <w:rPr>
                <w:spacing w:val="-8"/>
                <w:sz w:val="20"/>
              </w:rPr>
            </w:pPr>
            <w:r w:rsidRPr="0022545E">
              <w:rPr>
                <w:spacing w:val="-8"/>
                <w:sz w:val="20"/>
              </w:rPr>
              <w:t>(juges Frankel, Groberman, Harris, Fitch, Hunter)</w:t>
            </w:r>
          </w:p>
          <w:p w:rsidR="00E40079" w:rsidRPr="0022545E" w:rsidRDefault="0022545E" w:rsidP="00E40079">
            <w:pPr>
              <w:jc w:val="both"/>
              <w:rPr>
                <w:sz w:val="20"/>
                <w:lang w:val="fr-CA"/>
              </w:rPr>
            </w:pPr>
            <w:hyperlink r:id="rId31" w:history="1">
              <w:r w:rsidR="00E40079" w:rsidRPr="0022545E">
                <w:rPr>
                  <w:rStyle w:val="Hyperlink"/>
                  <w:sz w:val="20"/>
                  <w:lang w:val="fr-CA"/>
                </w:rPr>
                <w:t>2022 BCCA 10</w:t>
              </w:r>
            </w:hyperlink>
          </w:p>
          <w:p w:rsidR="00E40079" w:rsidRPr="0022545E" w:rsidRDefault="00E40079" w:rsidP="00E40079">
            <w:pPr>
              <w:jc w:val="both"/>
              <w:rPr>
                <w:sz w:val="20"/>
                <w:lang w:val="fr-CA"/>
              </w:rPr>
            </w:pPr>
          </w:p>
        </w:tc>
        <w:tc>
          <w:tcPr>
            <w:tcW w:w="194" w:type="pct"/>
          </w:tcPr>
          <w:p w:rsidR="00E40079" w:rsidRPr="0022545E" w:rsidRDefault="00E40079" w:rsidP="00E40079">
            <w:pPr>
              <w:jc w:val="both"/>
              <w:rPr>
                <w:sz w:val="20"/>
                <w:lang w:val="fr-CA"/>
              </w:rPr>
            </w:pPr>
          </w:p>
        </w:tc>
        <w:tc>
          <w:tcPr>
            <w:tcW w:w="2330" w:type="pct"/>
          </w:tcPr>
          <w:p w:rsidR="00E40079" w:rsidRPr="0022545E" w:rsidRDefault="00E40079" w:rsidP="00E40079">
            <w:pPr>
              <w:jc w:val="both"/>
              <w:rPr>
                <w:sz w:val="20"/>
                <w:lang w:val="fr-CA"/>
              </w:rPr>
            </w:pPr>
            <w:r w:rsidRPr="0022545E">
              <w:rPr>
                <w:sz w:val="20"/>
                <w:lang w:val="fr-CA"/>
              </w:rPr>
              <w:t xml:space="preserve">L’ordonnance de la </w:t>
            </w:r>
            <w:r w:rsidRPr="0022545E">
              <w:rPr>
                <w:color w:val="000000"/>
                <w:sz w:val="20"/>
                <w:lang w:val="fr-CA"/>
              </w:rPr>
              <w:t>Commission d’examen portant que la plainte soit renvoyée au Collège pour réexamen est rétablie selon des conditions modifiées.</w:t>
            </w:r>
          </w:p>
          <w:p w:rsidR="00E40079" w:rsidRPr="0022545E" w:rsidRDefault="00E40079" w:rsidP="00E40079">
            <w:pPr>
              <w:jc w:val="both"/>
              <w:rPr>
                <w:sz w:val="20"/>
                <w:lang w:val="fr-CA"/>
              </w:rPr>
            </w:pPr>
          </w:p>
        </w:tc>
      </w:tr>
      <w:tr w:rsidR="00E40079" w:rsidRPr="0022545E" w:rsidTr="00F26E36">
        <w:tc>
          <w:tcPr>
            <w:tcW w:w="2476" w:type="pct"/>
            <w:gridSpan w:val="2"/>
          </w:tcPr>
          <w:p w:rsidR="00E40079" w:rsidRPr="0022545E" w:rsidRDefault="00E40079" w:rsidP="00E40079">
            <w:pPr>
              <w:jc w:val="both"/>
              <w:rPr>
                <w:sz w:val="20"/>
                <w:lang w:val="fr-CA"/>
              </w:rPr>
            </w:pPr>
            <w:r w:rsidRPr="0022545E">
              <w:rPr>
                <w:sz w:val="20"/>
                <w:lang w:val="fr-CA"/>
              </w:rPr>
              <w:t>14 mars 2022</w:t>
            </w:r>
          </w:p>
          <w:p w:rsidR="00E40079" w:rsidRPr="0022545E" w:rsidRDefault="00E40079" w:rsidP="00E40079">
            <w:pPr>
              <w:jc w:val="both"/>
              <w:rPr>
                <w:sz w:val="20"/>
                <w:lang w:val="fr-CA"/>
              </w:rPr>
            </w:pPr>
            <w:r w:rsidRPr="0022545E">
              <w:rPr>
                <w:sz w:val="20"/>
                <w:lang w:val="fr-CA"/>
              </w:rPr>
              <w:t>Cour suprême du Canada</w:t>
            </w:r>
          </w:p>
        </w:tc>
        <w:tc>
          <w:tcPr>
            <w:tcW w:w="194" w:type="pct"/>
          </w:tcPr>
          <w:p w:rsidR="00E40079" w:rsidRPr="0022545E" w:rsidRDefault="00E40079" w:rsidP="00E40079">
            <w:pPr>
              <w:jc w:val="both"/>
              <w:rPr>
                <w:sz w:val="20"/>
                <w:lang w:val="fr-CA"/>
              </w:rPr>
            </w:pPr>
          </w:p>
        </w:tc>
        <w:tc>
          <w:tcPr>
            <w:tcW w:w="2330" w:type="pct"/>
          </w:tcPr>
          <w:p w:rsidR="00E40079" w:rsidRPr="0022545E" w:rsidRDefault="00E40079" w:rsidP="00E40079">
            <w:pPr>
              <w:jc w:val="both"/>
              <w:rPr>
                <w:sz w:val="20"/>
                <w:lang w:val="fr-CA"/>
              </w:rPr>
            </w:pPr>
            <w:r w:rsidRPr="0022545E">
              <w:rPr>
                <w:sz w:val="20"/>
                <w:lang w:val="fr-CA"/>
              </w:rPr>
              <w:t>La demande d’autorisation d’appel est présentée.</w:t>
            </w:r>
          </w:p>
          <w:p w:rsidR="00E40079" w:rsidRPr="0022545E" w:rsidRDefault="00E40079" w:rsidP="00E40079">
            <w:pPr>
              <w:jc w:val="both"/>
              <w:rPr>
                <w:sz w:val="20"/>
                <w:lang w:val="fr-CA"/>
              </w:rPr>
            </w:pPr>
          </w:p>
        </w:tc>
      </w:tr>
    </w:tbl>
    <w:p w:rsidR="00DC4AAB" w:rsidRPr="0022545E" w:rsidRDefault="00DC4AAB" w:rsidP="00792D8C">
      <w:pPr>
        <w:jc w:val="both"/>
        <w:rPr>
          <w:sz w:val="20"/>
          <w:lang w:val="fr-CA"/>
        </w:rPr>
      </w:pPr>
    </w:p>
    <w:p w:rsidR="004D21AC" w:rsidRPr="0022545E" w:rsidRDefault="0022545E" w:rsidP="00792D8C">
      <w:pPr>
        <w:widowControl w:val="0"/>
        <w:jc w:val="both"/>
        <w:rPr>
          <w:sz w:val="20"/>
          <w:lang w:val="fr-CA"/>
        </w:rPr>
      </w:pPr>
      <w:r w:rsidRPr="0022545E">
        <w:rPr>
          <w:sz w:val="20"/>
        </w:rPr>
        <w:pict>
          <v:rect id="_x0000_i1034" style="width:2in;height:1pt" o:hrpct="0" o:hralign="center" o:hrstd="t" o:hrnoshade="t" o:hr="t" fillcolor="black [3213]" stroked="f"/>
        </w:pict>
      </w:r>
    </w:p>
    <w:p w:rsidR="00311655" w:rsidRPr="0022545E" w:rsidRDefault="00311655" w:rsidP="00350651">
      <w:pPr>
        <w:ind w:left="142" w:hanging="142"/>
        <w:jc w:val="both"/>
        <w:rPr>
          <w:sz w:val="20"/>
        </w:rPr>
      </w:pPr>
    </w:p>
    <w:p w:rsidR="008F2F11" w:rsidRPr="0022545E" w:rsidRDefault="008F2F11" w:rsidP="00350651">
      <w:pPr>
        <w:ind w:left="142" w:hanging="142"/>
        <w:jc w:val="both"/>
        <w:rPr>
          <w:sz w:val="20"/>
        </w:rPr>
      </w:pPr>
    </w:p>
    <w:p w:rsidR="008F2F11" w:rsidRPr="0022545E" w:rsidRDefault="008F2F11" w:rsidP="00350651">
      <w:pPr>
        <w:ind w:left="142" w:hanging="142"/>
        <w:jc w:val="both"/>
        <w:rPr>
          <w:sz w:val="20"/>
        </w:rPr>
      </w:pPr>
    </w:p>
    <w:p w:rsidR="00D3344A" w:rsidRPr="0022545E" w:rsidRDefault="00D3344A" w:rsidP="00D3344A">
      <w:pPr>
        <w:widowControl w:val="0"/>
        <w:outlineLvl w:val="0"/>
        <w:rPr>
          <w:sz w:val="20"/>
        </w:rPr>
      </w:pPr>
      <w:r w:rsidRPr="0022545E">
        <w:rPr>
          <w:sz w:val="20"/>
        </w:rPr>
        <w:t xml:space="preserve">Supreme Court of Canada / Cour suprême du </w:t>
      </w:r>
      <w:proofErr w:type="gramStart"/>
      <w:r w:rsidRPr="0022545E">
        <w:rPr>
          <w:sz w:val="20"/>
        </w:rPr>
        <w:t>Canad</w:t>
      </w:r>
      <w:r w:rsidR="00EE289F" w:rsidRPr="0022545E">
        <w:rPr>
          <w:sz w:val="20"/>
        </w:rPr>
        <w:t>a</w:t>
      </w:r>
      <w:r w:rsidRPr="0022545E">
        <w:rPr>
          <w:sz w:val="20"/>
        </w:rPr>
        <w:t xml:space="preserve"> :</w:t>
      </w:r>
      <w:proofErr w:type="gramEnd"/>
    </w:p>
    <w:p w:rsidR="00D3344A" w:rsidRPr="0022545E" w:rsidRDefault="0022545E" w:rsidP="00D3344A">
      <w:pPr>
        <w:widowControl w:val="0"/>
        <w:outlineLvl w:val="0"/>
        <w:rPr>
          <w:sz w:val="20"/>
          <w:u w:val="single"/>
        </w:rPr>
      </w:pPr>
      <w:hyperlink r:id="rId32" w:history="1">
        <w:r w:rsidR="009B7391" w:rsidRPr="0022545E">
          <w:rPr>
            <w:rStyle w:val="Hyperlink"/>
            <w:sz w:val="20"/>
          </w:rPr>
          <w:t>comments-commentaires@scc-csc.ca</w:t>
        </w:r>
      </w:hyperlink>
    </w:p>
    <w:p w:rsidR="00D3344A" w:rsidRPr="0022545E" w:rsidRDefault="0065588C" w:rsidP="00D3344A">
      <w:pPr>
        <w:widowControl w:val="0"/>
        <w:outlineLvl w:val="0"/>
        <w:rPr>
          <w:sz w:val="20"/>
        </w:rPr>
      </w:pPr>
      <w:r w:rsidRPr="0022545E">
        <w:rPr>
          <w:sz w:val="20"/>
        </w:rPr>
        <w:t>613-</w:t>
      </w:r>
      <w:r w:rsidR="00D3344A" w:rsidRPr="0022545E">
        <w:rPr>
          <w:sz w:val="20"/>
        </w:rPr>
        <w:t>995-4330</w:t>
      </w:r>
    </w:p>
    <w:p w:rsidR="00497B5E" w:rsidRPr="0022545E" w:rsidRDefault="00497B5E" w:rsidP="00497B5E">
      <w:pPr>
        <w:widowControl w:val="0"/>
        <w:rPr>
          <w:sz w:val="20"/>
        </w:rPr>
      </w:pPr>
    </w:p>
    <w:p w:rsidR="00F6251B" w:rsidRPr="007607A2" w:rsidRDefault="003F43E6" w:rsidP="00F6251B">
      <w:pPr>
        <w:pStyle w:val="Footer"/>
        <w:jc w:val="center"/>
        <w:rPr>
          <w:sz w:val="20"/>
        </w:rPr>
      </w:pPr>
      <w:r w:rsidRPr="0022545E">
        <w:rPr>
          <w:sz w:val="20"/>
        </w:rPr>
        <w:t>- 30 -</w:t>
      </w:r>
    </w:p>
    <w:sectPr w:rsidR="00F6251B" w:rsidRPr="007607A2" w:rsidSect="00E62F93">
      <w:headerReference w:type="even" r:id="rId33"/>
      <w:headerReference w:type="default" r:id="rId34"/>
      <w:footerReference w:type="even" r:id="rId35"/>
      <w:footerReference w:type="default" r:id="rId36"/>
      <w:headerReference w:type="first" r:id="rId37"/>
      <w:footerReference w:type="first" r:id="rId38"/>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C50" w:rsidRDefault="005B2C50" w:rsidP="0034178A">
      <w:r>
        <w:separator/>
      </w:r>
    </w:p>
  </w:endnote>
  <w:endnote w:type="continuationSeparator" w:id="0">
    <w:p w:rsidR="005B2C50" w:rsidRDefault="005B2C5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C50" w:rsidRDefault="005B2C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C50" w:rsidRPr="009F77F0" w:rsidRDefault="005B2C50"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C50" w:rsidRDefault="005B2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C50" w:rsidRDefault="005B2C50" w:rsidP="0034178A">
      <w:r>
        <w:separator/>
      </w:r>
    </w:p>
  </w:footnote>
  <w:footnote w:type="continuationSeparator" w:id="0">
    <w:p w:rsidR="005B2C50" w:rsidRDefault="005B2C5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C50" w:rsidRDefault="005B2C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C50" w:rsidRDefault="005B2C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C50" w:rsidRDefault="005B2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2"/>
  </w:num>
  <w:num w:numId="3">
    <w:abstractNumId w:val="18"/>
  </w:num>
  <w:num w:numId="4">
    <w:abstractNumId w:val="10"/>
  </w:num>
  <w:num w:numId="5">
    <w:abstractNumId w:val="7"/>
  </w:num>
  <w:num w:numId="6">
    <w:abstractNumId w:val="15"/>
  </w:num>
  <w:num w:numId="7">
    <w:abstractNumId w:val="13"/>
  </w:num>
  <w:num w:numId="8">
    <w:abstractNumId w:val="16"/>
  </w:num>
  <w:num w:numId="9">
    <w:abstractNumId w:val="2"/>
  </w:num>
  <w:num w:numId="10">
    <w:abstractNumId w:val="4"/>
  </w:num>
  <w:num w:numId="11">
    <w:abstractNumId w:val="0"/>
  </w:num>
  <w:num w:numId="12">
    <w:abstractNumId w:val="14"/>
  </w:num>
  <w:num w:numId="13">
    <w:abstractNumId w:val="1"/>
  </w:num>
  <w:num w:numId="14">
    <w:abstractNumId w:val="9"/>
  </w:num>
  <w:num w:numId="15">
    <w:abstractNumId w:val="3"/>
  </w:num>
  <w:num w:numId="16">
    <w:abstractNumId w:val="5"/>
  </w:num>
  <w:num w:numId="17">
    <w:abstractNumId w:val="17"/>
  </w:num>
  <w:num w:numId="18">
    <w:abstractNumId w:val="11"/>
  </w:num>
  <w:num w:numId="1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89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522"/>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45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533"/>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0A0"/>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89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225" TargetMode="External"/><Relationship Id="rId13" Type="http://schemas.openxmlformats.org/officeDocument/2006/relationships/hyperlink" Target="https://canlii.ca/t/jgn3t" TargetMode="External"/><Relationship Id="rId18" Type="http://schemas.openxmlformats.org/officeDocument/2006/relationships/hyperlink" Target="https://www.canlii.org/en/qc/qccs/doc/2018/2018qccs4944/2018qccs4944.pdf" TargetMode="External"/><Relationship Id="rId26" Type="http://schemas.openxmlformats.org/officeDocument/2006/relationships/hyperlink" Target="https://www.canlii.org/en/bc/bchprb/doc/2015/2015bchprb86/2015bchprb86.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nlii.org/en/qc/qcca/doc/2021/2021qcca1157/2021qcca1157.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anlii.ca/t/jfmr5" TargetMode="External"/><Relationship Id="rId17" Type="http://schemas.openxmlformats.org/officeDocument/2006/relationships/hyperlink" Target="https://canlii.ca/t/jkxnf" TargetMode="External"/><Relationship Id="rId25" Type="http://schemas.openxmlformats.org/officeDocument/2006/relationships/hyperlink" Target="https://www.canlii.org/en/on/onca/doc/2021/2021onca895/2021onca895.html?resultIndex=1"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anlii.ca/t/jgn3t" TargetMode="External"/><Relationship Id="rId20" Type="http://schemas.openxmlformats.org/officeDocument/2006/relationships/hyperlink" Target="https://www.canlii.org/en/qc/qccs/doc/2018/2018qccs4944/2018qccs4944.pdf" TargetMode="External"/><Relationship Id="rId29" Type="http://schemas.openxmlformats.org/officeDocument/2006/relationships/hyperlink" Target="https://www.canlii.org/en/bc/bchprb/doc/2015/2015bchprb86/2015bchprb8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106" TargetMode="External"/><Relationship Id="rId24" Type="http://schemas.openxmlformats.org/officeDocument/2006/relationships/hyperlink" Target="https://www.canlii.org/en/on/onsc/doc/2018/2018onsc5173/2018onsc5173.html?resultIndex=1" TargetMode="External"/><Relationship Id="rId32" Type="http://schemas.openxmlformats.org/officeDocument/2006/relationships/hyperlink" Target="mailto:comments-commentaires@scc-csc.ca"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nlii.ca/t/jfmr5" TargetMode="External"/><Relationship Id="rId23" Type="http://schemas.openxmlformats.org/officeDocument/2006/relationships/hyperlink" Target="https://www.canlii.org/en/on/onca/doc/2021/2021onca895/2021onca895.html?resultIndex=1" TargetMode="External"/><Relationship Id="rId28" Type="http://schemas.openxmlformats.org/officeDocument/2006/relationships/hyperlink" Target="https://www.canlii.org/en/bc/bcca/doc/2022/2022bcca10/2022bcca10.html" TargetMode="External"/><Relationship Id="rId36" Type="http://schemas.openxmlformats.org/officeDocument/2006/relationships/footer" Target="footer2.xml"/><Relationship Id="rId10" Type="http://schemas.openxmlformats.org/officeDocument/2006/relationships/hyperlink" Target="https://www.scc-csc.ca/case-dossier/info/sum-som-eng.aspx?cas=40270" TargetMode="External"/><Relationship Id="rId19" Type="http://schemas.openxmlformats.org/officeDocument/2006/relationships/hyperlink" Target="https://www.canlii.org/en/qc/qcca/doc/2021/2021qcca1157/2021qcca1157.pdf" TargetMode="External"/><Relationship Id="rId31" Type="http://schemas.openxmlformats.org/officeDocument/2006/relationships/hyperlink" Target="https://www.canlii.org/en/bc/bcca/doc/2022/2022bcca10/2022bcca10.html" TargetMode="External"/><Relationship Id="rId4" Type="http://schemas.openxmlformats.org/officeDocument/2006/relationships/settings" Target="settings.xml"/><Relationship Id="rId9" Type="http://schemas.openxmlformats.org/officeDocument/2006/relationships/hyperlink" Target="https://www.scc-csc.ca/case-dossier/info/sum-som-eng.aspx?cas=40167" TargetMode="External"/><Relationship Id="rId14" Type="http://schemas.openxmlformats.org/officeDocument/2006/relationships/hyperlink" Target="https://canlii.ca/t/jkxnf" TargetMode="External"/><Relationship Id="rId22" Type="http://schemas.openxmlformats.org/officeDocument/2006/relationships/hyperlink" Target="https://www.canlii.org/en/on/onsc/doc/2018/2018onsc5173/2018onsc5173.html?resultIndex=1" TargetMode="External"/><Relationship Id="rId27" Type="http://schemas.openxmlformats.org/officeDocument/2006/relationships/hyperlink" Target="https://www.canlii.org/en/bc/bcsc/doc/2018/2018bcsc2021/2018bcsc2021.html" TargetMode="External"/><Relationship Id="rId30" Type="http://schemas.openxmlformats.org/officeDocument/2006/relationships/hyperlink" Target="https://www.canlii.org/en/bc/bcsc/doc/2018/2018bcsc2021/2018bcsc2021.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1B403-68B2-4A0C-BD4F-491633F0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4082</Words>
  <Characters>23272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27300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2022-11-18T13:35:00Z</dcterms:modified>
</cp:coreProperties>
</file>