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E54B1C" w:rsidRDefault="000E391F" w:rsidP="000E391F">
      <w:pPr>
        <w:pStyle w:val="Header"/>
        <w:jc w:val="center"/>
        <w:rPr>
          <w:b/>
          <w:sz w:val="32"/>
          <w:szCs w:val="32"/>
        </w:rPr>
      </w:pPr>
      <w:r w:rsidRPr="00E54B1C">
        <w:rPr>
          <w:b/>
          <w:sz w:val="32"/>
          <w:szCs w:val="32"/>
        </w:rPr>
        <w:t>Supreme Court of Canada / Cour suprême du Canada</w:t>
      </w:r>
    </w:p>
    <w:p w:rsidR="000E391F" w:rsidRPr="00E54B1C" w:rsidRDefault="000E391F" w:rsidP="000E391F">
      <w:pPr>
        <w:widowControl w:val="0"/>
        <w:rPr>
          <w:sz w:val="20"/>
        </w:rPr>
      </w:pPr>
    </w:p>
    <w:p w:rsidR="000E391F" w:rsidRPr="00E54B1C" w:rsidRDefault="000E391F" w:rsidP="000E391F">
      <w:pPr>
        <w:widowControl w:val="0"/>
        <w:rPr>
          <w:i/>
          <w:sz w:val="20"/>
        </w:rPr>
      </w:pPr>
    </w:p>
    <w:p w:rsidR="006F2579" w:rsidRPr="00E54B1C" w:rsidRDefault="006F2579" w:rsidP="006F2579">
      <w:pPr>
        <w:widowControl w:val="0"/>
        <w:rPr>
          <w:i/>
          <w:sz w:val="20"/>
        </w:rPr>
      </w:pPr>
      <w:r w:rsidRPr="00E54B1C">
        <w:rPr>
          <w:i/>
          <w:sz w:val="20"/>
        </w:rPr>
        <w:t>(</w:t>
      </w:r>
      <w:r w:rsidR="003240B6" w:rsidRPr="00E54B1C">
        <w:rPr>
          <w:i/>
          <w:sz w:val="20"/>
        </w:rPr>
        <w:t>L</w:t>
      </w:r>
      <w:r w:rsidRPr="00E54B1C">
        <w:rPr>
          <w:i/>
          <w:sz w:val="20"/>
        </w:rPr>
        <w:t>e français suit)</w:t>
      </w:r>
    </w:p>
    <w:p w:rsidR="006F2579" w:rsidRPr="00E54B1C" w:rsidRDefault="006F2579" w:rsidP="006F2579">
      <w:pPr>
        <w:widowControl w:val="0"/>
        <w:rPr>
          <w:sz w:val="20"/>
        </w:rPr>
      </w:pPr>
    </w:p>
    <w:p w:rsidR="006F2579" w:rsidRPr="00E54B1C" w:rsidRDefault="00B07908" w:rsidP="006F2579">
      <w:pPr>
        <w:widowControl w:val="0"/>
        <w:jc w:val="center"/>
        <w:rPr>
          <w:b/>
          <w:szCs w:val="24"/>
        </w:rPr>
      </w:pPr>
      <w:r w:rsidRPr="00E54B1C">
        <w:rPr>
          <w:szCs w:val="24"/>
        </w:rPr>
        <w:fldChar w:fldCharType="begin"/>
      </w:r>
      <w:r w:rsidR="006F2579" w:rsidRPr="00E54B1C">
        <w:rPr>
          <w:szCs w:val="24"/>
        </w:rPr>
        <w:instrText xml:space="preserve"> SEQ CHAPTER \h \r 1</w:instrText>
      </w:r>
      <w:r w:rsidRPr="00E54B1C">
        <w:rPr>
          <w:szCs w:val="24"/>
        </w:rPr>
        <w:fldChar w:fldCharType="end"/>
      </w:r>
      <w:r w:rsidR="006F2579" w:rsidRPr="00E54B1C">
        <w:rPr>
          <w:b/>
          <w:szCs w:val="24"/>
        </w:rPr>
        <w:t>JUDGMENT</w:t>
      </w:r>
      <w:r w:rsidR="004F5491" w:rsidRPr="00E54B1C">
        <w:rPr>
          <w:b/>
          <w:szCs w:val="24"/>
        </w:rPr>
        <w:t>S</w:t>
      </w:r>
      <w:r w:rsidR="006F2579" w:rsidRPr="00E54B1C">
        <w:rPr>
          <w:b/>
          <w:szCs w:val="24"/>
        </w:rPr>
        <w:t xml:space="preserve"> TO B</w:t>
      </w:r>
      <w:r w:rsidR="00001846" w:rsidRPr="00E54B1C">
        <w:rPr>
          <w:b/>
          <w:szCs w:val="24"/>
        </w:rPr>
        <w:t>E RENDERED IN LE</w:t>
      </w:r>
      <w:r w:rsidR="00A0288A" w:rsidRPr="00E54B1C">
        <w:rPr>
          <w:b/>
          <w:szCs w:val="24"/>
        </w:rPr>
        <w:t>A</w:t>
      </w:r>
      <w:r w:rsidR="00001846" w:rsidRPr="00E54B1C">
        <w:rPr>
          <w:b/>
          <w:szCs w:val="24"/>
        </w:rPr>
        <w:t>VE APPLICATION</w:t>
      </w:r>
      <w:r w:rsidR="004F5491" w:rsidRPr="00E54B1C">
        <w:rPr>
          <w:b/>
          <w:szCs w:val="24"/>
        </w:rPr>
        <w:t>S</w:t>
      </w:r>
    </w:p>
    <w:p w:rsidR="006F2579" w:rsidRPr="00E54B1C" w:rsidRDefault="006F2579" w:rsidP="006F2579">
      <w:pPr>
        <w:widowControl w:val="0"/>
        <w:rPr>
          <w:szCs w:val="24"/>
        </w:rPr>
      </w:pPr>
    </w:p>
    <w:p w:rsidR="006F2579" w:rsidRPr="00E54B1C" w:rsidRDefault="00EA10DC" w:rsidP="006F2579">
      <w:pPr>
        <w:widowControl w:val="0"/>
        <w:rPr>
          <w:szCs w:val="24"/>
        </w:rPr>
      </w:pPr>
      <w:r w:rsidRPr="00E54B1C">
        <w:rPr>
          <w:b/>
          <w:szCs w:val="24"/>
        </w:rPr>
        <w:t>February</w:t>
      </w:r>
      <w:r w:rsidR="00A15B66" w:rsidRPr="00E54B1C">
        <w:rPr>
          <w:b/>
          <w:szCs w:val="24"/>
        </w:rPr>
        <w:t xml:space="preserve"> </w:t>
      </w:r>
      <w:r w:rsidR="00BC3F39" w:rsidRPr="00E54B1C">
        <w:rPr>
          <w:b/>
          <w:szCs w:val="24"/>
        </w:rPr>
        <w:t>2</w:t>
      </w:r>
      <w:r w:rsidR="008F57B9" w:rsidRPr="00E54B1C">
        <w:rPr>
          <w:b/>
          <w:szCs w:val="24"/>
        </w:rPr>
        <w:t>7</w:t>
      </w:r>
      <w:r w:rsidR="004441C7" w:rsidRPr="00E54B1C">
        <w:rPr>
          <w:b/>
          <w:szCs w:val="24"/>
        </w:rPr>
        <w:t>,</w:t>
      </w:r>
      <w:r w:rsidR="006F2579" w:rsidRPr="00E54B1C">
        <w:rPr>
          <w:b/>
          <w:szCs w:val="24"/>
        </w:rPr>
        <w:t xml:space="preserve"> </w:t>
      </w:r>
      <w:r w:rsidR="0054689F" w:rsidRPr="00E54B1C">
        <w:rPr>
          <w:b/>
          <w:szCs w:val="24"/>
        </w:rPr>
        <w:t>20</w:t>
      </w:r>
      <w:r w:rsidR="00526754" w:rsidRPr="00E54B1C">
        <w:rPr>
          <w:b/>
          <w:szCs w:val="24"/>
        </w:rPr>
        <w:t>2</w:t>
      </w:r>
      <w:r w:rsidR="00534CCB" w:rsidRPr="00E54B1C">
        <w:rPr>
          <w:b/>
          <w:szCs w:val="24"/>
        </w:rPr>
        <w:t>3</w:t>
      </w:r>
    </w:p>
    <w:p w:rsidR="006F2579" w:rsidRPr="00E54B1C" w:rsidRDefault="00674F39" w:rsidP="006F2579">
      <w:pPr>
        <w:widowControl w:val="0"/>
        <w:rPr>
          <w:b/>
          <w:szCs w:val="24"/>
        </w:rPr>
      </w:pPr>
      <w:r w:rsidRPr="00E54B1C">
        <w:rPr>
          <w:b/>
          <w:szCs w:val="24"/>
        </w:rPr>
        <w:t>For immediate release</w:t>
      </w:r>
    </w:p>
    <w:p w:rsidR="006F2579" w:rsidRPr="00E54B1C" w:rsidRDefault="006F2579" w:rsidP="006F2579">
      <w:pPr>
        <w:widowControl w:val="0"/>
        <w:rPr>
          <w:szCs w:val="24"/>
        </w:rPr>
      </w:pPr>
    </w:p>
    <w:p w:rsidR="006F2579" w:rsidRPr="00E54B1C" w:rsidRDefault="006F2579" w:rsidP="006F2579">
      <w:pPr>
        <w:widowControl w:val="0"/>
        <w:rPr>
          <w:szCs w:val="24"/>
          <w:lang w:val="fr-CA"/>
        </w:rPr>
      </w:pPr>
      <w:r w:rsidRPr="00E54B1C">
        <w:rPr>
          <w:b/>
          <w:szCs w:val="24"/>
        </w:rPr>
        <w:t>OTTAWA</w:t>
      </w:r>
      <w:r w:rsidRPr="00E54B1C">
        <w:rPr>
          <w:szCs w:val="24"/>
        </w:rPr>
        <w:t xml:space="preserve"> – The Supreme Court of Canad</w:t>
      </w:r>
      <w:r w:rsidR="006246E4" w:rsidRPr="00E54B1C">
        <w:rPr>
          <w:szCs w:val="24"/>
        </w:rPr>
        <w:t>a</w:t>
      </w:r>
      <w:r w:rsidRPr="00E54B1C">
        <w:rPr>
          <w:szCs w:val="24"/>
        </w:rPr>
        <w:t xml:space="preserve"> announced today that judgment in the following </w:t>
      </w:r>
      <w:r w:rsidR="00DB6199" w:rsidRPr="00E54B1C">
        <w:rPr>
          <w:szCs w:val="24"/>
        </w:rPr>
        <w:t>leave application</w:t>
      </w:r>
      <w:r w:rsidR="004F5491" w:rsidRPr="00E54B1C">
        <w:rPr>
          <w:szCs w:val="24"/>
        </w:rPr>
        <w:t>s</w:t>
      </w:r>
      <w:r w:rsidR="00DB6199" w:rsidRPr="00E54B1C">
        <w:rPr>
          <w:szCs w:val="24"/>
        </w:rPr>
        <w:t xml:space="preserve"> </w:t>
      </w:r>
      <w:r w:rsidRPr="00E54B1C">
        <w:rPr>
          <w:szCs w:val="24"/>
        </w:rPr>
        <w:t>will be delivere</w:t>
      </w:r>
      <w:r w:rsidR="00CE2C5F" w:rsidRPr="00E54B1C">
        <w:rPr>
          <w:szCs w:val="24"/>
        </w:rPr>
        <w:t>d</w:t>
      </w:r>
      <w:r w:rsidRPr="00E54B1C">
        <w:rPr>
          <w:szCs w:val="24"/>
        </w:rPr>
        <w:t xml:space="preserve"> at 9:45 a.m. </w:t>
      </w:r>
      <w:r w:rsidR="00E05816" w:rsidRPr="00E54B1C">
        <w:rPr>
          <w:szCs w:val="24"/>
        </w:rPr>
        <w:t>E</w:t>
      </w:r>
      <w:r w:rsidR="00EB4A94" w:rsidRPr="00E54B1C">
        <w:rPr>
          <w:szCs w:val="24"/>
        </w:rPr>
        <w:t>S</w:t>
      </w:r>
      <w:r w:rsidR="00E05816" w:rsidRPr="00E54B1C">
        <w:rPr>
          <w:szCs w:val="24"/>
        </w:rPr>
        <w:t>T</w:t>
      </w:r>
      <w:r w:rsidRPr="00E54B1C">
        <w:rPr>
          <w:szCs w:val="24"/>
        </w:rPr>
        <w:t xml:space="preserve"> on </w:t>
      </w:r>
      <w:r w:rsidR="00322A9C" w:rsidRPr="00E54B1C">
        <w:rPr>
          <w:szCs w:val="24"/>
        </w:rPr>
        <w:t>Thurs</w:t>
      </w:r>
      <w:r w:rsidR="00680A85" w:rsidRPr="00E54B1C">
        <w:rPr>
          <w:szCs w:val="24"/>
        </w:rPr>
        <w:t>day</w:t>
      </w:r>
      <w:r w:rsidRPr="00E54B1C">
        <w:rPr>
          <w:szCs w:val="24"/>
        </w:rPr>
        <w:t xml:space="preserve">, </w:t>
      </w:r>
      <w:r w:rsidR="008F57B9" w:rsidRPr="00E54B1C">
        <w:rPr>
          <w:szCs w:val="24"/>
        </w:rPr>
        <w:t>March</w:t>
      </w:r>
      <w:r w:rsidR="00455912" w:rsidRPr="00E54B1C">
        <w:rPr>
          <w:szCs w:val="24"/>
        </w:rPr>
        <w:t xml:space="preserve"> </w:t>
      </w:r>
      <w:r w:rsidR="00BC3F39" w:rsidRPr="00E54B1C">
        <w:rPr>
          <w:szCs w:val="24"/>
        </w:rPr>
        <w:t>2</w:t>
      </w:r>
      <w:r w:rsidR="007E112F" w:rsidRPr="00E54B1C">
        <w:rPr>
          <w:szCs w:val="24"/>
        </w:rPr>
        <w:t>,</w:t>
      </w:r>
      <w:r w:rsidR="002F38D7" w:rsidRPr="00E54B1C">
        <w:rPr>
          <w:szCs w:val="24"/>
        </w:rPr>
        <w:t xml:space="preserve"> </w:t>
      </w:r>
      <w:r w:rsidR="006648D1" w:rsidRPr="00E54B1C">
        <w:rPr>
          <w:szCs w:val="24"/>
        </w:rPr>
        <w:t>20</w:t>
      </w:r>
      <w:r w:rsidR="00526754" w:rsidRPr="00E54B1C">
        <w:rPr>
          <w:szCs w:val="24"/>
        </w:rPr>
        <w:t>2</w:t>
      </w:r>
      <w:r w:rsidR="00534CCB" w:rsidRPr="00E54B1C">
        <w:rPr>
          <w:szCs w:val="24"/>
        </w:rPr>
        <w:t>3</w:t>
      </w:r>
      <w:r w:rsidRPr="00E54B1C">
        <w:rPr>
          <w:szCs w:val="24"/>
        </w:rPr>
        <w:t xml:space="preserve">. </w:t>
      </w:r>
      <w:r w:rsidRPr="00E54B1C">
        <w:rPr>
          <w:szCs w:val="24"/>
          <w:lang w:val="fr-CA"/>
        </w:rPr>
        <w:t>This list is subject to chang</w:t>
      </w:r>
      <w:r w:rsidR="00192F7F" w:rsidRPr="00E54B1C">
        <w:rPr>
          <w:szCs w:val="24"/>
          <w:lang w:val="fr-CA"/>
        </w:rPr>
        <w:t>e</w:t>
      </w:r>
      <w:r w:rsidRPr="00E54B1C">
        <w:rPr>
          <w:szCs w:val="24"/>
          <w:lang w:val="fr-CA"/>
        </w:rPr>
        <w:t>.</w:t>
      </w:r>
    </w:p>
    <w:p w:rsidR="00FF5AA4" w:rsidRPr="00E54B1C" w:rsidRDefault="00FF5AA4" w:rsidP="006F2579">
      <w:pPr>
        <w:widowControl w:val="0"/>
        <w:rPr>
          <w:szCs w:val="24"/>
          <w:lang w:val="fr-CA"/>
        </w:rPr>
      </w:pPr>
    </w:p>
    <w:p w:rsidR="00B43418" w:rsidRPr="00E54B1C" w:rsidRDefault="00B43418" w:rsidP="006F2579">
      <w:pPr>
        <w:widowControl w:val="0"/>
        <w:rPr>
          <w:szCs w:val="24"/>
          <w:lang w:val="fr-CA"/>
        </w:rPr>
      </w:pPr>
    </w:p>
    <w:p w:rsidR="006F2579" w:rsidRPr="00E54B1C" w:rsidRDefault="006F2579" w:rsidP="006F2579">
      <w:pPr>
        <w:widowControl w:val="0"/>
        <w:jc w:val="center"/>
        <w:rPr>
          <w:szCs w:val="24"/>
          <w:lang w:val="fr-CA"/>
        </w:rPr>
      </w:pPr>
      <w:r w:rsidRPr="00E54B1C">
        <w:rPr>
          <w:b/>
          <w:szCs w:val="24"/>
          <w:lang w:val="fr-CA"/>
        </w:rPr>
        <w:t>PROCHAIN</w:t>
      </w:r>
      <w:r w:rsidR="004F5491" w:rsidRPr="00E54B1C">
        <w:rPr>
          <w:b/>
          <w:szCs w:val="24"/>
          <w:lang w:val="fr-CA"/>
        </w:rPr>
        <w:t>S</w:t>
      </w:r>
      <w:r w:rsidRPr="00E54B1C">
        <w:rPr>
          <w:b/>
          <w:szCs w:val="24"/>
          <w:lang w:val="fr-CA"/>
        </w:rPr>
        <w:t xml:space="preserve"> JUGEMENT</w:t>
      </w:r>
      <w:r w:rsidR="004F5491" w:rsidRPr="00E54B1C">
        <w:rPr>
          <w:b/>
          <w:szCs w:val="24"/>
          <w:lang w:val="fr-CA"/>
        </w:rPr>
        <w:t>S</w:t>
      </w:r>
      <w:r w:rsidR="00001846" w:rsidRPr="00E54B1C">
        <w:rPr>
          <w:b/>
          <w:szCs w:val="24"/>
          <w:lang w:val="fr-CA"/>
        </w:rPr>
        <w:t xml:space="preserve"> SUR DEMANDE</w:t>
      </w:r>
      <w:r w:rsidR="004F5491" w:rsidRPr="00E54B1C">
        <w:rPr>
          <w:b/>
          <w:szCs w:val="24"/>
          <w:lang w:val="fr-CA"/>
        </w:rPr>
        <w:t>S</w:t>
      </w:r>
      <w:r w:rsidRPr="00E54B1C">
        <w:rPr>
          <w:b/>
          <w:szCs w:val="24"/>
          <w:lang w:val="fr-CA"/>
        </w:rPr>
        <w:t xml:space="preserve"> D’AUTORISATION</w:t>
      </w:r>
    </w:p>
    <w:p w:rsidR="006F2579" w:rsidRPr="00E54B1C" w:rsidRDefault="006F2579" w:rsidP="006F2579">
      <w:pPr>
        <w:widowControl w:val="0"/>
        <w:rPr>
          <w:szCs w:val="24"/>
          <w:lang w:val="fr-CA"/>
        </w:rPr>
      </w:pPr>
    </w:p>
    <w:p w:rsidR="006F2579" w:rsidRPr="00E54B1C" w:rsidRDefault="006F2579" w:rsidP="006F2579">
      <w:pPr>
        <w:widowControl w:val="0"/>
        <w:rPr>
          <w:szCs w:val="24"/>
          <w:lang w:val="fr-CA"/>
        </w:rPr>
      </w:pPr>
      <w:r w:rsidRPr="00E54B1C">
        <w:rPr>
          <w:b/>
          <w:szCs w:val="24"/>
          <w:lang w:val="fr-CA"/>
        </w:rPr>
        <w:t>Le</w:t>
      </w:r>
      <w:r w:rsidR="00957A76" w:rsidRPr="00E54B1C">
        <w:rPr>
          <w:b/>
          <w:szCs w:val="24"/>
          <w:lang w:val="fr-CA"/>
        </w:rPr>
        <w:t xml:space="preserve"> </w:t>
      </w:r>
      <w:r w:rsidR="00BC3F39" w:rsidRPr="00E54B1C">
        <w:rPr>
          <w:b/>
          <w:szCs w:val="24"/>
          <w:lang w:val="fr-CA"/>
        </w:rPr>
        <w:t>2</w:t>
      </w:r>
      <w:r w:rsidR="008F57B9" w:rsidRPr="00E54B1C">
        <w:rPr>
          <w:b/>
          <w:szCs w:val="24"/>
          <w:lang w:val="fr-CA"/>
        </w:rPr>
        <w:t>7</w:t>
      </w:r>
      <w:r w:rsidR="00FA6BAB" w:rsidRPr="00E54B1C">
        <w:rPr>
          <w:b/>
          <w:szCs w:val="24"/>
          <w:lang w:val="fr-CA"/>
        </w:rPr>
        <w:t xml:space="preserve"> </w:t>
      </w:r>
      <w:r w:rsidR="00EA10DC" w:rsidRPr="00E54B1C">
        <w:rPr>
          <w:b/>
          <w:szCs w:val="24"/>
          <w:lang w:val="fr-CA"/>
        </w:rPr>
        <w:t>février</w:t>
      </w:r>
      <w:r w:rsidR="00A151D1" w:rsidRPr="00E54B1C">
        <w:rPr>
          <w:b/>
          <w:szCs w:val="24"/>
          <w:lang w:val="fr-CA"/>
        </w:rPr>
        <w:t xml:space="preserve"> 20</w:t>
      </w:r>
      <w:r w:rsidR="00526754" w:rsidRPr="00E54B1C">
        <w:rPr>
          <w:b/>
          <w:szCs w:val="24"/>
          <w:lang w:val="fr-CA"/>
        </w:rPr>
        <w:t>2</w:t>
      </w:r>
      <w:r w:rsidR="00534CCB" w:rsidRPr="00E54B1C">
        <w:rPr>
          <w:b/>
          <w:szCs w:val="24"/>
          <w:lang w:val="fr-CA"/>
        </w:rPr>
        <w:t>3</w:t>
      </w:r>
    </w:p>
    <w:p w:rsidR="006F2579" w:rsidRPr="00E54B1C" w:rsidRDefault="006F2579" w:rsidP="006F2579">
      <w:pPr>
        <w:widowControl w:val="0"/>
        <w:rPr>
          <w:b/>
          <w:szCs w:val="24"/>
          <w:lang w:val="fr-CA"/>
        </w:rPr>
      </w:pPr>
      <w:r w:rsidRPr="00E54B1C">
        <w:rPr>
          <w:b/>
          <w:szCs w:val="24"/>
          <w:lang w:val="fr-CA"/>
        </w:rPr>
        <w:t>Pour diffusion immédiate</w:t>
      </w:r>
    </w:p>
    <w:p w:rsidR="006F2579" w:rsidRPr="00E54B1C" w:rsidRDefault="006F2579" w:rsidP="006F2579">
      <w:pPr>
        <w:widowControl w:val="0"/>
        <w:rPr>
          <w:szCs w:val="24"/>
          <w:lang w:val="fr-CA"/>
        </w:rPr>
      </w:pPr>
    </w:p>
    <w:p w:rsidR="006F2579" w:rsidRPr="00E54B1C" w:rsidRDefault="006F2579" w:rsidP="006F2579">
      <w:pPr>
        <w:widowControl w:val="0"/>
        <w:rPr>
          <w:szCs w:val="24"/>
          <w:lang w:val="fr-CA"/>
        </w:rPr>
      </w:pPr>
      <w:r w:rsidRPr="00E54B1C">
        <w:rPr>
          <w:b/>
          <w:szCs w:val="24"/>
          <w:lang w:val="fr-CA"/>
        </w:rPr>
        <w:t>OTTAWA</w:t>
      </w:r>
      <w:r w:rsidRPr="00E54B1C">
        <w:rPr>
          <w:szCs w:val="24"/>
          <w:lang w:val="fr-CA"/>
        </w:rPr>
        <w:t xml:space="preserve"> – La Cour suprême du Canada annonce que jugement ser</w:t>
      </w:r>
      <w:r w:rsidR="004259F9" w:rsidRPr="00E54B1C">
        <w:rPr>
          <w:szCs w:val="24"/>
          <w:lang w:val="fr-CA"/>
        </w:rPr>
        <w:t>a</w:t>
      </w:r>
      <w:r w:rsidRPr="00E54B1C">
        <w:rPr>
          <w:szCs w:val="24"/>
          <w:lang w:val="fr-CA"/>
        </w:rPr>
        <w:t xml:space="preserve"> rendu dans l</w:t>
      </w:r>
      <w:r w:rsidR="004F5491" w:rsidRPr="00E54B1C">
        <w:rPr>
          <w:szCs w:val="24"/>
          <w:lang w:val="fr-CA"/>
        </w:rPr>
        <w:t>es</w:t>
      </w:r>
      <w:r w:rsidRPr="00E54B1C">
        <w:rPr>
          <w:szCs w:val="24"/>
          <w:lang w:val="fr-CA"/>
        </w:rPr>
        <w:t xml:space="preserve"> demande</w:t>
      </w:r>
      <w:r w:rsidR="004F5491" w:rsidRPr="00E54B1C">
        <w:rPr>
          <w:szCs w:val="24"/>
          <w:lang w:val="fr-CA"/>
        </w:rPr>
        <w:t>s</w:t>
      </w:r>
      <w:r w:rsidRPr="00E54B1C">
        <w:rPr>
          <w:szCs w:val="24"/>
          <w:lang w:val="fr-CA"/>
        </w:rPr>
        <w:t xml:space="preserve"> d</w:t>
      </w:r>
      <w:r w:rsidR="00001846" w:rsidRPr="00E54B1C">
        <w:rPr>
          <w:szCs w:val="24"/>
          <w:lang w:val="fr-CA"/>
        </w:rPr>
        <w:t>’autorisation suivante</w:t>
      </w:r>
      <w:r w:rsidR="004F5491" w:rsidRPr="00E54B1C">
        <w:rPr>
          <w:szCs w:val="24"/>
          <w:lang w:val="fr-CA"/>
        </w:rPr>
        <w:t>s</w:t>
      </w:r>
      <w:r w:rsidRPr="00E54B1C">
        <w:rPr>
          <w:szCs w:val="24"/>
          <w:lang w:val="fr-CA"/>
        </w:rPr>
        <w:t xml:space="preserve"> le </w:t>
      </w:r>
      <w:r w:rsidR="00322A9C" w:rsidRPr="00E54B1C">
        <w:rPr>
          <w:szCs w:val="24"/>
          <w:lang w:val="fr-CA"/>
        </w:rPr>
        <w:t>jeu</w:t>
      </w:r>
      <w:r w:rsidR="00680A85" w:rsidRPr="00E54B1C">
        <w:rPr>
          <w:szCs w:val="24"/>
          <w:lang w:val="fr-CA"/>
        </w:rPr>
        <w:t>di</w:t>
      </w:r>
      <w:r w:rsidRPr="00E54B1C">
        <w:rPr>
          <w:szCs w:val="24"/>
          <w:lang w:val="fr-CA"/>
        </w:rPr>
        <w:t xml:space="preserve"> </w:t>
      </w:r>
      <w:r w:rsidR="00BC3F39" w:rsidRPr="00E54B1C">
        <w:rPr>
          <w:szCs w:val="24"/>
          <w:lang w:val="fr-CA"/>
        </w:rPr>
        <w:t>2</w:t>
      </w:r>
      <w:r w:rsidR="009E0BD3" w:rsidRPr="00E54B1C">
        <w:rPr>
          <w:szCs w:val="24"/>
          <w:lang w:val="fr-CA"/>
        </w:rPr>
        <w:t xml:space="preserve"> </w:t>
      </w:r>
      <w:r w:rsidR="008F57B9" w:rsidRPr="00E54B1C">
        <w:rPr>
          <w:szCs w:val="24"/>
          <w:lang w:val="fr-CA"/>
        </w:rPr>
        <w:t>mars</w:t>
      </w:r>
      <w:r w:rsidR="00694391" w:rsidRPr="00E54B1C">
        <w:rPr>
          <w:szCs w:val="24"/>
          <w:lang w:val="fr-CA"/>
        </w:rPr>
        <w:t xml:space="preserve"> 2</w:t>
      </w:r>
      <w:r w:rsidR="006648D1" w:rsidRPr="00E54B1C">
        <w:rPr>
          <w:szCs w:val="24"/>
          <w:lang w:val="fr-CA"/>
        </w:rPr>
        <w:t>0</w:t>
      </w:r>
      <w:r w:rsidR="00526754" w:rsidRPr="00E54B1C">
        <w:rPr>
          <w:szCs w:val="24"/>
          <w:lang w:val="fr-CA"/>
        </w:rPr>
        <w:t>2</w:t>
      </w:r>
      <w:r w:rsidR="00534CCB" w:rsidRPr="00E54B1C">
        <w:rPr>
          <w:szCs w:val="24"/>
          <w:lang w:val="fr-CA"/>
        </w:rPr>
        <w:t>3</w:t>
      </w:r>
      <w:r w:rsidRPr="00E54B1C">
        <w:rPr>
          <w:szCs w:val="24"/>
          <w:lang w:val="fr-CA"/>
        </w:rPr>
        <w:t xml:space="preserve">, à 9 h 45 </w:t>
      </w:r>
      <w:r w:rsidR="000627A2" w:rsidRPr="00E54B1C">
        <w:rPr>
          <w:szCs w:val="24"/>
          <w:lang w:val="fr-CA"/>
        </w:rPr>
        <w:t>H</w:t>
      </w:r>
      <w:r w:rsidR="00EB4A94" w:rsidRPr="00E54B1C">
        <w:rPr>
          <w:szCs w:val="24"/>
          <w:lang w:val="fr-CA"/>
        </w:rPr>
        <w:t>N</w:t>
      </w:r>
      <w:r w:rsidRPr="00E54B1C">
        <w:rPr>
          <w:szCs w:val="24"/>
          <w:lang w:val="fr-CA"/>
        </w:rPr>
        <w:t>E. Cette liste est sujette à modification</w:t>
      </w:r>
      <w:r w:rsidR="00130ADB" w:rsidRPr="00E54B1C">
        <w:rPr>
          <w:szCs w:val="24"/>
          <w:lang w:val="fr-CA"/>
        </w:rPr>
        <w:t>s</w:t>
      </w:r>
      <w:r w:rsidRPr="00E54B1C">
        <w:rPr>
          <w:szCs w:val="24"/>
          <w:lang w:val="fr-CA"/>
        </w:rPr>
        <w:t>.</w:t>
      </w:r>
    </w:p>
    <w:p w:rsidR="0080556B" w:rsidRPr="00E54B1C" w:rsidRDefault="0080556B" w:rsidP="005F2A78">
      <w:pPr>
        <w:widowControl w:val="0"/>
        <w:tabs>
          <w:tab w:val="left" w:pos="3840"/>
        </w:tabs>
        <w:jc w:val="both"/>
        <w:rPr>
          <w:sz w:val="20"/>
          <w:lang w:val="fr-CA"/>
        </w:rPr>
      </w:pPr>
    </w:p>
    <w:p w:rsidR="00867C61" w:rsidRPr="00E54B1C" w:rsidRDefault="000631CF" w:rsidP="009B14F4">
      <w:pPr>
        <w:widowControl w:val="0"/>
        <w:jc w:val="both"/>
        <w:rPr>
          <w:sz w:val="20"/>
        </w:rPr>
      </w:pPr>
      <w:r>
        <w:rPr>
          <w:sz w:val="20"/>
        </w:rPr>
        <w:pict>
          <v:rect id="_x0000_i1025" style="width:2in;height:1pt" o:hrpct="0" o:hralign="center" o:hrstd="t" o:hrnoshade="t" o:hr="t" fillcolor="black [3213]" stroked="f"/>
        </w:pict>
      </w:r>
    </w:p>
    <w:p w:rsidR="004A6E51" w:rsidRPr="00E54B1C" w:rsidRDefault="004A6E51" w:rsidP="0053032E">
      <w:pPr>
        <w:rPr>
          <w:sz w:val="20"/>
          <w:lang w:val="fr-CA"/>
        </w:rPr>
      </w:pPr>
    </w:p>
    <w:p w:rsidR="00726247" w:rsidRPr="00E54B1C" w:rsidRDefault="00726247" w:rsidP="00467CD1">
      <w:pPr>
        <w:pStyle w:val="ListParagraph"/>
        <w:numPr>
          <w:ilvl w:val="0"/>
          <w:numId w:val="29"/>
        </w:numPr>
        <w:ind w:left="357" w:hanging="357"/>
        <w:rPr>
          <w:sz w:val="20"/>
        </w:rPr>
      </w:pPr>
      <w:r w:rsidRPr="00E54B1C">
        <w:rPr>
          <w:bCs/>
          <w:i/>
          <w:iCs/>
          <w:sz w:val="20"/>
        </w:rPr>
        <w:t>Attorney General of Canada v. Joseph Power</w:t>
      </w:r>
      <w:r w:rsidRPr="00E54B1C">
        <w:rPr>
          <w:b/>
          <w:bCs/>
          <w:i/>
          <w:iCs/>
          <w:sz w:val="20"/>
        </w:rPr>
        <w:t xml:space="preserve"> </w:t>
      </w:r>
      <w:r w:rsidRPr="00E54B1C">
        <w:rPr>
          <w:sz w:val="20"/>
        </w:rPr>
        <w:t>(N.B.) (Civil) (By Leave) (</w:t>
      </w:r>
      <w:hyperlink r:id="rId8" w:history="1">
        <w:r w:rsidRPr="00E54B1C">
          <w:rPr>
            <w:rStyle w:val="Hyperlink"/>
            <w:sz w:val="20"/>
          </w:rPr>
          <w:t>40</w:t>
        </w:r>
        <w:r w:rsidR="00467CD1" w:rsidRPr="00E54B1C">
          <w:rPr>
            <w:rStyle w:val="Hyperlink"/>
            <w:sz w:val="20"/>
          </w:rPr>
          <w:t>2</w:t>
        </w:r>
        <w:r w:rsidRPr="00E54B1C">
          <w:rPr>
            <w:rStyle w:val="Hyperlink"/>
            <w:sz w:val="20"/>
          </w:rPr>
          <w:t>4</w:t>
        </w:r>
        <w:r w:rsidR="00467CD1" w:rsidRPr="00E54B1C">
          <w:rPr>
            <w:rStyle w:val="Hyperlink"/>
            <w:sz w:val="20"/>
          </w:rPr>
          <w:t>1</w:t>
        </w:r>
      </w:hyperlink>
      <w:r w:rsidRPr="00E54B1C">
        <w:rPr>
          <w:sz w:val="20"/>
        </w:rPr>
        <w:t>)</w:t>
      </w:r>
    </w:p>
    <w:p w:rsidR="000C5DAA" w:rsidRPr="00E54B1C" w:rsidRDefault="000C5DAA" w:rsidP="00467CD1">
      <w:pPr>
        <w:ind w:left="357" w:hanging="357"/>
        <w:rPr>
          <w:sz w:val="20"/>
        </w:rPr>
      </w:pPr>
    </w:p>
    <w:p w:rsidR="000C5DAA" w:rsidRPr="00E54B1C" w:rsidRDefault="000C5DAA" w:rsidP="00467CD1">
      <w:pPr>
        <w:pStyle w:val="ListParagraph"/>
        <w:numPr>
          <w:ilvl w:val="0"/>
          <w:numId w:val="29"/>
        </w:numPr>
        <w:ind w:left="357" w:hanging="357"/>
        <w:rPr>
          <w:sz w:val="20"/>
          <w:szCs w:val="20"/>
        </w:rPr>
      </w:pPr>
      <w:r w:rsidRPr="00E54B1C">
        <w:rPr>
          <w:i/>
          <w:sz w:val="20"/>
          <w:szCs w:val="20"/>
        </w:rPr>
        <w:t>Ashton Dennis Natomagan v. His Majesty the King</w:t>
      </w:r>
      <w:r w:rsidRPr="00E54B1C">
        <w:rPr>
          <w:sz w:val="20"/>
          <w:szCs w:val="20"/>
        </w:rPr>
        <w:t xml:space="preserve"> (Alta.) (Criminal) (By Leave)</w:t>
      </w:r>
      <w:r w:rsidRPr="00E54B1C">
        <w:rPr>
          <w:sz w:val="20"/>
        </w:rPr>
        <w:t xml:space="preserve"> (</w:t>
      </w:r>
      <w:hyperlink r:id="rId9" w:history="1">
        <w:r w:rsidRPr="00E54B1C">
          <w:rPr>
            <w:rStyle w:val="Hyperlink"/>
            <w:sz w:val="20"/>
          </w:rPr>
          <w:t>40</w:t>
        </w:r>
        <w:r w:rsidR="00467CD1" w:rsidRPr="00E54B1C">
          <w:rPr>
            <w:rStyle w:val="Hyperlink"/>
            <w:sz w:val="20"/>
          </w:rPr>
          <w:t>35</w:t>
        </w:r>
        <w:r w:rsidRPr="00E54B1C">
          <w:rPr>
            <w:rStyle w:val="Hyperlink"/>
            <w:sz w:val="20"/>
          </w:rPr>
          <w:t>5</w:t>
        </w:r>
      </w:hyperlink>
      <w:r w:rsidRPr="00E54B1C">
        <w:rPr>
          <w:sz w:val="20"/>
        </w:rPr>
        <w:t>)</w:t>
      </w:r>
    </w:p>
    <w:p w:rsidR="00726247" w:rsidRPr="00E54B1C" w:rsidRDefault="00726247" w:rsidP="00467CD1">
      <w:pPr>
        <w:ind w:left="357" w:hanging="357"/>
        <w:rPr>
          <w:sz w:val="20"/>
        </w:rPr>
      </w:pPr>
    </w:p>
    <w:p w:rsidR="00016C6F" w:rsidRPr="00E54B1C" w:rsidRDefault="00016C6F" w:rsidP="00467CD1">
      <w:pPr>
        <w:pStyle w:val="ListParagraph"/>
        <w:numPr>
          <w:ilvl w:val="0"/>
          <w:numId w:val="29"/>
        </w:numPr>
        <w:ind w:left="357" w:hanging="357"/>
        <w:rPr>
          <w:sz w:val="20"/>
          <w:lang w:val="fr-CA"/>
        </w:rPr>
      </w:pPr>
      <w:r w:rsidRPr="00E54B1C">
        <w:rPr>
          <w:i/>
          <w:sz w:val="20"/>
          <w:lang w:val="fr-CA"/>
        </w:rPr>
        <w:t xml:space="preserve">Fédération des francophones de la Colombie-Britannique c. Ministère de l’Emploi et du Développement Social Canada et la Commission de l’Assurance-emploi du Canada </w:t>
      </w:r>
      <w:r w:rsidRPr="00E54B1C">
        <w:rPr>
          <w:sz w:val="20"/>
          <w:lang w:val="fr-CA"/>
        </w:rPr>
        <w:t>(C.F.) (Civile) (Autorisation) (</w:t>
      </w:r>
      <w:hyperlink r:id="rId10" w:history="1">
        <w:r w:rsidRPr="00E54B1C">
          <w:rPr>
            <w:rStyle w:val="Hyperlink"/>
            <w:sz w:val="20"/>
            <w:lang w:val="fr-CA"/>
          </w:rPr>
          <w:t>40</w:t>
        </w:r>
        <w:r w:rsidR="00467CD1" w:rsidRPr="00E54B1C">
          <w:rPr>
            <w:rStyle w:val="Hyperlink"/>
            <w:sz w:val="20"/>
            <w:lang w:val="fr-CA"/>
          </w:rPr>
          <w:t>11</w:t>
        </w:r>
        <w:r w:rsidRPr="00E54B1C">
          <w:rPr>
            <w:rStyle w:val="Hyperlink"/>
            <w:sz w:val="20"/>
            <w:lang w:val="fr-CA"/>
          </w:rPr>
          <w:t>4</w:t>
        </w:r>
      </w:hyperlink>
      <w:r w:rsidRPr="00E54B1C">
        <w:rPr>
          <w:sz w:val="20"/>
          <w:lang w:val="fr-CA"/>
        </w:rPr>
        <w:t>)</w:t>
      </w:r>
    </w:p>
    <w:p w:rsidR="00016C6F" w:rsidRPr="00E54B1C" w:rsidRDefault="00016C6F" w:rsidP="00467CD1">
      <w:pPr>
        <w:ind w:left="357" w:hanging="357"/>
        <w:rPr>
          <w:sz w:val="20"/>
          <w:lang w:val="fr-CA"/>
        </w:rPr>
      </w:pPr>
    </w:p>
    <w:p w:rsidR="008F57B9" w:rsidRPr="00E54B1C" w:rsidRDefault="008F57B9" w:rsidP="00467CD1">
      <w:pPr>
        <w:pStyle w:val="ListParagraph"/>
        <w:numPr>
          <w:ilvl w:val="0"/>
          <w:numId w:val="29"/>
        </w:numPr>
        <w:tabs>
          <w:tab w:val="left" w:pos="0"/>
        </w:tabs>
        <w:ind w:left="357" w:hanging="357"/>
        <w:rPr>
          <w:sz w:val="20"/>
        </w:rPr>
      </w:pPr>
      <w:r w:rsidRPr="00E54B1C">
        <w:rPr>
          <w:i/>
          <w:sz w:val="20"/>
        </w:rPr>
        <w:t>Canadian Broadcasting Corporation, et al. v. His Majesty the King in Right of the Province of British Columbia, et al.</w:t>
      </w:r>
      <w:r w:rsidRPr="00E54B1C">
        <w:rPr>
          <w:sz w:val="20"/>
        </w:rPr>
        <w:t xml:space="preserve"> (B.C.) (Criminal) (By Leave) (</w:t>
      </w:r>
      <w:hyperlink r:id="rId11" w:history="1">
        <w:r w:rsidRPr="00E54B1C">
          <w:rPr>
            <w:rStyle w:val="Hyperlink"/>
            <w:sz w:val="20"/>
          </w:rPr>
          <w:t>40</w:t>
        </w:r>
        <w:r w:rsidR="00467CD1" w:rsidRPr="00E54B1C">
          <w:rPr>
            <w:rStyle w:val="Hyperlink"/>
            <w:sz w:val="20"/>
          </w:rPr>
          <w:t>266</w:t>
        </w:r>
      </w:hyperlink>
      <w:r w:rsidRPr="00E54B1C">
        <w:rPr>
          <w:sz w:val="20"/>
        </w:rPr>
        <w:t>)</w:t>
      </w:r>
    </w:p>
    <w:p w:rsidR="008F57B9" w:rsidRPr="00E54B1C" w:rsidRDefault="008F57B9" w:rsidP="00467CD1">
      <w:pPr>
        <w:ind w:left="357" w:hanging="357"/>
        <w:rPr>
          <w:sz w:val="20"/>
        </w:rPr>
      </w:pPr>
    </w:p>
    <w:p w:rsidR="008F57B9" w:rsidRPr="00E54B1C" w:rsidRDefault="008F57B9" w:rsidP="00467CD1">
      <w:pPr>
        <w:pStyle w:val="SCCLsocParty"/>
        <w:numPr>
          <w:ilvl w:val="0"/>
          <w:numId w:val="29"/>
        </w:numPr>
        <w:ind w:left="357" w:hanging="357"/>
        <w:jc w:val="left"/>
        <w:rPr>
          <w:sz w:val="20"/>
          <w:szCs w:val="20"/>
          <w:lang w:val="en-US"/>
        </w:rPr>
      </w:pPr>
      <w:r w:rsidRPr="00E54B1C">
        <w:rPr>
          <w:i/>
          <w:sz w:val="20"/>
          <w:szCs w:val="20"/>
          <w:lang w:val="en-US"/>
        </w:rPr>
        <w:t>Lorence Hud v. Corporation of the Municipality of West Nipissing, et al.</w:t>
      </w:r>
      <w:r w:rsidRPr="00E54B1C">
        <w:rPr>
          <w:sz w:val="20"/>
          <w:szCs w:val="20"/>
          <w:lang w:val="en-US"/>
        </w:rPr>
        <w:t xml:space="preserve"> (Ont.) (Civil) (By Leave) </w:t>
      </w:r>
      <w:r w:rsidRPr="00E54B1C">
        <w:rPr>
          <w:sz w:val="20"/>
          <w:lang w:val="en-US"/>
        </w:rPr>
        <w:t>(</w:t>
      </w:r>
      <w:hyperlink r:id="rId12" w:history="1">
        <w:r w:rsidRPr="00E54B1C">
          <w:rPr>
            <w:rStyle w:val="Hyperlink"/>
            <w:sz w:val="20"/>
            <w:szCs w:val="20"/>
            <w:lang w:val="en-US"/>
          </w:rPr>
          <w:t>40</w:t>
        </w:r>
        <w:r w:rsidR="00467CD1" w:rsidRPr="00E54B1C">
          <w:rPr>
            <w:rStyle w:val="Hyperlink"/>
            <w:sz w:val="20"/>
            <w:szCs w:val="20"/>
            <w:lang w:val="en-US"/>
          </w:rPr>
          <w:t>238</w:t>
        </w:r>
      </w:hyperlink>
      <w:r w:rsidRPr="00E54B1C">
        <w:rPr>
          <w:sz w:val="20"/>
          <w:lang w:val="en-US"/>
        </w:rPr>
        <w:t>)</w:t>
      </w:r>
    </w:p>
    <w:p w:rsidR="008F57B9" w:rsidRPr="00E54B1C" w:rsidRDefault="008F57B9" w:rsidP="00467CD1">
      <w:pPr>
        <w:ind w:left="357" w:hanging="357"/>
        <w:rPr>
          <w:sz w:val="20"/>
        </w:rPr>
      </w:pPr>
    </w:p>
    <w:p w:rsidR="008F57B9" w:rsidRPr="00E54B1C" w:rsidRDefault="008F57B9" w:rsidP="00467CD1">
      <w:pPr>
        <w:pStyle w:val="ListParagraph"/>
        <w:numPr>
          <w:ilvl w:val="0"/>
          <w:numId w:val="29"/>
        </w:numPr>
        <w:tabs>
          <w:tab w:val="left" w:pos="0"/>
        </w:tabs>
        <w:ind w:left="357" w:hanging="357"/>
        <w:rPr>
          <w:sz w:val="20"/>
        </w:rPr>
      </w:pPr>
      <w:r w:rsidRPr="00E54B1C">
        <w:rPr>
          <w:i/>
          <w:sz w:val="20"/>
        </w:rPr>
        <w:t>Ochapowace Ski Resort Inc., et al. v. His Majesty the King</w:t>
      </w:r>
      <w:r w:rsidRPr="00E54B1C">
        <w:rPr>
          <w:sz w:val="20"/>
        </w:rPr>
        <w:t xml:space="preserve"> (Sask.) (Civil) (By Leave) (</w:t>
      </w:r>
      <w:hyperlink r:id="rId13" w:history="1">
        <w:r w:rsidRPr="00E54B1C">
          <w:rPr>
            <w:rStyle w:val="Hyperlink"/>
            <w:sz w:val="20"/>
          </w:rPr>
          <w:t>40</w:t>
        </w:r>
        <w:r w:rsidR="00467CD1" w:rsidRPr="00E54B1C">
          <w:rPr>
            <w:rStyle w:val="Hyperlink"/>
            <w:sz w:val="20"/>
          </w:rPr>
          <w:t>3</w:t>
        </w:r>
        <w:r w:rsidRPr="00E54B1C">
          <w:rPr>
            <w:rStyle w:val="Hyperlink"/>
            <w:sz w:val="20"/>
          </w:rPr>
          <w:t>0</w:t>
        </w:r>
        <w:r w:rsidR="00467CD1" w:rsidRPr="00E54B1C">
          <w:rPr>
            <w:rStyle w:val="Hyperlink"/>
            <w:sz w:val="20"/>
          </w:rPr>
          <w:t>8</w:t>
        </w:r>
      </w:hyperlink>
      <w:r w:rsidRPr="00E54B1C">
        <w:rPr>
          <w:sz w:val="20"/>
        </w:rPr>
        <w:t>)</w:t>
      </w:r>
    </w:p>
    <w:p w:rsidR="008F57B9" w:rsidRPr="00E54B1C" w:rsidRDefault="008F57B9" w:rsidP="00467CD1">
      <w:pPr>
        <w:ind w:left="357" w:hanging="357"/>
        <w:rPr>
          <w:sz w:val="20"/>
        </w:rPr>
      </w:pPr>
    </w:p>
    <w:p w:rsidR="008F57B9" w:rsidRPr="00E54B1C" w:rsidRDefault="008F57B9" w:rsidP="00467CD1">
      <w:pPr>
        <w:pStyle w:val="ListParagraph"/>
        <w:numPr>
          <w:ilvl w:val="0"/>
          <w:numId w:val="29"/>
        </w:numPr>
        <w:tabs>
          <w:tab w:val="left" w:pos="0"/>
        </w:tabs>
        <w:ind w:left="357" w:hanging="357"/>
        <w:rPr>
          <w:sz w:val="20"/>
        </w:rPr>
      </w:pPr>
      <w:r w:rsidRPr="00E54B1C">
        <w:rPr>
          <w:i/>
          <w:sz w:val="20"/>
          <w:lang w:val="fr-CA"/>
        </w:rPr>
        <w:t>Jimmy Jing Xu v. Chung Quai Tran</w:t>
      </w:r>
      <w:r w:rsidRPr="00E54B1C">
        <w:rPr>
          <w:sz w:val="20"/>
          <w:lang w:val="fr-CA"/>
        </w:rPr>
        <w:t xml:space="preserve"> (Que.) </w:t>
      </w:r>
      <w:r w:rsidRPr="00E54B1C">
        <w:rPr>
          <w:sz w:val="20"/>
        </w:rPr>
        <w:t>(Civil) (By Leave) (</w:t>
      </w:r>
      <w:hyperlink r:id="rId14" w:history="1">
        <w:r w:rsidRPr="00E54B1C">
          <w:rPr>
            <w:rStyle w:val="Hyperlink"/>
            <w:sz w:val="20"/>
          </w:rPr>
          <w:t>40</w:t>
        </w:r>
        <w:r w:rsidR="000631CF">
          <w:rPr>
            <w:rStyle w:val="Hyperlink"/>
            <w:sz w:val="20"/>
          </w:rPr>
          <w:t>3</w:t>
        </w:r>
        <w:r w:rsidR="00467CD1" w:rsidRPr="00E54B1C">
          <w:rPr>
            <w:rStyle w:val="Hyperlink"/>
            <w:sz w:val="20"/>
          </w:rPr>
          <w:t>28</w:t>
        </w:r>
      </w:hyperlink>
      <w:bookmarkStart w:id="0" w:name="_GoBack"/>
      <w:bookmarkEnd w:id="0"/>
      <w:r w:rsidRPr="00E54B1C">
        <w:rPr>
          <w:sz w:val="20"/>
        </w:rPr>
        <w:t>)</w:t>
      </w:r>
    </w:p>
    <w:p w:rsidR="008F57B9" w:rsidRPr="00E54B1C" w:rsidRDefault="008F57B9" w:rsidP="00467CD1">
      <w:pPr>
        <w:ind w:left="357" w:hanging="357"/>
        <w:rPr>
          <w:sz w:val="20"/>
        </w:rPr>
      </w:pPr>
    </w:p>
    <w:p w:rsidR="008F57B9" w:rsidRPr="00E54B1C" w:rsidRDefault="008F57B9" w:rsidP="00467CD1">
      <w:pPr>
        <w:pStyle w:val="ListParagraph"/>
        <w:numPr>
          <w:ilvl w:val="0"/>
          <w:numId w:val="29"/>
        </w:numPr>
        <w:tabs>
          <w:tab w:val="left" w:pos="0"/>
        </w:tabs>
        <w:ind w:left="357" w:hanging="357"/>
        <w:rPr>
          <w:sz w:val="20"/>
        </w:rPr>
      </w:pPr>
      <w:r w:rsidRPr="00E54B1C">
        <w:rPr>
          <w:i/>
          <w:sz w:val="20"/>
        </w:rPr>
        <w:t>His Majesty the King v. Robert Major</w:t>
      </w:r>
      <w:r w:rsidRPr="00E54B1C">
        <w:rPr>
          <w:sz w:val="20"/>
        </w:rPr>
        <w:t xml:space="preserve"> (Sask.) (Criminal) (By Leave) (</w:t>
      </w:r>
      <w:hyperlink r:id="rId15" w:history="1">
        <w:r w:rsidRPr="00E54B1C">
          <w:rPr>
            <w:rStyle w:val="Hyperlink"/>
            <w:sz w:val="20"/>
          </w:rPr>
          <w:t>40</w:t>
        </w:r>
        <w:r w:rsidR="00467CD1" w:rsidRPr="00E54B1C">
          <w:rPr>
            <w:rStyle w:val="Hyperlink"/>
            <w:sz w:val="20"/>
          </w:rPr>
          <w:t>38</w:t>
        </w:r>
        <w:r w:rsidRPr="00E54B1C">
          <w:rPr>
            <w:rStyle w:val="Hyperlink"/>
            <w:sz w:val="20"/>
          </w:rPr>
          <w:t>4</w:t>
        </w:r>
      </w:hyperlink>
      <w:r w:rsidRPr="00E54B1C">
        <w:rPr>
          <w:sz w:val="20"/>
        </w:rPr>
        <w:t>)</w:t>
      </w:r>
    </w:p>
    <w:p w:rsidR="008F57B9" w:rsidRPr="00E54B1C" w:rsidRDefault="008F57B9" w:rsidP="00467CD1">
      <w:pPr>
        <w:ind w:left="357" w:hanging="357"/>
        <w:rPr>
          <w:sz w:val="20"/>
        </w:rPr>
      </w:pPr>
    </w:p>
    <w:p w:rsidR="008F57B9" w:rsidRPr="00E54B1C" w:rsidRDefault="008F57B9" w:rsidP="00467CD1">
      <w:pPr>
        <w:pStyle w:val="ListParagraph"/>
        <w:numPr>
          <w:ilvl w:val="0"/>
          <w:numId w:val="29"/>
        </w:numPr>
        <w:tabs>
          <w:tab w:val="left" w:pos="0"/>
        </w:tabs>
        <w:ind w:left="357" w:hanging="357"/>
        <w:rPr>
          <w:sz w:val="20"/>
        </w:rPr>
      </w:pPr>
      <w:r w:rsidRPr="00E54B1C">
        <w:rPr>
          <w:i/>
          <w:sz w:val="20"/>
        </w:rPr>
        <w:t>Attorney General of Canada v. National Police Federation</w:t>
      </w:r>
      <w:r w:rsidRPr="00E54B1C">
        <w:rPr>
          <w:sz w:val="20"/>
        </w:rPr>
        <w:t xml:space="preserve"> (F.C.) (Civil) (By Leave) (</w:t>
      </w:r>
      <w:hyperlink r:id="rId16" w:history="1">
        <w:r w:rsidRPr="00E54B1C">
          <w:rPr>
            <w:rStyle w:val="Hyperlink"/>
            <w:sz w:val="20"/>
          </w:rPr>
          <w:t>40</w:t>
        </w:r>
        <w:r w:rsidR="00467CD1" w:rsidRPr="00E54B1C">
          <w:rPr>
            <w:rStyle w:val="Hyperlink"/>
            <w:sz w:val="20"/>
          </w:rPr>
          <w:t>307</w:t>
        </w:r>
      </w:hyperlink>
      <w:r w:rsidRPr="00E54B1C">
        <w:rPr>
          <w:sz w:val="20"/>
        </w:rPr>
        <w:t>)</w:t>
      </w:r>
    </w:p>
    <w:p w:rsidR="008F57B9" w:rsidRPr="00E54B1C" w:rsidRDefault="008F57B9" w:rsidP="00467CD1">
      <w:pPr>
        <w:ind w:left="357" w:hanging="357"/>
        <w:rPr>
          <w:sz w:val="20"/>
        </w:rPr>
      </w:pPr>
    </w:p>
    <w:p w:rsidR="008F57B9" w:rsidRPr="00E54B1C" w:rsidRDefault="008F57B9" w:rsidP="00467CD1">
      <w:pPr>
        <w:pStyle w:val="ListParagraph"/>
        <w:numPr>
          <w:ilvl w:val="0"/>
          <w:numId w:val="29"/>
        </w:numPr>
        <w:tabs>
          <w:tab w:val="left" w:pos="0"/>
        </w:tabs>
        <w:ind w:left="357" w:hanging="357"/>
        <w:rPr>
          <w:sz w:val="20"/>
        </w:rPr>
      </w:pPr>
      <w:r w:rsidRPr="00E54B1C">
        <w:rPr>
          <w:i/>
          <w:sz w:val="20"/>
        </w:rPr>
        <w:t>Alex Aiden Fitzgerald Furney, also known as Alex Furney, et al. v. 2257573 Ontario Inc.</w:t>
      </w:r>
      <w:r w:rsidRPr="00E54B1C">
        <w:rPr>
          <w:sz w:val="20"/>
        </w:rPr>
        <w:t xml:space="preserve"> (Ont.) (Civil) (By Leave) (</w:t>
      </w:r>
      <w:hyperlink r:id="rId17" w:history="1">
        <w:r w:rsidRPr="00E54B1C">
          <w:rPr>
            <w:rStyle w:val="Hyperlink"/>
            <w:sz w:val="20"/>
          </w:rPr>
          <w:t>40</w:t>
        </w:r>
        <w:r w:rsidR="00467CD1" w:rsidRPr="00E54B1C">
          <w:rPr>
            <w:rStyle w:val="Hyperlink"/>
            <w:sz w:val="20"/>
          </w:rPr>
          <w:t>31</w:t>
        </w:r>
        <w:r w:rsidRPr="00E54B1C">
          <w:rPr>
            <w:rStyle w:val="Hyperlink"/>
            <w:sz w:val="20"/>
          </w:rPr>
          <w:t>5</w:t>
        </w:r>
      </w:hyperlink>
      <w:r w:rsidRPr="00E54B1C">
        <w:rPr>
          <w:sz w:val="20"/>
        </w:rPr>
        <w:t>)</w:t>
      </w:r>
    </w:p>
    <w:p w:rsidR="008F57B9" w:rsidRPr="00E54B1C" w:rsidRDefault="008F57B9" w:rsidP="00467CD1">
      <w:pPr>
        <w:ind w:left="357" w:hanging="357"/>
        <w:rPr>
          <w:sz w:val="20"/>
        </w:rPr>
      </w:pPr>
    </w:p>
    <w:p w:rsidR="008F57B9" w:rsidRPr="00E54B1C" w:rsidRDefault="008F57B9" w:rsidP="00467CD1">
      <w:pPr>
        <w:pStyle w:val="ListParagraph"/>
        <w:numPr>
          <w:ilvl w:val="0"/>
          <w:numId w:val="29"/>
        </w:numPr>
        <w:tabs>
          <w:tab w:val="left" w:pos="0"/>
        </w:tabs>
        <w:ind w:left="357" w:hanging="357"/>
        <w:rPr>
          <w:sz w:val="20"/>
        </w:rPr>
      </w:pPr>
      <w:r w:rsidRPr="00E54B1C">
        <w:rPr>
          <w:i/>
          <w:sz w:val="20"/>
        </w:rPr>
        <w:t>Anthony Pullano v. Steven Hinder, et al.</w:t>
      </w:r>
      <w:r w:rsidRPr="00E54B1C">
        <w:rPr>
          <w:sz w:val="20"/>
        </w:rPr>
        <w:t xml:space="preserve"> (Ont.) (Civil) (By Leave) (</w:t>
      </w:r>
      <w:hyperlink r:id="rId18" w:history="1">
        <w:r w:rsidRPr="00E54B1C">
          <w:rPr>
            <w:rStyle w:val="Hyperlink"/>
            <w:sz w:val="20"/>
          </w:rPr>
          <w:t>40</w:t>
        </w:r>
        <w:r w:rsidR="00467CD1" w:rsidRPr="00E54B1C">
          <w:rPr>
            <w:rStyle w:val="Hyperlink"/>
            <w:sz w:val="20"/>
          </w:rPr>
          <w:t>33</w:t>
        </w:r>
        <w:r w:rsidRPr="00E54B1C">
          <w:rPr>
            <w:rStyle w:val="Hyperlink"/>
            <w:sz w:val="20"/>
          </w:rPr>
          <w:t>5</w:t>
        </w:r>
      </w:hyperlink>
      <w:r w:rsidRPr="00E54B1C">
        <w:rPr>
          <w:sz w:val="20"/>
        </w:rPr>
        <w:t>)</w:t>
      </w:r>
    </w:p>
    <w:p w:rsidR="008F57B9" w:rsidRPr="00E54B1C" w:rsidRDefault="008F57B9" w:rsidP="00467CD1">
      <w:pPr>
        <w:ind w:left="357" w:hanging="357"/>
        <w:rPr>
          <w:sz w:val="20"/>
        </w:rPr>
      </w:pPr>
    </w:p>
    <w:p w:rsidR="008F57B9" w:rsidRPr="00E54B1C" w:rsidRDefault="008F57B9" w:rsidP="00467CD1">
      <w:pPr>
        <w:pStyle w:val="ListParagraph"/>
        <w:numPr>
          <w:ilvl w:val="0"/>
          <w:numId w:val="29"/>
        </w:numPr>
        <w:tabs>
          <w:tab w:val="left" w:pos="0"/>
        </w:tabs>
        <w:ind w:left="357" w:hanging="357"/>
        <w:rPr>
          <w:sz w:val="20"/>
        </w:rPr>
      </w:pPr>
      <w:r w:rsidRPr="00E54B1C">
        <w:rPr>
          <w:i/>
          <w:sz w:val="20"/>
          <w:lang w:val="fr-CA"/>
        </w:rPr>
        <w:t>Gaurav Tewari v. Jennifer Mather McHenry, et al.</w:t>
      </w:r>
      <w:r w:rsidRPr="00E54B1C">
        <w:rPr>
          <w:sz w:val="20"/>
          <w:lang w:val="fr-CA"/>
        </w:rPr>
        <w:t xml:space="preserve"> </w:t>
      </w:r>
      <w:r w:rsidRPr="00E54B1C">
        <w:rPr>
          <w:sz w:val="20"/>
        </w:rPr>
        <w:t>(Ont.) (Civil) (By Leave) (</w:t>
      </w:r>
      <w:hyperlink r:id="rId19" w:history="1">
        <w:r w:rsidRPr="00E54B1C">
          <w:rPr>
            <w:rStyle w:val="Hyperlink"/>
            <w:sz w:val="20"/>
          </w:rPr>
          <w:t>40</w:t>
        </w:r>
        <w:r w:rsidR="00467CD1" w:rsidRPr="00E54B1C">
          <w:rPr>
            <w:rStyle w:val="Hyperlink"/>
            <w:sz w:val="20"/>
          </w:rPr>
          <w:t>512</w:t>
        </w:r>
      </w:hyperlink>
      <w:r w:rsidRPr="00E54B1C">
        <w:rPr>
          <w:sz w:val="20"/>
        </w:rPr>
        <w:t>)</w:t>
      </w:r>
    </w:p>
    <w:p w:rsidR="0074008A" w:rsidRPr="00E54B1C" w:rsidRDefault="0074008A" w:rsidP="0053032E">
      <w:pPr>
        <w:rPr>
          <w:sz w:val="20"/>
        </w:rPr>
      </w:pPr>
    </w:p>
    <w:p w:rsidR="0057402C" w:rsidRPr="00E54B1C" w:rsidRDefault="000631CF" w:rsidP="0053032E">
      <w:pPr>
        <w:widowControl w:val="0"/>
        <w:jc w:val="both"/>
        <w:rPr>
          <w:sz w:val="20"/>
        </w:rPr>
      </w:pPr>
      <w:r>
        <w:rPr>
          <w:sz w:val="20"/>
        </w:rPr>
        <w:pict>
          <v:rect id="_x0000_i1026" style="width:2in;height:1pt" o:hrpct="0" o:hralign="center" o:hrstd="t" o:hrnoshade="t" o:hr="t" fillcolor="black [3213]" stroked="f"/>
        </w:pict>
      </w:r>
    </w:p>
    <w:p w:rsidR="008F57B9" w:rsidRPr="00E54B1C" w:rsidRDefault="008F57B9" w:rsidP="00D6590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lastRenderedPageBreak/>
              <w:t>40241</w:t>
            </w:r>
          </w:p>
        </w:tc>
        <w:tc>
          <w:tcPr>
            <w:tcW w:w="4457" w:type="pct"/>
            <w:gridSpan w:val="3"/>
          </w:tcPr>
          <w:p w:rsidR="009043BE" w:rsidRPr="00E54B1C" w:rsidRDefault="009043BE" w:rsidP="009043BE">
            <w:pPr>
              <w:pStyle w:val="SCCLsocParty"/>
              <w:jc w:val="both"/>
              <w:rPr>
                <w:b/>
                <w:sz w:val="20"/>
                <w:szCs w:val="20"/>
                <w:lang w:val="en-US"/>
              </w:rPr>
            </w:pPr>
            <w:r w:rsidRPr="00E54B1C">
              <w:rPr>
                <w:b/>
                <w:sz w:val="20"/>
                <w:szCs w:val="20"/>
                <w:lang w:val="en-US"/>
              </w:rPr>
              <w:t>Attorney General of Canada v. Joseph Power</w:t>
            </w:r>
          </w:p>
          <w:p w:rsidR="009043BE" w:rsidRPr="00E54B1C" w:rsidRDefault="009043BE" w:rsidP="009043BE">
            <w:pPr>
              <w:jc w:val="both"/>
              <w:rPr>
                <w:sz w:val="20"/>
              </w:rPr>
            </w:pPr>
            <w:r w:rsidRPr="00E54B1C">
              <w:rPr>
                <w:sz w:val="20"/>
              </w:rPr>
              <w:t>(N.B.) (Civil) (By Leave)</w:t>
            </w:r>
          </w:p>
        </w:tc>
      </w:tr>
      <w:tr w:rsidR="009043BE" w:rsidRPr="00E54B1C" w:rsidTr="009043BE">
        <w:tc>
          <w:tcPr>
            <w:tcW w:w="5000" w:type="pct"/>
            <w:gridSpan w:val="4"/>
          </w:tcPr>
          <w:p w:rsidR="009043BE" w:rsidRPr="00E54B1C" w:rsidRDefault="009043BE" w:rsidP="009043BE">
            <w:pPr>
              <w:jc w:val="both"/>
              <w:rPr>
                <w:sz w:val="20"/>
              </w:rPr>
            </w:pPr>
            <w:r w:rsidRPr="00E54B1C">
              <w:rPr>
                <w:sz w:val="20"/>
              </w:rPr>
              <w:t xml:space="preserve">Constitutional law — Charter of Rights — Remedy (s. 24) — Damages — Respondent convicted of criminal offences prior to certain amendments to regime for obtaining pardons, but transitional provisions applied the amendments retrospectively — Respondent seeking pardon after employer learned of criminal record, but amendments rendered respondent permanently ineligible for a pardon — Respondent losing his employment — Respondent seeking damages after transitional provisions declared unconstitutional —Whether the Crown may be held liable in damages for government officials and Ministers preparing and drafting legislation that is later declared unconstitutional — Whether the Crown may be held liable in damages for Parliament enacting legislation that is later declared unconstitutional — </w:t>
            </w:r>
            <w:r w:rsidRPr="00E54B1C">
              <w:rPr>
                <w:bCs/>
                <w:i/>
                <w:iCs/>
                <w:sz w:val="20"/>
              </w:rPr>
              <w:t>Limiting Pardons for Serious Crimes Act</w:t>
            </w:r>
            <w:r w:rsidRPr="00E54B1C">
              <w:rPr>
                <w:sz w:val="20"/>
              </w:rPr>
              <w:t xml:space="preserve">, S.C. 2010, c. 5 — </w:t>
            </w:r>
            <w:r w:rsidRPr="00E54B1C">
              <w:rPr>
                <w:bCs/>
                <w:i/>
                <w:iCs/>
                <w:sz w:val="20"/>
              </w:rPr>
              <w:t>Safe Streets and Communities Act</w:t>
            </w:r>
            <w:r w:rsidRPr="00E54B1C">
              <w:rPr>
                <w:sz w:val="20"/>
              </w:rPr>
              <w:t xml:space="preserve">, S.C. 2012, c. 1 — </w:t>
            </w:r>
            <w:r w:rsidRPr="00E54B1C">
              <w:rPr>
                <w:i/>
                <w:sz w:val="20"/>
              </w:rPr>
              <w:t>Criminal Records Act</w:t>
            </w:r>
            <w:r w:rsidRPr="00E54B1C">
              <w:rPr>
                <w:sz w:val="20"/>
              </w:rPr>
              <w:t>, R.S.C. 1985, c. C-47.</w:t>
            </w:r>
          </w:p>
        </w:tc>
      </w:tr>
      <w:tr w:rsidR="009043BE" w:rsidRPr="00E54B1C" w:rsidTr="009043BE">
        <w:tc>
          <w:tcPr>
            <w:tcW w:w="5000" w:type="pct"/>
            <w:gridSpan w:val="4"/>
          </w:tcPr>
          <w:p w:rsidR="009043BE" w:rsidRPr="00E54B1C" w:rsidRDefault="009043BE" w:rsidP="009043BE">
            <w:pPr>
              <w:jc w:val="both"/>
              <w:rPr>
                <w:sz w:val="20"/>
              </w:rPr>
            </w:pPr>
          </w:p>
        </w:tc>
      </w:tr>
      <w:tr w:rsidR="009043BE" w:rsidRPr="00E54B1C" w:rsidTr="009043BE">
        <w:tc>
          <w:tcPr>
            <w:tcW w:w="5000" w:type="pct"/>
            <w:gridSpan w:val="4"/>
          </w:tcPr>
          <w:p w:rsidR="009043BE" w:rsidRPr="00E54B1C" w:rsidRDefault="009043BE" w:rsidP="009043BE">
            <w:pPr>
              <w:jc w:val="both"/>
              <w:rPr>
                <w:sz w:val="20"/>
              </w:rPr>
            </w:pPr>
            <w:r w:rsidRPr="00E54B1C">
              <w:rPr>
                <w:sz w:val="20"/>
              </w:rPr>
              <w:t>Respondent Joseph Power was convicted of two criminal offences in the 1990s. He served a term of imprisonment. After his release Mr. Power enrolled in college to become an X-ray technician. He then worked in Quebec before relocating to New Brunswick, where he worked in a hospital as a medical radiation technologist.</w:t>
            </w:r>
          </w:p>
          <w:p w:rsidR="009043BE" w:rsidRPr="00E54B1C" w:rsidRDefault="009043BE" w:rsidP="009043BE">
            <w:pPr>
              <w:jc w:val="both"/>
              <w:rPr>
                <w:sz w:val="20"/>
              </w:rPr>
            </w:pPr>
          </w:p>
          <w:p w:rsidR="009043BE" w:rsidRPr="00E54B1C" w:rsidRDefault="009043BE" w:rsidP="009043BE">
            <w:pPr>
              <w:jc w:val="both"/>
              <w:rPr>
                <w:sz w:val="20"/>
              </w:rPr>
            </w:pPr>
            <w:r w:rsidRPr="00E54B1C">
              <w:rPr>
                <w:sz w:val="20"/>
              </w:rPr>
              <w:t xml:space="preserve">In 2010 Mr. Power made inquiries about the process to obtain a pardon, but did not apply for a pardon at that time. </w:t>
            </w:r>
          </w:p>
          <w:p w:rsidR="009043BE" w:rsidRPr="00E54B1C" w:rsidRDefault="009043BE" w:rsidP="009043BE">
            <w:pPr>
              <w:jc w:val="both"/>
              <w:rPr>
                <w:sz w:val="20"/>
              </w:rPr>
            </w:pPr>
          </w:p>
          <w:p w:rsidR="009043BE" w:rsidRPr="00E54B1C" w:rsidRDefault="009043BE" w:rsidP="009043BE">
            <w:pPr>
              <w:jc w:val="both"/>
              <w:rPr>
                <w:sz w:val="20"/>
              </w:rPr>
            </w:pPr>
            <w:r w:rsidRPr="00E54B1C">
              <w:rPr>
                <w:sz w:val="20"/>
              </w:rPr>
              <w:t>In 2011 Mr. Power’s employer learned of his criminal record by way of an anonymous phone call. He was told he posed a risk because of his criminal record and was suspended from work, first with pay and later without.</w:t>
            </w:r>
          </w:p>
          <w:p w:rsidR="009043BE" w:rsidRPr="00E54B1C" w:rsidRDefault="009043BE" w:rsidP="009043BE">
            <w:pPr>
              <w:jc w:val="both"/>
              <w:rPr>
                <w:sz w:val="20"/>
              </w:rPr>
            </w:pPr>
          </w:p>
          <w:p w:rsidR="009043BE" w:rsidRPr="00E54B1C" w:rsidRDefault="009043BE" w:rsidP="009043BE">
            <w:pPr>
              <w:jc w:val="both"/>
              <w:rPr>
                <w:sz w:val="20"/>
              </w:rPr>
            </w:pPr>
            <w:r w:rsidRPr="00E54B1C">
              <w:rPr>
                <w:sz w:val="20"/>
              </w:rPr>
              <w:t xml:space="preserve">Mr. Power applied for a pardon in 2013 in order to continue working as a medical radiation technologist. However, two enactments since 2010 — the </w:t>
            </w:r>
            <w:r w:rsidRPr="00E54B1C">
              <w:rPr>
                <w:bCs/>
                <w:i/>
                <w:iCs/>
                <w:sz w:val="20"/>
              </w:rPr>
              <w:t>Limiting Pardons for Serious Crimes Act</w:t>
            </w:r>
            <w:r w:rsidRPr="00E54B1C">
              <w:rPr>
                <w:sz w:val="20"/>
              </w:rPr>
              <w:t xml:space="preserve">, S.C. 2010, c. 5 and the </w:t>
            </w:r>
            <w:r w:rsidRPr="00E54B1C">
              <w:rPr>
                <w:bCs/>
                <w:i/>
                <w:iCs/>
                <w:sz w:val="20"/>
              </w:rPr>
              <w:t>Safe Streets and Communities Act</w:t>
            </w:r>
            <w:r w:rsidRPr="00E54B1C">
              <w:rPr>
                <w:sz w:val="20"/>
              </w:rPr>
              <w:t xml:space="preserve">, S.C. 2012, c. 1 — had amended the pardon scheme (now called a record suspension) set out in the </w:t>
            </w:r>
            <w:r w:rsidRPr="00E54B1C">
              <w:rPr>
                <w:i/>
                <w:sz w:val="20"/>
              </w:rPr>
              <w:t>Criminal Records Act</w:t>
            </w:r>
            <w:r w:rsidRPr="00E54B1C">
              <w:rPr>
                <w:sz w:val="20"/>
              </w:rPr>
              <w:t xml:space="preserve">, R.S.C. 1985, c. C-47. Transitional provisions in both of the amending acts gave them retrospective application to offences that had occurred before their coming into force. The combined effect of these enactments and their transitional provisions was to render Mr. Power permanently ineligible for a record suspension. </w:t>
            </w:r>
          </w:p>
          <w:p w:rsidR="009043BE" w:rsidRPr="00E54B1C" w:rsidRDefault="009043BE" w:rsidP="009043BE">
            <w:pPr>
              <w:jc w:val="both"/>
              <w:rPr>
                <w:sz w:val="20"/>
              </w:rPr>
            </w:pPr>
          </w:p>
          <w:p w:rsidR="009043BE" w:rsidRPr="00E54B1C" w:rsidRDefault="009043BE" w:rsidP="009043BE">
            <w:pPr>
              <w:jc w:val="both"/>
              <w:rPr>
                <w:sz w:val="20"/>
              </w:rPr>
            </w:pPr>
            <w:r w:rsidRPr="00E54B1C">
              <w:rPr>
                <w:sz w:val="20"/>
              </w:rPr>
              <w:t xml:space="preserve">As a result, Mr. Power lost his job and </w:t>
            </w:r>
            <w:r w:rsidRPr="00E54B1C">
              <w:rPr>
                <w:color w:val="000000"/>
                <w:sz w:val="20"/>
              </w:rPr>
              <w:t>became ineligible for membership with the medical radiation technologist governing bodies of New Brunswick and Quebec.</w:t>
            </w:r>
          </w:p>
          <w:p w:rsidR="009043BE" w:rsidRPr="00E54B1C" w:rsidRDefault="009043BE" w:rsidP="009043BE">
            <w:pPr>
              <w:jc w:val="both"/>
              <w:rPr>
                <w:sz w:val="20"/>
              </w:rPr>
            </w:pPr>
          </w:p>
          <w:p w:rsidR="009043BE" w:rsidRPr="00E54B1C" w:rsidRDefault="009043BE" w:rsidP="009043BE">
            <w:pPr>
              <w:jc w:val="both"/>
              <w:rPr>
                <w:sz w:val="20"/>
              </w:rPr>
            </w:pPr>
            <w:r w:rsidRPr="00E54B1C">
              <w:rPr>
                <w:sz w:val="20"/>
              </w:rPr>
              <w:t xml:space="preserve">The transitional provisions of both the </w:t>
            </w:r>
            <w:r w:rsidRPr="00E54B1C">
              <w:rPr>
                <w:i/>
                <w:sz w:val="20"/>
              </w:rPr>
              <w:t>Limiting Pardons for Serious Crimes Act</w:t>
            </w:r>
            <w:r w:rsidRPr="00E54B1C">
              <w:rPr>
                <w:sz w:val="20"/>
              </w:rPr>
              <w:t xml:space="preserve"> and the </w:t>
            </w:r>
            <w:r w:rsidRPr="00E54B1C">
              <w:rPr>
                <w:i/>
                <w:sz w:val="20"/>
              </w:rPr>
              <w:t>Safe Streets and Communities Act</w:t>
            </w:r>
            <w:r w:rsidRPr="00E54B1C">
              <w:rPr>
                <w:sz w:val="20"/>
              </w:rPr>
              <w:t>, which gave them retrospective application to offences committed prior to their enactment, have since been declared unconstitutional.</w:t>
            </w:r>
          </w:p>
          <w:p w:rsidR="009043BE" w:rsidRPr="00E54B1C" w:rsidRDefault="009043BE" w:rsidP="009043BE">
            <w:pPr>
              <w:jc w:val="both"/>
              <w:rPr>
                <w:sz w:val="20"/>
              </w:rPr>
            </w:pPr>
          </w:p>
          <w:p w:rsidR="009043BE" w:rsidRPr="00E54B1C" w:rsidRDefault="009043BE" w:rsidP="009043BE">
            <w:pPr>
              <w:jc w:val="both"/>
              <w:rPr>
                <w:rFonts w:eastAsiaTheme="majorEastAsia"/>
                <w:sz w:val="20"/>
              </w:rPr>
            </w:pPr>
            <w:r w:rsidRPr="00E54B1C">
              <w:rPr>
                <w:sz w:val="20"/>
              </w:rPr>
              <w:t xml:space="preserve">Mr. Power brought an action for </w:t>
            </w:r>
            <w:r w:rsidRPr="00E54B1C">
              <w:rPr>
                <w:color w:val="000000"/>
                <w:sz w:val="20"/>
              </w:rPr>
              <w:t xml:space="preserve">damages pursuant to </w:t>
            </w:r>
            <w:r w:rsidRPr="00E54B1C">
              <w:rPr>
                <w:rFonts w:eastAsiaTheme="majorEastAsia"/>
                <w:sz w:val="20"/>
              </w:rPr>
              <w:t xml:space="preserve">s. 24(1) of the </w:t>
            </w:r>
            <w:r w:rsidRPr="00E54B1C">
              <w:rPr>
                <w:rFonts w:eastAsiaTheme="majorEastAsia"/>
                <w:i/>
                <w:sz w:val="20"/>
              </w:rPr>
              <w:t>Charter</w:t>
            </w:r>
            <w:r w:rsidRPr="00E54B1C">
              <w:rPr>
                <w:rFonts w:eastAsiaTheme="majorEastAsia"/>
                <w:sz w:val="20"/>
              </w:rPr>
              <w:t xml:space="preserve">. Prior to trial, the applicant Attorney General of Canada sought a determination of two questions of law: </w:t>
            </w:r>
          </w:p>
          <w:p w:rsidR="009043BE" w:rsidRPr="00E54B1C" w:rsidRDefault="009043BE" w:rsidP="009043BE">
            <w:pPr>
              <w:jc w:val="both"/>
              <w:rPr>
                <w:rFonts w:eastAsiaTheme="majorEastAsia"/>
                <w:sz w:val="20"/>
              </w:rPr>
            </w:pPr>
          </w:p>
          <w:p w:rsidR="009043BE" w:rsidRPr="00E54B1C" w:rsidRDefault="009043BE" w:rsidP="009043BE">
            <w:pPr>
              <w:pStyle w:val="ListParagraph"/>
              <w:widowControl/>
              <w:numPr>
                <w:ilvl w:val="0"/>
                <w:numId w:val="30"/>
              </w:numPr>
              <w:autoSpaceDE/>
              <w:autoSpaceDN/>
              <w:adjustRightInd/>
              <w:jc w:val="both"/>
              <w:rPr>
                <w:sz w:val="20"/>
                <w:szCs w:val="20"/>
              </w:rPr>
            </w:pPr>
            <w:r w:rsidRPr="00E54B1C">
              <w:rPr>
                <w:sz w:val="20"/>
                <w:szCs w:val="20"/>
              </w:rPr>
              <w:t xml:space="preserve">Can the Crown, in its executive capacity, be held liable in damages for government officials and Ministers preparing and drafting a proposed Bill that was later enacted by Parliament, and subsequently declared invalid by a court pursuant to s. 52(1) of the </w:t>
            </w:r>
            <w:r w:rsidRPr="00E54B1C">
              <w:rPr>
                <w:i/>
                <w:sz w:val="20"/>
                <w:szCs w:val="20"/>
              </w:rPr>
              <w:t>Constitution Act, 1982</w:t>
            </w:r>
            <w:r w:rsidRPr="00E54B1C">
              <w:rPr>
                <w:sz w:val="20"/>
                <w:szCs w:val="20"/>
              </w:rPr>
              <w:t xml:space="preserve">? and </w:t>
            </w:r>
          </w:p>
          <w:p w:rsidR="009043BE" w:rsidRPr="00E54B1C" w:rsidRDefault="009043BE" w:rsidP="009043BE">
            <w:pPr>
              <w:pStyle w:val="ListParagraph"/>
              <w:jc w:val="both"/>
              <w:rPr>
                <w:sz w:val="20"/>
                <w:szCs w:val="20"/>
              </w:rPr>
            </w:pPr>
          </w:p>
          <w:p w:rsidR="009043BE" w:rsidRPr="00E54B1C" w:rsidRDefault="009043BE" w:rsidP="009043BE">
            <w:pPr>
              <w:pStyle w:val="ListParagraph"/>
              <w:widowControl/>
              <w:numPr>
                <w:ilvl w:val="0"/>
                <w:numId w:val="30"/>
              </w:numPr>
              <w:autoSpaceDE/>
              <w:autoSpaceDN/>
              <w:adjustRightInd/>
              <w:jc w:val="both"/>
              <w:rPr>
                <w:sz w:val="20"/>
                <w:szCs w:val="20"/>
              </w:rPr>
            </w:pPr>
            <w:r w:rsidRPr="00E54B1C">
              <w:rPr>
                <w:sz w:val="20"/>
                <w:szCs w:val="20"/>
              </w:rPr>
              <w:t xml:space="preserve">Can the Crown, in its executive capacity, be held liable in damages for Parliament enacting a Bill into law, which legislation was later declared invalid by a court pursuant to s. 52(1) of the </w:t>
            </w:r>
            <w:r w:rsidRPr="00E54B1C">
              <w:rPr>
                <w:i/>
                <w:sz w:val="20"/>
                <w:szCs w:val="20"/>
              </w:rPr>
              <w:t>Constitution Act, 1982</w:t>
            </w:r>
            <w:r w:rsidRPr="00E54B1C">
              <w:rPr>
                <w:sz w:val="20"/>
                <w:szCs w:val="20"/>
              </w:rPr>
              <w:t>?</w:t>
            </w:r>
          </w:p>
          <w:p w:rsidR="009043BE" w:rsidRPr="00E54B1C" w:rsidRDefault="009043BE" w:rsidP="009043BE">
            <w:pPr>
              <w:jc w:val="both"/>
              <w:rPr>
                <w:sz w:val="20"/>
              </w:rPr>
            </w:pPr>
          </w:p>
          <w:p w:rsidR="009043BE" w:rsidRPr="00E54B1C" w:rsidRDefault="009043BE" w:rsidP="009043BE">
            <w:pPr>
              <w:jc w:val="both"/>
              <w:rPr>
                <w:sz w:val="20"/>
              </w:rPr>
            </w:pPr>
            <w:r w:rsidRPr="00E54B1C">
              <w:rPr>
                <w:sz w:val="20"/>
              </w:rPr>
              <w:t>The application judge answered “yes” to both questions. The Court of Appeal of New Brunswick dismissed the Attorney General’s appeal.</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May 14, 2021</w:t>
            </w:r>
          </w:p>
          <w:p w:rsidR="009043BE" w:rsidRPr="00E54B1C" w:rsidRDefault="009043BE" w:rsidP="009043BE">
            <w:pPr>
              <w:jc w:val="both"/>
              <w:rPr>
                <w:sz w:val="20"/>
              </w:rPr>
            </w:pPr>
            <w:r w:rsidRPr="00E54B1C">
              <w:rPr>
                <w:sz w:val="20"/>
              </w:rPr>
              <w:t>Court of Queen’s Bench of New Brunswick</w:t>
            </w:r>
          </w:p>
          <w:p w:rsidR="009043BE" w:rsidRPr="00E54B1C" w:rsidRDefault="009043BE" w:rsidP="009043BE">
            <w:pPr>
              <w:jc w:val="both"/>
              <w:rPr>
                <w:sz w:val="20"/>
              </w:rPr>
            </w:pPr>
            <w:r w:rsidRPr="00E54B1C">
              <w:rPr>
                <w:sz w:val="20"/>
              </w:rPr>
              <w:t>(Dysart J.)</w:t>
            </w:r>
          </w:p>
          <w:p w:rsidR="009043BE" w:rsidRPr="00E54B1C" w:rsidRDefault="000631CF" w:rsidP="009043BE">
            <w:pPr>
              <w:jc w:val="both"/>
              <w:rPr>
                <w:sz w:val="20"/>
              </w:rPr>
            </w:pPr>
            <w:hyperlink r:id="rId20" w:history="1">
              <w:r w:rsidR="009043BE" w:rsidRPr="00E54B1C">
                <w:rPr>
                  <w:rStyle w:val="Hyperlink"/>
                  <w:sz w:val="20"/>
                </w:rPr>
                <w:t>2021 NBQB 107</w:t>
              </w:r>
            </w:hyperlink>
            <w:r w:rsidR="009043BE" w:rsidRPr="00E54B1C">
              <w:rPr>
                <w:sz w:val="20"/>
              </w:rPr>
              <w:t xml:space="preserve">; MC/358/2018 </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Application for determination of questions of law; court asked whether the Crown in its executive capacity may be held liable in damages in relation to the preparation and enactment of legislation that is later declared to be unconstitutional; application judge answering “yes”</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April 21, 2022</w:t>
            </w:r>
          </w:p>
          <w:p w:rsidR="009043BE" w:rsidRPr="00E54B1C" w:rsidRDefault="009043BE" w:rsidP="009043BE">
            <w:pPr>
              <w:jc w:val="both"/>
              <w:rPr>
                <w:sz w:val="20"/>
              </w:rPr>
            </w:pPr>
            <w:r w:rsidRPr="00E54B1C">
              <w:rPr>
                <w:sz w:val="20"/>
              </w:rPr>
              <w:t>Court of Appeal of New Brunswick</w:t>
            </w:r>
          </w:p>
          <w:p w:rsidR="009043BE" w:rsidRPr="00E54B1C" w:rsidRDefault="009043BE" w:rsidP="009043BE">
            <w:pPr>
              <w:jc w:val="both"/>
              <w:rPr>
                <w:sz w:val="20"/>
                <w:lang w:val="fr-CA"/>
              </w:rPr>
            </w:pPr>
            <w:r w:rsidRPr="00E54B1C">
              <w:rPr>
                <w:sz w:val="20"/>
                <w:lang w:val="fr-CA"/>
              </w:rPr>
              <w:lastRenderedPageBreak/>
              <w:t>(Richard C.J., La Vigne and LeBlond JJ.A.)</w:t>
            </w:r>
          </w:p>
          <w:p w:rsidR="009043BE" w:rsidRPr="00E54B1C" w:rsidRDefault="000631CF" w:rsidP="009043BE">
            <w:pPr>
              <w:jc w:val="both"/>
              <w:rPr>
                <w:sz w:val="20"/>
              </w:rPr>
            </w:pPr>
            <w:hyperlink r:id="rId21" w:history="1">
              <w:r w:rsidR="009043BE" w:rsidRPr="00E54B1C">
                <w:rPr>
                  <w:rStyle w:val="Hyperlink"/>
                  <w:sz w:val="20"/>
                </w:rPr>
                <w:t>2022 NBCA 14</w:t>
              </w:r>
            </w:hyperlink>
            <w:r w:rsidR="009043BE" w:rsidRPr="00E54B1C">
              <w:rPr>
                <w:sz w:val="20"/>
              </w:rPr>
              <w:t>; 56-21-CA</w:t>
            </w:r>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rPr>
            </w:pPr>
            <w:r w:rsidRPr="00E54B1C">
              <w:rPr>
                <w:sz w:val="20"/>
              </w:rPr>
              <w:t>Appeal dismissed</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June 17, 2022</w:t>
            </w:r>
          </w:p>
          <w:p w:rsidR="009043BE" w:rsidRPr="00E54B1C" w:rsidRDefault="009043BE" w:rsidP="009043BE">
            <w:pPr>
              <w:jc w:val="both"/>
              <w:rPr>
                <w:sz w:val="20"/>
              </w:rPr>
            </w:pPr>
            <w:r w:rsidRPr="00E54B1C">
              <w:rPr>
                <w:sz w:val="20"/>
              </w:rPr>
              <w:t>Supreme Court of Canada</w:t>
            </w: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Application for leave to appeal filed</w:t>
            </w:r>
          </w:p>
          <w:p w:rsidR="009043BE" w:rsidRPr="00E54B1C" w:rsidRDefault="009043BE" w:rsidP="009043BE">
            <w:pPr>
              <w:jc w:val="both"/>
              <w:rPr>
                <w:sz w:val="20"/>
              </w:rPr>
            </w:pPr>
          </w:p>
        </w:tc>
      </w:tr>
    </w:tbl>
    <w:p w:rsidR="009043BE" w:rsidRPr="00E54B1C" w:rsidRDefault="009043BE" w:rsidP="009043BE">
      <w:pPr>
        <w:jc w:val="both"/>
        <w:rPr>
          <w:sz w:val="20"/>
        </w:rPr>
      </w:pPr>
    </w:p>
    <w:p w:rsidR="009043BE" w:rsidRPr="00E54B1C" w:rsidRDefault="000631CF" w:rsidP="009043BE">
      <w:pPr>
        <w:jc w:val="both"/>
        <w:rPr>
          <w:sz w:val="20"/>
        </w:rPr>
      </w:pPr>
      <w:r>
        <w:rPr>
          <w:sz w:val="20"/>
        </w:rPr>
        <w:pict>
          <v:rect id="_x0000_i1027" style="width:2in;height:1pt" o:hrpct="0" o:hralign="center" o:hrstd="t" o:hrnoshade="t" o:hr="t" fillcolor="black [3213]" stroked="f"/>
        </w:pict>
      </w:r>
    </w:p>
    <w:p w:rsidR="009043BE" w:rsidRPr="00E54B1C" w:rsidRDefault="009043BE" w:rsidP="009043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t>40241</w:t>
            </w:r>
          </w:p>
        </w:tc>
        <w:tc>
          <w:tcPr>
            <w:tcW w:w="4457" w:type="pct"/>
            <w:gridSpan w:val="3"/>
          </w:tcPr>
          <w:p w:rsidR="009043BE" w:rsidRPr="00E54B1C" w:rsidRDefault="009043BE" w:rsidP="009043BE">
            <w:pPr>
              <w:pStyle w:val="SCCLsocParty"/>
              <w:jc w:val="both"/>
              <w:rPr>
                <w:b/>
                <w:sz w:val="20"/>
                <w:szCs w:val="20"/>
              </w:rPr>
            </w:pPr>
            <w:r w:rsidRPr="00E54B1C">
              <w:rPr>
                <w:b/>
                <w:sz w:val="20"/>
                <w:szCs w:val="20"/>
              </w:rPr>
              <w:t>Procureur général du Canada c. Joseph Power</w:t>
            </w:r>
          </w:p>
          <w:p w:rsidR="009043BE" w:rsidRPr="00E54B1C" w:rsidRDefault="009043BE" w:rsidP="009043BE">
            <w:pPr>
              <w:jc w:val="both"/>
              <w:rPr>
                <w:sz w:val="20"/>
              </w:rPr>
            </w:pPr>
            <w:r w:rsidRPr="00E54B1C">
              <w:rPr>
                <w:sz w:val="20"/>
              </w:rPr>
              <w:t>(Nouveau-Brunswick) (Civile) (Autorisation)</w:t>
            </w:r>
          </w:p>
        </w:tc>
      </w:tr>
      <w:tr w:rsidR="009043BE" w:rsidRPr="00E54B1C" w:rsidTr="009043BE">
        <w:tc>
          <w:tcPr>
            <w:tcW w:w="5000" w:type="pct"/>
            <w:gridSpan w:val="4"/>
          </w:tcPr>
          <w:p w:rsidR="009043BE" w:rsidRPr="00E54B1C" w:rsidRDefault="009043BE" w:rsidP="009043BE">
            <w:pPr>
              <w:jc w:val="both"/>
              <w:rPr>
                <w:sz w:val="20"/>
                <w:lang w:val="fr-CA"/>
              </w:rPr>
            </w:pPr>
            <w:r w:rsidRPr="00E54B1C">
              <w:rPr>
                <w:sz w:val="20"/>
                <w:lang w:val="fr-CA"/>
              </w:rPr>
              <w:t xml:space="preserve">Droit constitutionnel — Charte des droits — Réparation (art. 24) — Dommages-intérêts — L’intimé a été reconnu coupable d’infractions criminelles avant que le régime d’octroi de la réhabilitation ne soit modifié, mais les dispositions transitoires prévoyaient l’application rétroactive des modifications — L’intimé a demandé sa réhabilitation après que son employeur eut appris qu’il avait un casier judiciaire, mais les modifications apportées rendaient l’intimé inadmissible à la réhabilitation de façon définitive — L’intimé a perdu son emploi — L’intimé a réclamé des dommages-intérêts après que les dispositions transitoires eurent été déclarées inconstitutionnelles — La Couronne peut-elle être tenue de verser des dommages-intérêts pour le compte des ministres et des fonctionnaires qui ont préparé et rédigé une loi qui a subséquemment été déclarée inconstitutionnelle ? — La Couronne peut-elle être tenue de verser des dommages-intérêts du fait que le législateur a édicté une loi qui a par la suite été déclarée inconstitutionnelle ? — </w:t>
            </w:r>
            <w:r w:rsidRPr="00E54B1C">
              <w:rPr>
                <w:i/>
                <w:sz w:val="20"/>
                <w:lang w:val="fr-CA"/>
              </w:rPr>
              <w:t>Loi limitant l’admissibilité à la réhabilitation pour des crimes graves</w:t>
            </w:r>
            <w:r w:rsidRPr="00E54B1C">
              <w:rPr>
                <w:sz w:val="20"/>
                <w:lang w:val="fr-CA"/>
              </w:rPr>
              <w:t xml:space="preserve">, L.C. 2010, ch. 5 — </w:t>
            </w:r>
            <w:r w:rsidRPr="00E54B1C">
              <w:rPr>
                <w:i/>
                <w:sz w:val="20"/>
                <w:lang w:val="fr-CA"/>
              </w:rPr>
              <w:t>Loi sur la sécurité des rues et des communautés</w:t>
            </w:r>
            <w:r w:rsidRPr="00E54B1C">
              <w:rPr>
                <w:sz w:val="20"/>
                <w:lang w:val="fr-CA"/>
              </w:rPr>
              <w:t xml:space="preserve">, L.C. 2012, ch. 1 — </w:t>
            </w:r>
            <w:r w:rsidRPr="00E54B1C">
              <w:rPr>
                <w:i/>
                <w:sz w:val="20"/>
                <w:lang w:val="fr-CA"/>
              </w:rPr>
              <w:t>Loi sur le casier judiciaire</w:t>
            </w:r>
            <w:r w:rsidRPr="00E54B1C">
              <w:rPr>
                <w:sz w:val="20"/>
                <w:lang w:val="fr-CA"/>
              </w:rPr>
              <w:t>, L.R.C. 1985, ch. C-47.</w:t>
            </w:r>
          </w:p>
        </w:tc>
      </w:tr>
      <w:tr w:rsidR="009043BE" w:rsidRPr="00E54B1C" w:rsidTr="009043BE">
        <w:tc>
          <w:tcPr>
            <w:tcW w:w="5000" w:type="pct"/>
            <w:gridSpan w:val="4"/>
          </w:tcPr>
          <w:p w:rsidR="009043BE" w:rsidRPr="00E54B1C" w:rsidRDefault="009043BE" w:rsidP="009043BE">
            <w:pPr>
              <w:jc w:val="both"/>
              <w:rPr>
                <w:sz w:val="20"/>
                <w:lang w:val="fr-CA"/>
              </w:rPr>
            </w:pPr>
          </w:p>
        </w:tc>
      </w:tr>
      <w:tr w:rsidR="009043BE" w:rsidRPr="000631CF" w:rsidTr="009043BE">
        <w:tc>
          <w:tcPr>
            <w:tcW w:w="5000" w:type="pct"/>
            <w:gridSpan w:val="4"/>
          </w:tcPr>
          <w:p w:rsidR="009043BE" w:rsidRPr="00E54B1C" w:rsidRDefault="009043BE" w:rsidP="009043BE">
            <w:pPr>
              <w:jc w:val="both"/>
              <w:rPr>
                <w:sz w:val="20"/>
                <w:lang w:val="fr-CA"/>
              </w:rPr>
            </w:pPr>
            <w:r w:rsidRPr="00E54B1C">
              <w:rPr>
                <w:sz w:val="20"/>
                <w:lang w:val="fr-CA"/>
              </w:rPr>
              <w:t>L’intimé, Joseph Power, a été reconnu coupable de deux infractions criminelles dans les années 1990. Il a purgé une peine d’emprisonnement. Après sa libération, M. Power s’est inscrit à un collège afin de devenir technicien en radiologie. Il a ensuite travaillé au Québec avant de déménager au Nouveau-Brunswick, où il a été embauché dans un hôpital en tant que technologue en radiation médicale.</w:t>
            </w:r>
          </w:p>
          <w:p w:rsidR="009043BE" w:rsidRPr="00E54B1C" w:rsidRDefault="009043BE" w:rsidP="009043BE">
            <w:pPr>
              <w:jc w:val="both"/>
              <w:rPr>
                <w:sz w:val="20"/>
                <w:lang w:val="fr-CA"/>
              </w:rPr>
            </w:pPr>
          </w:p>
          <w:p w:rsidR="009043BE" w:rsidRPr="00E54B1C" w:rsidRDefault="009043BE" w:rsidP="009043BE">
            <w:pPr>
              <w:jc w:val="both"/>
              <w:rPr>
                <w:sz w:val="20"/>
                <w:lang w:val="fr-CA"/>
              </w:rPr>
            </w:pPr>
            <w:r w:rsidRPr="00E54B1C">
              <w:rPr>
                <w:sz w:val="20"/>
                <w:lang w:val="fr-CA"/>
              </w:rPr>
              <w:t xml:space="preserve">En 2010, M. Power s’est renseigné sur le processus d’octroi de la réhabilitation, mais n’a pas déposé de demande à ce moment-là. </w:t>
            </w:r>
          </w:p>
          <w:p w:rsidR="009043BE" w:rsidRPr="00E54B1C" w:rsidRDefault="009043BE" w:rsidP="009043BE">
            <w:pPr>
              <w:jc w:val="both"/>
              <w:rPr>
                <w:sz w:val="20"/>
                <w:lang w:val="fr-CA"/>
              </w:rPr>
            </w:pPr>
          </w:p>
          <w:p w:rsidR="009043BE" w:rsidRPr="00E54B1C" w:rsidRDefault="009043BE" w:rsidP="009043BE">
            <w:pPr>
              <w:jc w:val="both"/>
              <w:rPr>
                <w:sz w:val="20"/>
                <w:lang w:val="fr-CA"/>
              </w:rPr>
            </w:pPr>
            <w:r w:rsidRPr="00E54B1C">
              <w:rPr>
                <w:sz w:val="20"/>
                <w:lang w:val="fr-CA"/>
              </w:rPr>
              <w:t>En 2011, l’employeur de M. Power a appris que ce dernier avait un casier judiciaire, à la suite d’un appel téléphonique anonyme. M. Power a été informé qu’il représentait un risque, compte tenu de son casier judiciaire, et a été suspendu, d’abord avec salaire, puis sans salaire.</w:t>
            </w:r>
          </w:p>
          <w:p w:rsidR="009043BE" w:rsidRPr="00E54B1C" w:rsidRDefault="009043BE" w:rsidP="009043BE">
            <w:pPr>
              <w:jc w:val="both"/>
              <w:rPr>
                <w:sz w:val="20"/>
                <w:lang w:val="fr-CA"/>
              </w:rPr>
            </w:pPr>
          </w:p>
          <w:p w:rsidR="009043BE" w:rsidRPr="00E54B1C" w:rsidRDefault="009043BE" w:rsidP="009043BE">
            <w:pPr>
              <w:jc w:val="both"/>
              <w:rPr>
                <w:sz w:val="20"/>
                <w:lang w:val="fr-CA"/>
              </w:rPr>
            </w:pPr>
            <w:r w:rsidRPr="00E54B1C">
              <w:rPr>
                <w:sz w:val="20"/>
                <w:lang w:val="fr-CA"/>
              </w:rPr>
              <w:t xml:space="preserve">M. Power a présenté une demande de réhabilitation en 2013 afin de pouvoir continuer à travailler comme technologue en radiation médicale. Toutefois, deux lois édictées depuis 2010 — la </w:t>
            </w:r>
            <w:r w:rsidRPr="00E54B1C">
              <w:rPr>
                <w:i/>
                <w:sz w:val="20"/>
                <w:lang w:val="fr-CA"/>
              </w:rPr>
              <w:t>Loi limitant l’admissibilité à la réhabilitation pour des crimes graves</w:t>
            </w:r>
            <w:r w:rsidRPr="00E54B1C">
              <w:rPr>
                <w:sz w:val="20"/>
                <w:lang w:val="fr-CA"/>
              </w:rPr>
              <w:t xml:space="preserve">, L.C. 2010, ch. 5 et la </w:t>
            </w:r>
            <w:r w:rsidRPr="00E54B1C">
              <w:rPr>
                <w:i/>
                <w:sz w:val="20"/>
                <w:lang w:val="fr-CA"/>
              </w:rPr>
              <w:t>Loi sur la sécurité des rues et des communautés</w:t>
            </w:r>
            <w:r w:rsidRPr="00E54B1C">
              <w:rPr>
                <w:sz w:val="20"/>
                <w:lang w:val="fr-CA"/>
              </w:rPr>
              <w:t xml:space="preserve">, L.C. 2012, ch. 1 — avaient modifié le régime de réhabilitation (maintenant appelé suspension du casier) prévu dans la </w:t>
            </w:r>
            <w:r w:rsidRPr="00E54B1C">
              <w:rPr>
                <w:i/>
                <w:sz w:val="20"/>
                <w:lang w:val="fr-CA"/>
              </w:rPr>
              <w:t>Loi sur le casier judiciaire</w:t>
            </w:r>
            <w:r w:rsidRPr="00E54B1C">
              <w:rPr>
                <w:sz w:val="20"/>
                <w:lang w:val="fr-CA"/>
              </w:rPr>
              <w:t xml:space="preserve">, L.R.C. 1985, ch. C-47. Les dispositions transitoires énoncées dans ces deux lois modificatives prévoyaient l’application rétroactive de ces dernières aux infractions commises avant leur entrée en vigueur. Combinées, ces lois et leurs dispositions transitoires avaient pour effet de rendre M. Power inadmissible de façon définitive à une suspension du casier. </w:t>
            </w:r>
          </w:p>
          <w:p w:rsidR="009043BE" w:rsidRPr="00E54B1C" w:rsidRDefault="009043BE" w:rsidP="009043BE">
            <w:pPr>
              <w:jc w:val="both"/>
              <w:rPr>
                <w:sz w:val="20"/>
                <w:lang w:val="fr-CA"/>
              </w:rPr>
            </w:pPr>
          </w:p>
          <w:p w:rsidR="009043BE" w:rsidRPr="00E54B1C" w:rsidRDefault="009043BE" w:rsidP="009043BE">
            <w:pPr>
              <w:jc w:val="both"/>
              <w:rPr>
                <w:sz w:val="20"/>
                <w:lang w:val="fr-CA"/>
              </w:rPr>
            </w:pPr>
            <w:r w:rsidRPr="00E54B1C">
              <w:rPr>
                <w:sz w:val="20"/>
                <w:lang w:val="fr-CA"/>
              </w:rPr>
              <w:t xml:space="preserve">Par conséquent, M. Power a perdu son emploi et s’est </w:t>
            </w:r>
            <w:r w:rsidRPr="00E54B1C">
              <w:rPr>
                <w:color w:val="000000"/>
                <w:sz w:val="20"/>
                <w:lang w:val="fr-CA"/>
              </w:rPr>
              <w:t>retrouvé dans l’impossibilité d’adhérer aux organismes qui régissent la profession de technologue en radiation médicale au Nouveau-Brunswick et au Québec.</w:t>
            </w:r>
          </w:p>
          <w:p w:rsidR="009043BE" w:rsidRPr="00E54B1C" w:rsidRDefault="009043BE" w:rsidP="009043BE">
            <w:pPr>
              <w:jc w:val="both"/>
              <w:rPr>
                <w:sz w:val="20"/>
                <w:lang w:val="fr-CA"/>
              </w:rPr>
            </w:pPr>
          </w:p>
          <w:p w:rsidR="009043BE" w:rsidRPr="00E54B1C" w:rsidRDefault="009043BE" w:rsidP="009043BE">
            <w:pPr>
              <w:jc w:val="both"/>
              <w:rPr>
                <w:sz w:val="20"/>
                <w:lang w:val="fr-CA"/>
              </w:rPr>
            </w:pPr>
            <w:r w:rsidRPr="00E54B1C">
              <w:rPr>
                <w:sz w:val="20"/>
                <w:lang w:val="fr-CA"/>
              </w:rPr>
              <w:t xml:space="preserve">Les dispositions transitoires de la </w:t>
            </w:r>
            <w:r w:rsidRPr="00E54B1C">
              <w:rPr>
                <w:i/>
                <w:sz w:val="20"/>
                <w:lang w:val="fr-CA"/>
              </w:rPr>
              <w:t>Loi limitant l’admissibilité à la réhabilitation pour des crimes graves</w:t>
            </w:r>
            <w:r w:rsidRPr="00E54B1C">
              <w:rPr>
                <w:sz w:val="20"/>
                <w:lang w:val="fr-CA"/>
              </w:rPr>
              <w:t xml:space="preserve"> et de la </w:t>
            </w:r>
            <w:r w:rsidRPr="00E54B1C">
              <w:rPr>
                <w:i/>
                <w:sz w:val="20"/>
                <w:lang w:val="fr-CA"/>
              </w:rPr>
              <w:t>Loi sur la sécurité des rues et des communautés</w:t>
            </w:r>
            <w:r w:rsidRPr="00E54B1C">
              <w:rPr>
                <w:sz w:val="20"/>
                <w:lang w:val="fr-CA"/>
              </w:rPr>
              <w:t>, qui prévoyaient l’application rétroactive de ces lois aux infractions commises avant leur édiction, ont depuis été déclarées inconstitutionnelles.</w:t>
            </w:r>
          </w:p>
          <w:p w:rsidR="009043BE" w:rsidRPr="00E54B1C" w:rsidRDefault="009043BE" w:rsidP="009043BE">
            <w:pPr>
              <w:jc w:val="both"/>
              <w:rPr>
                <w:sz w:val="20"/>
                <w:lang w:val="fr-CA"/>
              </w:rPr>
            </w:pPr>
          </w:p>
          <w:p w:rsidR="009043BE" w:rsidRPr="00E54B1C" w:rsidRDefault="009043BE" w:rsidP="009043BE">
            <w:pPr>
              <w:jc w:val="both"/>
              <w:rPr>
                <w:rFonts w:eastAsiaTheme="majorEastAsia"/>
                <w:sz w:val="20"/>
                <w:lang w:val="fr-CA"/>
              </w:rPr>
            </w:pPr>
            <w:r w:rsidRPr="00E54B1C">
              <w:rPr>
                <w:sz w:val="20"/>
                <w:lang w:val="fr-CA"/>
              </w:rPr>
              <w:t>M. Power a intenté une action en dommages-intérêts</w:t>
            </w:r>
            <w:r w:rsidRPr="00E54B1C">
              <w:rPr>
                <w:color w:val="000000"/>
                <w:sz w:val="20"/>
                <w:lang w:val="fr-CA"/>
              </w:rPr>
              <w:t xml:space="preserve"> </w:t>
            </w:r>
            <w:r w:rsidRPr="00E54B1C">
              <w:rPr>
                <w:sz w:val="20"/>
                <w:lang w:val="fr-CA"/>
              </w:rPr>
              <w:t xml:space="preserve">en vertu du paragraphe 24(1) de la </w:t>
            </w:r>
            <w:r w:rsidRPr="00E54B1C">
              <w:rPr>
                <w:i/>
                <w:sz w:val="20"/>
                <w:lang w:val="fr-CA"/>
              </w:rPr>
              <w:t>Charte</w:t>
            </w:r>
            <w:r w:rsidRPr="00E54B1C">
              <w:rPr>
                <w:sz w:val="20"/>
                <w:lang w:val="fr-CA"/>
              </w:rPr>
              <w:t xml:space="preserve">. Avant le procès, le demandeur, le procureur général du Canada, a demandé à la Cour de trancher deux questions de droit : </w:t>
            </w:r>
          </w:p>
          <w:p w:rsidR="009043BE" w:rsidRPr="00E54B1C" w:rsidRDefault="009043BE" w:rsidP="009043BE">
            <w:pPr>
              <w:jc w:val="both"/>
              <w:rPr>
                <w:rFonts w:eastAsiaTheme="majorEastAsia"/>
                <w:sz w:val="20"/>
                <w:lang w:val="fr-CA"/>
              </w:rPr>
            </w:pPr>
          </w:p>
          <w:p w:rsidR="009043BE" w:rsidRPr="00E54B1C" w:rsidRDefault="009043BE" w:rsidP="009043BE">
            <w:pPr>
              <w:pStyle w:val="ListParagraph"/>
              <w:widowControl/>
              <w:numPr>
                <w:ilvl w:val="0"/>
                <w:numId w:val="31"/>
              </w:numPr>
              <w:autoSpaceDE/>
              <w:autoSpaceDN/>
              <w:adjustRightInd/>
              <w:jc w:val="both"/>
              <w:rPr>
                <w:sz w:val="20"/>
                <w:szCs w:val="20"/>
                <w:lang w:val="fr-CA"/>
              </w:rPr>
            </w:pPr>
            <w:r w:rsidRPr="00E54B1C">
              <w:rPr>
                <w:sz w:val="20"/>
                <w:szCs w:val="20"/>
                <w:lang w:val="fr-CA"/>
              </w:rPr>
              <w:t xml:space="preserve">La Couronne peut-elle, dans l’exercice de sa fonction exécutive, être tenue de verser des dommages-intérêts pour le compte des représentants et des ministres du gouvernement qui ont préparé et rédigé un projet de loi que le législateur a adopté et qui a subséquemment été invalidé par un tribunal en application du par. 52(1) de la </w:t>
            </w:r>
            <w:r w:rsidRPr="00E54B1C">
              <w:rPr>
                <w:i/>
                <w:iCs/>
                <w:sz w:val="20"/>
                <w:szCs w:val="20"/>
                <w:lang w:val="fr-CA"/>
              </w:rPr>
              <w:t>Loi constitutionnelle de 1982 </w:t>
            </w:r>
            <w:r w:rsidRPr="00E54B1C">
              <w:rPr>
                <w:sz w:val="20"/>
                <w:szCs w:val="20"/>
                <w:lang w:val="fr-CA"/>
              </w:rPr>
              <w:t xml:space="preserve">? </w:t>
            </w:r>
          </w:p>
          <w:p w:rsidR="009043BE" w:rsidRPr="00E54B1C" w:rsidRDefault="009043BE" w:rsidP="009043BE">
            <w:pPr>
              <w:pStyle w:val="ListParagraph"/>
              <w:jc w:val="both"/>
              <w:rPr>
                <w:sz w:val="20"/>
                <w:szCs w:val="20"/>
                <w:lang w:val="fr-CA"/>
              </w:rPr>
            </w:pPr>
          </w:p>
          <w:p w:rsidR="009043BE" w:rsidRPr="00E54B1C" w:rsidRDefault="009043BE" w:rsidP="009043BE">
            <w:pPr>
              <w:pStyle w:val="ListParagraph"/>
              <w:widowControl/>
              <w:numPr>
                <w:ilvl w:val="0"/>
                <w:numId w:val="31"/>
              </w:numPr>
              <w:autoSpaceDE/>
              <w:autoSpaceDN/>
              <w:adjustRightInd/>
              <w:jc w:val="both"/>
              <w:rPr>
                <w:sz w:val="20"/>
                <w:szCs w:val="20"/>
                <w:lang w:val="fr-CA"/>
              </w:rPr>
            </w:pPr>
            <w:r w:rsidRPr="00E54B1C">
              <w:rPr>
                <w:sz w:val="20"/>
                <w:szCs w:val="20"/>
                <w:lang w:val="fr-CA"/>
              </w:rPr>
              <w:t xml:space="preserve">La Couronne peut-elle, dans l’exercice de sa fonction exécutive, être tenue de verser des dommages-intérêts du fait que le législateur a adopté un texte législatif qui a par la suite été invalidé par un tribunal en application du par. 52(1) de la </w:t>
            </w:r>
            <w:r w:rsidRPr="00E54B1C">
              <w:rPr>
                <w:i/>
                <w:iCs/>
                <w:sz w:val="20"/>
                <w:szCs w:val="20"/>
                <w:lang w:val="fr-CA"/>
              </w:rPr>
              <w:t>Loi constitutionnelle de 1982 </w:t>
            </w:r>
            <w:r w:rsidRPr="00E54B1C">
              <w:rPr>
                <w:sz w:val="20"/>
                <w:szCs w:val="20"/>
                <w:lang w:val="fr-CA"/>
              </w:rPr>
              <w:t>?</w:t>
            </w:r>
          </w:p>
          <w:p w:rsidR="009043BE" w:rsidRPr="00E54B1C" w:rsidRDefault="009043BE" w:rsidP="009043BE">
            <w:pPr>
              <w:jc w:val="both"/>
              <w:rPr>
                <w:sz w:val="20"/>
                <w:lang w:val="fr-CA"/>
              </w:rPr>
            </w:pPr>
          </w:p>
          <w:p w:rsidR="009043BE" w:rsidRPr="00E54B1C" w:rsidRDefault="009043BE" w:rsidP="009043BE">
            <w:pPr>
              <w:jc w:val="both"/>
              <w:rPr>
                <w:sz w:val="20"/>
                <w:lang w:val="fr-CA"/>
              </w:rPr>
            </w:pPr>
            <w:r w:rsidRPr="00E54B1C">
              <w:rPr>
                <w:sz w:val="20"/>
                <w:lang w:val="fr-CA"/>
              </w:rPr>
              <w:t>Le juge saisi de la demande a répondu par l’affirmative à ces deux questions. La Cour d’appel du Nouveau</w:t>
            </w:r>
            <w:r w:rsidRPr="00E54B1C">
              <w:rPr>
                <w:sz w:val="20"/>
                <w:lang w:val="fr-CA"/>
              </w:rPr>
              <w:noBreakHyphen/>
              <w:t>Brunswick a rejeté l’appel du procureur général.</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14 mai 2021</w:t>
            </w:r>
          </w:p>
          <w:p w:rsidR="009043BE" w:rsidRPr="00E54B1C" w:rsidRDefault="009043BE" w:rsidP="009043BE">
            <w:pPr>
              <w:jc w:val="both"/>
              <w:rPr>
                <w:sz w:val="20"/>
                <w:lang w:val="fr-CA"/>
              </w:rPr>
            </w:pPr>
            <w:r w:rsidRPr="00E54B1C">
              <w:rPr>
                <w:sz w:val="20"/>
                <w:lang w:val="fr-CA"/>
              </w:rPr>
              <w:t>Cour du Banc de la Reine du Nouveau-Brunswick</w:t>
            </w:r>
          </w:p>
          <w:p w:rsidR="009043BE" w:rsidRPr="00E54B1C" w:rsidRDefault="009043BE" w:rsidP="009043BE">
            <w:pPr>
              <w:jc w:val="both"/>
              <w:rPr>
                <w:sz w:val="20"/>
              </w:rPr>
            </w:pPr>
            <w:r w:rsidRPr="00E54B1C">
              <w:rPr>
                <w:sz w:val="20"/>
              </w:rPr>
              <w:t>(juge Dysart)</w:t>
            </w:r>
          </w:p>
          <w:p w:rsidR="009043BE" w:rsidRPr="00E54B1C" w:rsidRDefault="000631CF" w:rsidP="009043BE">
            <w:pPr>
              <w:jc w:val="both"/>
              <w:rPr>
                <w:sz w:val="20"/>
              </w:rPr>
            </w:pPr>
            <w:hyperlink r:id="rId22" w:history="1">
              <w:r w:rsidR="009043BE" w:rsidRPr="00E54B1C">
                <w:rPr>
                  <w:rStyle w:val="Hyperlink"/>
                  <w:sz w:val="20"/>
                </w:rPr>
                <w:t>2021 NBBR 107</w:t>
              </w:r>
            </w:hyperlink>
            <w:r w:rsidR="009043BE" w:rsidRPr="00E54B1C">
              <w:rPr>
                <w:sz w:val="20"/>
              </w:rPr>
              <w:t xml:space="preserve">; MC/358/2018 </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lang w:val="fr-CA"/>
              </w:rPr>
            </w:pPr>
            <w:r w:rsidRPr="00E54B1C">
              <w:rPr>
                <w:sz w:val="20"/>
                <w:lang w:val="fr-CA"/>
              </w:rPr>
              <w:t>Demande visant à faire trancher des questions de droit; la Cour était appelée à décider si la Couronne, dans l’exercice de sa fonction exécutive, pouvait être tenue de verser des dommages-intérêts en lien avec la préparation et l’édiction d’une loi subséquemment déclarée inconstitutionnelle; le juge saisi de la demande a répondu par l’affirmative.</w:t>
            </w:r>
          </w:p>
          <w:p w:rsidR="009043BE" w:rsidRPr="00E54B1C" w:rsidRDefault="009043BE" w:rsidP="009043BE">
            <w:pPr>
              <w:jc w:val="both"/>
              <w:rPr>
                <w:sz w:val="20"/>
                <w:lang w:val="fr-CA"/>
              </w:rPr>
            </w:pPr>
          </w:p>
        </w:tc>
      </w:tr>
      <w:tr w:rsidR="009043BE" w:rsidRPr="00E54B1C" w:rsidTr="009043BE">
        <w:tc>
          <w:tcPr>
            <w:tcW w:w="2427" w:type="pct"/>
            <w:gridSpan w:val="2"/>
          </w:tcPr>
          <w:p w:rsidR="009043BE" w:rsidRPr="00E54B1C" w:rsidRDefault="009043BE" w:rsidP="009043BE">
            <w:pPr>
              <w:jc w:val="both"/>
              <w:rPr>
                <w:sz w:val="20"/>
                <w:lang w:val="fr-CA"/>
              </w:rPr>
            </w:pPr>
            <w:r w:rsidRPr="00E54B1C">
              <w:rPr>
                <w:sz w:val="20"/>
                <w:lang w:val="fr-CA"/>
              </w:rPr>
              <w:t>21 avril 2022</w:t>
            </w:r>
          </w:p>
          <w:p w:rsidR="009043BE" w:rsidRPr="00E54B1C" w:rsidRDefault="009043BE" w:rsidP="009043BE">
            <w:pPr>
              <w:jc w:val="both"/>
              <w:rPr>
                <w:sz w:val="20"/>
                <w:lang w:val="fr-CA"/>
              </w:rPr>
            </w:pPr>
            <w:r w:rsidRPr="00E54B1C">
              <w:rPr>
                <w:sz w:val="20"/>
                <w:lang w:val="fr-CA"/>
              </w:rPr>
              <w:t>Cour d’appel du Nouveau-Brunswick</w:t>
            </w:r>
          </w:p>
          <w:p w:rsidR="009043BE" w:rsidRPr="00E54B1C" w:rsidRDefault="009043BE" w:rsidP="009043BE">
            <w:pPr>
              <w:jc w:val="both"/>
              <w:rPr>
                <w:sz w:val="20"/>
                <w:lang w:val="fr-CA"/>
              </w:rPr>
            </w:pPr>
            <w:r w:rsidRPr="00E54B1C">
              <w:rPr>
                <w:sz w:val="20"/>
                <w:lang w:val="fr-CA"/>
              </w:rPr>
              <w:t>(juge en chef Richard et juges LaVigne et LeBlond)</w:t>
            </w:r>
          </w:p>
          <w:p w:rsidR="009043BE" w:rsidRPr="00E54B1C" w:rsidRDefault="000631CF" w:rsidP="009043BE">
            <w:pPr>
              <w:jc w:val="both"/>
              <w:rPr>
                <w:sz w:val="20"/>
              </w:rPr>
            </w:pPr>
            <w:hyperlink r:id="rId23" w:history="1">
              <w:r w:rsidR="009043BE" w:rsidRPr="00E54B1C">
                <w:rPr>
                  <w:rStyle w:val="Hyperlink"/>
                  <w:sz w:val="20"/>
                </w:rPr>
                <w:t>2022 NBCA 14</w:t>
              </w:r>
            </w:hyperlink>
            <w:r w:rsidR="009043BE" w:rsidRPr="00E54B1C">
              <w:rPr>
                <w:sz w:val="20"/>
              </w:rPr>
              <w:t>; 56-21-CA</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Appel rejeté</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lang w:val="fr-CA"/>
              </w:rPr>
            </w:pPr>
            <w:r w:rsidRPr="00E54B1C">
              <w:rPr>
                <w:sz w:val="20"/>
                <w:lang w:val="fr-CA"/>
              </w:rPr>
              <w:t>17 juin 2022</w:t>
            </w:r>
          </w:p>
          <w:p w:rsidR="009043BE" w:rsidRPr="00E54B1C" w:rsidRDefault="009043BE" w:rsidP="009043BE">
            <w:pPr>
              <w:jc w:val="both"/>
              <w:rPr>
                <w:sz w:val="20"/>
                <w:lang w:val="fr-CA"/>
              </w:rPr>
            </w:pPr>
            <w:r w:rsidRPr="00E54B1C">
              <w:rPr>
                <w:sz w:val="20"/>
                <w:lang w:val="fr-CA"/>
              </w:rPr>
              <w:t>Cour suprême du Canada</w:t>
            </w: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rPr>
            </w:pPr>
            <w:r w:rsidRPr="00E54B1C">
              <w:rPr>
                <w:sz w:val="20"/>
              </w:rPr>
              <w:t>Demande d’autorisation d’appel déposée</w:t>
            </w:r>
          </w:p>
          <w:p w:rsidR="009043BE" w:rsidRPr="00E54B1C" w:rsidRDefault="009043BE" w:rsidP="009043BE">
            <w:pPr>
              <w:jc w:val="both"/>
              <w:rPr>
                <w:sz w:val="20"/>
              </w:rPr>
            </w:pPr>
          </w:p>
        </w:tc>
      </w:tr>
    </w:tbl>
    <w:p w:rsidR="009043BE" w:rsidRPr="00E54B1C" w:rsidRDefault="009043BE" w:rsidP="009043BE">
      <w:pPr>
        <w:jc w:val="both"/>
        <w:rPr>
          <w:sz w:val="20"/>
        </w:rPr>
      </w:pPr>
    </w:p>
    <w:p w:rsidR="009043BE" w:rsidRPr="00E54B1C" w:rsidRDefault="000631CF" w:rsidP="009043BE">
      <w:pPr>
        <w:jc w:val="both"/>
        <w:rPr>
          <w:sz w:val="20"/>
        </w:rPr>
      </w:pPr>
      <w:r>
        <w:rPr>
          <w:sz w:val="20"/>
        </w:rPr>
        <w:pict>
          <v:rect id="_x0000_i1028" style="width:2in;height:1pt" o:hrpct="0" o:hralign="center" o:hrstd="t" o:hrnoshade="t" o:hr="t" fillcolor="black [3213]" stroked="f"/>
        </w:pict>
      </w:r>
    </w:p>
    <w:p w:rsidR="009043BE" w:rsidRPr="00E54B1C" w:rsidRDefault="009043BE" w:rsidP="009043B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t>40355</w:t>
            </w:r>
          </w:p>
        </w:tc>
        <w:tc>
          <w:tcPr>
            <w:tcW w:w="4457" w:type="pct"/>
            <w:gridSpan w:val="3"/>
          </w:tcPr>
          <w:p w:rsidR="009043BE" w:rsidRPr="00E54B1C" w:rsidRDefault="009043BE" w:rsidP="009043BE">
            <w:pPr>
              <w:pStyle w:val="SCCLsocParty"/>
              <w:jc w:val="both"/>
              <w:rPr>
                <w:b/>
                <w:sz w:val="20"/>
                <w:szCs w:val="20"/>
                <w:lang w:val="en-US"/>
              </w:rPr>
            </w:pPr>
            <w:r w:rsidRPr="00E54B1C">
              <w:rPr>
                <w:b/>
                <w:sz w:val="20"/>
                <w:szCs w:val="20"/>
                <w:lang w:val="en-US"/>
              </w:rPr>
              <w:t>Ashton Dennis Natomagan v. His Majesty the King</w:t>
            </w:r>
          </w:p>
          <w:p w:rsidR="009043BE" w:rsidRPr="00E54B1C" w:rsidRDefault="009043BE" w:rsidP="009043BE">
            <w:pPr>
              <w:jc w:val="both"/>
              <w:rPr>
                <w:sz w:val="20"/>
              </w:rPr>
            </w:pPr>
            <w:r w:rsidRPr="00E54B1C">
              <w:rPr>
                <w:sz w:val="20"/>
              </w:rPr>
              <w:t>(Alta.) (Criminal) (By Leave)</w:t>
            </w:r>
          </w:p>
        </w:tc>
      </w:tr>
      <w:tr w:rsidR="009043BE" w:rsidRPr="00E54B1C" w:rsidTr="009043BE">
        <w:tc>
          <w:tcPr>
            <w:tcW w:w="5000" w:type="pct"/>
            <w:gridSpan w:val="4"/>
          </w:tcPr>
          <w:p w:rsidR="009043BE" w:rsidRPr="00E54B1C" w:rsidRDefault="009043BE" w:rsidP="009043BE">
            <w:pPr>
              <w:pStyle w:val="SCCBanSummary"/>
              <w:rPr>
                <w:sz w:val="20"/>
                <w:szCs w:val="20"/>
              </w:rPr>
            </w:pPr>
            <w:r w:rsidRPr="00E54B1C">
              <w:rPr>
                <w:sz w:val="20"/>
                <w:szCs w:val="20"/>
              </w:rPr>
              <w:t>(Publication ban in case)</w:t>
            </w:r>
          </w:p>
          <w:p w:rsidR="009043BE" w:rsidRPr="00E54B1C" w:rsidRDefault="009043BE" w:rsidP="009043BE">
            <w:pPr>
              <w:jc w:val="both"/>
              <w:rPr>
                <w:sz w:val="20"/>
              </w:rPr>
            </w:pPr>
          </w:p>
          <w:p w:rsidR="009043BE" w:rsidRPr="00E54B1C" w:rsidRDefault="009043BE" w:rsidP="009043BE">
            <w:pPr>
              <w:jc w:val="both"/>
              <w:rPr>
                <w:sz w:val="20"/>
              </w:rPr>
            </w:pPr>
            <w:r w:rsidRPr="00E54B1C">
              <w:rPr>
                <w:sz w:val="20"/>
              </w:rPr>
              <w:t xml:space="preserve">Criminal law — Sentencing — Dangerous and long term offenders — Can a broad and purposive application of s. 718.2(e) of the </w:t>
            </w:r>
            <w:r w:rsidRPr="00E54B1C">
              <w:rPr>
                <w:i/>
                <w:sz w:val="20"/>
              </w:rPr>
              <w:t>Criminal Code</w:t>
            </w:r>
            <w:r w:rsidRPr="00E54B1C">
              <w:rPr>
                <w:sz w:val="20"/>
              </w:rPr>
              <w:t xml:space="preserve"> justify a determinate sentence for an Indigenous dangerous offender, even where a court is uncertain whether the sentence would sufficiently protect the public under s. 753(4.1) — Where actuarial risk assessments are racially biased, can a sentencing judge rely on s. 718.2(e) to decline to impose an indeterminate sentence on an Indigenous dangerous offender?</w:t>
            </w:r>
          </w:p>
        </w:tc>
      </w:tr>
      <w:tr w:rsidR="009043BE" w:rsidRPr="00E54B1C" w:rsidTr="009043BE">
        <w:tc>
          <w:tcPr>
            <w:tcW w:w="5000" w:type="pct"/>
            <w:gridSpan w:val="4"/>
          </w:tcPr>
          <w:p w:rsidR="009043BE" w:rsidRPr="00E54B1C" w:rsidRDefault="009043BE" w:rsidP="009043BE">
            <w:pPr>
              <w:jc w:val="both"/>
              <w:rPr>
                <w:sz w:val="20"/>
              </w:rPr>
            </w:pPr>
          </w:p>
          <w:p w:rsidR="009043BE" w:rsidRPr="00E54B1C" w:rsidRDefault="009043BE" w:rsidP="009043BE">
            <w:pPr>
              <w:widowControl w:val="0"/>
              <w:jc w:val="both"/>
              <w:rPr>
                <w:sz w:val="20"/>
              </w:rPr>
            </w:pPr>
            <w:r w:rsidRPr="00E54B1C">
              <w:rPr>
                <w:color w:val="000000"/>
                <w:sz w:val="20"/>
              </w:rPr>
              <w:t xml:space="preserve">Mr. Natomagan grabbed a woman from behind, choked her unconscious, took her into an alley, held her at knifepoint, threatened her, bound and gagged her, demanded money and sexually assaulted her. A jury convicted him of </w:t>
            </w:r>
            <w:r w:rsidRPr="00E54B1C">
              <w:rPr>
                <w:spacing w:val="-1"/>
                <w:sz w:val="20"/>
              </w:rPr>
              <w:t xml:space="preserve">robbery, sexual assault with a weapon, kidnapping, and choking to </w:t>
            </w:r>
            <w:r w:rsidRPr="00E54B1C">
              <w:rPr>
                <w:sz w:val="20"/>
              </w:rPr>
              <w:t>enable commission of offences. Crown counsel commenced a dangerous offender application. The sentencing judge declared Mr. Natomagan to be a dangerous offender and ordered a 20-year sentence plus 10-years supervision. The Court of Appeal allowed an appeal and imposed a sentence for an indeterminate period.</w:t>
            </w:r>
          </w:p>
        </w:tc>
      </w:tr>
      <w:tr w:rsidR="009043BE" w:rsidRPr="00E54B1C" w:rsidTr="009043BE">
        <w:tc>
          <w:tcPr>
            <w:tcW w:w="5000" w:type="pct"/>
            <w:gridSpan w:val="4"/>
          </w:tcPr>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October 17, 2017</w:t>
            </w:r>
          </w:p>
          <w:p w:rsidR="009043BE" w:rsidRPr="00E54B1C" w:rsidRDefault="009043BE" w:rsidP="009043BE">
            <w:pPr>
              <w:jc w:val="both"/>
              <w:rPr>
                <w:sz w:val="20"/>
              </w:rPr>
            </w:pPr>
            <w:r w:rsidRPr="00E54B1C">
              <w:rPr>
                <w:sz w:val="20"/>
              </w:rPr>
              <w:t>Court of Queen’s Bench of Alberta</w:t>
            </w:r>
          </w:p>
          <w:p w:rsidR="009043BE" w:rsidRPr="00E54B1C" w:rsidRDefault="009043BE" w:rsidP="009043BE">
            <w:pPr>
              <w:jc w:val="both"/>
              <w:rPr>
                <w:sz w:val="20"/>
              </w:rPr>
            </w:pPr>
            <w:r w:rsidRPr="00E54B1C">
              <w:rPr>
                <w:sz w:val="20"/>
              </w:rPr>
              <w:t>(Clackson J.)(Unreported)</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widowControl w:val="0"/>
              <w:kinsoku w:val="0"/>
              <w:overflowPunct w:val="0"/>
              <w:spacing w:line="264" w:lineRule="exact"/>
              <w:jc w:val="both"/>
              <w:textAlignment w:val="baseline"/>
              <w:rPr>
                <w:spacing w:val="-1"/>
                <w:sz w:val="20"/>
              </w:rPr>
            </w:pPr>
            <w:r w:rsidRPr="00E54B1C">
              <w:rPr>
                <w:sz w:val="20"/>
              </w:rPr>
              <w:t xml:space="preserve">Convictions by jury for </w:t>
            </w:r>
            <w:r w:rsidRPr="00E54B1C">
              <w:rPr>
                <w:spacing w:val="-1"/>
                <w:sz w:val="20"/>
              </w:rPr>
              <w:t xml:space="preserve">robbery, sexual assault with a weapon, kidnapping, choking to </w:t>
            </w:r>
            <w:r w:rsidRPr="00E54B1C">
              <w:rPr>
                <w:sz w:val="20"/>
              </w:rPr>
              <w:t>enable commission of offences</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December 10, 2019</w:t>
            </w:r>
          </w:p>
          <w:p w:rsidR="009043BE" w:rsidRPr="00E54B1C" w:rsidRDefault="009043BE" w:rsidP="009043BE">
            <w:pPr>
              <w:jc w:val="both"/>
              <w:rPr>
                <w:sz w:val="20"/>
              </w:rPr>
            </w:pPr>
            <w:r w:rsidRPr="00E54B1C">
              <w:rPr>
                <w:sz w:val="20"/>
              </w:rPr>
              <w:t>Court of Queen’s Bench of Alberta</w:t>
            </w:r>
          </w:p>
          <w:p w:rsidR="009043BE" w:rsidRPr="00E54B1C" w:rsidRDefault="009043BE" w:rsidP="009043BE">
            <w:pPr>
              <w:jc w:val="both"/>
              <w:rPr>
                <w:sz w:val="20"/>
              </w:rPr>
            </w:pPr>
            <w:r w:rsidRPr="00E54B1C">
              <w:rPr>
                <w:sz w:val="20"/>
              </w:rPr>
              <w:t>(Clackson J.)</w:t>
            </w:r>
          </w:p>
          <w:p w:rsidR="009043BE" w:rsidRPr="00E54B1C" w:rsidRDefault="000631CF" w:rsidP="009043BE">
            <w:pPr>
              <w:jc w:val="both"/>
              <w:rPr>
                <w:sz w:val="20"/>
              </w:rPr>
            </w:pPr>
            <w:hyperlink r:id="rId24" w:history="1">
              <w:r w:rsidR="009043BE" w:rsidRPr="00E54B1C">
                <w:rPr>
                  <w:rStyle w:val="Hyperlink"/>
                  <w:sz w:val="20"/>
                </w:rPr>
                <w:t>2019 ABQB 943</w:t>
              </w:r>
            </w:hyperlink>
            <w:r w:rsidR="009043BE" w:rsidRPr="00E54B1C">
              <w:rPr>
                <w:sz w:val="20"/>
              </w:rPr>
              <w:t xml:space="preserve"> </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 xml:space="preserve">Dangerous offender designation declared; Concurrent sentences of 20 years, 14 years, 10 years and 10 years and long-term supervision for 10 years </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February 11, 2022</w:t>
            </w:r>
          </w:p>
          <w:p w:rsidR="009043BE" w:rsidRPr="00E54B1C" w:rsidRDefault="009043BE" w:rsidP="009043BE">
            <w:pPr>
              <w:jc w:val="both"/>
              <w:rPr>
                <w:sz w:val="20"/>
              </w:rPr>
            </w:pPr>
            <w:r w:rsidRPr="00E54B1C">
              <w:rPr>
                <w:sz w:val="20"/>
              </w:rPr>
              <w:t>Court of Appeal of Alberta (Edmonton)</w:t>
            </w:r>
          </w:p>
          <w:p w:rsidR="009043BE" w:rsidRPr="00E54B1C" w:rsidRDefault="009043BE" w:rsidP="009043BE">
            <w:pPr>
              <w:jc w:val="both"/>
              <w:rPr>
                <w:sz w:val="20"/>
              </w:rPr>
            </w:pPr>
            <w:r w:rsidRPr="00E54B1C">
              <w:rPr>
                <w:sz w:val="20"/>
              </w:rPr>
              <w:t>(Strekaf, Pentelechuck, Antonio JJ.A.)</w:t>
            </w:r>
          </w:p>
          <w:p w:rsidR="009043BE" w:rsidRPr="00E54B1C" w:rsidRDefault="000631CF" w:rsidP="009043BE">
            <w:pPr>
              <w:jc w:val="both"/>
              <w:rPr>
                <w:sz w:val="20"/>
              </w:rPr>
            </w:pPr>
            <w:hyperlink r:id="rId25" w:history="1">
              <w:r w:rsidR="009043BE" w:rsidRPr="00E54B1C">
                <w:rPr>
                  <w:rStyle w:val="Hyperlink"/>
                  <w:sz w:val="20"/>
                </w:rPr>
                <w:t>2022 ABCA 48</w:t>
              </w:r>
            </w:hyperlink>
            <w:r w:rsidR="009043BE" w:rsidRPr="00E54B1C">
              <w:rPr>
                <w:sz w:val="20"/>
              </w:rPr>
              <w:t>; 2003-0008A</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 xml:space="preserve">Appeal from sentences allowed, </w:t>
            </w:r>
            <w:r w:rsidRPr="00E54B1C">
              <w:rPr>
                <w:spacing w:val="-2"/>
                <w:sz w:val="20"/>
              </w:rPr>
              <w:t>sentence for indeterminate period ordered</w:t>
            </w:r>
          </w:p>
        </w:tc>
      </w:tr>
      <w:tr w:rsidR="009043BE" w:rsidRPr="00E54B1C" w:rsidTr="009043BE">
        <w:tc>
          <w:tcPr>
            <w:tcW w:w="2427" w:type="pct"/>
            <w:gridSpan w:val="2"/>
          </w:tcPr>
          <w:p w:rsidR="009043BE" w:rsidRPr="00E54B1C" w:rsidRDefault="009043BE" w:rsidP="009043BE">
            <w:pPr>
              <w:jc w:val="both"/>
              <w:rPr>
                <w:sz w:val="20"/>
              </w:rPr>
            </w:pPr>
            <w:r w:rsidRPr="00E54B1C">
              <w:rPr>
                <w:sz w:val="20"/>
              </w:rPr>
              <w:t>September 12, 2022</w:t>
            </w:r>
          </w:p>
          <w:p w:rsidR="009043BE" w:rsidRPr="00E54B1C" w:rsidRDefault="009043BE" w:rsidP="009043BE">
            <w:pPr>
              <w:jc w:val="both"/>
              <w:rPr>
                <w:sz w:val="20"/>
              </w:rPr>
            </w:pPr>
            <w:r w:rsidRPr="00E54B1C">
              <w:rPr>
                <w:sz w:val="20"/>
              </w:rPr>
              <w:t>Supreme Court of Canada</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Motion for extension of time to serve and file application for leave to appeal and Application for leave to appeal filed</w:t>
            </w:r>
          </w:p>
        </w:tc>
      </w:tr>
    </w:tbl>
    <w:p w:rsidR="009043BE" w:rsidRPr="00E54B1C" w:rsidRDefault="009043BE" w:rsidP="009043BE">
      <w:pPr>
        <w:jc w:val="both"/>
        <w:rPr>
          <w:sz w:val="20"/>
        </w:rPr>
      </w:pPr>
    </w:p>
    <w:p w:rsidR="009043BE" w:rsidRPr="00E54B1C" w:rsidRDefault="000631CF" w:rsidP="009043BE">
      <w:pPr>
        <w:jc w:val="both"/>
        <w:rPr>
          <w:sz w:val="20"/>
        </w:rPr>
      </w:pPr>
      <w:r>
        <w:rPr>
          <w:sz w:val="20"/>
        </w:rPr>
        <w:pict>
          <v:rect id="_x0000_i1029" style="width:2in;height:1pt" o:hrpct="0" o:hralign="center" o:hrstd="t" o:hrnoshade="t" o:hr="t" fillcolor="black [3213]" stroked="f"/>
        </w:pict>
      </w:r>
    </w:p>
    <w:p w:rsidR="009043BE" w:rsidRPr="00E54B1C" w:rsidRDefault="009043BE" w:rsidP="009043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t>40355</w:t>
            </w:r>
          </w:p>
        </w:tc>
        <w:tc>
          <w:tcPr>
            <w:tcW w:w="4457" w:type="pct"/>
            <w:gridSpan w:val="3"/>
          </w:tcPr>
          <w:p w:rsidR="009043BE" w:rsidRPr="00E54B1C" w:rsidRDefault="009043BE" w:rsidP="009043BE">
            <w:pPr>
              <w:pStyle w:val="SCCLsocParty"/>
              <w:jc w:val="both"/>
              <w:rPr>
                <w:b/>
                <w:sz w:val="20"/>
                <w:szCs w:val="20"/>
              </w:rPr>
            </w:pPr>
            <w:r w:rsidRPr="00E54B1C">
              <w:rPr>
                <w:b/>
                <w:sz w:val="20"/>
                <w:szCs w:val="20"/>
              </w:rPr>
              <w:t>Ashton Dennis Natomagan c. Sa Majesté le Roi</w:t>
            </w:r>
          </w:p>
          <w:p w:rsidR="009043BE" w:rsidRPr="00E54B1C" w:rsidRDefault="009043BE" w:rsidP="009043BE">
            <w:pPr>
              <w:jc w:val="both"/>
              <w:rPr>
                <w:sz w:val="20"/>
              </w:rPr>
            </w:pPr>
            <w:r w:rsidRPr="00E54B1C">
              <w:rPr>
                <w:sz w:val="20"/>
              </w:rPr>
              <w:t>(Alb.) (Criminelle) (Sur autorisation)</w:t>
            </w:r>
          </w:p>
        </w:tc>
      </w:tr>
      <w:tr w:rsidR="009043BE" w:rsidRPr="000631CF" w:rsidTr="009043BE">
        <w:tc>
          <w:tcPr>
            <w:tcW w:w="5000" w:type="pct"/>
            <w:gridSpan w:val="4"/>
          </w:tcPr>
          <w:p w:rsidR="009043BE" w:rsidRPr="00E54B1C" w:rsidRDefault="009043BE" w:rsidP="009043BE">
            <w:pPr>
              <w:pStyle w:val="SCCBanSummary"/>
              <w:rPr>
                <w:sz w:val="20"/>
                <w:szCs w:val="20"/>
                <w:lang w:val="fr-CA"/>
              </w:rPr>
            </w:pPr>
            <w:r w:rsidRPr="00E54B1C">
              <w:rPr>
                <w:sz w:val="20"/>
                <w:szCs w:val="20"/>
                <w:lang w:val="fr-CA"/>
              </w:rPr>
              <w:t>(Ordonnance de non publication dans la cause)</w:t>
            </w:r>
          </w:p>
          <w:p w:rsidR="009043BE" w:rsidRPr="00E54B1C" w:rsidRDefault="009043BE" w:rsidP="009043BE">
            <w:pPr>
              <w:jc w:val="both"/>
              <w:rPr>
                <w:sz w:val="20"/>
                <w:lang w:val="fr-CA"/>
              </w:rPr>
            </w:pPr>
          </w:p>
          <w:p w:rsidR="009043BE" w:rsidRPr="00E54B1C" w:rsidRDefault="009043BE" w:rsidP="009043BE">
            <w:pPr>
              <w:jc w:val="both"/>
              <w:rPr>
                <w:sz w:val="20"/>
                <w:lang w:val="fr-CA"/>
              </w:rPr>
            </w:pPr>
            <w:r w:rsidRPr="00E54B1C">
              <w:rPr>
                <w:sz w:val="20"/>
                <w:lang w:val="fr-CA"/>
              </w:rPr>
              <w:t xml:space="preserve">Droit criminel — Détermination de la peine — Délinquant dangereux et à contrôler — Une application large et téléologique de l’al. 718.2e) du </w:t>
            </w:r>
            <w:r w:rsidRPr="00E54B1C">
              <w:rPr>
                <w:i/>
                <w:sz w:val="20"/>
                <w:lang w:val="fr-CA"/>
              </w:rPr>
              <w:t>Code criminel</w:t>
            </w:r>
            <w:r w:rsidRPr="00E54B1C">
              <w:rPr>
                <w:sz w:val="20"/>
                <w:lang w:val="fr-CA"/>
              </w:rPr>
              <w:t xml:space="preserve"> peut-elle justifier d’infliger une peine déterminée à un délinquant dangereux autochtone, même lorsqu’un tribunal n’est pas certain que la peine serait suffisante pour protéger le public comme il faut l’entendre pour l’application du par. 753(4.1) — Lorsque les évaluations de risques actuarielles sont biaisées sur le plan racial, le juge chargé de la détermination la peine peut-il se fonder sur l’al. 718.2e) pour refuser d’infliger une peine indéterminée à un délinquant dangereux autochtone?</w:t>
            </w:r>
          </w:p>
          <w:p w:rsidR="009043BE" w:rsidRPr="00E54B1C" w:rsidRDefault="009043BE" w:rsidP="009043BE">
            <w:pPr>
              <w:jc w:val="both"/>
              <w:rPr>
                <w:sz w:val="20"/>
                <w:lang w:val="fr-CA"/>
              </w:rPr>
            </w:pPr>
          </w:p>
        </w:tc>
      </w:tr>
      <w:tr w:rsidR="009043BE" w:rsidRPr="000631CF" w:rsidTr="009043BE">
        <w:tc>
          <w:tcPr>
            <w:tcW w:w="5000" w:type="pct"/>
            <w:gridSpan w:val="4"/>
          </w:tcPr>
          <w:p w:rsidR="009043BE" w:rsidRPr="00E54B1C" w:rsidRDefault="009043BE" w:rsidP="009043BE">
            <w:pPr>
              <w:widowControl w:val="0"/>
              <w:jc w:val="both"/>
              <w:rPr>
                <w:sz w:val="20"/>
                <w:lang w:val="fr-CA"/>
              </w:rPr>
            </w:pPr>
            <w:r w:rsidRPr="00E54B1C">
              <w:rPr>
                <w:color w:val="000000"/>
                <w:sz w:val="20"/>
                <w:lang w:val="fr-CA"/>
              </w:rPr>
              <w:t>M. Natomagan a agrippé une femme par derrière, lui a fait perdre connaissance en l’étranglant, l’a emmené dans une allée, l’a maintenu à la pointe d’un couteau, l’a menacé, l’a attachée et bâillonnée, lui a demandé de l’argent et l’a agressé sexuellement. Un jury l’a déclaré coupable de vol, d’agression sexuelle avec une arme, d’enlèvement et de strangulation en vue de commettre un acte criminel. L’avocat de la Couronne a présenté une demande de déclaration portant qu’un délinquant est un délinquant dangereux. Le juge chargé de la détermination de la peine a déclaré M. </w:t>
            </w:r>
            <w:r w:rsidRPr="00E54B1C">
              <w:rPr>
                <w:sz w:val="20"/>
                <w:lang w:val="fr-CA"/>
              </w:rPr>
              <w:t>Natomagan délinquant dangereux et lui a infligé une peine de 20 ans d’emprisonnement en plus de 10 ans de supervision. La Cour d’appel a accueilli l’appel et infligé une peine d’une durée indéterminée.</w:t>
            </w:r>
          </w:p>
        </w:tc>
      </w:tr>
      <w:tr w:rsidR="009043BE" w:rsidRPr="000631CF" w:rsidTr="009043BE">
        <w:tc>
          <w:tcPr>
            <w:tcW w:w="5000" w:type="pct"/>
            <w:gridSpan w:val="4"/>
          </w:tcPr>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17 octobre 2017</w:t>
            </w:r>
          </w:p>
          <w:p w:rsidR="009043BE" w:rsidRPr="00E54B1C" w:rsidRDefault="009043BE" w:rsidP="009043BE">
            <w:pPr>
              <w:jc w:val="both"/>
              <w:rPr>
                <w:sz w:val="20"/>
                <w:lang w:val="fr-CA"/>
              </w:rPr>
            </w:pPr>
            <w:r w:rsidRPr="00E54B1C">
              <w:rPr>
                <w:sz w:val="20"/>
                <w:lang w:val="fr-CA"/>
              </w:rPr>
              <w:t>Cour du banc de la Reine Alberta</w:t>
            </w:r>
          </w:p>
          <w:p w:rsidR="009043BE" w:rsidRPr="00E54B1C" w:rsidRDefault="009043BE" w:rsidP="009043BE">
            <w:pPr>
              <w:jc w:val="both"/>
              <w:rPr>
                <w:sz w:val="20"/>
              </w:rPr>
            </w:pPr>
            <w:r w:rsidRPr="00E54B1C">
              <w:rPr>
                <w:sz w:val="20"/>
              </w:rPr>
              <w:t>(Juge Clackson) (Non publiée)</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widowControl w:val="0"/>
              <w:kinsoku w:val="0"/>
              <w:overflowPunct w:val="0"/>
              <w:spacing w:line="264" w:lineRule="exact"/>
              <w:jc w:val="both"/>
              <w:textAlignment w:val="baseline"/>
              <w:rPr>
                <w:spacing w:val="-1"/>
                <w:sz w:val="20"/>
                <w:lang w:val="fr-CA"/>
              </w:rPr>
            </w:pPr>
            <w:r w:rsidRPr="00E54B1C">
              <w:rPr>
                <w:sz w:val="20"/>
                <w:lang w:val="fr-CA"/>
              </w:rPr>
              <w:t xml:space="preserve">Déclarations de culpabilité par un jury pour </w:t>
            </w:r>
            <w:r w:rsidRPr="00E54B1C">
              <w:rPr>
                <w:color w:val="000000"/>
                <w:sz w:val="20"/>
                <w:lang w:val="fr-CA"/>
              </w:rPr>
              <w:t xml:space="preserve">vol, agression sexuelle avec une arme, enlèvement et strangulation en vue de commettre un acte criminel. </w:t>
            </w:r>
            <w:r w:rsidRPr="00E54B1C">
              <w:rPr>
                <w:sz w:val="20"/>
                <w:lang w:val="fr-CA"/>
              </w:rPr>
              <w:t xml:space="preserve"> </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10 décembre 2019</w:t>
            </w:r>
          </w:p>
          <w:p w:rsidR="009043BE" w:rsidRPr="00E54B1C" w:rsidRDefault="009043BE" w:rsidP="009043BE">
            <w:pPr>
              <w:jc w:val="both"/>
              <w:rPr>
                <w:sz w:val="20"/>
                <w:lang w:val="fr-CA"/>
              </w:rPr>
            </w:pPr>
            <w:r w:rsidRPr="00E54B1C">
              <w:rPr>
                <w:sz w:val="20"/>
                <w:lang w:val="fr-CA"/>
              </w:rPr>
              <w:t>Cour du banc de la Reine de l’Alberta</w:t>
            </w:r>
          </w:p>
          <w:p w:rsidR="009043BE" w:rsidRPr="00E54B1C" w:rsidRDefault="009043BE" w:rsidP="009043BE">
            <w:pPr>
              <w:jc w:val="both"/>
              <w:rPr>
                <w:sz w:val="20"/>
                <w:lang w:val="fr-CA"/>
              </w:rPr>
            </w:pPr>
            <w:r w:rsidRPr="00E54B1C">
              <w:rPr>
                <w:sz w:val="20"/>
                <w:lang w:val="fr-CA"/>
              </w:rPr>
              <w:t>(Juge Clackson)</w:t>
            </w:r>
          </w:p>
          <w:p w:rsidR="009043BE" w:rsidRPr="00E54B1C" w:rsidRDefault="000631CF" w:rsidP="009043BE">
            <w:pPr>
              <w:jc w:val="both"/>
              <w:rPr>
                <w:sz w:val="20"/>
              </w:rPr>
            </w:pPr>
            <w:hyperlink r:id="rId26" w:history="1">
              <w:r w:rsidR="009043BE" w:rsidRPr="00E54B1C">
                <w:rPr>
                  <w:rStyle w:val="Hyperlink"/>
                  <w:sz w:val="20"/>
                </w:rPr>
                <w:t>2019 ABQB 943</w:t>
              </w:r>
            </w:hyperlink>
            <w:r w:rsidR="009043BE" w:rsidRPr="00E54B1C">
              <w:rPr>
                <w:sz w:val="20"/>
              </w:rPr>
              <w:t xml:space="preserve"> </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lang w:val="fr-CA"/>
              </w:rPr>
            </w:pPr>
            <w:r w:rsidRPr="00E54B1C">
              <w:rPr>
                <w:sz w:val="20"/>
                <w:lang w:val="fr-CA"/>
              </w:rPr>
              <w:t xml:space="preserve">Déclaration du statut de délinquant dangereux; peines concurrentes de 20 ans, 14 ans, 10 ans, et 10 ans et supervision à long terme pour 10 ans infligées. </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11 février 2022</w:t>
            </w:r>
          </w:p>
          <w:p w:rsidR="009043BE" w:rsidRPr="00E54B1C" w:rsidRDefault="009043BE" w:rsidP="009043BE">
            <w:pPr>
              <w:jc w:val="both"/>
              <w:rPr>
                <w:sz w:val="20"/>
                <w:lang w:val="fr-CA"/>
              </w:rPr>
            </w:pPr>
            <w:r w:rsidRPr="00E54B1C">
              <w:rPr>
                <w:sz w:val="20"/>
                <w:lang w:val="fr-CA"/>
              </w:rPr>
              <w:t>Cour d’appel de l’Alberta (Edmonton)</w:t>
            </w:r>
          </w:p>
          <w:p w:rsidR="009043BE" w:rsidRPr="00E54B1C" w:rsidRDefault="009043BE" w:rsidP="009043BE">
            <w:pPr>
              <w:jc w:val="both"/>
              <w:rPr>
                <w:sz w:val="20"/>
                <w:lang w:val="fr-CA"/>
              </w:rPr>
            </w:pPr>
            <w:r w:rsidRPr="00E54B1C">
              <w:rPr>
                <w:sz w:val="20"/>
                <w:lang w:val="fr-CA"/>
              </w:rPr>
              <w:t>(Juges Strekaf, Pentelechuck et Antonio)</w:t>
            </w:r>
          </w:p>
          <w:p w:rsidR="009043BE" w:rsidRPr="00E54B1C" w:rsidRDefault="000631CF" w:rsidP="009043BE">
            <w:pPr>
              <w:jc w:val="both"/>
              <w:rPr>
                <w:sz w:val="20"/>
              </w:rPr>
            </w:pPr>
            <w:hyperlink r:id="rId27" w:history="1">
              <w:r w:rsidR="009043BE" w:rsidRPr="00E54B1C">
                <w:rPr>
                  <w:rStyle w:val="Hyperlink"/>
                  <w:sz w:val="20"/>
                </w:rPr>
                <w:t>2022 ABCA 48</w:t>
              </w:r>
            </w:hyperlink>
            <w:r w:rsidR="009043BE" w:rsidRPr="00E54B1C">
              <w:rPr>
                <w:sz w:val="20"/>
              </w:rPr>
              <w:t>; 2003-0008A</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lang w:val="fr-CA"/>
              </w:rPr>
            </w:pPr>
            <w:r w:rsidRPr="00E54B1C">
              <w:rPr>
                <w:sz w:val="20"/>
                <w:lang w:val="fr-CA"/>
              </w:rPr>
              <w:t xml:space="preserve">Appel des peines accueilli, peine d’une durée indéterminée ordonnée. </w:t>
            </w:r>
          </w:p>
        </w:tc>
      </w:tr>
      <w:tr w:rsidR="009043BE" w:rsidRPr="000631CF" w:rsidTr="009043BE">
        <w:tc>
          <w:tcPr>
            <w:tcW w:w="2427" w:type="pct"/>
            <w:gridSpan w:val="2"/>
          </w:tcPr>
          <w:p w:rsidR="009043BE" w:rsidRPr="00E54B1C" w:rsidRDefault="009043BE" w:rsidP="009043BE">
            <w:pPr>
              <w:jc w:val="both"/>
              <w:rPr>
                <w:sz w:val="20"/>
              </w:rPr>
            </w:pPr>
            <w:r w:rsidRPr="00E54B1C">
              <w:rPr>
                <w:sz w:val="20"/>
              </w:rPr>
              <w:t>12 septembre 2022</w:t>
            </w:r>
          </w:p>
          <w:p w:rsidR="009043BE" w:rsidRPr="00E54B1C" w:rsidRDefault="009043BE" w:rsidP="009043BE">
            <w:pPr>
              <w:jc w:val="both"/>
              <w:rPr>
                <w:sz w:val="20"/>
              </w:rPr>
            </w:pPr>
            <w:r w:rsidRPr="00E54B1C">
              <w:rPr>
                <w:sz w:val="20"/>
              </w:rPr>
              <w:t>Cour suprême du Canada</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lang w:val="fr-CA"/>
              </w:rPr>
            </w:pPr>
            <w:r w:rsidRPr="00E54B1C">
              <w:rPr>
                <w:sz w:val="20"/>
                <w:lang w:val="fr-CA"/>
              </w:rPr>
              <w:t xml:space="preserve">Motion en prorogation du délai pour signifier et déposer une demande d’autorisation d’appel et demande d’autorisation </w:t>
            </w:r>
            <w:proofErr w:type="gramStart"/>
            <w:r w:rsidRPr="00E54B1C">
              <w:rPr>
                <w:sz w:val="20"/>
                <w:lang w:val="fr-CA"/>
              </w:rPr>
              <w:t>d’appel déposées</w:t>
            </w:r>
            <w:proofErr w:type="gramEnd"/>
            <w:r w:rsidRPr="00E54B1C">
              <w:rPr>
                <w:sz w:val="20"/>
                <w:lang w:val="fr-CA"/>
              </w:rPr>
              <w:t xml:space="preserve">. </w:t>
            </w:r>
          </w:p>
        </w:tc>
      </w:tr>
    </w:tbl>
    <w:p w:rsidR="009043BE" w:rsidRPr="00E54B1C" w:rsidRDefault="009043BE" w:rsidP="009043BE">
      <w:pPr>
        <w:jc w:val="both"/>
        <w:rPr>
          <w:sz w:val="20"/>
          <w:lang w:val="fr-CA"/>
        </w:rPr>
      </w:pPr>
    </w:p>
    <w:p w:rsidR="009043BE" w:rsidRPr="00E54B1C" w:rsidRDefault="000631CF" w:rsidP="009043BE">
      <w:pPr>
        <w:jc w:val="both"/>
        <w:rPr>
          <w:sz w:val="20"/>
          <w:lang w:val="fr-CA"/>
        </w:rPr>
      </w:pPr>
      <w:r>
        <w:rPr>
          <w:sz w:val="20"/>
        </w:rPr>
        <w:pict>
          <v:rect id="_x0000_i1030" style="width:2in;height:1pt" o:hrpct="0" o:hralign="center" o:hrstd="t" o:hrnoshade="t" o:hr="t" fillcolor="black [3213]" stroked="f"/>
        </w:pict>
      </w:r>
    </w:p>
    <w:p w:rsidR="009043BE" w:rsidRPr="00E54B1C" w:rsidRDefault="009043BE" w:rsidP="009043B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4B1C" w:rsidRPr="00E54B1C" w:rsidTr="00BB4976">
        <w:tc>
          <w:tcPr>
            <w:tcW w:w="543" w:type="pct"/>
          </w:tcPr>
          <w:p w:rsidR="00E54B1C" w:rsidRPr="00E54B1C" w:rsidRDefault="00E54B1C" w:rsidP="00E54B1C">
            <w:pPr>
              <w:jc w:val="both"/>
              <w:rPr>
                <w:sz w:val="20"/>
                <w:lang w:val="en-CA"/>
              </w:rPr>
            </w:pPr>
            <w:r w:rsidRPr="00E54B1C">
              <w:rPr>
                <w:rStyle w:val="SCCFileNumberChar"/>
                <w:sz w:val="20"/>
                <w:szCs w:val="20"/>
              </w:rPr>
              <w:t>40114</w:t>
            </w:r>
          </w:p>
        </w:tc>
        <w:tc>
          <w:tcPr>
            <w:tcW w:w="4457" w:type="pct"/>
            <w:gridSpan w:val="3"/>
          </w:tcPr>
          <w:p w:rsidR="00E54B1C" w:rsidRPr="00E54B1C" w:rsidRDefault="00E54B1C" w:rsidP="00E54B1C">
            <w:pPr>
              <w:pStyle w:val="SCCLsocParty"/>
              <w:jc w:val="both"/>
              <w:rPr>
                <w:b/>
                <w:sz w:val="20"/>
                <w:szCs w:val="20"/>
                <w:lang w:val="en-CA"/>
              </w:rPr>
            </w:pPr>
            <w:r w:rsidRPr="00E54B1C">
              <w:rPr>
                <w:b/>
                <w:sz w:val="20"/>
                <w:szCs w:val="20"/>
                <w:lang w:val="en-CA"/>
              </w:rPr>
              <w:t>Fédération des francophones de la Colombie-Britannique v. Department of Employment and Social Development Canada and Canada Employment Insurance Commission</w:t>
            </w:r>
          </w:p>
          <w:p w:rsidR="00E54B1C" w:rsidRPr="00E54B1C" w:rsidRDefault="00E54B1C" w:rsidP="00E54B1C">
            <w:pPr>
              <w:pStyle w:val="SCCLsocOtherPartySeparator"/>
              <w:rPr>
                <w:sz w:val="20"/>
                <w:szCs w:val="20"/>
                <w:lang w:val="en-CA"/>
              </w:rPr>
            </w:pPr>
            <w:r w:rsidRPr="00E54B1C">
              <w:rPr>
                <w:sz w:val="20"/>
                <w:szCs w:val="20"/>
                <w:lang w:val="en-CA"/>
              </w:rPr>
              <w:t>- and -</w:t>
            </w:r>
          </w:p>
          <w:p w:rsidR="00E54B1C" w:rsidRPr="00E54B1C" w:rsidRDefault="00E54B1C" w:rsidP="00E54B1C">
            <w:pPr>
              <w:pStyle w:val="SCCLsocParty"/>
              <w:jc w:val="both"/>
              <w:rPr>
                <w:b/>
                <w:sz w:val="20"/>
                <w:szCs w:val="20"/>
                <w:lang w:val="en-CA"/>
              </w:rPr>
            </w:pPr>
            <w:r w:rsidRPr="00E54B1C">
              <w:rPr>
                <w:b/>
                <w:sz w:val="20"/>
                <w:szCs w:val="20"/>
                <w:lang w:val="en-CA"/>
              </w:rPr>
              <w:t>Commissioner of Official Languages and Attorney General of British Columbia</w:t>
            </w:r>
          </w:p>
          <w:p w:rsidR="00E54B1C" w:rsidRPr="00E54B1C" w:rsidRDefault="00E54B1C" w:rsidP="00E54B1C">
            <w:pPr>
              <w:jc w:val="both"/>
              <w:rPr>
                <w:sz w:val="20"/>
                <w:lang w:val="en-CA"/>
              </w:rPr>
            </w:pPr>
            <w:r w:rsidRPr="00E54B1C">
              <w:rPr>
                <w:sz w:val="20"/>
                <w:lang w:val="en-CA"/>
              </w:rPr>
              <w:t>(F.C.) (Civil) (By Leave)</w:t>
            </w:r>
          </w:p>
        </w:tc>
      </w:tr>
      <w:tr w:rsidR="00E54B1C" w:rsidRPr="00E54B1C" w:rsidTr="00BB4976">
        <w:tc>
          <w:tcPr>
            <w:tcW w:w="5000" w:type="pct"/>
            <w:gridSpan w:val="4"/>
          </w:tcPr>
          <w:p w:rsidR="00E54B1C" w:rsidRPr="00E54B1C" w:rsidRDefault="00E54B1C" w:rsidP="00E54B1C">
            <w:pPr>
              <w:jc w:val="both"/>
              <w:rPr>
                <w:sz w:val="20"/>
                <w:lang w:val="en-CA"/>
              </w:rPr>
            </w:pPr>
            <w:proofErr w:type="gramStart"/>
            <w:r w:rsidRPr="00E54B1C">
              <w:rPr>
                <w:sz w:val="20"/>
                <w:lang w:val="en-CA"/>
              </w:rPr>
              <w:t xml:space="preserve">Constitutional law ⸺ Charter of Rights ⸺ Official languages ⸺ Agreement between federal government and British Columbia government for full devolution of employment assistance services ⸺ Linguistic clause ⸺ British Columbia implementing “one-stop shop” model ⸺ Model having negative impact on province’s Francophone organizations ⸺ Whether federal government can avoid its duty to provide services of equal quality in both official languages under s. 20(1) of </w:t>
            </w:r>
            <w:r w:rsidRPr="00E54B1C">
              <w:rPr>
                <w:i/>
                <w:sz w:val="20"/>
                <w:lang w:val="en-CA"/>
              </w:rPr>
              <w:t>Canadian Charter of Rights and Freedoms</w:t>
            </w:r>
            <w:r w:rsidRPr="00E54B1C">
              <w:rPr>
                <w:sz w:val="20"/>
                <w:lang w:val="en-CA"/>
              </w:rPr>
              <w:t xml:space="preserve"> by entrusting implementation of its programs to provinces in shared field of jurisdiction ⸺ Whether federal government can avoid its quasi-constitutional duty to provide services of equal quality in both official languages under Part IV of </w:t>
            </w:r>
            <w:r w:rsidRPr="00E54B1C">
              <w:rPr>
                <w:i/>
                <w:sz w:val="20"/>
                <w:lang w:val="en-CA"/>
              </w:rPr>
              <w:t>Official Languages Act</w:t>
            </w:r>
            <w:r w:rsidRPr="00E54B1C">
              <w:rPr>
                <w:sz w:val="20"/>
                <w:lang w:val="en-CA"/>
              </w:rPr>
              <w:t xml:space="preserve"> by entrusting implementation of its programs to provinces in shared field of jurisdiction ⸺ </w:t>
            </w:r>
            <w:r w:rsidRPr="00E54B1C">
              <w:rPr>
                <w:i/>
                <w:sz w:val="20"/>
                <w:lang w:val="en-CA"/>
              </w:rPr>
              <w:t>Canadian Charter of Rights and Freedoms</w:t>
            </w:r>
            <w:r w:rsidRPr="00E54B1C">
              <w:rPr>
                <w:sz w:val="20"/>
                <w:lang w:val="en-CA"/>
              </w:rPr>
              <w:t xml:space="preserve">, s. 20(1) ⸺ </w:t>
            </w:r>
            <w:r w:rsidRPr="00E54B1C">
              <w:rPr>
                <w:i/>
                <w:sz w:val="20"/>
                <w:lang w:val="en-CA"/>
              </w:rPr>
              <w:t>Official Languages Act</w:t>
            </w:r>
            <w:r w:rsidRPr="00E54B1C">
              <w:rPr>
                <w:sz w:val="20"/>
                <w:lang w:val="en-CA"/>
              </w:rPr>
              <w:t>, R.S.C. 1985, c. 31 (4th Supp.), Part IV.</w:t>
            </w:r>
            <w:proofErr w:type="gramEnd"/>
            <w:r w:rsidRPr="00E54B1C">
              <w:rPr>
                <w:sz w:val="20"/>
                <w:lang w:val="en-CA"/>
              </w:rPr>
              <w:t xml:space="preserve"> </w:t>
            </w:r>
          </w:p>
        </w:tc>
      </w:tr>
      <w:tr w:rsidR="00E54B1C" w:rsidRPr="00E54B1C" w:rsidTr="00BB4976">
        <w:tc>
          <w:tcPr>
            <w:tcW w:w="5000" w:type="pct"/>
            <w:gridSpan w:val="4"/>
          </w:tcPr>
          <w:p w:rsidR="00E54B1C" w:rsidRPr="00E54B1C" w:rsidRDefault="00E54B1C" w:rsidP="00E54B1C">
            <w:pPr>
              <w:jc w:val="both"/>
              <w:rPr>
                <w:sz w:val="20"/>
                <w:lang w:val="en-CA"/>
              </w:rPr>
            </w:pPr>
          </w:p>
          <w:p w:rsidR="00E54B1C" w:rsidRPr="00E54B1C" w:rsidRDefault="00E54B1C" w:rsidP="00E54B1C">
            <w:pPr>
              <w:jc w:val="both"/>
              <w:rPr>
                <w:sz w:val="20"/>
                <w:lang w:val="en-CA"/>
              </w:rPr>
            </w:pPr>
            <w:r w:rsidRPr="00E54B1C">
              <w:rPr>
                <w:sz w:val="20"/>
                <w:lang w:val="en-CA"/>
              </w:rPr>
              <w:t xml:space="preserve">In February 2008, the British Columbia government and the federal government, through the respondent the Canada Employment Insurance Commission, signed the </w:t>
            </w:r>
            <w:r w:rsidRPr="00E54B1C">
              <w:rPr>
                <w:i/>
                <w:sz w:val="20"/>
                <w:lang w:val="en-CA"/>
              </w:rPr>
              <w:t>Canada – British Columbia Labour Market Development Agreement</w:t>
            </w:r>
            <w:r w:rsidRPr="00E54B1C">
              <w:rPr>
                <w:sz w:val="20"/>
                <w:lang w:val="en-CA"/>
              </w:rPr>
              <w:t xml:space="preserve">. The Agreement provided for the full devolution of employment assistance services to the province in accordance with s. 63 of the </w:t>
            </w:r>
            <w:r w:rsidRPr="00E54B1C">
              <w:rPr>
                <w:i/>
                <w:sz w:val="20"/>
                <w:lang w:val="en-CA"/>
              </w:rPr>
              <w:t>Employment Insurance Act</w:t>
            </w:r>
            <w:r w:rsidRPr="00E54B1C">
              <w:rPr>
                <w:sz w:val="20"/>
                <w:lang w:val="en-CA"/>
              </w:rPr>
              <w:t xml:space="preserve">, S.C. 1996, c. 23 (EIA). The Agreement followed the </w:t>
            </w:r>
            <w:r w:rsidRPr="00E54B1C">
              <w:rPr>
                <w:i/>
                <w:sz w:val="20"/>
                <w:lang w:val="en-CA"/>
              </w:rPr>
              <w:t>Canada – British Columbia Labour Market Development Agreement (1997)</w:t>
            </w:r>
            <w:r w:rsidRPr="00E54B1C">
              <w:rPr>
                <w:sz w:val="20"/>
                <w:lang w:val="en-CA"/>
              </w:rPr>
              <w:t xml:space="preserve">, which </w:t>
            </w:r>
            <w:proofErr w:type="gramStart"/>
            <w:r w:rsidRPr="00E54B1C">
              <w:rPr>
                <w:sz w:val="20"/>
                <w:lang w:val="en-CA"/>
              </w:rPr>
              <w:t>provided that</w:t>
            </w:r>
            <w:proofErr w:type="gramEnd"/>
            <w:r w:rsidRPr="00E54B1C">
              <w:rPr>
                <w:sz w:val="20"/>
                <w:lang w:val="en-CA"/>
              </w:rPr>
              <w:t xml:space="preserve"> the federal government would retain responsibility for the establishment of benefits and measures while British Columbia would participate in their design and management. The 1997 Agreement guaranteed the continued application of the </w:t>
            </w:r>
            <w:r w:rsidRPr="00E54B1C">
              <w:rPr>
                <w:i/>
                <w:sz w:val="20"/>
                <w:lang w:val="en-CA"/>
              </w:rPr>
              <w:t>Official Languages Act</w:t>
            </w:r>
            <w:r w:rsidRPr="00E54B1C">
              <w:rPr>
                <w:sz w:val="20"/>
                <w:lang w:val="en-CA"/>
              </w:rPr>
              <w:t xml:space="preserve">, R.S.C. 1985, </w:t>
            </w:r>
            <w:proofErr w:type="gramStart"/>
            <w:r w:rsidRPr="00E54B1C">
              <w:rPr>
                <w:sz w:val="20"/>
                <w:lang w:val="en-CA"/>
              </w:rPr>
              <w:t>c</w:t>
            </w:r>
            <w:proofErr w:type="gramEnd"/>
            <w:r w:rsidRPr="00E54B1C">
              <w:rPr>
                <w:sz w:val="20"/>
                <w:lang w:val="en-CA"/>
              </w:rPr>
              <w:t>. 31 (4th Supp.) (OLA), which had been particularly effective in ensuring the vitality and development of British Columbia’s French linguistic minority community. The 2008 Agreement contained a linguistic clause, based on s. 57(1</w:t>
            </w:r>
            <w:proofErr w:type="gramStart"/>
            <w:r w:rsidRPr="00E54B1C">
              <w:rPr>
                <w:sz w:val="20"/>
                <w:lang w:val="en-CA"/>
              </w:rPr>
              <w:t>)(</w:t>
            </w:r>
            <w:proofErr w:type="gramEnd"/>
            <w:r w:rsidRPr="00E54B1C">
              <w:rPr>
                <w:sz w:val="20"/>
                <w:lang w:val="en-CA"/>
              </w:rPr>
              <w:t xml:space="preserve">d.1) of the EIA, requiring the province to provide recipients of services with “availability of assistance under the benefits and measures in either official language where there is significant demand for that assistance in that language”. In the fall of 2010, British Columbia informed the centres serving Francophone organizations that they would no longer receive funding. </w:t>
            </w:r>
            <w:proofErr w:type="gramStart"/>
            <w:r w:rsidRPr="00E54B1C">
              <w:rPr>
                <w:sz w:val="20"/>
                <w:lang w:val="en-CA"/>
              </w:rPr>
              <w:t>After receiving a response from the respondent, the Department of Employment and Social Development (DESD, originally the Department of Human Resources and Skills Development Canada), which had been informed of the devastating consequences that the closure of the centres would have on the French linguistic minority community, the Fédération francophone de la Colombie-Britannique (FFCB) filed a complaint with the intervener the Commissioner of Official Languages.</w:t>
            </w:r>
            <w:proofErr w:type="gramEnd"/>
            <w:r w:rsidRPr="00E54B1C">
              <w:rPr>
                <w:sz w:val="20"/>
                <w:lang w:val="en-CA"/>
              </w:rPr>
              <w:t xml:space="preserve"> Three other complaints </w:t>
            </w:r>
            <w:proofErr w:type="gramStart"/>
            <w:r w:rsidRPr="00E54B1C">
              <w:rPr>
                <w:sz w:val="20"/>
                <w:lang w:val="en-CA"/>
              </w:rPr>
              <w:t>had previously been filed</w:t>
            </w:r>
            <w:proofErr w:type="gramEnd"/>
            <w:r w:rsidRPr="00E54B1C">
              <w:rPr>
                <w:sz w:val="20"/>
                <w:lang w:val="en-CA"/>
              </w:rPr>
              <w:t xml:space="preserve"> concerning the withdrawal of funding from Francophone organizations. After conducting an investigation, the Commissioner of Official Languages concluded that the complaints were </w:t>
            </w:r>
            <w:proofErr w:type="gramStart"/>
            <w:r w:rsidRPr="00E54B1C">
              <w:rPr>
                <w:sz w:val="20"/>
                <w:lang w:val="en-CA"/>
              </w:rPr>
              <w:t>well-founded</w:t>
            </w:r>
            <w:proofErr w:type="gramEnd"/>
            <w:r w:rsidRPr="00E54B1C">
              <w:rPr>
                <w:sz w:val="20"/>
                <w:lang w:val="en-CA"/>
              </w:rPr>
              <w:t xml:space="preserve"> under Parts IV and VII of the OLA. The FFCB subsequently filed an application with the Federal Court under s. 77(1) of the OLA, arguing that the DESD and the Commission had violated Parts IV and VII of the OLA and s. 20(1) of the </w:t>
            </w:r>
            <w:r w:rsidRPr="00E54B1C">
              <w:rPr>
                <w:i/>
                <w:sz w:val="20"/>
                <w:lang w:val="en-CA"/>
              </w:rPr>
              <w:t>Canadian Charter of Rights and Freedoms</w:t>
            </w:r>
            <w:r w:rsidRPr="00E54B1C">
              <w:rPr>
                <w:sz w:val="20"/>
                <w:lang w:val="en-CA"/>
              </w:rPr>
              <w:t xml:space="preserve"> through the 2008 Agreement. The Federal Court dismissed the FFCB’s application. The Federal Court of Appeal allowed the appeals filed by the FFCB and the Commissioner of Official Languages concerning the duty under Part VII of the OLA but dismissed the appeal concerning Part IV of the OLA.</w:t>
            </w:r>
          </w:p>
        </w:tc>
      </w:tr>
      <w:tr w:rsidR="00E54B1C" w:rsidRPr="00E54B1C" w:rsidTr="00BB4976">
        <w:tc>
          <w:tcPr>
            <w:tcW w:w="5000" w:type="pct"/>
            <w:gridSpan w:val="4"/>
          </w:tcPr>
          <w:p w:rsidR="00E54B1C" w:rsidRPr="00E54B1C" w:rsidRDefault="00E54B1C" w:rsidP="00E54B1C">
            <w:pPr>
              <w:jc w:val="both"/>
              <w:rPr>
                <w:sz w:val="20"/>
                <w:lang w:val="en-CA"/>
              </w:rPr>
            </w:pPr>
          </w:p>
        </w:tc>
      </w:tr>
      <w:tr w:rsidR="00E54B1C" w:rsidRPr="00E54B1C" w:rsidTr="00BB4976">
        <w:tc>
          <w:tcPr>
            <w:tcW w:w="2427" w:type="pct"/>
            <w:gridSpan w:val="2"/>
          </w:tcPr>
          <w:p w:rsidR="00E54B1C" w:rsidRPr="00E54B1C" w:rsidRDefault="00E54B1C" w:rsidP="00E54B1C">
            <w:pPr>
              <w:jc w:val="both"/>
              <w:rPr>
                <w:sz w:val="20"/>
                <w:lang w:val="en-CA"/>
              </w:rPr>
            </w:pPr>
            <w:r w:rsidRPr="00E54B1C">
              <w:rPr>
                <w:sz w:val="20"/>
                <w:lang w:val="en-CA"/>
              </w:rPr>
              <w:t>May 23, 2018</w:t>
            </w:r>
          </w:p>
          <w:p w:rsidR="00E54B1C" w:rsidRPr="00E54B1C" w:rsidRDefault="00E54B1C" w:rsidP="00E54B1C">
            <w:pPr>
              <w:jc w:val="both"/>
              <w:rPr>
                <w:sz w:val="20"/>
                <w:lang w:val="en-CA"/>
              </w:rPr>
            </w:pPr>
            <w:r w:rsidRPr="00E54B1C">
              <w:rPr>
                <w:sz w:val="20"/>
                <w:lang w:val="en-CA"/>
              </w:rPr>
              <w:t>Federal Court</w:t>
            </w:r>
          </w:p>
          <w:p w:rsidR="00E54B1C" w:rsidRPr="00E54B1C" w:rsidRDefault="00E54B1C" w:rsidP="00E54B1C">
            <w:pPr>
              <w:jc w:val="both"/>
              <w:rPr>
                <w:sz w:val="20"/>
                <w:lang w:val="en-CA"/>
              </w:rPr>
            </w:pPr>
            <w:r w:rsidRPr="00E54B1C">
              <w:rPr>
                <w:sz w:val="20"/>
                <w:lang w:val="en-CA"/>
              </w:rPr>
              <w:t>(Gascon J.)</w:t>
            </w:r>
          </w:p>
          <w:p w:rsidR="00E54B1C" w:rsidRPr="00E54B1C" w:rsidRDefault="000631CF" w:rsidP="00E54B1C">
            <w:pPr>
              <w:jc w:val="both"/>
              <w:rPr>
                <w:sz w:val="20"/>
                <w:lang w:val="en-CA"/>
              </w:rPr>
            </w:pPr>
            <w:hyperlink r:id="rId28" w:history="1">
              <w:r w:rsidR="00E54B1C" w:rsidRPr="00E54B1C">
                <w:rPr>
                  <w:rStyle w:val="Hyperlink"/>
                  <w:sz w:val="20"/>
                  <w:lang w:val="en-CA"/>
                </w:rPr>
                <w:t>2018 FC 530</w:t>
              </w:r>
            </w:hyperlink>
            <w:r w:rsidR="00E54B1C" w:rsidRPr="00E54B1C">
              <w:rPr>
                <w:sz w:val="20"/>
                <w:lang w:val="en-CA"/>
              </w:rPr>
              <w:t xml:space="preserve"> </w:t>
            </w:r>
          </w:p>
          <w:p w:rsidR="00E54B1C" w:rsidRPr="00E54B1C" w:rsidRDefault="00E54B1C" w:rsidP="00E54B1C">
            <w:pPr>
              <w:jc w:val="both"/>
              <w:rPr>
                <w:sz w:val="20"/>
              </w:rPr>
            </w:pPr>
          </w:p>
        </w:tc>
        <w:tc>
          <w:tcPr>
            <w:tcW w:w="243" w:type="pct"/>
          </w:tcPr>
          <w:p w:rsidR="00E54B1C" w:rsidRPr="00E54B1C" w:rsidRDefault="00E54B1C" w:rsidP="00E54B1C">
            <w:pPr>
              <w:jc w:val="both"/>
              <w:rPr>
                <w:sz w:val="20"/>
                <w:lang w:val="en-CA"/>
              </w:rPr>
            </w:pPr>
          </w:p>
        </w:tc>
        <w:tc>
          <w:tcPr>
            <w:tcW w:w="2330" w:type="pct"/>
          </w:tcPr>
          <w:p w:rsidR="00E54B1C" w:rsidRPr="00E54B1C" w:rsidRDefault="00E54B1C" w:rsidP="00E54B1C">
            <w:pPr>
              <w:jc w:val="both"/>
              <w:rPr>
                <w:sz w:val="20"/>
                <w:lang w:val="en-CA"/>
              </w:rPr>
            </w:pPr>
            <w:r w:rsidRPr="00E54B1C">
              <w:rPr>
                <w:sz w:val="20"/>
                <w:lang w:val="en-CA"/>
              </w:rPr>
              <w:t>Application dismissed</w:t>
            </w:r>
          </w:p>
          <w:p w:rsidR="00E54B1C" w:rsidRPr="00E54B1C" w:rsidRDefault="00E54B1C" w:rsidP="00E54B1C">
            <w:pPr>
              <w:jc w:val="both"/>
              <w:rPr>
                <w:sz w:val="20"/>
                <w:lang w:val="en-CA"/>
              </w:rPr>
            </w:pPr>
          </w:p>
        </w:tc>
      </w:tr>
      <w:tr w:rsidR="00E54B1C" w:rsidRPr="00E54B1C" w:rsidTr="00BB4976">
        <w:tc>
          <w:tcPr>
            <w:tcW w:w="2427" w:type="pct"/>
            <w:gridSpan w:val="2"/>
          </w:tcPr>
          <w:p w:rsidR="00E54B1C" w:rsidRPr="00E54B1C" w:rsidRDefault="00E54B1C" w:rsidP="00E54B1C">
            <w:pPr>
              <w:jc w:val="both"/>
              <w:rPr>
                <w:sz w:val="20"/>
                <w:lang w:val="en-CA"/>
              </w:rPr>
            </w:pPr>
            <w:r w:rsidRPr="00E54B1C">
              <w:rPr>
                <w:sz w:val="20"/>
                <w:lang w:val="en-CA"/>
              </w:rPr>
              <w:t>January 28, 2022</w:t>
            </w:r>
          </w:p>
          <w:p w:rsidR="00E54B1C" w:rsidRPr="00E54B1C" w:rsidRDefault="00E54B1C" w:rsidP="00E54B1C">
            <w:pPr>
              <w:jc w:val="both"/>
              <w:rPr>
                <w:sz w:val="20"/>
                <w:lang w:val="en-CA"/>
              </w:rPr>
            </w:pPr>
            <w:r w:rsidRPr="00E54B1C">
              <w:rPr>
                <w:sz w:val="20"/>
                <w:lang w:val="en-CA"/>
              </w:rPr>
              <w:t>Federal Court of Appeal</w:t>
            </w:r>
          </w:p>
          <w:p w:rsidR="00E54B1C" w:rsidRPr="00E54B1C" w:rsidRDefault="00E54B1C" w:rsidP="00E54B1C">
            <w:pPr>
              <w:jc w:val="both"/>
              <w:rPr>
                <w:sz w:val="20"/>
                <w:lang w:val="en-CA"/>
              </w:rPr>
            </w:pPr>
            <w:r w:rsidRPr="00E54B1C">
              <w:rPr>
                <w:sz w:val="20"/>
                <w:lang w:val="en-CA"/>
              </w:rPr>
              <w:t>(Noël C.J. and de Montigny and Rivoalen JJ.A.)</w:t>
            </w:r>
          </w:p>
          <w:p w:rsidR="00E54B1C" w:rsidRPr="00E54B1C" w:rsidRDefault="000631CF" w:rsidP="00E54B1C">
            <w:pPr>
              <w:jc w:val="both"/>
              <w:rPr>
                <w:sz w:val="20"/>
                <w:lang w:val="en-CA"/>
              </w:rPr>
            </w:pPr>
            <w:hyperlink r:id="rId29" w:history="1">
              <w:r w:rsidR="00E54B1C" w:rsidRPr="00E54B1C">
                <w:rPr>
                  <w:rStyle w:val="Hyperlink"/>
                  <w:sz w:val="20"/>
                  <w:lang w:val="en-CA"/>
                </w:rPr>
                <w:t>2022 FCA 14</w:t>
              </w:r>
            </w:hyperlink>
            <w:r w:rsidR="00E54B1C" w:rsidRPr="00E54B1C">
              <w:rPr>
                <w:sz w:val="20"/>
                <w:lang w:val="en-CA"/>
              </w:rPr>
              <w:t xml:space="preserve"> </w:t>
            </w:r>
          </w:p>
          <w:p w:rsidR="00E54B1C" w:rsidRPr="00E54B1C" w:rsidRDefault="00E54B1C" w:rsidP="00E54B1C">
            <w:pPr>
              <w:jc w:val="both"/>
              <w:rPr>
                <w:sz w:val="20"/>
                <w:lang w:val="en-CA"/>
              </w:rPr>
            </w:pPr>
          </w:p>
        </w:tc>
        <w:tc>
          <w:tcPr>
            <w:tcW w:w="243" w:type="pct"/>
          </w:tcPr>
          <w:p w:rsidR="00E54B1C" w:rsidRPr="00E54B1C" w:rsidRDefault="00E54B1C" w:rsidP="00E54B1C">
            <w:pPr>
              <w:jc w:val="both"/>
              <w:rPr>
                <w:sz w:val="20"/>
                <w:lang w:val="en-CA"/>
              </w:rPr>
            </w:pPr>
          </w:p>
        </w:tc>
        <w:tc>
          <w:tcPr>
            <w:tcW w:w="2330" w:type="pct"/>
          </w:tcPr>
          <w:p w:rsidR="00E54B1C" w:rsidRPr="00E54B1C" w:rsidRDefault="00E54B1C" w:rsidP="00E54B1C">
            <w:pPr>
              <w:jc w:val="both"/>
              <w:rPr>
                <w:sz w:val="20"/>
                <w:lang w:val="en-CA"/>
              </w:rPr>
            </w:pPr>
            <w:r w:rsidRPr="00E54B1C">
              <w:rPr>
                <w:sz w:val="20"/>
                <w:lang w:val="en-CA"/>
              </w:rPr>
              <w:t xml:space="preserve">Appeal concerning Part IV of </w:t>
            </w:r>
            <w:r w:rsidRPr="00E54B1C">
              <w:rPr>
                <w:i/>
                <w:sz w:val="20"/>
                <w:lang w:val="en-CA"/>
              </w:rPr>
              <w:t>Official Languages Act</w:t>
            </w:r>
            <w:r w:rsidRPr="00E54B1C">
              <w:rPr>
                <w:sz w:val="20"/>
                <w:lang w:val="en-CA"/>
              </w:rPr>
              <w:t>, R.S.C. 1985, c. 31 (4th Supp.), dismissed</w:t>
            </w:r>
          </w:p>
          <w:p w:rsidR="00E54B1C" w:rsidRPr="00E54B1C" w:rsidRDefault="00E54B1C" w:rsidP="00E54B1C">
            <w:pPr>
              <w:jc w:val="both"/>
              <w:rPr>
                <w:sz w:val="20"/>
                <w:lang w:val="en-CA"/>
              </w:rPr>
            </w:pPr>
            <w:r w:rsidRPr="00E54B1C">
              <w:rPr>
                <w:sz w:val="20"/>
                <w:lang w:val="en-CA"/>
              </w:rPr>
              <w:t xml:space="preserve">Appeals concerning violation of duty under Part VII of </w:t>
            </w:r>
            <w:r w:rsidRPr="00E54B1C">
              <w:rPr>
                <w:i/>
                <w:sz w:val="20"/>
                <w:lang w:val="en-CA"/>
              </w:rPr>
              <w:t>Official Languages Act</w:t>
            </w:r>
            <w:r w:rsidRPr="00E54B1C">
              <w:rPr>
                <w:sz w:val="20"/>
                <w:lang w:val="en-CA"/>
              </w:rPr>
              <w:t>, R.S.C. 1985, c. 31 (4th Supp.), allowed</w:t>
            </w:r>
          </w:p>
          <w:p w:rsidR="00E54B1C" w:rsidRPr="00E54B1C" w:rsidRDefault="00E54B1C" w:rsidP="00E54B1C">
            <w:pPr>
              <w:jc w:val="both"/>
              <w:rPr>
                <w:sz w:val="20"/>
                <w:lang w:val="en-CA"/>
              </w:rPr>
            </w:pPr>
          </w:p>
        </w:tc>
      </w:tr>
      <w:tr w:rsidR="00E54B1C" w:rsidRPr="00E54B1C" w:rsidTr="00BB4976">
        <w:tc>
          <w:tcPr>
            <w:tcW w:w="2427" w:type="pct"/>
            <w:gridSpan w:val="2"/>
          </w:tcPr>
          <w:p w:rsidR="00E54B1C" w:rsidRPr="00E54B1C" w:rsidRDefault="00E54B1C" w:rsidP="00E54B1C">
            <w:pPr>
              <w:jc w:val="both"/>
              <w:rPr>
                <w:sz w:val="20"/>
                <w:lang w:val="en-CA"/>
              </w:rPr>
            </w:pPr>
            <w:r w:rsidRPr="00E54B1C">
              <w:rPr>
                <w:sz w:val="20"/>
                <w:lang w:val="en-CA"/>
              </w:rPr>
              <w:t>March 29, 2022</w:t>
            </w:r>
          </w:p>
          <w:p w:rsidR="00E54B1C" w:rsidRPr="00E54B1C" w:rsidRDefault="00E54B1C" w:rsidP="00E54B1C">
            <w:pPr>
              <w:jc w:val="both"/>
              <w:rPr>
                <w:sz w:val="20"/>
                <w:lang w:val="en-CA"/>
              </w:rPr>
            </w:pPr>
            <w:r w:rsidRPr="00E54B1C">
              <w:rPr>
                <w:sz w:val="20"/>
                <w:lang w:val="en-CA"/>
              </w:rPr>
              <w:t>Supreme Court of Canada</w:t>
            </w:r>
          </w:p>
        </w:tc>
        <w:tc>
          <w:tcPr>
            <w:tcW w:w="243" w:type="pct"/>
          </w:tcPr>
          <w:p w:rsidR="00E54B1C" w:rsidRPr="00E54B1C" w:rsidRDefault="00E54B1C" w:rsidP="00E54B1C">
            <w:pPr>
              <w:jc w:val="both"/>
              <w:rPr>
                <w:sz w:val="20"/>
                <w:lang w:val="en-CA"/>
              </w:rPr>
            </w:pPr>
          </w:p>
        </w:tc>
        <w:tc>
          <w:tcPr>
            <w:tcW w:w="2330" w:type="pct"/>
          </w:tcPr>
          <w:p w:rsidR="00E54B1C" w:rsidRPr="00E54B1C" w:rsidRDefault="00E54B1C" w:rsidP="00E54B1C">
            <w:pPr>
              <w:jc w:val="both"/>
              <w:rPr>
                <w:sz w:val="20"/>
                <w:lang w:val="en-CA"/>
              </w:rPr>
            </w:pPr>
            <w:r w:rsidRPr="00E54B1C">
              <w:rPr>
                <w:sz w:val="20"/>
                <w:lang w:val="en-CA"/>
              </w:rPr>
              <w:t>Application for leave to appeal filed</w:t>
            </w:r>
          </w:p>
          <w:p w:rsidR="00E54B1C" w:rsidRPr="00E54B1C" w:rsidRDefault="00E54B1C" w:rsidP="00E54B1C">
            <w:pPr>
              <w:jc w:val="both"/>
              <w:rPr>
                <w:sz w:val="20"/>
                <w:lang w:val="en-CA"/>
              </w:rPr>
            </w:pPr>
          </w:p>
        </w:tc>
      </w:tr>
    </w:tbl>
    <w:p w:rsidR="00E54B1C" w:rsidRPr="00E54B1C" w:rsidRDefault="00E54B1C" w:rsidP="00E54B1C">
      <w:pPr>
        <w:jc w:val="both"/>
        <w:rPr>
          <w:sz w:val="20"/>
          <w:lang w:val="en-CA"/>
        </w:rPr>
      </w:pPr>
    </w:p>
    <w:p w:rsidR="00E54B1C" w:rsidRPr="00E54B1C" w:rsidRDefault="000631CF" w:rsidP="00E54B1C">
      <w:pPr>
        <w:jc w:val="both"/>
        <w:rPr>
          <w:sz w:val="20"/>
          <w:lang w:val="en-CA"/>
        </w:rPr>
      </w:pPr>
      <w:r>
        <w:rPr>
          <w:sz w:val="20"/>
        </w:rPr>
        <w:pict>
          <v:rect id="_x0000_i1031" style="width:2in;height:1pt" o:hrpct="0" o:hralign="center" o:hrstd="t" o:hrnoshade="t" o:hr="t" fillcolor="black [3213]" stroked="f"/>
        </w:pict>
      </w:r>
    </w:p>
    <w:p w:rsidR="00E54B1C" w:rsidRPr="00E54B1C" w:rsidRDefault="00E54B1C" w:rsidP="00E54B1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4B1C" w:rsidRPr="00E54B1C" w:rsidTr="00BB4976">
        <w:tc>
          <w:tcPr>
            <w:tcW w:w="543" w:type="pct"/>
          </w:tcPr>
          <w:p w:rsidR="00E54B1C" w:rsidRPr="00E54B1C" w:rsidRDefault="00E54B1C" w:rsidP="00E54B1C">
            <w:pPr>
              <w:jc w:val="both"/>
              <w:rPr>
                <w:sz w:val="20"/>
              </w:rPr>
            </w:pPr>
            <w:r w:rsidRPr="00E54B1C">
              <w:rPr>
                <w:rStyle w:val="SCCFileNumberChar"/>
                <w:sz w:val="20"/>
                <w:szCs w:val="20"/>
              </w:rPr>
              <w:t>40114</w:t>
            </w:r>
          </w:p>
        </w:tc>
        <w:tc>
          <w:tcPr>
            <w:tcW w:w="4457" w:type="pct"/>
            <w:gridSpan w:val="3"/>
          </w:tcPr>
          <w:p w:rsidR="00E54B1C" w:rsidRPr="00E54B1C" w:rsidRDefault="00E54B1C" w:rsidP="00E54B1C">
            <w:pPr>
              <w:pStyle w:val="SCCLsocParty"/>
              <w:jc w:val="both"/>
              <w:rPr>
                <w:b/>
                <w:sz w:val="20"/>
                <w:szCs w:val="20"/>
              </w:rPr>
            </w:pPr>
            <w:r w:rsidRPr="00E54B1C">
              <w:rPr>
                <w:b/>
                <w:sz w:val="20"/>
                <w:szCs w:val="20"/>
              </w:rPr>
              <w:t>Fédération des francophones de la Colombie-Britannique c. Ministère de l’Emploi et du Développement Social Canada et la Commission de l’Assurance-emploi du Canada</w:t>
            </w:r>
          </w:p>
          <w:p w:rsidR="00E54B1C" w:rsidRPr="00E54B1C" w:rsidRDefault="00E54B1C" w:rsidP="00E54B1C">
            <w:pPr>
              <w:pStyle w:val="SCCLsocOtherPartySeparator"/>
              <w:rPr>
                <w:sz w:val="20"/>
                <w:szCs w:val="20"/>
              </w:rPr>
            </w:pPr>
            <w:r w:rsidRPr="00E54B1C">
              <w:rPr>
                <w:sz w:val="20"/>
                <w:szCs w:val="20"/>
              </w:rPr>
              <w:t>- et -</w:t>
            </w:r>
          </w:p>
          <w:p w:rsidR="00E54B1C" w:rsidRPr="00E54B1C" w:rsidRDefault="00E54B1C" w:rsidP="00E54B1C">
            <w:pPr>
              <w:pStyle w:val="SCCLsocParty"/>
              <w:jc w:val="both"/>
              <w:rPr>
                <w:b/>
                <w:sz w:val="20"/>
                <w:szCs w:val="20"/>
              </w:rPr>
            </w:pPr>
            <w:r w:rsidRPr="00E54B1C">
              <w:rPr>
                <w:b/>
                <w:sz w:val="20"/>
                <w:szCs w:val="20"/>
              </w:rPr>
              <w:t>Commissaire aux langues officielles et Procureur Général de la Colombie-Britannique</w:t>
            </w:r>
          </w:p>
          <w:p w:rsidR="00E54B1C" w:rsidRPr="00E54B1C" w:rsidRDefault="00E54B1C" w:rsidP="00E54B1C">
            <w:pPr>
              <w:jc w:val="both"/>
              <w:rPr>
                <w:sz w:val="20"/>
                <w:lang w:val="fr-CA"/>
              </w:rPr>
            </w:pPr>
            <w:r w:rsidRPr="00E54B1C">
              <w:rPr>
                <w:sz w:val="20"/>
                <w:lang w:val="fr-CA"/>
              </w:rPr>
              <w:t>(C.F.) (Civile) (Autorisation)</w:t>
            </w:r>
          </w:p>
        </w:tc>
      </w:tr>
      <w:tr w:rsidR="00E54B1C" w:rsidRPr="000631CF" w:rsidTr="00BB4976">
        <w:tc>
          <w:tcPr>
            <w:tcW w:w="5000" w:type="pct"/>
            <w:gridSpan w:val="4"/>
          </w:tcPr>
          <w:p w:rsidR="00E54B1C" w:rsidRPr="00E54B1C" w:rsidRDefault="00E54B1C" w:rsidP="00E54B1C">
            <w:pPr>
              <w:jc w:val="both"/>
              <w:rPr>
                <w:sz w:val="20"/>
                <w:lang w:val="fr-CA"/>
              </w:rPr>
            </w:pPr>
            <w:r w:rsidRPr="00E54B1C">
              <w:rPr>
                <w:sz w:val="20"/>
                <w:lang w:val="fr-CA"/>
              </w:rPr>
              <w:t xml:space="preserve">Droit constitutionnel </w:t>
            </w:r>
            <w:r w:rsidRPr="00E54B1C">
              <w:rPr>
                <w:sz w:val="20"/>
              </w:rPr>
              <w:t>⸺</w:t>
            </w:r>
            <w:r w:rsidRPr="00E54B1C">
              <w:rPr>
                <w:sz w:val="20"/>
                <w:lang w:val="fr-CA"/>
              </w:rPr>
              <w:t xml:space="preserve"> Charte des droits </w:t>
            </w:r>
            <w:r w:rsidRPr="00E54B1C">
              <w:rPr>
                <w:sz w:val="20"/>
              </w:rPr>
              <w:t>⸺</w:t>
            </w:r>
            <w:r w:rsidRPr="00E54B1C">
              <w:rPr>
                <w:sz w:val="20"/>
                <w:lang w:val="fr-CA"/>
              </w:rPr>
              <w:t xml:space="preserve"> Langues officielles </w:t>
            </w:r>
            <w:r w:rsidRPr="00E54B1C">
              <w:rPr>
                <w:sz w:val="20"/>
              </w:rPr>
              <w:t>⸺</w:t>
            </w:r>
            <w:r w:rsidRPr="00E54B1C">
              <w:rPr>
                <w:sz w:val="20"/>
                <w:lang w:val="fr-CA"/>
              </w:rPr>
              <w:t xml:space="preserve"> Entente de dévolution complète des services d’aide à l’emploi entre le gouvernement fédéral et le gouvernement de la  Colombie-Britannique </w:t>
            </w:r>
            <w:r w:rsidRPr="00E54B1C">
              <w:rPr>
                <w:sz w:val="20"/>
              </w:rPr>
              <w:t>⸺</w:t>
            </w:r>
            <w:r w:rsidRPr="00E54B1C">
              <w:rPr>
                <w:sz w:val="20"/>
                <w:lang w:val="fr-CA"/>
              </w:rPr>
              <w:t xml:space="preserve"> Clause linguistique </w:t>
            </w:r>
            <w:r w:rsidRPr="00E54B1C">
              <w:rPr>
                <w:sz w:val="20"/>
              </w:rPr>
              <w:t>⸺</w:t>
            </w:r>
            <w:r w:rsidRPr="00E54B1C">
              <w:rPr>
                <w:sz w:val="20"/>
                <w:lang w:val="fr-CA"/>
              </w:rPr>
              <w:t xml:space="preserve"> Mise en place d’un modèle « à guichet unique » par la Colombie-Britannique </w:t>
            </w:r>
            <w:r w:rsidRPr="00E54B1C">
              <w:rPr>
                <w:sz w:val="20"/>
              </w:rPr>
              <w:t>⸺</w:t>
            </w:r>
            <w:r w:rsidRPr="00E54B1C">
              <w:rPr>
                <w:sz w:val="20"/>
                <w:lang w:val="fr-CA"/>
              </w:rPr>
              <w:t xml:space="preserve"> Impact négatif de ce modèle sur les organismes francophones de la province </w:t>
            </w:r>
            <w:r w:rsidRPr="00E54B1C">
              <w:rPr>
                <w:sz w:val="20"/>
              </w:rPr>
              <w:t>⸺</w:t>
            </w:r>
            <w:r w:rsidRPr="00E54B1C">
              <w:rPr>
                <w:sz w:val="20"/>
                <w:lang w:val="fr-CA"/>
              </w:rPr>
              <w:t xml:space="preserve"> Le gouvernement fédéral peut-il se soustraire à son obligation de fournir des services de qualité égale dans les deux langues officielles en vertu de l’art. 20(1) de la </w:t>
            </w:r>
            <w:r w:rsidRPr="00E54B1C">
              <w:rPr>
                <w:i/>
                <w:sz w:val="20"/>
                <w:lang w:val="fr-CA"/>
              </w:rPr>
              <w:t>Charte canadienne des droits et libertés</w:t>
            </w:r>
            <w:r w:rsidRPr="00E54B1C">
              <w:rPr>
                <w:sz w:val="20"/>
                <w:lang w:val="fr-CA"/>
              </w:rPr>
              <w:t xml:space="preserve"> en confiant la mise en œuvre de ses programmes aux provinces dans un champ de compétence partagé? </w:t>
            </w:r>
            <w:r w:rsidRPr="00E54B1C">
              <w:rPr>
                <w:sz w:val="20"/>
              </w:rPr>
              <w:t>⸺</w:t>
            </w:r>
            <w:r w:rsidRPr="00E54B1C">
              <w:rPr>
                <w:sz w:val="20"/>
                <w:lang w:val="fr-CA"/>
              </w:rPr>
              <w:t xml:space="preserve"> Le gouvernement fédéral peut-il se soustraire à son obligation quasi-constitutionnelle de fournir des services de qualité égale dans les deux langues officielles en vertu de la partie IV de la </w:t>
            </w:r>
            <w:r w:rsidRPr="00E54B1C">
              <w:rPr>
                <w:i/>
                <w:sz w:val="20"/>
                <w:lang w:val="fr-CA"/>
              </w:rPr>
              <w:t xml:space="preserve">Loi sur les langues officielles </w:t>
            </w:r>
            <w:r w:rsidRPr="00E54B1C">
              <w:rPr>
                <w:sz w:val="20"/>
                <w:lang w:val="fr-CA"/>
              </w:rPr>
              <w:t xml:space="preserve">en confiant la mise en œuvre de ses programmes aux provinces dans un champ de compétence partagé? </w:t>
            </w:r>
            <w:r w:rsidRPr="00E54B1C">
              <w:rPr>
                <w:sz w:val="20"/>
              </w:rPr>
              <w:t>⸺</w:t>
            </w:r>
            <w:r w:rsidRPr="00E54B1C">
              <w:rPr>
                <w:sz w:val="20"/>
                <w:lang w:val="fr-CA"/>
              </w:rPr>
              <w:t xml:space="preserve"> </w:t>
            </w:r>
            <w:r w:rsidRPr="00E54B1C">
              <w:rPr>
                <w:i/>
                <w:sz w:val="20"/>
                <w:lang w:val="fr-CA"/>
              </w:rPr>
              <w:t>Charte canadienne des droits et libertés</w:t>
            </w:r>
            <w:r w:rsidRPr="00E54B1C">
              <w:rPr>
                <w:sz w:val="20"/>
                <w:lang w:val="fr-CA"/>
              </w:rPr>
              <w:t xml:space="preserve">, art. 20(1) </w:t>
            </w:r>
            <w:r w:rsidRPr="00E54B1C">
              <w:rPr>
                <w:sz w:val="20"/>
              </w:rPr>
              <w:t>⸺</w:t>
            </w:r>
            <w:r w:rsidRPr="00E54B1C">
              <w:rPr>
                <w:sz w:val="20"/>
                <w:lang w:val="fr-CA"/>
              </w:rPr>
              <w:t xml:space="preserve"> </w:t>
            </w:r>
            <w:r w:rsidRPr="00E54B1C">
              <w:rPr>
                <w:i/>
                <w:sz w:val="20"/>
                <w:lang w:val="fr-CA"/>
              </w:rPr>
              <w:t>Loi sur les langues officielles</w:t>
            </w:r>
            <w:r w:rsidRPr="00E54B1C">
              <w:rPr>
                <w:sz w:val="20"/>
                <w:lang w:val="fr-CA"/>
              </w:rPr>
              <w:t>, L.R.C. 1985 c. 31 (4</w:t>
            </w:r>
            <w:r w:rsidRPr="00E54B1C">
              <w:rPr>
                <w:sz w:val="20"/>
                <w:vertAlign w:val="superscript"/>
                <w:lang w:val="fr-CA"/>
              </w:rPr>
              <w:t>e</w:t>
            </w:r>
            <w:r w:rsidRPr="00E54B1C">
              <w:rPr>
                <w:sz w:val="20"/>
                <w:lang w:val="fr-CA"/>
              </w:rPr>
              <w:t xml:space="preserve"> supp.), partie IV. </w:t>
            </w:r>
          </w:p>
        </w:tc>
      </w:tr>
      <w:tr w:rsidR="00E54B1C" w:rsidRPr="000631CF" w:rsidTr="00BB4976">
        <w:tc>
          <w:tcPr>
            <w:tcW w:w="5000" w:type="pct"/>
            <w:gridSpan w:val="4"/>
          </w:tcPr>
          <w:p w:rsidR="00E54B1C" w:rsidRPr="00E54B1C" w:rsidRDefault="00E54B1C" w:rsidP="00E54B1C">
            <w:pPr>
              <w:jc w:val="both"/>
              <w:rPr>
                <w:sz w:val="20"/>
                <w:lang w:val="fr-CA"/>
              </w:rPr>
            </w:pPr>
          </w:p>
          <w:p w:rsidR="00E54B1C" w:rsidRPr="00E54B1C" w:rsidRDefault="00E54B1C" w:rsidP="00E54B1C">
            <w:pPr>
              <w:jc w:val="both"/>
              <w:rPr>
                <w:sz w:val="20"/>
                <w:lang w:val="fr-CA"/>
              </w:rPr>
            </w:pPr>
            <w:r w:rsidRPr="00E54B1C">
              <w:rPr>
                <w:sz w:val="20"/>
                <w:lang w:val="fr-CA"/>
              </w:rPr>
              <w:t>En février 2008, le gouvernement de la Colombie-Britannique a signé avec le gouvernement fédéral par l’entremise de l’intimée la Commission de l’assurance-emploi du Canada l’</w:t>
            </w:r>
            <w:r w:rsidRPr="00E54B1C">
              <w:rPr>
                <w:i/>
                <w:sz w:val="20"/>
                <w:lang w:val="fr-CA"/>
              </w:rPr>
              <w:t>Entente Canada – Colombie-Britannique sur le développement du marché du travail</w:t>
            </w:r>
            <w:r w:rsidRPr="00E54B1C">
              <w:rPr>
                <w:sz w:val="20"/>
                <w:lang w:val="fr-CA"/>
              </w:rPr>
              <w:t xml:space="preserve">. Cette Entente prévoyait la dévolution complète des services d’aide à l’emploi en faveur de la province conformément à l’art. 63 de la </w:t>
            </w:r>
            <w:r w:rsidRPr="00E54B1C">
              <w:rPr>
                <w:i/>
                <w:sz w:val="20"/>
                <w:lang w:val="fr-CA"/>
              </w:rPr>
              <w:t>Loi sur l’assurance emploi</w:t>
            </w:r>
            <w:r w:rsidRPr="00E54B1C">
              <w:rPr>
                <w:sz w:val="20"/>
                <w:lang w:val="fr-CA"/>
              </w:rPr>
              <w:t>, L.C. 1996 c. 23 (LAE). Elle faisait suite à l’</w:t>
            </w:r>
            <w:r w:rsidRPr="00E54B1C">
              <w:rPr>
                <w:i/>
                <w:sz w:val="20"/>
                <w:lang w:val="fr-CA"/>
              </w:rPr>
              <w:t>Entente Canada – Colombie-Britannique sur le développement du marché du travail (1997)</w:t>
            </w:r>
            <w:r w:rsidRPr="00E54B1C">
              <w:rPr>
                <w:sz w:val="20"/>
                <w:lang w:val="fr-CA"/>
              </w:rPr>
              <w:t xml:space="preserve"> qui prévoyait alors que le gouvernement fédéral demeurait responsable de l’établissement des prestations et des mesures alors que la Colombie-Britannique participait à leur conception et gestion. L’Entente de 1997 garantissait l’application continue de la </w:t>
            </w:r>
            <w:r w:rsidRPr="00E54B1C">
              <w:rPr>
                <w:i/>
                <w:sz w:val="20"/>
                <w:lang w:val="fr-CA"/>
              </w:rPr>
              <w:t>Loi sur les langues officielles</w:t>
            </w:r>
            <w:r w:rsidRPr="00E54B1C">
              <w:rPr>
                <w:sz w:val="20"/>
                <w:lang w:val="fr-CA"/>
              </w:rPr>
              <w:t>, L.R.C. 1985 c. 31 (4</w:t>
            </w:r>
            <w:r w:rsidRPr="00E54B1C">
              <w:rPr>
                <w:sz w:val="20"/>
                <w:vertAlign w:val="superscript"/>
                <w:lang w:val="fr-CA"/>
              </w:rPr>
              <w:t>e</w:t>
            </w:r>
            <w:r w:rsidRPr="00E54B1C">
              <w:rPr>
                <w:sz w:val="20"/>
                <w:lang w:val="fr-CA"/>
              </w:rPr>
              <w:t xml:space="preserve"> supp.) (LLO), ce qui s’était avérée particulièrement efficace à l’épanouissement et le développement de la minorité francophone de la Colombie-Britannique. L’Entente de 2008 quant à elle comportait une clause linguistique suivant l’art. 57(1</w:t>
            </w:r>
            <w:proofErr w:type="gramStart"/>
            <w:r w:rsidRPr="00E54B1C">
              <w:rPr>
                <w:sz w:val="20"/>
                <w:lang w:val="fr-CA"/>
              </w:rPr>
              <w:t>)(</w:t>
            </w:r>
            <w:proofErr w:type="gramEnd"/>
            <w:r w:rsidRPr="00E54B1C">
              <w:rPr>
                <w:sz w:val="20"/>
                <w:lang w:val="fr-CA"/>
              </w:rPr>
              <w:t xml:space="preserve">d.1) de la LAE obligeant la province à donner aux bénéficiaires des services « la possibilité de recevoir de l’aide dans le cadre de prestations ou de mesures dans l’une ou l’autre des langues officielles là où l’importance de la demande le justifie ». En automne 2010, la Colombie-Britannique a informé les centres qui desservaient les organismes francophones qu’ils ne recevraient plus de financement. Comme suite à la réponse de l’intimé, le ministère de l’Emploi et du Développement social (MEDC – originalement le ministère des Ressources humaines et du Développement des compétences Canada) qui avait été informé des conséquences dévastatrices de la fermeture des centres sur la minorité linguistique francophone, la Fédération francophone de Colombie-Britannique (FFCB) a déposé une plainte auprès de l’intervenant, le Commissaire aux langues officielles. Trois autres plaintes avaient été déposées auparavant relativement à la coupure de financement des organismes francophones. Après enquête, le Commissaire aux langues officielles a conclu que les plaintes étaient fondées au titre des parties IV et VII de la LLO. La FFCB a, par la suite, déposé une demande en vertu de l’art. 77(1) de la LLO devant la Cour fédérale où elle soutenait que le MEDC et la Commission auraient porté atteinte aux parties IV et VII de la LLO et au </w:t>
            </w:r>
            <w:proofErr w:type="spellStart"/>
            <w:r w:rsidRPr="00E54B1C">
              <w:rPr>
                <w:sz w:val="20"/>
                <w:lang w:val="fr-CA"/>
              </w:rPr>
              <w:t>par</w:t>
            </w:r>
            <w:proofErr w:type="spellEnd"/>
            <w:r w:rsidRPr="00E54B1C">
              <w:rPr>
                <w:sz w:val="20"/>
                <w:lang w:val="fr-CA"/>
              </w:rPr>
              <w:t xml:space="preserve">. 20(1) de la </w:t>
            </w:r>
            <w:r w:rsidRPr="00E54B1C">
              <w:rPr>
                <w:i/>
                <w:sz w:val="20"/>
                <w:lang w:val="fr-CA"/>
              </w:rPr>
              <w:t>Charte canadienne des droits et libertés</w:t>
            </w:r>
            <w:r w:rsidRPr="00E54B1C">
              <w:rPr>
                <w:sz w:val="20"/>
                <w:lang w:val="fr-CA"/>
              </w:rPr>
              <w:t xml:space="preserve"> dans le cadre de l’Entente de 2008. La Cour fédérale a rejeté la demande de la FFCB. La Cour d’appel fédérale a accueilli les appels déposés par la FFCB et le Commissaire aux langues officielles relativement à l’obligation prévue à la partie VII de la LLO mais a rejeté l’appel portant sur la partie IV de la LLO.</w:t>
            </w:r>
          </w:p>
        </w:tc>
      </w:tr>
      <w:tr w:rsidR="00E54B1C" w:rsidRPr="000631CF" w:rsidTr="00BB4976">
        <w:tc>
          <w:tcPr>
            <w:tcW w:w="5000" w:type="pct"/>
            <w:gridSpan w:val="4"/>
          </w:tcPr>
          <w:p w:rsidR="00E54B1C" w:rsidRPr="00E54B1C" w:rsidRDefault="00E54B1C" w:rsidP="00E54B1C">
            <w:pPr>
              <w:jc w:val="both"/>
              <w:rPr>
                <w:sz w:val="20"/>
                <w:lang w:val="fr-CA"/>
              </w:rPr>
            </w:pPr>
          </w:p>
        </w:tc>
      </w:tr>
      <w:tr w:rsidR="00E54B1C" w:rsidRPr="00E54B1C" w:rsidTr="00BB4976">
        <w:tc>
          <w:tcPr>
            <w:tcW w:w="2427" w:type="pct"/>
            <w:gridSpan w:val="2"/>
          </w:tcPr>
          <w:p w:rsidR="00E54B1C" w:rsidRPr="00E54B1C" w:rsidRDefault="00E54B1C" w:rsidP="00E54B1C">
            <w:pPr>
              <w:jc w:val="both"/>
              <w:rPr>
                <w:sz w:val="20"/>
                <w:lang w:val="fr-CA"/>
              </w:rPr>
            </w:pPr>
            <w:r w:rsidRPr="00E54B1C">
              <w:rPr>
                <w:sz w:val="20"/>
                <w:lang w:val="fr-CA"/>
              </w:rPr>
              <w:t>Le 23 mai 2018</w:t>
            </w:r>
          </w:p>
          <w:p w:rsidR="00E54B1C" w:rsidRPr="00E54B1C" w:rsidRDefault="00E54B1C" w:rsidP="00E54B1C">
            <w:pPr>
              <w:jc w:val="both"/>
              <w:rPr>
                <w:sz w:val="20"/>
                <w:lang w:val="fr-CA"/>
              </w:rPr>
            </w:pPr>
            <w:r w:rsidRPr="00E54B1C">
              <w:rPr>
                <w:sz w:val="20"/>
                <w:lang w:val="fr-CA"/>
              </w:rPr>
              <w:t>Cour fédérale</w:t>
            </w:r>
          </w:p>
          <w:p w:rsidR="00E54B1C" w:rsidRPr="00E54B1C" w:rsidRDefault="00E54B1C" w:rsidP="00E54B1C">
            <w:pPr>
              <w:jc w:val="both"/>
              <w:rPr>
                <w:sz w:val="20"/>
                <w:lang w:val="fr-CA"/>
              </w:rPr>
            </w:pPr>
            <w:r w:rsidRPr="00E54B1C">
              <w:rPr>
                <w:sz w:val="20"/>
                <w:lang w:val="fr-CA"/>
              </w:rPr>
              <w:t>(Le juge Gascon)</w:t>
            </w:r>
          </w:p>
          <w:p w:rsidR="00E54B1C" w:rsidRPr="00E54B1C" w:rsidRDefault="000631CF" w:rsidP="00E54B1C">
            <w:pPr>
              <w:jc w:val="both"/>
              <w:rPr>
                <w:sz w:val="20"/>
              </w:rPr>
            </w:pPr>
            <w:hyperlink r:id="rId30" w:history="1">
              <w:r w:rsidR="00E54B1C" w:rsidRPr="00E54B1C">
                <w:rPr>
                  <w:rStyle w:val="Hyperlink"/>
                  <w:sz w:val="20"/>
                </w:rPr>
                <w:t>2018 CF 530</w:t>
              </w:r>
            </w:hyperlink>
            <w:r w:rsidR="00E54B1C" w:rsidRPr="00E54B1C">
              <w:rPr>
                <w:sz w:val="20"/>
              </w:rPr>
              <w:t xml:space="preserve"> </w:t>
            </w:r>
          </w:p>
          <w:p w:rsidR="00E54B1C" w:rsidRPr="00E54B1C" w:rsidRDefault="00E54B1C" w:rsidP="00E54B1C">
            <w:pPr>
              <w:jc w:val="both"/>
              <w:rPr>
                <w:sz w:val="20"/>
              </w:rPr>
            </w:pPr>
          </w:p>
        </w:tc>
        <w:tc>
          <w:tcPr>
            <w:tcW w:w="243" w:type="pct"/>
          </w:tcPr>
          <w:p w:rsidR="00E54B1C" w:rsidRPr="00E54B1C" w:rsidRDefault="00E54B1C" w:rsidP="00E54B1C">
            <w:pPr>
              <w:jc w:val="both"/>
              <w:rPr>
                <w:sz w:val="20"/>
              </w:rPr>
            </w:pPr>
          </w:p>
        </w:tc>
        <w:tc>
          <w:tcPr>
            <w:tcW w:w="2330" w:type="pct"/>
          </w:tcPr>
          <w:p w:rsidR="00E54B1C" w:rsidRPr="00E54B1C" w:rsidRDefault="00E54B1C" w:rsidP="00E54B1C">
            <w:pPr>
              <w:jc w:val="both"/>
              <w:rPr>
                <w:sz w:val="20"/>
              </w:rPr>
            </w:pPr>
            <w:r w:rsidRPr="00E54B1C">
              <w:rPr>
                <w:sz w:val="20"/>
              </w:rPr>
              <w:t>Demande rejetée.</w:t>
            </w:r>
          </w:p>
          <w:p w:rsidR="00E54B1C" w:rsidRPr="00E54B1C" w:rsidRDefault="00E54B1C" w:rsidP="00E54B1C">
            <w:pPr>
              <w:jc w:val="both"/>
              <w:rPr>
                <w:sz w:val="20"/>
              </w:rPr>
            </w:pPr>
          </w:p>
        </w:tc>
      </w:tr>
      <w:tr w:rsidR="00E54B1C" w:rsidRPr="000631CF" w:rsidTr="00BB4976">
        <w:tc>
          <w:tcPr>
            <w:tcW w:w="2427" w:type="pct"/>
            <w:gridSpan w:val="2"/>
          </w:tcPr>
          <w:p w:rsidR="00E54B1C" w:rsidRPr="00E54B1C" w:rsidRDefault="00E54B1C" w:rsidP="00E54B1C">
            <w:pPr>
              <w:jc w:val="both"/>
              <w:rPr>
                <w:sz w:val="20"/>
                <w:lang w:val="fr-CA"/>
              </w:rPr>
            </w:pPr>
            <w:r w:rsidRPr="00E54B1C">
              <w:rPr>
                <w:sz w:val="20"/>
                <w:lang w:val="fr-CA"/>
              </w:rPr>
              <w:t>Le 28 janvier 2022</w:t>
            </w:r>
          </w:p>
          <w:p w:rsidR="00E54B1C" w:rsidRPr="00E54B1C" w:rsidRDefault="00E54B1C" w:rsidP="00E54B1C">
            <w:pPr>
              <w:jc w:val="both"/>
              <w:rPr>
                <w:sz w:val="20"/>
                <w:lang w:val="fr-CA"/>
              </w:rPr>
            </w:pPr>
            <w:r w:rsidRPr="00E54B1C">
              <w:rPr>
                <w:sz w:val="20"/>
                <w:lang w:val="fr-CA"/>
              </w:rPr>
              <w:t>Cour d’appel fédérale</w:t>
            </w:r>
          </w:p>
          <w:p w:rsidR="00E54B1C" w:rsidRPr="00E54B1C" w:rsidRDefault="00E54B1C" w:rsidP="00E54B1C">
            <w:pPr>
              <w:jc w:val="both"/>
              <w:rPr>
                <w:sz w:val="20"/>
                <w:lang w:val="fr-CA"/>
              </w:rPr>
            </w:pPr>
            <w:r w:rsidRPr="00E54B1C">
              <w:rPr>
                <w:sz w:val="20"/>
                <w:lang w:val="fr-CA"/>
              </w:rPr>
              <w:t>(Le juge en chef Noël et les juges De Montigny et Rivoalen)</w:t>
            </w:r>
          </w:p>
          <w:p w:rsidR="00E54B1C" w:rsidRPr="00E54B1C" w:rsidRDefault="000631CF" w:rsidP="00E54B1C">
            <w:pPr>
              <w:jc w:val="both"/>
              <w:rPr>
                <w:sz w:val="20"/>
              </w:rPr>
            </w:pPr>
            <w:hyperlink r:id="rId31" w:history="1">
              <w:r w:rsidR="00E54B1C" w:rsidRPr="00E54B1C">
                <w:rPr>
                  <w:rStyle w:val="Hyperlink"/>
                  <w:sz w:val="20"/>
                </w:rPr>
                <w:t>2022 CAF 14</w:t>
              </w:r>
            </w:hyperlink>
            <w:r w:rsidR="00E54B1C" w:rsidRPr="00E54B1C">
              <w:rPr>
                <w:sz w:val="20"/>
              </w:rPr>
              <w:t xml:space="preserve"> </w:t>
            </w:r>
          </w:p>
          <w:p w:rsidR="00E54B1C" w:rsidRPr="00E54B1C" w:rsidRDefault="00E54B1C" w:rsidP="00E54B1C">
            <w:pPr>
              <w:jc w:val="both"/>
              <w:rPr>
                <w:sz w:val="20"/>
              </w:rPr>
            </w:pPr>
          </w:p>
        </w:tc>
        <w:tc>
          <w:tcPr>
            <w:tcW w:w="243" w:type="pct"/>
          </w:tcPr>
          <w:p w:rsidR="00E54B1C" w:rsidRPr="00E54B1C" w:rsidRDefault="00E54B1C" w:rsidP="00E54B1C">
            <w:pPr>
              <w:jc w:val="both"/>
              <w:rPr>
                <w:sz w:val="20"/>
              </w:rPr>
            </w:pPr>
          </w:p>
        </w:tc>
        <w:tc>
          <w:tcPr>
            <w:tcW w:w="2330" w:type="pct"/>
          </w:tcPr>
          <w:p w:rsidR="00E54B1C" w:rsidRPr="00E54B1C" w:rsidRDefault="00E54B1C" w:rsidP="00E54B1C">
            <w:pPr>
              <w:jc w:val="both"/>
              <w:rPr>
                <w:sz w:val="20"/>
                <w:lang w:val="fr-CA"/>
              </w:rPr>
            </w:pPr>
            <w:r w:rsidRPr="00E54B1C">
              <w:rPr>
                <w:sz w:val="20"/>
                <w:lang w:val="fr-CA"/>
              </w:rPr>
              <w:t xml:space="preserve">Appel portant sur la partie IV de la </w:t>
            </w:r>
            <w:r w:rsidRPr="00E54B1C">
              <w:rPr>
                <w:i/>
                <w:sz w:val="20"/>
                <w:lang w:val="fr-CA"/>
              </w:rPr>
              <w:t>Loi sur les langues officielles</w:t>
            </w:r>
            <w:r w:rsidRPr="00E54B1C">
              <w:rPr>
                <w:sz w:val="20"/>
                <w:lang w:val="fr-CA"/>
              </w:rPr>
              <w:t>, L.R.C. 1985, c. 31 (4</w:t>
            </w:r>
            <w:r w:rsidRPr="00E54B1C">
              <w:rPr>
                <w:sz w:val="20"/>
                <w:vertAlign w:val="superscript"/>
                <w:lang w:val="fr-CA"/>
              </w:rPr>
              <w:t>e</w:t>
            </w:r>
            <w:r w:rsidRPr="00E54B1C">
              <w:rPr>
                <w:sz w:val="20"/>
                <w:lang w:val="fr-CA"/>
              </w:rPr>
              <w:t xml:space="preserve"> supp.) rejeté.</w:t>
            </w:r>
          </w:p>
          <w:p w:rsidR="00E54B1C" w:rsidRPr="00E54B1C" w:rsidRDefault="00E54B1C" w:rsidP="00E54B1C">
            <w:pPr>
              <w:jc w:val="both"/>
              <w:rPr>
                <w:sz w:val="20"/>
                <w:lang w:val="fr-CA"/>
              </w:rPr>
            </w:pPr>
            <w:r w:rsidRPr="00E54B1C">
              <w:rPr>
                <w:sz w:val="20"/>
                <w:lang w:val="fr-CA"/>
              </w:rPr>
              <w:t xml:space="preserve">Appels portant sur le manquement à l’obligation prévue à la partie VII de la </w:t>
            </w:r>
            <w:r w:rsidRPr="00E54B1C">
              <w:rPr>
                <w:i/>
                <w:sz w:val="20"/>
                <w:lang w:val="fr-CA"/>
              </w:rPr>
              <w:t>Loi sur les langues officielles</w:t>
            </w:r>
            <w:r w:rsidRPr="00E54B1C">
              <w:rPr>
                <w:sz w:val="20"/>
                <w:lang w:val="fr-CA"/>
              </w:rPr>
              <w:t>, L.R.C. 1985, c. 31 (4</w:t>
            </w:r>
            <w:r w:rsidRPr="00E54B1C">
              <w:rPr>
                <w:sz w:val="20"/>
                <w:vertAlign w:val="superscript"/>
                <w:lang w:val="fr-CA"/>
              </w:rPr>
              <w:t>e</w:t>
            </w:r>
            <w:r w:rsidRPr="00E54B1C">
              <w:rPr>
                <w:sz w:val="20"/>
                <w:lang w:val="fr-CA"/>
              </w:rPr>
              <w:t xml:space="preserve"> supp.) accueillis.</w:t>
            </w:r>
          </w:p>
          <w:p w:rsidR="00E54B1C" w:rsidRPr="00E54B1C" w:rsidRDefault="00E54B1C" w:rsidP="00E54B1C">
            <w:pPr>
              <w:jc w:val="both"/>
              <w:rPr>
                <w:sz w:val="20"/>
                <w:lang w:val="fr-CA"/>
              </w:rPr>
            </w:pPr>
          </w:p>
        </w:tc>
      </w:tr>
      <w:tr w:rsidR="00E54B1C" w:rsidRPr="00E54B1C" w:rsidTr="00BB4976">
        <w:tc>
          <w:tcPr>
            <w:tcW w:w="2427" w:type="pct"/>
            <w:gridSpan w:val="2"/>
          </w:tcPr>
          <w:p w:rsidR="00E54B1C" w:rsidRPr="00E54B1C" w:rsidRDefault="00E54B1C" w:rsidP="00E54B1C">
            <w:pPr>
              <w:jc w:val="both"/>
              <w:rPr>
                <w:sz w:val="20"/>
                <w:lang w:val="fr-CA"/>
              </w:rPr>
            </w:pPr>
            <w:r w:rsidRPr="00E54B1C">
              <w:rPr>
                <w:sz w:val="20"/>
                <w:lang w:val="fr-CA"/>
              </w:rPr>
              <w:t>Le 29 mars 2022</w:t>
            </w:r>
          </w:p>
          <w:p w:rsidR="00E54B1C" w:rsidRPr="00E54B1C" w:rsidRDefault="00E54B1C" w:rsidP="00E54B1C">
            <w:pPr>
              <w:jc w:val="both"/>
              <w:rPr>
                <w:sz w:val="20"/>
                <w:lang w:val="fr-CA"/>
              </w:rPr>
            </w:pPr>
            <w:r w:rsidRPr="00E54B1C">
              <w:rPr>
                <w:sz w:val="20"/>
                <w:lang w:val="fr-CA"/>
              </w:rPr>
              <w:t>Cour suprême du Canada</w:t>
            </w:r>
          </w:p>
        </w:tc>
        <w:tc>
          <w:tcPr>
            <w:tcW w:w="243" w:type="pct"/>
          </w:tcPr>
          <w:p w:rsidR="00E54B1C" w:rsidRPr="00E54B1C" w:rsidRDefault="00E54B1C" w:rsidP="00E54B1C">
            <w:pPr>
              <w:jc w:val="both"/>
              <w:rPr>
                <w:sz w:val="20"/>
                <w:lang w:val="fr-CA"/>
              </w:rPr>
            </w:pPr>
          </w:p>
        </w:tc>
        <w:tc>
          <w:tcPr>
            <w:tcW w:w="2330" w:type="pct"/>
          </w:tcPr>
          <w:p w:rsidR="00E54B1C" w:rsidRPr="00E54B1C" w:rsidRDefault="00E54B1C" w:rsidP="00E54B1C">
            <w:pPr>
              <w:jc w:val="both"/>
              <w:rPr>
                <w:sz w:val="20"/>
              </w:rPr>
            </w:pPr>
            <w:r w:rsidRPr="00E54B1C">
              <w:rPr>
                <w:sz w:val="20"/>
              </w:rPr>
              <w:t>Demande d'autorisation d'appel déposée.</w:t>
            </w:r>
          </w:p>
          <w:p w:rsidR="00E54B1C" w:rsidRPr="00E54B1C" w:rsidRDefault="00E54B1C" w:rsidP="00E54B1C">
            <w:pPr>
              <w:jc w:val="both"/>
              <w:rPr>
                <w:sz w:val="20"/>
              </w:rPr>
            </w:pPr>
          </w:p>
        </w:tc>
      </w:tr>
    </w:tbl>
    <w:p w:rsidR="009043BE" w:rsidRPr="00E54B1C" w:rsidRDefault="009043BE" w:rsidP="009043BE">
      <w:pPr>
        <w:widowControl w:val="0"/>
        <w:jc w:val="both"/>
        <w:rPr>
          <w:sz w:val="20"/>
          <w:lang w:val="fr-CA"/>
        </w:rPr>
      </w:pPr>
    </w:p>
    <w:p w:rsidR="009043BE" w:rsidRPr="00E54B1C" w:rsidRDefault="000631CF" w:rsidP="009043BE">
      <w:pPr>
        <w:widowControl w:val="0"/>
        <w:jc w:val="both"/>
        <w:rPr>
          <w:sz w:val="20"/>
          <w:lang w:val="fr-CA"/>
        </w:rPr>
      </w:pPr>
      <w:r>
        <w:rPr>
          <w:sz w:val="20"/>
        </w:rPr>
        <w:pict>
          <v:rect id="_x0000_i1032" style="width:2in;height:1pt" o:hrpct="0" o:hralign="center" o:hrstd="t" o:hrnoshade="t" o:hr="t" fillcolor="black [3213]" stroked="f"/>
        </w:pict>
      </w:r>
    </w:p>
    <w:p w:rsidR="009043BE" w:rsidRPr="00E54B1C" w:rsidRDefault="009043BE" w:rsidP="009043B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t>40266</w:t>
            </w:r>
          </w:p>
        </w:tc>
        <w:tc>
          <w:tcPr>
            <w:tcW w:w="4457" w:type="pct"/>
            <w:gridSpan w:val="3"/>
          </w:tcPr>
          <w:p w:rsidR="009043BE" w:rsidRPr="00E54B1C" w:rsidRDefault="009043BE" w:rsidP="009043BE">
            <w:pPr>
              <w:pStyle w:val="SCCLsocParty"/>
              <w:jc w:val="both"/>
              <w:rPr>
                <w:b/>
                <w:sz w:val="20"/>
                <w:szCs w:val="20"/>
                <w:lang w:val="en-US"/>
              </w:rPr>
            </w:pPr>
            <w:r w:rsidRPr="00E54B1C">
              <w:rPr>
                <w:b/>
                <w:sz w:val="20"/>
                <w:szCs w:val="20"/>
                <w:lang w:val="en-US"/>
              </w:rPr>
              <w:t>Canadian Broadcasting Corporation, CTV, a Division of Bell Media Inc. v. His Majesty the King in Right of the Province of British Columbia, BC Corrections, Robert Vagramov</w:t>
            </w:r>
          </w:p>
          <w:p w:rsidR="009043BE" w:rsidRPr="00E54B1C" w:rsidRDefault="009043BE" w:rsidP="009043BE">
            <w:pPr>
              <w:jc w:val="both"/>
              <w:rPr>
                <w:sz w:val="20"/>
              </w:rPr>
            </w:pPr>
            <w:r w:rsidRPr="00E54B1C">
              <w:rPr>
                <w:sz w:val="20"/>
              </w:rPr>
              <w:t>(B.C.) (Criminal) (By Leave)</w:t>
            </w:r>
          </w:p>
        </w:tc>
      </w:tr>
      <w:tr w:rsidR="009043BE" w:rsidRPr="00E54B1C" w:rsidTr="009043BE">
        <w:tc>
          <w:tcPr>
            <w:tcW w:w="5000" w:type="pct"/>
            <w:gridSpan w:val="4"/>
          </w:tcPr>
          <w:p w:rsidR="009043BE" w:rsidRPr="00E54B1C" w:rsidRDefault="009043BE" w:rsidP="009043BE">
            <w:pPr>
              <w:jc w:val="both"/>
              <w:rPr>
                <w:sz w:val="20"/>
              </w:rPr>
            </w:pPr>
            <w:r w:rsidRPr="00E54B1C">
              <w:rPr>
                <w:sz w:val="20"/>
              </w:rPr>
              <w:t xml:space="preserve">Criminal law — Evidence — Third party access to records created in alternative measures program — Where documents are put under the control of the court by statute though not in a court file, does the “desirable in the proper administration of justice” test mandate a </w:t>
            </w:r>
            <w:r w:rsidRPr="00E54B1C">
              <w:rPr>
                <w:i/>
                <w:sz w:val="20"/>
              </w:rPr>
              <w:t>Dagenais/Mentuck</w:t>
            </w:r>
            <w:r w:rsidRPr="00E54B1C">
              <w:rPr>
                <w:sz w:val="20"/>
              </w:rPr>
              <w:t xml:space="preserve"> approach to access — Whether the court below erred in holding that the “desirable in the proper administration of justice” test was not satisfied in the case of journalists seeking records to show what Alternative Measures an accused completed in order to obtain a stay of sexual assault criminal charges?</w:t>
            </w:r>
          </w:p>
        </w:tc>
      </w:tr>
      <w:tr w:rsidR="009043BE" w:rsidRPr="00E54B1C" w:rsidTr="009043BE">
        <w:tc>
          <w:tcPr>
            <w:tcW w:w="5000" w:type="pct"/>
            <w:gridSpan w:val="4"/>
          </w:tcPr>
          <w:p w:rsidR="009043BE" w:rsidRPr="00E54B1C" w:rsidRDefault="009043BE" w:rsidP="009043BE">
            <w:pPr>
              <w:jc w:val="both"/>
              <w:rPr>
                <w:sz w:val="20"/>
              </w:rPr>
            </w:pPr>
          </w:p>
          <w:p w:rsidR="009043BE" w:rsidRPr="00E54B1C" w:rsidRDefault="009043BE" w:rsidP="009043BE">
            <w:pPr>
              <w:widowControl w:val="0"/>
              <w:tabs>
                <w:tab w:val="left" w:pos="792"/>
              </w:tabs>
              <w:kinsoku w:val="0"/>
              <w:overflowPunct w:val="0"/>
              <w:jc w:val="both"/>
              <w:textAlignment w:val="baseline"/>
              <w:rPr>
                <w:sz w:val="20"/>
              </w:rPr>
            </w:pPr>
            <w:r w:rsidRPr="00E54B1C">
              <w:rPr>
                <w:sz w:val="20"/>
              </w:rPr>
              <w:t>In 2019, an accused charged with sexual assault was approved for and completed an alternative measures program.</w:t>
            </w:r>
            <w:r w:rsidRPr="00E54B1C">
              <w:rPr>
                <w:i/>
                <w:sz w:val="20"/>
              </w:rPr>
              <w:t xml:space="preserve"> </w:t>
            </w:r>
            <w:r w:rsidRPr="00E54B1C">
              <w:rPr>
                <w:sz w:val="20"/>
              </w:rPr>
              <w:t xml:space="preserve">The charge was stayed. </w:t>
            </w:r>
            <w:r w:rsidRPr="00E54B1C">
              <w:rPr>
                <w:color w:val="000000"/>
                <w:sz w:val="20"/>
              </w:rPr>
              <w:t>M</w:t>
            </w:r>
            <w:r w:rsidRPr="00E54B1C">
              <w:rPr>
                <w:sz w:val="20"/>
              </w:rPr>
              <w:t xml:space="preserve">edia entities filed a petition in the Supreme Court of British Columbia seeking an order granting them access to </w:t>
            </w:r>
            <w:r w:rsidRPr="00E54B1C">
              <w:rPr>
                <w:color w:val="000000"/>
                <w:sz w:val="20"/>
              </w:rPr>
              <w:t xml:space="preserve">records related to the accused’s Alternative Measures program. </w:t>
            </w:r>
            <w:r w:rsidRPr="00E54B1C">
              <w:rPr>
                <w:sz w:val="20"/>
              </w:rPr>
              <w:t>The petition was dismissed. The Court of Appeal quashed a notice of appeal.</w:t>
            </w:r>
          </w:p>
        </w:tc>
      </w:tr>
      <w:tr w:rsidR="009043BE" w:rsidRPr="00E54B1C" w:rsidTr="009043BE">
        <w:tc>
          <w:tcPr>
            <w:tcW w:w="5000" w:type="pct"/>
            <w:gridSpan w:val="4"/>
          </w:tcPr>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April 22, 2022</w:t>
            </w:r>
          </w:p>
          <w:p w:rsidR="009043BE" w:rsidRPr="00E54B1C" w:rsidRDefault="009043BE" w:rsidP="009043BE">
            <w:pPr>
              <w:jc w:val="both"/>
              <w:rPr>
                <w:sz w:val="20"/>
              </w:rPr>
            </w:pPr>
            <w:r w:rsidRPr="00E54B1C">
              <w:rPr>
                <w:sz w:val="20"/>
              </w:rPr>
              <w:t>Supreme Court of British Columbia</w:t>
            </w:r>
          </w:p>
          <w:p w:rsidR="009043BE" w:rsidRPr="00E54B1C" w:rsidRDefault="009043BE" w:rsidP="009043BE">
            <w:pPr>
              <w:jc w:val="both"/>
              <w:rPr>
                <w:sz w:val="20"/>
              </w:rPr>
            </w:pPr>
            <w:r w:rsidRPr="00E54B1C">
              <w:rPr>
                <w:sz w:val="20"/>
              </w:rPr>
              <w:t>(Hinkson J.)</w:t>
            </w:r>
          </w:p>
          <w:p w:rsidR="009043BE" w:rsidRPr="00E54B1C" w:rsidRDefault="000631CF" w:rsidP="009043BE">
            <w:pPr>
              <w:jc w:val="both"/>
              <w:rPr>
                <w:sz w:val="20"/>
              </w:rPr>
            </w:pPr>
            <w:hyperlink r:id="rId32" w:history="1">
              <w:r w:rsidR="009043BE" w:rsidRPr="00E54B1C">
                <w:rPr>
                  <w:rStyle w:val="Hyperlink"/>
                  <w:sz w:val="20"/>
                </w:rPr>
                <w:t>2021 BCSC 745</w:t>
              </w:r>
            </w:hyperlink>
            <w:r w:rsidR="009043BE" w:rsidRPr="00E54B1C">
              <w:rPr>
                <w:sz w:val="20"/>
              </w:rPr>
              <w:t xml:space="preserve">; </w:t>
            </w:r>
            <w:r w:rsidR="009043BE" w:rsidRPr="00E54B1C">
              <w:rPr>
                <w:color w:val="000000"/>
                <w:sz w:val="20"/>
              </w:rPr>
              <w:t>S1914178</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pacing w:val="3"/>
                <w:sz w:val="20"/>
              </w:rPr>
              <w:t xml:space="preserve">Petition under s. 717.4(1)(d) of </w:t>
            </w:r>
            <w:r w:rsidRPr="00E54B1C">
              <w:rPr>
                <w:i/>
                <w:spacing w:val="3"/>
                <w:sz w:val="20"/>
              </w:rPr>
              <w:t>Criminal Code</w:t>
            </w:r>
            <w:r w:rsidRPr="00E54B1C">
              <w:rPr>
                <w:spacing w:val="3"/>
                <w:sz w:val="20"/>
              </w:rPr>
              <w:t xml:space="preserve"> for access to records dismissed</w:t>
            </w:r>
          </w:p>
        </w:tc>
      </w:tr>
      <w:tr w:rsidR="009043BE" w:rsidRPr="00E54B1C" w:rsidTr="009043BE">
        <w:tc>
          <w:tcPr>
            <w:tcW w:w="2427" w:type="pct"/>
            <w:gridSpan w:val="2"/>
          </w:tcPr>
          <w:p w:rsidR="009043BE" w:rsidRPr="00E54B1C" w:rsidRDefault="009043BE" w:rsidP="009043BE">
            <w:pPr>
              <w:jc w:val="both"/>
              <w:rPr>
                <w:sz w:val="20"/>
              </w:rPr>
            </w:pPr>
            <w:r w:rsidRPr="00E54B1C">
              <w:rPr>
                <w:sz w:val="20"/>
              </w:rPr>
              <w:t>May 19, 2022</w:t>
            </w:r>
          </w:p>
          <w:p w:rsidR="009043BE" w:rsidRPr="00E54B1C" w:rsidRDefault="009043BE" w:rsidP="009043BE">
            <w:pPr>
              <w:jc w:val="both"/>
              <w:rPr>
                <w:sz w:val="20"/>
              </w:rPr>
            </w:pPr>
            <w:r w:rsidRPr="00E54B1C">
              <w:rPr>
                <w:sz w:val="20"/>
              </w:rPr>
              <w:t xml:space="preserve">British Columbia Court of Appeal </w:t>
            </w:r>
          </w:p>
          <w:p w:rsidR="009043BE" w:rsidRPr="00E54B1C" w:rsidRDefault="009043BE" w:rsidP="009043BE">
            <w:pPr>
              <w:jc w:val="both"/>
              <w:rPr>
                <w:sz w:val="20"/>
              </w:rPr>
            </w:pPr>
            <w:r w:rsidRPr="00E54B1C">
              <w:rPr>
                <w:sz w:val="20"/>
              </w:rPr>
              <w:t>(Frankel, Willcock, Griffin JJ.A.)</w:t>
            </w:r>
          </w:p>
          <w:p w:rsidR="009043BE" w:rsidRPr="00E54B1C" w:rsidRDefault="000631CF" w:rsidP="009043BE">
            <w:pPr>
              <w:jc w:val="both"/>
              <w:rPr>
                <w:sz w:val="20"/>
              </w:rPr>
            </w:pPr>
            <w:hyperlink r:id="rId33" w:history="1">
              <w:r w:rsidR="009043BE" w:rsidRPr="00E54B1C">
                <w:rPr>
                  <w:rStyle w:val="Hyperlink"/>
                  <w:sz w:val="20"/>
                </w:rPr>
                <w:t>2022 BCCA 170</w:t>
              </w:r>
            </w:hyperlink>
            <w:r w:rsidR="009043BE" w:rsidRPr="00E54B1C">
              <w:rPr>
                <w:sz w:val="20"/>
              </w:rPr>
              <w:t>; CA47486</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pacing w:val="3"/>
                <w:sz w:val="20"/>
              </w:rPr>
              <w:t xml:space="preserve">Notice of appeal quashed </w:t>
            </w:r>
          </w:p>
        </w:tc>
      </w:tr>
      <w:tr w:rsidR="009043BE" w:rsidRPr="00E54B1C" w:rsidTr="009043BE">
        <w:tc>
          <w:tcPr>
            <w:tcW w:w="2427" w:type="pct"/>
            <w:gridSpan w:val="2"/>
          </w:tcPr>
          <w:p w:rsidR="009043BE" w:rsidRPr="00E54B1C" w:rsidRDefault="009043BE" w:rsidP="009043BE">
            <w:pPr>
              <w:jc w:val="both"/>
              <w:rPr>
                <w:sz w:val="20"/>
              </w:rPr>
            </w:pPr>
            <w:r w:rsidRPr="00E54B1C">
              <w:rPr>
                <w:sz w:val="20"/>
              </w:rPr>
              <w:t>June 20, 2022</w:t>
            </w:r>
          </w:p>
          <w:p w:rsidR="009043BE" w:rsidRPr="00E54B1C" w:rsidRDefault="009043BE" w:rsidP="009043BE">
            <w:pPr>
              <w:jc w:val="both"/>
              <w:rPr>
                <w:sz w:val="20"/>
              </w:rPr>
            </w:pPr>
            <w:r w:rsidRPr="00E54B1C">
              <w:rPr>
                <w:sz w:val="20"/>
              </w:rPr>
              <w:t>Supreme Court of Canada</w:t>
            </w: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Motion for extension of time to serve and file application for leave to appeal and Application for leave to appeal filed</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October 24, 2022</w:t>
            </w:r>
          </w:p>
          <w:p w:rsidR="009043BE" w:rsidRPr="00E54B1C" w:rsidRDefault="009043BE" w:rsidP="009043BE">
            <w:pPr>
              <w:jc w:val="both"/>
              <w:rPr>
                <w:sz w:val="20"/>
              </w:rPr>
            </w:pPr>
            <w:r w:rsidRPr="00E54B1C">
              <w:rPr>
                <w:sz w:val="20"/>
              </w:rPr>
              <w:t>Supreme Court of Canada</w:t>
            </w: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Motion for extension of time to serve and file reply</w:t>
            </w:r>
          </w:p>
        </w:tc>
      </w:tr>
    </w:tbl>
    <w:p w:rsidR="009043BE" w:rsidRPr="00E54B1C" w:rsidRDefault="009043BE" w:rsidP="009043BE">
      <w:pPr>
        <w:jc w:val="both"/>
        <w:rPr>
          <w:sz w:val="20"/>
        </w:rPr>
      </w:pPr>
    </w:p>
    <w:p w:rsidR="00E54B1C" w:rsidRPr="00E54B1C" w:rsidRDefault="000631CF" w:rsidP="009043BE">
      <w:pPr>
        <w:jc w:val="both"/>
        <w:rPr>
          <w:sz w:val="20"/>
        </w:rPr>
      </w:pPr>
      <w:r>
        <w:rPr>
          <w:sz w:val="20"/>
        </w:rPr>
        <w:pict>
          <v:rect id="_x0000_i1033" style="width:2in;height:1pt" o:hrpct="0" o:hralign="center" o:hrstd="t" o:hrnoshade="t" o:hr="t" fillcolor="black [3213]" stroked="f"/>
        </w:pict>
      </w:r>
    </w:p>
    <w:p w:rsidR="00E54B1C" w:rsidRPr="00E54B1C" w:rsidRDefault="00E54B1C" w:rsidP="009043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0631CF" w:rsidTr="009043BE">
        <w:tc>
          <w:tcPr>
            <w:tcW w:w="543" w:type="pct"/>
          </w:tcPr>
          <w:p w:rsidR="009043BE" w:rsidRPr="00E54B1C" w:rsidRDefault="009043BE" w:rsidP="009043BE">
            <w:pPr>
              <w:jc w:val="both"/>
              <w:rPr>
                <w:sz w:val="20"/>
                <w:lang w:val="fr-CA"/>
              </w:rPr>
            </w:pPr>
            <w:r w:rsidRPr="00E54B1C">
              <w:rPr>
                <w:rStyle w:val="SCCFileNumberChar"/>
                <w:sz w:val="20"/>
                <w:szCs w:val="20"/>
                <w:lang w:val="fr-CA"/>
              </w:rPr>
              <w:t>40266</w:t>
            </w:r>
          </w:p>
        </w:tc>
        <w:tc>
          <w:tcPr>
            <w:tcW w:w="4457" w:type="pct"/>
            <w:gridSpan w:val="3"/>
          </w:tcPr>
          <w:p w:rsidR="009043BE" w:rsidRPr="00E54B1C" w:rsidRDefault="009043BE" w:rsidP="009043BE">
            <w:pPr>
              <w:pStyle w:val="SCCLsocParty"/>
              <w:jc w:val="both"/>
              <w:rPr>
                <w:b/>
                <w:sz w:val="20"/>
                <w:szCs w:val="20"/>
              </w:rPr>
            </w:pPr>
            <w:r w:rsidRPr="00E54B1C">
              <w:rPr>
                <w:b/>
                <w:bCs/>
                <w:sz w:val="20"/>
                <w:szCs w:val="20"/>
              </w:rPr>
              <w:t>Société Radio</w:t>
            </w:r>
            <w:r w:rsidRPr="00E54B1C">
              <w:rPr>
                <w:b/>
                <w:bCs/>
                <w:sz w:val="20"/>
                <w:szCs w:val="20"/>
              </w:rPr>
              <w:noBreakHyphen/>
              <w:t>Canada</w:t>
            </w:r>
            <w:r w:rsidRPr="00E54B1C">
              <w:rPr>
                <w:b/>
                <w:sz w:val="20"/>
                <w:szCs w:val="20"/>
              </w:rPr>
              <w:t>, CTV, une division de Bell Média inc. c. Sa Majesté le Roi du chef de la province de la Colombie-Britannique, BC Corrections, Robert Vagramov</w:t>
            </w:r>
          </w:p>
          <w:p w:rsidR="009043BE" w:rsidRPr="00E54B1C" w:rsidRDefault="009043BE" w:rsidP="00E54B1C">
            <w:pPr>
              <w:jc w:val="both"/>
              <w:rPr>
                <w:sz w:val="20"/>
                <w:lang w:val="fr-CA"/>
              </w:rPr>
            </w:pPr>
            <w:r w:rsidRPr="00E54B1C">
              <w:rPr>
                <w:sz w:val="20"/>
                <w:lang w:val="fr-CA"/>
              </w:rPr>
              <w:t>(C.-B.) (</w:t>
            </w:r>
            <w:r w:rsidR="00E54B1C" w:rsidRPr="00E54B1C">
              <w:rPr>
                <w:sz w:val="20"/>
                <w:lang w:val="fr-CA"/>
              </w:rPr>
              <w:t>C</w:t>
            </w:r>
            <w:r w:rsidRPr="00E54B1C">
              <w:rPr>
                <w:sz w:val="20"/>
                <w:lang w:val="fr-CA"/>
              </w:rPr>
              <w:t>riminelle) (</w:t>
            </w:r>
            <w:r w:rsidR="00E54B1C" w:rsidRPr="00E54B1C">
              <w:rPr>
                <w:sz w:val="20"/>
                <w:lang w:val="fr-CA"/>
              </w:rPr>
              <w:t>S</w:t>
            </w:r>
            <w:r w:rsidRPr="00E54B1C">
              <w:rPr>
                <w:sz w:val="20"/>
                <w:lang w:val="fr-CA"/>
              </w:rPr>
              <w:t>ur autorisation)</w:t>
            </w:r>
          </w:p>
        </w:tc>
      </w:tr>
      <w:tr w:rsidR="009043BE" w:rsidRPr="000631CF" w:rsidTr="009043BE">
        <w:tc>
          <w:tcPr>
            <w:tcW w:w="5000" w:type="pct"/>
            <w:gridSpan w:val="4"/>
          </w:tcPr>
          <w:p w:rsidR="009043BE" w:rsidRPr="00E54B1C" w:rsidRDefault="009043BE" w:rsidP="009043BE">
            <w:pPr>
              <w:jc w:val="both"/>
              <w:rPr>
                <w:sz w:val="20"/>
                <w:lang w:val="fr-CA"/>
              </w:rPr>
            </w:pPr>
            <w:r w:rsidRPr="00E54B1C">
              <w:rPr>
                <w:sz w:val="20"/>
                <w:lang w:val="fr-CA"/>
              </w:rPr>
              <w:t xml:space="preserve">Droit criminel — Preuve — Accès par des tiers aux dossiers créés dans le cadre du programme de mesures de rechange — Lorsque des documents sont placés sous la surveillance du tribunal par voie législative, mais ne sont pas dans un dossier judiciaire, le critère à savoir s’il est « souhaitable dans le cadre de la bonne administration de la justice » commande-t-il d’adopter la démarche établie dans les arrêts </w:t>
            </w:r>
            <w:r w:rsidRPr="00E54B1C">
              <w:rPr>
                <w:i/>
                <w:iCs/>
                <w:sz w:val="20"/>
                <w:lang w:val="fr-CA"/>
              </w:rPr>
              <w:t xml:space="preserve">Dagenais </w:t>
            </w:r>
            <w:r w:rsidRPr="00E54B1C">
              <w:rPr>
                <w:sz w:val="20"/>
                <w:lang w:val="fr-CA"/>
              </w:rPr>
              <w:t xml:space="preserve">et </w:t>
            </w:r>
            <w:r w:rsidRPr="00E54B1C">
              <w:rPr>
                <w:i/>
                <w:iCs/>
                <w:sz w:val="20"/>
                <w:lang w:val="fr-CA"/>
              </w:rPr>
              <w:t>Mentuck</w:t>
            </w:r>
            <w:r w:rsidRPr="00E54B1C">
              <w:rPr>
                <w:sz w:val="20"/>
                <w:lang w:val="fr-CA"/>
              </w:rPr>
              <w:t xml:space="preserve"> quant à l’accès ? — Les tribunaux d’instances inférieures ont-ils fait erreur en concluant que le critère à savoir s’il est « souhaitable dans le cadre de la bonne administration de la justice » n’a pas été satisfait dans le cas de journalistes demandant l’accès aux dossiers indiquant quelles mesures de rechange un accusé a complétées afin d’obtenir la suspension des accusations criminelles d’agression sexuelle pesant contre lui ?</w:t>
            </w:r>
          </w:p>
        </w:tc>
      </w:tr>
      <w:tr w:rsidR="009043BE" w:rsidRPr="000631CF" w:rsidTr="009043BE">
        <w:tc>
          <w:tcPr>
            <w:tcW w:w="5000" w:type="pct"/>
            <w:gridSpan w:val="4"/>
          </w:tcPr>
          <w:p w:rsidR="009043BE" w:rsidRPr="00E54B1C" w:rsidRDefault="009043BE" w:rsidP="009043BE">
            <w:pPr>
              <w:jc w:val="both"/>
              <w:rPr>
                <w:sz w:val="20"/>
                <w:lang w:val="fr-CA"/>
              </w:rPr>
            </w:pPr>
          </w:p>
          <w:p w:rsidR="009043BE" w:rsidRPr="00E54B1C" w:rsidRDefault="009043BE" w:rsidP="009043BE">
            <w:pPr>
              <w:widowControl w:val="0"/>
              <w:tabs>
                <w:tab w:val="left" w:pos="792"/>
              </w:tabs>
              <w:kinsoku w:val="0"/>
              <w:overflowPunct w:val="0"/>
              <w:jc w:val="both"/>
              <w:textAlignment w:val="baseline"/>
              <w:rPr>
                <w:sz w:val="20"/>
                <w:lang w:val="fr-CA"/>
              </w:rPr>
            </w:pPr>
            <w:r w:rsidRPr="00E54B1C">
              <w:rPr>
                <w:sz w:val="20"/>
                <w:lang w:val="fr-CA"/>
              </w:rPr>
              <w:t>En 2019, un accusé inculpé d’agression sexuelle a été accepté aux fins d’un programme de mesures de rechange et a complété ce programme.</w:t>
            </w:r>
            <w:r w:rsidRPr="00E54B1C">
              <w:rPr>
                <w:i/>
                <w:sz w:val="20"/>
                <w:lang w:val="fr-CA"/>
              </w:rPr>
              <w:t xml:space="preserve"> </w:t>
            </w:r>
            <w:r w:rsidRPr="00E54B1C">
              <w:rPr>
                <w:sz w:val="20"/>
                <w:lang w:val="fr-CA"/>
              </w:rPr>
              <w:t xml:space="preserve">L’accusation a été suspendue. Des entités médiatiques ont </w:t>
            </w:r>
            <w:r w:rsidRPr="00E54B1C">
              <w:rPr>
                <w:color w:val="000000"/>
                <w:sz w:val="20"/>
                <w:lang w:val="fr-CA"/>
              </w:rPr>
              <w:t>saisi la Cour s</w:t>
            </w:r>
            <w:r w:rsidRPr="00E54B1C">
              <w:rPr>
                <w:sz w:val="20"/>
                <w:lang w:val="fr-CA"/>
              </w:rPr>
              <w:t>uprême de la Colombie-Britannique d’une requête visant à obtenir une ordonnance leur accordant l’accès aux dossiers liés au programme de mesures de rechange de l’accusé</w:t>
            </w:r>
            <w:r w:rsidRPr="00E54B1C">
              <w:rPr>
                <w:color w:val="000000"/>
                <w:sz w:val="20"/>
                <w:lang w:val="fr-CA"/>
              </w:rPr>
              <w:t>. La requête a été rejetée</w:t>
            </w:r>
            <w:r w:rsidRPr="00E54B1C">
              <w:rPr>
                <w:sz w:val="20"/>
                <w:lang w:val="fr-CA"/>
              </w:rPr>
              <w:t>. La Cour d’appel a annulé l’avis d’appel.</w:t>
            </w:r>
          </w:p>
        </w:tc>
      </w:tr>
      <w:tr w:rsidR="009043BE" w:rsidRPr="000631CF" w:rsidTr="009043BE">
        <w:tc>
          <w:tcPr>
            <w:tcW w:w="5000" w:type="pct"/>
            <w:gridSpan w:val="4"/>
          </w:tcPr>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22 avril 2022</w:t>
            </w:r>
          </w:p>
          <w:p w:rsidR="009043BE" w:rsidRPr="00E54B1C" w:rsidRDefault="009043BE" w:rsidP="009043BE">
            <w:pPr>
              <w:jc w:val="both"/>
              <w:rPr>
                <w:sz w:val="20"/>
                <w:lang w:val="fr-CA"/>
              </w:rPr>
            </w:pPr>
            <w:r w:rsidRPr="00E54B1C">
              <w:rPr>
                <w:sz w:val="20"/>
                <w:lang w:val="fr-CA"/>
              </w:rPr>
              <w:t>Cour suprême de la Colombie-Britannique</w:t>
            </w:r>
          </w:p>
          <w:p w:rsidR="009043BE" w:rsidRPr="00E54B1C" w:rsidRDefault="009043BE" w:rsidP="009043BE">
            <w:pPr>
              <w:jc w:val="both"/>
              <w:rPr>
                <w:sz w:val="20"/>
                <w:lang w:val="fr-CA"/>
              </w:rPr>
            </w:pPr>
            <w:r w:rsidRPr="00E54B1C">
              <w:rPr>
                <w:sz w:val="20"/>
                <w:lang w:val="fr-CA"/>
              </w:rPr>
              <w:t>(juge Hinkson)</w:t>
            </w:r>
          </w:p>
          <w:p w:rsidR="009043BE" w:rsidRPr="00E54B1C" w:rsidRDefault="000631CF" w:rsidP="009043BE">
            <w:pPr>
              <w:jc w:val="both"/>
              <w:rPr>
                <w:sz w:val="20"/>
                <w:lang w:val="fr-CA"/>
              </w:rPr>
            </w:pPr>
            <w:hyperlink r:id="rId34" w:history="1">
              <w:r w:rsidR="009043BE" w:rsidRPr="00E54B1C">
                <w:rPr>
                  <w:rStyle w:val="Hyperlink"/>
                  <w:sz w:val="20"/>
                  <w:lang w:val="fr-CA"/>
                </w:rPr>
                <w:t>2021 BCSC 745</w:t>
              </w:r>
            </w:hyperlink>
            <w:r w:rsidR="009043BE" w:rsidRPr="00E54B1C">
              <w:rPr>
                <w:sz w:val="20"/>
                <w:lang w:val="fr-CA"/>
              </w:rPr>
              <w:t xml:space="preserve">; </w:t>
            </w:r>
            <w:r w:rsidR="009043BE" w:rsidRPr="00E54B1C">
              <w:rPr>
                <w:color w:val="000000"/>
                <w:sz w:val="20"/>
                <w:lang w:val="fr-CA"/>
              </w:rPr>
              <w:t>S1914178</w:t>
            </w:r>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pacing w:val="3"/>
                <w:sz w:val="20"/>
                <w:lang w:val="fr-CA"/>
              </w:rPr>
              <w:t xml:space="preserve">La requête visant l’accès à des dossiers présentée en vertu de l’al. 717.4(1)d) du </w:t>
            </w:r>
            <w:r w:rsidRPr="00E54B1C">
              <w:rPr>
                <w:i/>
                <w:spacing w:val="3"/>
                <w:sz w:val="20"/>
                <w:lang w:val="fr-CA"/>
              </w:rPr>
              <w:t>Code criminel</w:t>
            </w:r>
            <w:r w:rsidRPr="00E54B1C">
              <w:rPr>
                <w:spacing w:val="3"/>
                <w:sz w:val="20"/>
                <w:lang w:val="fr-CA"/>
              </w:rPr>
              <w:t xml:space="preserve"> est rejetée.</w:t>
            </w:r>
          </w:p>
        </w:tc>
      </w:tr>
      <w:tr w:rsidR="009043BE" w:rsidRPr="00E54B1C" w:rsidTr="009043BE">
        <w:tc>
          <w:tcPr>
            <w:tcW w:w="2427" w:type="pct"/>
            <w:gridSpan w:val="2"/>
          </w:tcPr>
          <w:p w:rsidR="009043BE" w:rsidRPr="00E54B1C" w:rsidRDefault="009043BE" w:rsidP="009043BE">
            <w:pPr>
              <w:jc w:val="both"/>
              <w:rPr>
                <w:sz w:val="20"/>
                <w:lang w:val="fr-CA"/>
              </w:rPr>
            </w:pPr>
            <w:r w:rsidRPr="00E54B1C">
              <w:rPr>
                <w:sz w:val="20"/>
                <w:lang w:val="fr-CA"/>
              </w:rPr>
              <w:t>19 mai 2022</w:t>
            </w:r>
          </w:p>
          <w:p w:rsidR="009043BE" w:rsidRPr="00E54B1C" w:rsidRDefault="009043BE" w:rsidP="009043BE">
            <w:pPr>
              <w:jc w:val="both"/>
              <w:rPr>
                <w:sz w:val="20"/>
                <w:lang w:val="fr-CA"/>
              </w:rPr>
            </w:pPr>
            <w:r w:rsidRPr="00E54B1C">
              <w:rPr>
                <w:sz w:val="20"/>
                <w:lang w:val="fr-CA"/>
              </w:rPr>
              <w:t>Cour d’appel de la Colombie-Britannique</w:t>
            </w:r>
          </w:p>
          <w:p w:rsidR="009043BE" w:rsidRPr="00E54B1C" w:rsidRDefault="009043BE" w:rsidP="009043BE">
            <w:pPr>
              <w:jc w:val="both"/>
              <w:rPr>
                <w:sz w:val="20"/>
              </w:rPr>
            </w:pPr>
            <w:r w:rsidRPr="00E54B1C">
              <w:rPr>
                <w:sz w:val="20"/>
              </w:rPr>
              <w:t>(juges Frankel, Willcock, Griffin)</w:t>
            </w:r>
          </w:p>
          <w:p w:rsidR="009043BE" w:rsidRPr="00E54B1C" w:rsidRDefault="000631CF" w:rsidP="009043BE">
            <w:pPr>
              <w:jc w:val="both"/>
              <w:rPr>
                <w:sz w:val="20"/>
              </w:rPr>
            </w:pPr>
            <w:hyperlink r:id="rId35" w:history="1">
              <w:r w:rsidR="009043BE" w:rsidRPr="00E54B1C">
                <w:rPr>
                  <w:rStyle w:val="Hyperlink"/>
                  <w:sz w:val="20"/>
                </w:rPr>
                <w:t>2022 BCCA 170</w:t>
              </w:r>
            </w:hyperlink>
            <w:r w:rsidR="009043BE" w:rsidRPr="00E54B1C">
              <w:rPr>
                <w:sz w:val="20"/>
              </w:rPr>
              <w:t>; CA47486</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lang w:val="fr-CA"/>
              </w:rPr>
            </w:pPr>
            <w:r w:rsidRPr="00E54B1C">
              <w:rPr>
                <w:spacing w:val="3"/>
                <w:sz w:val="20"/>
                <w:lang w:val="fr-CA"/>
              </w:rPr>
              <w:t xml:space="preserve">L’avis d’appel est annulé. </w:t>
            </w: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20 juin 2022</w:t>
            </w:r>
          </w:p>
          <w:p w:rsidR="009043BE" w:rsidRPr="00E54B1C" w:rsidRDefault="009043BE" w:rsidP="009043BE">
            <w:pPr>
              <w:jc w:val="both"/>
              <w:rPr>
                <w:sz w:val="20"/>
                <w:lang w:val="fr-CA"/>
              </w:rPr>
            </w:pPr>
            <w:r w:rsidRPr="00E54B1C">
              <w:rPr>
                <w:sz w:val="20"/>
                <w:lang w:val="fr-CA"/>
              </w:rPr>
              <w:t>Cour suprême du Canada</w:t>
            </w: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La requête en vue de la prorogation du délai pour signifier et déposer la demande d’autorisation d’appel et la demande d’autorisation d’appel sont présentées.</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24 octobre 2022</w:t>
            </w:r>
          </w:p>
          <w:p w:rsidR="009043BE" w:rsidRPr="00E54B1C" w:rsidRDefault="009043BE" w:rsidP="009043BE">
            <w:pPr>
              <w:jc w:val="both"/>
              <w:rPr>
                <w:sz w:val="20"/>
                <w:lang w:val="fr-CA"/>
              </w:rPr>
            </w:pPr>
            <w:r w:rsidRPr="00E54B1C">
              <w:rPr>
                <w:sz w:val="20"/>
                <w:lang w:val="fr-CA"/>
              </w:rPr>
              <w:t>Cour suprême du Canada</w:t>
            </w: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La requête en vue de la prorogation du délai pour signifier et déposer la réplique est présentée.</w:t>
            </w:r>
          </w:p>
        </w:tc>
      </w:tr>
    </w:tbl>
    <w:p w:rsidR="009043BE" w:rsidRPr="00E54B1C" w:rsidRDefault="009043BE" w:rsidP="009043BE">
      <w:pPr>
        <w:jc w:val="both"/>
        <w:rPr>
          <w:sz w:val="20"/>
          <w:lang w:val="fr-CA"/>
        </w:rPr>
      </w:pPr>
    </w:p>
    <w:p w:rsidR="00E54B1C" w:rsidRPr="00E54B1C" w:rsidRDefault="000631CF" w:rsidP="009043BE">
      <w:pPr>
        <w:jc w:val="both"/>
        <w:rPr>
          <w:sz w:val="20"/>
          <w:lang w:val="fr-CA"/>
        </w:rPr>
      </w:pPr>
      <w:r>
        <w:rPr>
          <w:sz w:val="20"/>
        </w:rPr>
        <w:pict>
          <v:rect id="_x0000_i1034" style="width:2in;height:1pt" o:hrpct="0" o:hralign="center" o:hrstd="t" o:hrnoshade="t" o:hr="t" fillcolor="black [3213]" stroked="f"/>
        </w:pict>
      </w:r>
    </w:p>
    <w:p w:rsidR="009043BE" w:rsidRPr="00E54B1C" w:rsidRDefault="009043BE" w:rsidP="009043B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t>40238</w:t>
            </w:r>
          </w:p>
        </w:tc>
        <w:tc>
          <w:tcPr>
            <w:tcW w:w="4457" w:type="pct"/>
          </w:tcPr>
          <w:p w:rsidR="009043BE" w:rsidRPr="00E54B1C" w:rsidRDefault="009043BE" w:rsidP="009043BE">
            <w:pPr>
              <w:pStyle w:val="SCCLsocParty"/>
              <w:jc w:val="both"/>
              <w:rPr>
                <w:b/>
                <w:sz w:val="20"/>
                <w:szCs w:val="20"/>
                <w:lang w:val="en-US"/>
              </w:rPr>
            </w:pPr>
            <w:r w:rsidRPr="00E54B1C">
              <w:rPr>
                <w:b/>
                <w:sz w:val="20"/>
                <w:szCs w:val="20"/>
                <w:lang w:val="en-US"/>
              </w:rPr>
              <w:t>Lorence Hud v. Corporation of the Municipality of West Nipissing, 10306398 Canada Ltd., Chris Amon, His Majesty the King in Right of Ontario, West Nipissing Police Services Board, Louise Laforge, Charles Seguin, Raymond St. Pierre, Nathalie Rifou, Peter Mantha, Francois Savage</w:t>
            </w:r>
          </w:p>
          <w:p w:rsidR="009043BE" w:rsidRPr="00E54B1C" w:rsidRDefault="009043BE" w:rsidP="009043BE">
            <w:pPr>
              <w:jc w:val="both"/>
              <w:rPr>
                <w:sz w:val="20"/>
              </w:rPr>
            </w:pPr>
            <w:r w:rsidRPr="00E54B1C">
              <w:rPr>
                <w:sz w:val="20"/>
              </w:rPr>
              <w:t>(Ont.) (Civil) (By Leave)</w:t>
            </w:r>
          </w:p>
        </w:tc>
      </w:tr>
      <w:tr w:rsidR="009043BE" w:rsidRPr="00E54B1C" w:rsidTr="009043BE">
        <w:tc>
          <w:tcPr>
            <w:tcW w:w="5000" w:type="pct"/>
            <w:gridSpan w:val="2"/>
          </w:tcPr>
          <w:p w:rsidR="009043BE" w:rsidRPr="00E54B1C" w:rsidRDefault="009043BE" w:rsidP="009043BE">
            <w:pPr>
              <w:jc w:val="both"/>
              <w:rPr>
                <w:sz w:val="20"/>
              </w:rPr>
            </w:pPr>
            <w:r w:rsidRPr="00E54B1C">
              <w:rPr>
                <w:sz w:val="20"/>
              </w:rPr>
              <w:t>Civil Procedure — Case management — Motion for direction — Motion for leave to appeal dismissed by Divisional Court and Court of Appeal — Whether the lower courts erred — Whether the Court of Appeal erred.</w:t>
            </w:r>
          </w:p>
        </w:tc>
      </w:tr>
      <w:tr w:rsidR="009043BE" w:rsidRPr="00E54B1C" w:rsidTr="009043BE">
        <w:tc>
          <w:tcPr>
            <w:tcW w:w="5000" w:type="pct"/>
            <w:gridSpan w:val="2"/>
          </w:tcPr>
          <w:p w:rsidR="009043BE" w:rsidRPr="00E54B1C" w:rsidRDefault="009043BE" w:rsidP="009043BE">
            <w:pPr>
              <w:jc w:val="both"/>
              <w:rPr>
                <w:sz w:val="20"/>
              </w:rPr>
            </w:pPr>
          </w:p>
          <w:p w:rsidR="009043BE" w:rsidRPr="00E54B1C" w:rsidRDefault="009043BE" w:rsidP="009043BE">
            <w:pPr>
              <w:jc w:val="both"/>
              <w:rPr>
                <w:sz w:val="20"/>
              </w:rPr>
            </w:pPr>
            <w:r w:rsidRPr="00E54B1C">
              <w:rPr>
                <w:color w:val="000000"/>
                <w:sz w:val="20"/>
              </w:rPr>
              <w:t>A Motion for Direction was heard before Justice Nadeau to address the order of the motions to be heard. Justice Nadeau ordered that the respondents’ summary judgment motions be heard first.</w:t>
            </w:r>
          </w:p>
          <w:p w:rsidR="009043BE" w:rsidRPr="00E54B1C" w:rsidRDefault="009043BE" w:rsidP="009043BE">
            <w:pPr>
              <w:jc w:val="both"/>
              <w:rPr>
                <w:color w:val="000000"/>
                <w:sz w:val="20"/>
              </w:rPr>
            </w:pPr>
            <w:r w:rsidRPr="00E54B1C">
              <w:rPr>
                <w:color w:val="000000"/>
                <w:sz w:val="20"/>
              </w:rPr>
              <w:t>The Divisional Court dismissed the applicant’s motion for leave to appeal. Leave to appeal to the Court of Appeal was dismissed.</w:t>
            </w:r>
          </w:p>
          <w:p w:rsidR="00E54B1C" w:rsidRPr="00E54B1C" w:rsidRDefault="00E54B1C" w:rsidP="009043BE">
            <w:pPr>
              <w:jc w:val="both"/>
              <w:rPr>
                <w:sz w:val="20"/>
              </w:rPr>
            </w:pPr>
          </w:p>
        </w:tc>
      </w:tr>
      <w:tr w:rsidR="009043BE" w:rsidRPr="00E54B1C" w:rsidTr="009043BE">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9043BE" w:rsidRPr="00E54B1C" w:rsidTr="009043BE">
              <w:tc>
                <w:tcPr>
                  <w:tcW w:w="2367" w:type="pct"/>
                </w:tcPr>
                <w:p w:rsidR="009043BE" w:rsidRPr="00E54B1C" w:rsidRDefault="009043BE" w:rsidP="009043BE">
                  <w:pPr>
                    <w:jc w:val="both"/>
                    <w:rPr>
                      <w:sz w:val="20"/>
                    </w:rPr>
                  </w:pPr>
                  <w:r w:rsidRPr="00E54B1C">
                    <w:rPr>
                      <w:sz w:val="20"/>
                    </w:rPr>
                    <w:t>May 7, 2021</w:t>
                  </w:r>
                </w:p>
                <w:p w:rsidR="009043BE" w:rsidRPr="00E54B1C" w:rsidRDefault="009043BE" w:rsidP="009043BE">
                  <w:pPr>
                    <w:jc w:val="both"/>
                    <w:rPr>
                      <w:sz w:val="20"/>
                    </w:rPr>
                  </w:pPr>
                  <w:r w:rsidRPr="00E54B1C">
                    <w:rPr>
                      <w:sz w:val="20"/>
                    </w:rPr>
                    <w:t>Ontario Superior Court of Justice</w:t>
                  </w:r>
                </w:p>
                <w:p w:rsidR="009043BE" w:rsidRPr="00E54B1C" w:rsidRDefault="009043BE" w:rsidP="009043BE">
                  <w:pPr>
                    <w:jc w:val="both"/>
                    <w:rPr>
                      <w:sz w:val="20"/>
                    </w:rPr>
                  </w:pPr>
                  <w:r w:rsidRPr="00E54B1C">
                    <w:rPr>
                      <w:sz w:val="20"/>
                    </w:rPr>
                    <w:t>(Nadeau J.)</w:t>
                  </w:r>
                </w:p>
                <w:p w:rsidR="009043BE" w:rsidRPr="00E54B1C" w:rsidRDefault="009043BE" w:rsidP="009043BE">
                  <w:pPr>
                    <w:jc w:val="both"/>
                    <w:rPr>
                      <w:sz w:val="20"/>
                    </w:rPr>
                  </w:pPr>
                </w:p>
              </w:tc>
              <w:tc>
                <w:tcPr>
                  <w:tcW w:w="267" w:type="pct"/>
                </w:tcPr>
                <w:p w:rsidR="009043BE" w:rsidRPr="00E54B1C" w:rsidRDefault="009043BE" w:rsidP="009043BE">
                  <w:pPr>
                    <w:jc w:val="both"/>
                    <w:rPr>
                      <w:sz w:val="20"/>
                    </w:rPr>
                  </w:pPr>
                </w:p>
              </w:tc>
              <w:tc>
                <w:tcPr>
                  <w:tcW w:w="2366" w:type="pct"/>
                </w:tcPr>
                <w:p w:rsidR="009043BE" w:rsidRPr="00E54B1C" w:rsidRDefault="009043BE" w:rsidP="009043BE">
                  <w:pPr>
                    <w:jc w:val="both"/>
                    <w:rPr>
                      <w:sz w:val="20"/>
                    </w:rPr>
                  </w:pPr>
                  <w:r w:rsidRPr="00E54B1C">
                    <w:rPr>
                      <w:sz w:val="20"/>
                    </w:rPr>
                    <w:t>Motion for direction</w:t>
                  </w:r>
                </w:p>
                <w:p w:rsidR="009043BE" w:rsidRPr="00E54B1C" w:rsidRDefault="009043BE" w:rsidP="009043BE">
                  <w:pPr>
                    <w:jc w:val="both"/>
                    <w:rPr>
                      <w:sz w:val="20"/>
                    </w:rPr>
                  </w:pPr>
                </w:p>
              </w:tc>
            </w:tr>
            <w:tr w:rsidR="009043BE" w:rsidRPr="00E54B1C" w:rsidTr="009043BE">
              <w:tc>
                <w:tcPr>
                  <w:tcW w:w="2367" w:type="pct"/>
                </w:tcPr>
                <w:p w:rsidR="009043BE" w:rsidRPr="00E54B1C" w:rsidRDefault="009043BE" w:rsidP="009043BE">
                  <w:pPr>
                    <w:jc w:val="both"/>
                    <w:rPr>
                      <w:sz w:val="20"/>
                    </w:rPr>
                  </w:pPr>
                  <w:r w:rsidRPr="00E54B1C">
                    <w:rPr>
                      <w:sz w:val="20"/>
                    </w:rPr>
                    <w:t>October 19, 2021</w:t>
                  </w:r>
                </w:p>
                <w:p w:rsidR="009043BE" w:rsidRPr="00E54B1C" w:rsidRDefault="009043BE" w:rsidP="009043BE">
                  <w:pPr>
                    <w:jc w:val="both"/>
                    <w:rPr>
                      <w:sz w:val="20"/>
                    </w:rPr>
                  </w:pPr>
                  <w:r w:rsidRPr="00E54B1C">
                    <w:rPr>
                      <w:sz w:val="20"/>
                    </w:rPr>
                    <w:t>Ontario Superior Court of Justice</w:t>
                  </w:r>
                </w:p>
                <w:p w:rsidR="009043BE" w:rsidRPr="00E54B1C" w:rsidRDefault="009043BE" w:rsidP="009043BE">
                  <w:pPr>
                    <w:jc w:val="both"/>
                    <w:rPr>
                      <w:sz w:val="20"/>
                    </w:rPr>
                  </w:pPr>
                  <w:r w:rsidRPr="00E54B1C">
                    <w:rPr>
                      <w:sz w:val="20"/>
                    </w:rPr>
                    <w:t>Divisional Court</w:t>
                  </w:r>
                </w:p>
                <w:p w:rsidR="009043BE" w:rsidRPr="00E54B1C" w:rsidRDefault="009043BE" w:rsidP="009043BE">
                  <w:pPr>
                    <w:jc w:val="both"/>
                    <w:rPr>
                      <w:sz w:val="20"/>
                    </w:rPr>
                  </w:pPr>
                  <w:r w:rsidRPr="00E54B1C">
                    <w:rPr>
                      <w:sz w:val="20"/>
                    </w:rPr>
                    <w:t>(Lederer, Favreau, Gomery JJ.)</w:t>
                  </w:r>
                </w:p>
                <w:p w:rsidR="009043BE" w:rsidRPr="00E54B1C" w:rsidRDefault="009043BE" w:rsidP="009043BE">
                  <w:pPr>
                    <w:jc w:val="both"/>
                    <w:rPr>
                      <w:sz w:val="20"/>
                    </w:rPr>
                  </w:pPr>
                </w:p>
              </w:tc>
              <w:tc>
                <w:tcPr>
                  <w:tcW w:w="267" w:type="pct"/>
                </w:tcPr>
                <w:p w:rsidR="009043BE" w:rsidRPr="00E54B1C" w:rsidRDefault="009043BE" w:rsidP="009043BE">
                  <w:pPr>
                    <w:jc w:val="both"/>
                    <w:rPr>
                      <w:sz w:val="20"/>
                    </w:rPr>
                  </w:pPr>
                </w:p>
              </w:tc>
              <w:tc>
                <w:tcPr>
                  <w:tcW w:w="2366" w:type="pct"/>
                </w:tcPr>
                <w:p w:rsidR="009043BE" w:rsidRPr="00E54B1C" w:rsidRDefault="009043BE" w:rsidP="009043BE">
                  <w:pPr>
                    <w:jc w:val="both"/>
                    <w:rPr>
                      <w:sz w:val="20"/>
                    </w:rPr>
                  </w:pPr>
                  <w:r w:rsidRPr="00E54B1C">
                    <w:rPr>
                      <w:sz w:val="20"/>
                    </w:rPr>
                    <w:t>Motion for leave to appeal dismissed with costs</w:t>
                  </w:r>
                </w:p>
                <w:p w:rsidR="009043BE" w:rsidRPr="00E54B1C" w:rsidRDefault="009043BE" w:rsidP="009043BE">
                  <w:pPr>
                    <w:jc w:val="both"/>
                    <w:rPr>
                      <w:sz w:val="20"/>
                    </w:rPr>
                  </w:pPr>
                </w:p>
              </w:tc>
            </w:tr>
            <w:tr w:rsidR="009043BE" w:rsidRPr="00E54B1C" w:rsidTr="009043BE">
              <w:tc>
                <w:tcPr>
                  <w:tcW w:w="2367" w:type="pct"/>
                </w:tcPr>
                <w:p w:rsidR="009043BE" w:rsidRPr="00E54B1C" w:rsidRDefault="009043BE" w:rsidP="009043BE">
                  <w:pPr>
                    <w:jc w:val="both"/>
                    <w:rPr>
                      <w:sz w:val="20"/>
                    </w:rPr>
                  </w:pPr>
                  <w:r w:rsidRPr="00E54B1C">
                    <w:rPr>
                      <w:sz w:val="20"/>
                    </w:rPr>
                    <w:t>February 28, 2022</w:t>
                  </w:r>
                </w:p>
                <w:p w:rsidR="009043BE" w:rsidRPr="00E54B1C" w:rsidRDefault="009043BE" w:rsidP="009043BE">
                  <w:pPr>
                    <w:jc w:val="both"/>
                    <w:rPr>
                      <w:sz w:val="20"/>
                    </w:rPr>
                  </w:pPr>
                  <w:r w:rsidRPr="00E54B1C">
                    <w:rPr>
                      <w:sz w:val="20"/>
                    </w:rPr>
                    <w:t>Court of Appeal for Ontario</w:t>
                  </w:r>
                </w:p>
                <w:p w:rsidR="009043BE" w:rsidRPr="00E54B1C" w:rsidRDefault="009043BE" w:rsidP="009043BE">
                  <w:pPr>
                    <w:jc w:val="both"/>
                    <w:rPr>
                      <w:sz w:val="20"/>
                    </w:rPr>
                  </w:pPr>
                  <w:r w:rsidRPr="00E54B1C">
                    <w:rPr>
                      <w:sz w:val="20"/>
                    </w:rPr>
                    <w:t>(Feldman, MacPherson, Lauwers JJ.A.)</w:t>
                  </w:r>
                </w:p>
                <w:p w:rsidR="009043BE" w:rsidRPr="00E54B1C" w:rsidRDefault="009043BE" w:rsidP="009043BE">
                  <w:pPr>
                    <w:jc w:val="both"/>
                    <w:rPr>
                      <w:sz w:val="20"/>
                    </w:rPr>
                  </w:pPr>
                  <w:r w:rsidRPr="00E54B1C">
                    <w:rPr>
                      <w:sz w:val="20"/>
                    </w:rPr>
                    <w:t>M52920</w:t>
                  </w:r>
                </w:p>
                <w:p w:rsidR="009043BE" w:rsidRPr="00E54B1C" w:rsidRDefault="009043BE" w:rsidP="009043BE">
                  <w:pPr>
                    <w:jc w:val="both"/>
                    <w:rPr>
                      <w:sz w:val="20"/>
                    </w:rPr>
                  </w:pPr>
                </w:p>
              </w:tc>
              <w:tc>
                <w:tcPr>
                  <w:tcW w:w="267" w:type="pct"/>
                </w:tcPr>
                <w:p w:rsidR="009043BE" w:rsidRPr="00E54B1C" w:rsidRDefault="009043BE" w:rsidP="009043BE">
                  <w:pPr>
                    <w:jc w:val="both"/>
                    <w:rPr>
                      <w:sz w:val="20"/>
                    </w:rPr>
                  </w:pPr>
                </w:p>
              </w:tc>
              <w:tc>
                <w:tcPr>
                  <w:tcW w:w="2366" w:type="pct"/>
                </w:tcPr>
                <w:p w:rsidR="009043BE" w:rsidRPr="00E54B1C" w:rsidRDefault="009043BE" w:rsidP="009043BE">
                  <w:pPr>
                    <w:jc w:val="both"/>
                    <w:rPr>
                      <w:sz w:val="20"/>
                    </w:rPr>
                  </w:pPr>
                  <w:r w:rsidRPr="00E54B1C">
                    <w:rPr>
                      <w:sz w:val="20"/>
                    </w:rPr>
                    <w:t>Motion for leave to appeal dismissed with costs</w:t>
                  </w:r>
                </w:p>
                <w:p w:rsidR="009043BE" w:rsidRPr="00E54B1C" w:rsidRDefault="009043BE" w:rsidP="009043BE">
                  <w:pPr>
                    <w:jc w:val="both"/>
                    <w:rPr>
                      <w:sz w:val="20"/>
                    </w:rPr>
                  </w:pPr>
                </w:p>
              </w:tc>
            </w:tr>
            <w:tr w:rsidR="009043BE" w:rsidRPr="00E54B1C" w:rsidTr="009043BE">
              <w:tc>
                <w:tcPr>
                  <w:tcW w:w="2367" w:type="pct"/>
                </w:tcPr>
                <w:p w:rsidR="009043BE" w:rsidRPr="00E54B1C" w:rsidRDefault="009043BE" w:rsidP="009043BE">
                  <w:pPr>
                    <w:jc w:val="both"/>
                    <w:rPr>
                      <w:sz w:val="20"/>
                    </w:rPr>
                  </w:pPr>
                  <w:r w:rsidRPr="00E54B1C">
                    <w:rPr>
                      <w:sz w:val="20"/>
                    </w:rPr>
                    <w:t>April 14, 2022</w:t>
                  </w:r>
                </w:p>
                <w:p w:rsidR="009043BE" w:rsidRPr="00E54B1C" w:rsidRDefault="009043BE" w:rsidP="009043BE">
                  <w:pPr>
                    <w:jc w:val="both"/>
                    <w:rPr>
                      <w:sz w:val="20"/>
                    </w:rPr>
                  </w:pPr>
                  <w:r w:rsidRPr="00E54B1C">
                    <w:rPr>
                      <w:sz w:val="20"/>
                    </w:rPr>
                    <w:t>Supreme Court of Canada</w:t>
                  </w:r>
                </w:p>
                <w:p w:rsidR="009043BE" w:rsidRPr="00E54B1C" w:rsidRDefault="009043BE" w:rsidP="009043BE">
                  <w:pPr>
                    <w:jc w:val="both"/>
                    <w:rPr>
                      <w:sz w:val="20"/>
                    </w:rPr>
                  </w:pPr>
                </w:p>
              </w:tc>
              <w:tc>
                <w:tcPr>
                  <w:tcW w:w="267" w:type="pct"/>
                </w:tcPr>
                <w:p w:rsidR="009043BE" w:rsidRPr="00E54B1C" w:rsidRDefault="009043BE" w:rsidP="009043BE">
                  <w:pPr>
                    <w:jc w:val="both"/>
                    <w:rPr>
                      <w:sz w:val="20"/>
                    </w:rPr>
                  </w:pPr>
                </w:p>
              </w:tc>
              <w:tc>
                <w:tcPr>
                  <w:tcW w:w="2366" w:type="pct"/>
                </w:tcPr>
                <w:p w:rsidR="009043BE" w:rsidRPr="00E54B1C" w:rsidRDefault="009043BE" w:rsidP="009043BE">
                  <w:pPr>
                    <w:jc w:val="both"/>
                    <w:rPr>
                      <w:sz w:val="20"/>
                    </w:rPr>
                  </w:pPr>
                  <w:r w:rsidRPr="00E54B1C">
                    <w:rPr>
                      <w:sz w:val="20"/>
                    </w:rPr>
                    <w:t>Application for leave to appeal filed</w:t>
                  </w:r>
                </w:p>
                <w:p w:rsidR="009043BE" w:rsidRPr="00E54B1C" w:rsidRDefault="009043BE" w:rsidP="009043BE">
                  <w:pPr>
                    <w:jc w:val="both"/>
                    <w:rPr>
                      <w:sz w:val="20"/>
                    </w:rPr>
                  </w:pPr>
                </w:p>
              </w:tc>
            </w:tr>
            <w:tr w:rsidR="009043BE" w:rsidRPr="00E54B1C" w:rsidTr="009043BE">
              <w:tc>
                <w:tcPr>
                  <w:tcW w:w="2367" w:type="pct"/>
                </w:tcPr>
                <w:p w:rsidR="009043BE" w:rsidRPr="00E54B1C" w:rsidRDefault="009043BE" w:rsidP="009043BE">
                  <w:pPr>
                    <w:jc w:val="both"/>
                    <w:rPr>
                      <w:sz w:val="20"/>
                    </w:rPr>
                  </w:pPr>
                  <w:r w:rsidRPr="00E54B1C">
                    <w:rPr>
                      <w:sz w:val="20"/>
                    </w:rPr>
                    <w:t>August 26, 2022</w:t>
                  </w:r>
                </w:p>
                <w:p w:rsidR="009043BE" w:rsidRPr="00E54B1C" w:rsidRDefault="009043BE" w:rsidP="009043BE">
                  <w:pPr>
                    <w:jc w:val="both"/>
                    <w:rPr>
                      <w:sz w:val="20"/>
                    </w:rPr>
                  </w:pPr>
                  <w:r w:rsidRPr="00E54B1C">
                    <w:rPr>
                      <w:sz w:val="20"/>
                    </w:rPr>
                    <w:t>Supreme Court of Canada</w:t>
                  </w:r>
                </w:p>
                <w:p w:rsidR="009043BE" w:rsidRPr="00E54B1C" w:rsidRDefault="009043BE" w:rsidP="009043BE">
                  <w:pPr>
                    <w:jc w:val="both"/>
                    <w:rPr>
                      <w:sz w:val="20"/>
                    </w:rPr>
                  </w:pPr>
                </w:p>
              </w:tc>
              <w:tc>
                <w:tcPr>
                  <w:tcW w:w="267" w:type="pct"/>
                </w:tcPr>
                <w:p w:rsidR="009043BE" w:rsidRPr="00E54B1C" w:rsidRDefault="009043BE" w:rsidP="009043BE">
                  <w:pPr>
                    <w:jc w:val="both"/>
                    <w:rPr>
                      <w:sz w:val="20"/>
                    </w:rPr>
                  </w:pPr>
                </w:p>
              </w:tc>
              <w:tc>
                <w:tcPr>
                  <w:tcW w:w="2366" w:type="pct"/>
                </w:tcPr>
                <w:p w:rsidR="009043BE" w:rsidRPr="00E54B1C" w:rsidRDefault="009043BE" w:rsidP="009043BE">
                  <w:pPr>
                    <w:jc w:val="both"/>
                    <w:rPr>
                      <w:sz w:val="20"/>
                    </w:rPr>
                  </w:pPr>
                  <w:r w:rsidRPr="00E54B1C">
                    <w:rPr>
                      <w:sz w:val="20"/>
                    </w:rPr>
                    <w:t>Motion for an extension of time by 10306398 Canada Ltd. and Chris Amon to file the response filed</w:t>
                  </w:r>
                </w:p>
                <w:p w:rsidR="009043BE" w:rsidRPr="00E54B1C" w:rsidRDefault="009043BE" w:rsidP="009043BE">
                  <w:pPr>
                    <w:jc w:val="both"/>
                    <w:rPr>
                      <w:sz w:val="20"/>
                    </w:rPr>
                  </w:pPr>
                </w:p>
              </w:tc>
            </w:tr>
            <w:tr w:rsidR="009043BE" w:rsidRPr="00E54B1C" w:rsidTr="009043BE">
              <w:tc>
                <w:tcPr>
                  <w:tcW w:w="2367" w:type="pct"/>
                </w:tcPr>
                <w:p w:rsidR="009043BE" w:rsidRPr="00E54B1C" w:rsidRDefault="009043BE" w:rsidP="009043BE">
                  <w:pPr>
                    <w:jc w:val="both"/>
                    <w:rPr>
                      <w:sz w:val="20"/>
                    </w:rPr>
                  </w:pPr>
                  <w:r w:rsidRPr="00E54B1C">
                    <w:rPr>
                      <w:sz w:val="20"/>
                    </w:rPr>
                    <w:t>August 29, 2022</w:t>
                  </w:r>
                </w:p>
                <w:p w:rsidR="009043BE" w:rsidRPr="00E54B1C" w:rsidRDefault="009043BE" w:rsidP="009043BE">
                  <w:pPr>
                    <w:jc w:val="both"/>
                    <w:rPr>
                      <w:sz w:val="20"/>
                    </w:rPr>
                  </w:pPr>
                  <w:r w:rsidRPr="00E54B1C">
                    <w:rPr>
                      <w:sz w:val="20"/>
                    </w:rPr>
                    <w:t>Supreme Court of Canada</w:t>
                  </w:r>
                </w:p>
                <w:p w:rsidR="009043BE" w:rsidRPr="00E54B1C" w:rsidRDefault="009043BE" w:rsidP="009043BE">
                  <w:pPr>
                    <w:jc w:val="both"/>
                    <w:rPr>
                      <w:sz w:val="20"/>
                    </w:rPr>
                  </w:pPr>
                </w:p>
              </w:tc>
              <w:tc>
                <w:tcPr>
                  <w:tcW w:w="267" w:type="pct"/>
                </w:tcPr>
                <w:p w:rsidR="009043BE" w:rsidRPr="00E54B1C" w:rsidRDefault="009043BE" w:rsidP="009043BE">
                  <w:pPr>
                    <w:jc w:val="both"/>
                    <w:rPr>
                      <w:sz w:val="20"/>
                    </w:rPr>
                  </w:pPr>
                </w:p>
              </w:tc>
              <w:tc>
                <w:tcPr>
                  <w:tcW w:w="2366" w:type="pct"/>
                </w:tcPr>
                <w:p w:rsidR="009043BE" w:rsidRPr="00E54B1C" w:rsidRDefault="009043BE" w:rsidP="00E54B1C">
                  <w:pPr>
                    <w:jc w:val="both"/>
                    <w:rPr>
                      <w:sz w:val="20"/>
                    </w:rPr>
                  </w:pPr>
                  <w:r w:rsidRPr="00E54B1C">
                    <w:rPr>
                      <w:sz w:val="20"/>
                    </w:rPr>
                    <w:t>Motion for an extension of time by Corporation of the Municipality of West Nipissing et al. to file the response filed</w:t>
                  </w:r>
                </w:p>
              </w:tc>
            </w:tr>
          </w:tbl>
          <w:p w:rsidR="009043BE" w:rsidRPr="00E54B1C" w:rsidRDefault="009043BE" w:rsidP="009043BE">
            <w:pPr>
              <w:jc w:val="both"/>
              <w:rPr>
                <w:sz w:val="20"/>
              </w:rPr>
            </w:pPr>
          </w:p>
        </w:tc>
      </w:tr>
    </w:tbl>
    <w:p w:rsidR="009043BE" w:rsidRPr="00E54B1C" w:rsidRDefault="009043BE" w:rsidP="009043BE">
      <w:pPr>
        <w:jc w:val="both"/>
        <w:rPr>
          <w:sz w:val="20"/>
        </w:rPr>
      </w:pPr>
    </w:p>
    <w:p w:rsidR="00E54B1C" w:rsidRPr="00E54B1C" w:rsidRDefault="000631CF" w:rsidP="009043BE">
      <w:pPr>
        <w:jc w:val="both"/>
        <w:rPr>
          <w:sz w:val="20"/>
        </w:rPr>
      </w:pPr>
      <w:r>
        <w:rPr>
          <w:sz w:val="20"/>
        </w:rPr>
        <w:pict>
          <v:rect id="_x0000_i1035" style="width:2in;height:1pt" o:hrpct="0" o:hralign="center" o:hrstd="t" o:hrnoshade="t" o:hr="t" fillcolor="black [3213]" stroked="f"/>
        </w:pict>
      </w:r>
    </w:p>
    <w:p w:rsidR="00E54B1C" w:rsidRPr="00E54B1C" w:rsidRDefault="00E54B1C" w:rsidP="009043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9043BE" w:rsidRPr="00E54B1C" w:rsidTr="009043BE">
        <w:tc>
          <w:tcPr>
            <w:tcW w:w="543" w:type="pct"/>
          </w:tcPr>
          <w:p w:rsidR="009043BE" w:rsidRPr="00E54B1C" w:rsidRDefault="009043BE" w:rsidP="009043BE">
            <w:pPr>
              <w:jc w:val="both"/>
              <w:rPr>
                <w:sz w:val="20"/>
                <w:lang w:val="fr-CA"/>
              </w:rPr>
            </w:pPr>
            <w:r w:rsidRPr="00E54B1C">
              <w:rPr>
                <w:rStyle w:val="SCCFileNumberChar"/>
                <w:sz w:val="20"/>
                <w:szCs w:val="20"/>
                <w:lang w:val="fr-CA"/>
              </w:rPr>
              <w:t>40238</w:t>
            </w:r>
          </w:p>
        </w:tc>
        <w:tc>
          <w:tcPr>
            <w:tcW w:w="4457" w:type="pct"/>
          </w:tcPr>
          <w:p w:rsidR="009043BE" w:rsidRPr="00E54B1C" w:rsidRDefault="009043BE" w:rsidP="009043BE">
            <w:pPr>
              <w:pStyle w:val="SCCLsocParty"/>
              <w:jc w:val="both"/>
              <w:rPr>
                <w:b/>
                <w:sz w:val="20"/>
                <w:szCs w:val="20"/>
              </w:rPr>
            </w:pPr>
            <w:r w:rsidRPr="00E54B1C">
              <w:rPr>
                <w:b/>
                <w:sz w:val="20"/>
                <w:szCs w:val="20"/>
              </w:rPr>
              <w:t>Lorence Hud c. Corporation of the Municipality of West Nipissing, 10306398 Canada Ltd., Chris Amon, Sa Majesté le Roi du chef de l’Ontario, West Nipissing Police Services Board, Louise Laforge, Charles Seguin, Raymond St. Pierre, Nathalie Rifou, Peter Mantha, Francois Savage</w:t>
            </w:r>
          </w:p>
          <w:p w:rsidR="009043BE" w:rsidRPr="00E54B1C" w:rsidRDefault="009043BE" w:rsidP="00E54B1C">
            <w:pPr>
              <w:jc w:val="both"/>
              <w:rPr>
                <w:sz w:val="20"/>
                <w:lang w:val="fr-CA"/>
              </w:rPr>
            </w:pPr>
            <w:r w:rsidRPr="00E54B1C">
              <w:rPr>
                <w:sz w:val="20"/>
                <w:lang w:val="fr-CA"/>
              </w:rPr>
              <w:t>(Ont.) (</w:t>
            </w:r>
            <w:r w:rsidR="00E54B1C" w:rsidRPr="00E54B1C">
              <w:rPr>
                <w:sz w:val="20"/>
                <w:lang w:val="fr-CA"/>
              </w:rPr>
              <w:t>C</w:t>
            </w:r>
            <w:r w:rsidRPr="00E54B1C">
              <w:rPr>
                <w:sz w:val="20"/>
                <w:lang w:val="fr-CA"/>
              </w:rPr>
              <w:t>ivile) (</w:t>
            </w:r>
            <w:r w:rsidR="00E54B1C" w:rsidRPr="00E54B1C">
              <w:rPr>
                <w:sz w:val="20"/>
                <w:lang w:val="fr-CA"/>
              </w:rPr>
              <w:t>S</w:t>
            </w:r>
            <w:r w:rsidRPr="00E54B1C">
              <w:rPr>
                <w:sz w:val="20"/>
                <w:lang w:val="fr-CA"/>
              </w:rPr>
              <w:t>ur autorisation)</w:t>
            </w:r>
          </w:p>
        </w:tc>
      </w:tr>
      <w:tr w:rsidR="009043BE" w:rsidRPr="000631CF" w:rsidTr="009043BE">
        <w:tc>
          <w:tcPr>
            <w:tcW w:w="5000" w:type="pct"/>
            <w:gridSpan w:val="2"/>
          </w:tcPr>
          <w:p w:rsidR="009043BE" w:rsidRPr="00E54B1C" w:rsidRDefault="009043BE" w:rsidP="009043BE">
            <w:pPr>
              <w:jc w:val="both"/>
              <w:rPr>
                <w:sz w:val="20"/>
                <w:lang w:val="fr-CA"/>
              </w:rPr>
            </w:pPr>
            <w:r w:rsidRPr="00E54B1C">
              <w:rPr>
                <w:sz w:val="20"/>
                <w:lang w:val="fr-CA"/>
              </w:rPr>
              <w:t>Procédure civile — Gestion de l’instance — Demande pour obtenir des directives — La requête en autorisation d’appel est rejetée par la Cour divisionnaire et la Cour d’appel — Les tribunaux d’instances inférieures ont-ils fait erreur ? — La Cour d’appel a-t-elle fait erreur ?</w:t>
            </w:r>
          </w:p>
        </w:tc>
      </w:tr>
      <w:tr w:rsidR="009043BE" w:rsidRPr="000631CF" w:rsidTr="009043BE">
        <w:tc>
          <w:tcPr>
            <w:tcW w:w="5000" w:type="pct"/>
            <w:gridSpan w:val="2"/>
          </w:tcPr>
          <w:p w:rsidR="009043BE" w:rsidRPr="00E54B1C" w:rsidRDefault="009043BE" w:rsidP="009043BE">
            <w:pPr>
              <w:jc w:val="both"/>
              <w:rPr>
                <w:sz w:val="20"/>
                <w:lang w:val="fr-CA"/>
              </w:rPr>
            </w:pPr>
          </w:p>
          <w:p w:rsidR="009043BE" w:rsidRPr="00E54B1C" w:rsidRDefault="009043BE" w:rsidP="009043BE">
            <w:pPr>
              <w:jc w:val="both"/>
              <w:rPr>
                <w:color w:val="000000"/>
                <w:sz w:val="20"/>
                <w:lang w:val="fr-CA"/>
              </w:rPr>
            </w:pPr>
            <w:r w:rsidRPr="00E54B1C">
              <w:rPr>
                <w:color w:val="000000"/>
                <w:sz w:val="20"/>
                <w:lang w:val="fr-CA"/>
              </w:rPr>
              <w:t>Une demande pour obtenir des directives a été entendue par le juge Nadeau afin de déterminer l’ordre dans lequel les requêtes seraient entendues. Le juge Nadeau a rendu une ordonnance selon laquelle les requêtes en jugement sommaire des intimés seraient entendues en premier lieu. La Cour divisionnaire a rejeté la</w:t>
            </w:r>
            <w:r w:rsidRPr="00E54B1C">
              <w:rPr>
                <w:sz w:val="20"/>
                <w:lang w:val="fr-CA"/>
              </w:rPr>
              <w:t xml:space="preserve"> requête en autorisation d’appel présentée par le demandeur</w:t>
            </w:r>
            <w:r w:rsidRPr="00E54B1C">
              <w:rPr>
                <w:color w:val="000000"/>
                <w:sz w:val="20"/>
                <w:lang w:val="fr-CA"/>
              </w:rPr>
              <w:t>. La demande d’autorisation d’appel à la Cour d’appel a été rejetée.</w:t>
            </w:r>
          </w:p>
          <w:p w:rsidR="00E54B1C" w:rsidRPr="00E54B1C" w:rsidRDefault="00E54B1C" w:rsidP="009043BE">
            <w:pPr>
              <w:jc w:val="both"/>
              <w:rPr>
                <w:sz w:val="20"/>
                <w:lang w:val="fr-CA"/>
              </w:rPr>
            </w:pPr>
          </w:p>
        </w:tc>
      </w:tr>
      <w:tr w:rsidR="009043BE" w:rsidRPr="000631CF" w:rsidTr="009043BE">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9043BE" w:rsidRPr="000631CF" w:rsidTr="009043BE">
              <w:tc>
                <w:tcPr>
                  <w:tcW w:w="2367" w:type="pct"/>
                </w:tcPr>
                <w:p w:rsidR="009043BE" w:rsidRPr="00E54B1C" w:rsidRDefault="009043BE" w:rsidP="009043BE">
                  <w:pPr>
                    <w:jc w:val="both"/>
                    <w:rPr>
                      <w:sz w:val="20"/>
                      <w:lang w:val="fr-CA"/>
                    </w:rPr>
                  </w:pPr>
                  <w:r w:rsidRPr="00E54B1C">
                    <w:rPr>
                      <w:sz w:val="20"/>
                      <w:lang w:val="fr-CA"/>
                    </w:rPr>
                    <w:t>7 mai 2021</w:t>
                  </w:r>
                </w:p>
                <w:p w:rsidR="009043BE" w:rsidRPr="00E54B1C" w:rsidRDefault="009043BE" w:rsidP="009043BE">
                  <w:pPr>
                    <w:jc w:val="both"/>
                    <w:rPr>
                      <w:sz w:val="20"/>
                      <w:lang w:val="fr-CA"/>
                    </w:rPr>
                  </w:pPr>
                  <w:r w:rsidRPr="00E54B1C">
                    <w:rPr>
                      <w:sz w:val="20"/>
                      <w:lang w:val="fr-CA"/>
                    </w:rPr>
                    <w:t xml:space="preserve">Cour supérieure de justice de l’Ontario </w:t>
                  </w:r>
                </w:p>
                <w:p w:rsidR="009043BE" w:rsidRPr="00E54B1C" w:rsidRDefault="009043BE" w:rsidP="009043BE">
                  <w:pPr>
                    <w:jc w:val="both"/>
                    <w:rPr>
                      <w:sz w:val="20"/>
                      <w:lang w:val="fr-CA"/>
                    </w:rPr>
                  </w:pPr>
                  <w:r w:rsidRPr="00E54B1C">
                    <w:rPr>
                      <w:sz w:val="20"/>
                      <w:lang w:val="fr-CA"/>
                    </w:rPr>
                    <w:t>(juge Nadeau)</w:t>
                  </w:r>
                </w:p>
                <w:p w:rsidR="009043BE" w:rsidRPr="00E54B1C" w:rsidRDefault="009043BE" w:rsidP="009043BE">
                  <w:pPr>
                    <w:jc w:val="both"/>
                    <w:rPr>
                      <w:sz w:val="20"/>
                      <w:lang w:val="fr-CA"/>
                    </w:rPr>
                  </w:pPr>
                </w:p>
              </w:tc>
              <w:tc>
                <w:tcPr>
                  <w:tcW w:w="267" w:type="pct"/>
                </w:tcPr>
                <w:p w:rsidR="009043BE" w:rsidRPr="00E54B1C" w:rsidRDefault="009043BE" w:rsidP="009043BE">
                  <w:pPr>
                    <w:jc w:val="both"/>
                    <w:rPr>
                      <w:sz w:val="20"/>
                      <w:lang w:val="fr-CA"/>
                    </w:rPr>
                  </w:pPr>
                </w:p>
              </w:tc>
              <w:tc>
                <w:tcPr>
                  <w:tcW w:w="2366" w:type="pct"/>
                </w:tcPr>
                <w:p w:rsidR="009043BE" w:rsidRPr="00E54B1C" w:rsidRDefault="009043BE" w:rsidP="009043BE">
                  <w:pPr>
                    <w:jc w:val="both"/>
                    <w:rPr>
                      <w:sz w:val="20"/>
                      <w:lang w:val="fr-CA"/>
                    </w:rPr>
                  </w:pPr>
                  <w:r w:rsidRPr="00E54B1C">
                    <w:rPr>
                      <w:sz w:val="20"/>
                      <w:lang w:val="fr-CA"/>
                    </w:rPr>
                    <w:t xml:space="preserve">La demande pour obtenir des directives est entendue. </w:t>
                  </w:r>
                </w:p>
              </w:tc>
            </w:tr>
            <w:tr w:rsidR="009043BE" w:rsidRPr="000631CF" w:rsidTr="009043BE">
              <w:tc>
                <w:tcPr>
                  <w:tcW w:w="2367" w:type="pct"/>
                </w:tcPr>
                <w:p w:rsidR="009043BE" w:rsidRPr="00E54B1C" w:rsidRDefault="009043BE" w:rsidP="009043BE">
                  <w:pPr>
                    <w:jc w:val="both"/>
                    <w:rPr>
                      <w:sz w:val="20"/>
                      <w:lang w:val="fr-CA"/>
                    </w:rPr>
                  </w:pPr>
                  <w:r w:rsidRPr="00E54B1C">
                    <w:rPr>
                      <w:sz w:val="20"/>
                      <w:lang w:val="fr-CA"/>
                    </w:rPr>
                    <w:t>19 octobre 2021</w:t>
                  </w:r>
                </w:p>
                <w:p w:rsidR="009043BE" w:rsidRPr="00E54B1C" w:rsidRDefault="009043BE" w:rsidP="009043BE">
                  <w:pPr>
                    <w:jc w:val="both"/>
                    <w:rPr>
                      <w:sz w:val="20"/>
                      <w:lang w:val="fr-CA"/>
                    </w:rPr>
                  </w:pPr>
                  <w:r w:rsidRPr="00E54B1C">
                    <w:rPr>
                      <w:sz w:val="20"/>
                      <w:lang w:val="fr-CA"/>
                    </w:rPr>
                    <w:t xml:space="preserve">Cour supérieure de justice de l’Ontario </w:t>
                  </w:r>
                </w:p>
                <w:p w:rsidR="009043BE" w:rsidRPr="00E54B1C" w:rsidRDefault="009043BE" w:rsidP="009043BE">
                  <w:pPr>
                    <w:jc w:val="both"/>
                    <w:rPr>
                      <w:sz w:val="20"/>
                      <w:lang w:val="fr-CA"/>
                    </w:rPr>
                  </w:pPr>
                  <w:r w:rsidRPr="00E54B1C">
                    <w:rPr>
                      <w:sz w:val="20"/>
                      <w:lang w:val="fr-CA"/>
                    </w:rPr>
                    <w:t xml:space="preserve">Cour divisionnaire </w:t>
                  </w:r>
                </w:p>
                <w:p w:rsidR="009043BE" w:rsidRPr="00E54B1C" w:rsidRDefault="009043BE" w:rsidP="009043BE">
                  <w:pPr>
                    <w:jc w:val="both"/>
                    <w:rPr>
                      <w:sz w:val="20"/>
                      <w:lang w:val="fr-CA"/>
                    </w:rPr>
                  </w:pPr>
                  <w:r w:rsidRPr="00E54B1C">
                    <w:rPr>
                      <w:sz w:val="20"/>
                      <w:lang w:val="fr-CA"/>
                    </w:rPr>
                    <w:t>(juges Lederer, Favreau, Gomery)</w:t>
                  </w:r>
                </w:p>
                <w:p w:rsidR="009043BE" w:rsidRPr="00E54B1C" w:rsidRDefault="009043BE" w:rsidP="009043BE">
                  <w:pPr>
                    <w:jc w:val="both"/>
                    <w:rPr>
                      <w:sz w:val="20"/>
                      <w:lang w:val="fr-CA"/>
                    </w:rPr>
                  </w:pPr>
                </w:p>
              </w:tc>
              <w:tc>
                <w:tcPr>
                  <w:tcW w:w="267" w:type="pct"/>
                </w:tcPr>
                <w:p w:rsidR="009043BE" w:rsidRPr="00E54B1C" w:rsidRDefault="009043BE" w:rsidP="009043BE">
                  <w:pPr>
                    <w:jc w:val="both"/>
                    <w:rPr>
                      <w:sz w:val="20"/>
                      <w:lang w:val="fr-CA"/>
                    </w:rPr>
                  </w:pPr>
                </w:p>
              </w:tc>
              <w:tc>
                <w:tcPr>
                  <w:tcW w:w="2366" w:type="pct"/>
                </w:tcPr>
                <w:p w:rsidR="009043BE" w:rsidRPr="00E54B1C" w:rsidRDefault="009043BE" w:rsidP="009043BE">
                  <w:pPr>
                    <w:jc w:val="both"/>
                    <w:rPr>
                      <w:sz w:val="20"/>
                      <w:lang w:val="fr-CA"/>
                    </w:rPr>
                  </w:pPr>
                  <w:r w:rsidRPr="00E54B1C">
                    <w:rPr>
                      <w:sz w:val="20"/>
                      <w:lang w:val="fr-CA"/>
                    </w:rPr>
                    <w:t>La requête en autorisation d’appel est rejetée avec dépens.</w:t>
                  </w:r>
                </w:p>
                <w:p w:rsidR="009043BE" w:rsidRPr="00E54B1C" w:rsidRDefault="009043BE" w:rsidP="009043BE">
                  <w:pPr>
                    <w:jc w:val="both"/>
                    <w:rPr>
                      <w:sz w:val="20"/>
                      <w:lang w:val="fr-CA"/>
                    </w:rPr>
                  </w:pPr>
                </w:p>
              </w:tc>
            </w:tr>
            <w:tr w:rsidR="009043BE" w:rsidRPr="000631CF" w:rsidTr="009043BE">
              <w:tc>
                <w:tcPr>
                  <w:tcW w:w="2367" w:type="pct"/>
                </w:tcPr>
                <w:p w:rsidR="009043BE" w:rsidRPr="00E54B1C" w:rsidRDefault="009043BE" w:rsidP="009043BE">
                  <w:pPr>
                    <w:jc w:val="both"/>
                    <w:rPr>
                      <w:sz w:val="20"/>
                      <w:lang w:val="fr-CA"/>
                    </w:rPr>
                  </w:pPr>
                  <w:r w:rsidRPr="00E54B1C">
                    <w:rPr>
                      <w:sz w:val="20"/>
                      <w:lang w:val="fr-CA"/>
                    </w:rPr>
                    <w:t>28 février 2022</w:t>
                  </w:r>
                </w:p>
                <w:p w:rsidR="009043BE" w:rsidRPr="00E54B1C" w:rsidRDefault="009043BE" w:rsidP="009043BE">
                  <w:pPr>
                    <w:jc w:val="both"/>
                    <w:rPr>
                      <w:sz w:val="20"/>
                      <w:lang w:val="fr-CA"/>
                    </w:rPr>
                  </w:pPr>
                  <w:r w:rsidRPr="00E54B1C">
                    <w:rPr>
                      <w:sz w:val="20"/>
                      <w:lang w:val="fr-CA"/>
                    </w:rPr>
                    <w:t>Cour d’appel de l’Ontario</w:t>
                  </w:r>
                </w:p>
                <w:p w:rsidR="009043BE" w:rsidRPr="00E54B1C" w:rsidRDefault="009043BE" w:rsidP="009043BE">
                  <w:pPr>
                    <w:jc w:val="both"/>
                    <w:rPr>
                      <w:sz w:val="20"/>
                      <w:lang w:val="fr-CA"/>
                    </w:rPr>
                  </w:pPr>
                  <w:r w:rsidRPr="00E54B1C">
                    <w:rPr>
                      <w:sz w:val="20"/>
                      <w:lang w:val="fr-CA"/>
                    </w:rPr>
                    <w:t>(juges Feldman, MacPherson, Lauwers)</w:t>
                  </w:r>
                </w:p>
                <w:p w:rsidR="009043BE" w:rsidRPr="00E54B1C" w:rsidRDefault="009043BE" w:rsidP="009043BE">
                  <w:pPr>
                    <w:jc w:val="both"/>
                    <w:rPr>
                      <w:sz w:val="20"/>
                      <w:lang w:val="fr-CA"/>
                    </w:rPr>
                  </w:pPr>
                  <w:r w:rsidRPr="00E54B1C">
                    <w:rPr>
                      <w:sz w:val="20"/>
                      <w:lang w:val="fr-CA"/>
                    </w:rPr>
                    <w:t>M52920</w:t>
                  </w:r>
                </w:p>
                <w:p w:rsidR="009043BE" w:rsidRPr="00E54B1C" w:rsidRDefault="009043BE" w:rsidP="009043BE">
                  <w:pPr>
                    <w:jc w:val="both"/>
                    <w:rPr>
                      <w:sz w:val="20"/>
                      <w:lang w:val="fr-CA"/>
                    </w:rPr>
                  </w:pPr>
                </w:p>
              </w:tc>
              <w:tc>
                <w:tcPr>
                  <w:tcW w:w="267" w:type="pct"/>
                </w:tcPr>
                <w:p w:rsidR="009043BE" w:rsidRPr="00E54B1C" w:rsidRDefault="009043BE" w:rsidP="009043BE">
                  <w:pPr>
                    <w:jc w:val="both"/>
                    <w:rPr>
                      <w:sz w:val="20"/>
                      <w:lang w:val="fr-CA"/>
                    </w:rPr>
                  </w:pPr>
                </w:p>
              </w:tc>
              <w:tc>
                <w:tcPr>
                  <w:tcW w:w="2366" w:type="pct"/>
                </w:tcPr>
                <w:p w:rsidR="009043BE" w:rsidRPr="00E54B1C" w:rsidRDefault="009043BE" w:rsidP="009043BE">
                  <w:pPr>
                    <w:jc w:val="both"/>
                    <w:rPr>
                      <w:sz w:val="20"/>
                      <w:lang w:val="fr-CA"/>
                    </w:rPr>
                  </w:pPr>
                  <w:r w:rsidRPr="00E54B1C">
                    <w:rPr>
                      <w:sz w:val="20"/>
                      <w:lang w:val="fr-CA"/>
                    </w:rPr>
                    <w:t>La requête en autorisation d’appel est rejetée avec dépens.</w:t>
                  </w:r>
                </w:p>
              </w:tc>
            </w:tr>
            <w:tr w:rsidR="009043BE" w:rsidRPr="000631CF" w:rsidTr="009043BE">
              <w:tc>
                <w:tcPr>
                  <w:tcW w:w="2367" w:type="pct"/>
                </w:tcPr>
                <w:p w:rsidR="009043BE" w:rsidRPr="00E54B1C" w:rsidRDefault="009043BE" w:rsidP="009043BE">
                  <w:pPr>
                    <w:jc w:val="both"/>
                    <w:rPr>
                      <w:sz w:val="20"/>
                      <w:lang w:val="fr-CA"/>
                    </w:rPr>
                  </w:pPr>
                  <w:r w:rsidRPr="00E54B1C">
                    <w:rPr>
                      <w:sz w:val="20"/>
                      <w:lang w:val="fr-CA"/>
                    </w:rPr>
                    <w:t>14 avril 2022</w:t>
                  </w:r>
                </w:p>
                <w:p w:rsidR="009043BE" w:rsidRPr="00E54B1C" w:rsidRDefault="009043BE" w:rsidP="009043BE">
                  <w:pPr>
                    <w:jc w:val="both"/>
                    <w:rPr>
                      <w:sz w:val="20"/>
                      <w:lang w:val="fr-CA"/>
                    </w:rPr>
                  </w:pPr>
                  <w:r w:rsidRPr="00E54B1C">
                    <w:rPr>
                      <w:sz w:val="20"/>
                      <w:lang w:val="fr-CA"/>
                    </w:rPr>
                    <w:t>Cour suprême du Canada</w:t>
                  </w:r>
                </w:p>
                <w:p w:rsidR="009043BE" w:rsidRPr="00E54B1C" w:rsidRDefault="009043BE" w:rsidP="009043BE">
                  <w:pPr>
                    <w:jc w:val="both"/>
                    <w:rPr>
                      <w:sz w:val="20"/>
                      <w:lang w:val="fr-CA"/>
                    </w:rPr>
                  </w:pPr>
                </w:p>
              </w:tc>
              <w:tc>
                <w:tcPr>
                  <w:tcW w:w="267" w:type="pct"/>
                </w:tcPr>
                <w:p w:rsidR="009043BE" w:rsidRPr="00E54B1C" w:rsidRDefault="009043BE" w:rsidP="009043BE">
                  <w:pPr>
                    <w:jc w:val="both"/>
                    <w:rPr>
                      <w:sz w:val="20"/>
                      <w:lang w:val="fr-CA"/>
                    </w:rPr>
                  </w:pPr>
                </w:p>
              </w:tc>
              <w:tc>
                <w:tcPr>
                  <w:tcW w:w="2366" w:type="pct"/>
                </w:tcPr>
                <w:p w:rsidR="009043BE" w:rsidRPr="00E54B1C" w:rsidRDefault="009043BE" w:rsidP="009043BE">
                  <w:pPr>
                    <w:jc w:val="both"/>
                    <w:rPr>
                      <w:sz w:val="20"/>
                      <w:lang w:val="fr-CA"/>
                    </w:rPr>
                  </w:pPr>
                  <w:r w:rsidRPr="00E54B1C">
                    <w:rPr>
                      <w:color w:val="000000"/>
                      <w:sz w:val="20"/>
                      <w:lang w:val="fr-CA"/>
                    </w:rPr>
                    <w:t>La demande d’autorisation d’appel est présentée.</w:t>
                  </w:r>
                </w:p>
              </w:tc>
            </w:tr>
            <w:tr w:rsidR="009043BE" w:rsidRPr="000631CF" w:rsidTr="009043BE">
              <w:tc>
                <w:tcPr>
                  <w:tcW w:w="2367" w:type="pct"/>
                </w:tcPr>
                <w:p w:rsidR="009043BE" w:rsidRPr="00E54B1C" w:rsidRDefault="009043BE" w:rsidP="009043BE">
                  <w:pPr>
                    <w:jc w:val="both"/>
                    <w:rPr>
                      <w:sz w:val="20"/>
                      <w:lang w:val="fr-CA"/>
                    </w:rPr>
                  </w:pPr>
                  <w:r w:rsidRPr="00E54B1C">
                    <w:rPr>
                      <w:sz w:val="20"/>
                      <w:lang w:val="fr-CA"/>
                    </w:rPr>
                    <w:t>26 août 2022</w:t>
                  </w:r>
                </w:p>
                <w:p w:rsidR="009043BE" w:rsidRPr="00E54B1C" w:rsidRDefault="009043BE" w:rsidP="009043BE">
                  <w:pPr>
                    <w:jc w:val="both"/>
                    <w:rPr>
                      <w:sz w:val="20"/>
                      <w:lang w:val="fr-CA"/>
                    </w:rPr>
                  </w:pPr>
                  <w:r w:rsidRPr="00E54B1C">
                    <w:rPr>
                      <w:sz w:val="20"/>
                      <w:lang w:val="fr-CA"/>
                    </w:rPr>
                    <w:t>Cour suprême du Canada</w:t>
                  </w:r>
                </w:p>
                <w:p w:rsidR="009043BE" w:rsidRPr="00E54B1C" w:rsidRDefault="009043BE" w:rsidP="009043BE">
                  <w:pPr>
                    <w:jc w:val="both"/>
                    <w:rPr>
                      <w:sz w:val="20"/>
                      <w:lang w:val="fr-CA"/>
                    </w:rPr>
                  </w:pPr>
                </w:p>
                <w:p w:rsidR="009043BE" w:rsidRPr="00E54B1C" w:rsidRDefault="009043BE" w:rsidP="009043BE">
                  <w:pPr>
                    <w:jc w:val="both"/>
                    <w:rPr>
                      <w:sz w:val="20"/>
                      <w:lang w:val="fr-CA"/>
                    </w:rPr>
                  </w:pPr>
                </w:p>
              </w:tc>
              <w:tc>
                <w:tcPr>
                  <w:tcW w:w="267" w:type="pct"/>
                </w:tcPr>
                <w:p w:rsidR="009043BE" w:rsidRPr="00E54B1C" w:rsidRDefault="009043BE" w:rsidP="009043BE">
                  <w:pPr>
                    <w:jc w:val="both"/>
                    <w:rPr>
                      <w:sz w:val="20"/>
                      <w:lang w:val="fr-CA"/>
                    </w:rPr>
                  </w:pPr>
                </w:p>
              </w:tc>
              <w:tc>
                <w:tcPr>
                  <w:tcW w:w="2366" w:type="pct"/>
                </w:tcPr>
                <w:p w:rsidR="009043BE" w:rsidRPr="00E54B1C" w:rsidRDefault="009043BE" w:rsidP="009043BE">
                  <w:pPr>
                    <w:jc w:val="both"/>
                    <w:rPr>
                      <w:sz w:val="20"/>
                      <w:lang w:val="fr-CA"/>
                    </w:rPr>
                  </w:pPr>
                  <w:r w:rsidRPr="00E54B1C">
                    <w:rPr>
                      <w:color w:val="000000"/>
                      <w:sz w:val="20"/>
                      <w:lang w:val="fr-CA"/>
                    </w:rPr>
                    <w:t xml:space="preserve">La requête en prorogation du délai de dépôt de la réplique est présentée par </w:t>
                  </w:r>
                  <w:r w:rsidRPr="00E54B1C">
                    <w:rPr>
                      <w:sz w:val="20"/>
                      <w:lang w:val="fr-CA"/>
                    </w:rPr>
                    <w:t>10306398 Canada Ltd. et Chris Amon.</w:t>
                  </w:r>
                  <w:r w:rsidRPr="00E54B1C">
                    <w:rPr>
                      <w:color w:val="000000"/>
                      <w:sz w:val="20"/>
                      <w:lang w:val="fr-CA"/>
                    </w:rPr>
                    <w:t xml:space="preserve"> </w:t>
                  </w:r>
                </w:p>
                <w:p w:rsidR="009043BE" w:rsidRPr="00E54B1C" w:rsidRDefault="009043BE" w:rsidP="009043BE">
                  <w:pPr>
                    <w:jc w:val="both"/>
                    <w:rPr>
                      <w:sz w:val="20"/>
                      <w:lang w:val="fr-CA"/>
                    </w:rPr>
                  </w:pPr>
                </w:p>
              </w:tc>
            </w:tr>
            <w:tr w:rsidR="009043BE" w:rsidRPr="000631CF" w:rsidTr="009043BE">
              <w:tc>
                <w:tcPr>
                  <w:tcW w:w="2367" w:type="pct"/>
                </w:tcPr>
                <w:p w:rsidR="009043BE" w:rsidRPr="00E54B1C" w:rsidRDefault="009043BE" w:rsidP="009043BE">
                  <w:pPr>
                    <w:jc w:val="both"/>
                    <w:rPr>
                      <w:sz w:val="20"/>
                      <w:lang w:val="fr-CA"/>
                    </w:rPr>
                  </w:pPr>
                  <w:r w:rsidRPr="00E54B1C">
                    <w:rPr>
                      <w:sz w:val="20"/>
                      <w:lang w:val="fr-CA"/>
                    </w:rPr>
                    <w:t>29 août 2022</w:t>
                  </w:r>
                </w:p>
                <w:p w:rsidR="009043BE" w:rsidRPr="00E54B1C" w:rsidRDefault="009043BE" w:rsidP="009043BE">
                  <w:pPr>
                    <w:jc w:val="both"/>
                    <w:rPr>
                      <w:sz w:val="20"/>
                      <w:lang w:val="fr-CA"/>
                    </w:rPr>
                  </w:pPr>
                  <w:r w:rsidRPr="00E54B1C">
                    <w:rPr>
                      <w:sz w:val="20"/>
                      <w:lang w:val="fr-CA"/>
                    </w:rPr>
                    <w:t>Cour suprême du Canada</w:t>
                  </w:r>
                </w:p>
                <w:p w:rsidR="009043BE" w:rsidRPr="00E54B1C" w:rsidRDefault="009043BE" w:rsidP="009043BE">
                  <w:pPr>
                    <w:jc w:val="both"/>
                    <w:rPr>
                      <w:sz w:val="20"/>
                      <w:lang w:val="fr-CA"/>
                    </w:rPr>
                  </w:pPr>
                </w:p>
              </w:tc>
              <w:tc>
                <w:tcPr>
                  <w:tcW w:w="267" w:type="pct"/>
                </w:tcPr>
                <w:p w:rsidR="009043BE" w:rsidRPr="00E54B1C" w:rsidRDefault="009043BE" w:rsidP="009043BE">
                  <w:pPr>
                    <w:jc w:val="both"/>
                    <w:rPr>
                      <w:sz w:val="20"/>
                      <w:lang w:val="fr-CA"/>
                    </w:rPr>
                  </w:pPr>
                </w:p>
              </w:tc>
              <w:tc>
                <w:tcPr>
                  <w:tcW w:w="2366" w:type="pct"/>
                </w:tcPr>
                <w:p w:rsidR="009043BE" w:rsidRPr="00E54B1C" w:rsidRDefault="009043BE" w:rsidP="00E54B1C">
                  <w:pPr>
                    <w:jc w:val="both"/>
                    <w:rPr>
                      <w:sz w:val="20"/>
                      <w:lang w:val="fr-CA"/>
                    </w:rPr>
                  </w:pPr>
                  <w:r w:rsidRPr="00E54B1C">
                    <w:rPr>
                      <w:color w:val="000000"/>
                      <w:sz w:val="20"/>
                      <w:lang w:val="fr-CA"/>
                    </w:rPr>
                    <w:t xml:space="preserve">La requête en prorogation du délai de dépôt de la réplique est présentée par </w:t>
                  </w:r>
                  <w:r w:rsidRPr="00E54B1C">
                    <w:rPr>
                      <w:sz w:val="20"/>
                      <w:lang w:val="fr-CA"/>
                    </w:rPr>
                    <w:t>Corporation of the Municip</w:t>
                  </w:r>
                  <w:r w:rsidR="00E54B1C" w:rsidRPr="00E54B1C">
                    <w:rPr>
                      <w:sz w:val="20"/>
                      <w:lang w:val="fr-CA"/>
                    </w:rPr>
                    <w:t>ality of West Nipissing, et al.</w:t>
                  </w:r>
                </w:p>
              </w:tc>
            </w:tr>
          </w:tbl>
          <w:p w:rsidR="009043BE" w:rsidRPr="00E54B1C" w:rsidRDefault="009043BE" w:rsidP="009043BE">
            <w:pPr>
              <w:jc w:val="both"/>
              <w:rPr>
                <w:sz w:val="20"/>
                <w:lang w:val="fr-CA"/>
              </w:rPr>
            </w:pPr>
          </w:p>
        </w:tc>
      </w:tr>
    </w:tbl>
    <w:p w:rsidR="009043BE" w:rsidRPr="00E54B1C" w:rsidRDefault="009043BE" w:rsidP="009043BE">
      <w:pPr>
        <w:jc w:val="both"/>
        <w:rPr>
          <w:sz w:val="20"/>
          <w:lang w:val="fr-CA"/>
        </w:rPr>
      </w:pPr>
    </w:p>
    <w:p w:rsidR="00E54B1C" w:rsidRPr="00E54B1C" w:rsidRDefault="000631CF" w:rsidP="009043BE">
      <w:pPr>
        <w:jc w:val="both"/>
        <w:rPr>
          <w:sz w:val="20"/>
          <w:lang w:val="fr-CA"/>
        </w:rPr>
      </w:pPr>
      <w:r>
        <w:rPr>
          <w:sz w:val="20"/>
        </w:rPr>
        <w:pict>
          <v:rect id="_x0000_i1036" style="width:2in;height:1pt" o:hrpct="0" o:hralign="center" o:hrstd="t" o:hrnoshade="t" o:hr="t" fillcolor="black [3213]" stroked="f"/>
        </w:pict>
      </w:r>
    </w:p>
    <w:p w:rsidR="00E54B1C" w:rsidRPr="00E54B1C" w:rsidRDefault="00E54B1C" w:rsidP="009043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t>40308</w:t>
            </w:r>
          </w:p>
        </w:tc>
        <w:tc>
          <w:tcPr>
            <w:tcW w:w="4457" w:type="pct"/>
            <w:gridSpan w:val="3"/>
          </w:tcPr>
          <w:p w:rsidR="009043BE" w:rsidRPr="00E54B1C" w:rsidRDefault="009043BE" w:rsidP="009043BE">
            <w:pPr>
              <w:pStyle w:val="SCCLsocParty"/>
              <w:jc w:val="both"/>
              <w:rPr>
                <w:b/>
                <w:sz w:val="20"/>
                <w:szCs w:val="20"/>
                <w:lang w:val="en-US"/>
              </w:rPr>
            </w:pPr>
            <w:r w:rsidRPr="00E54B1C">
              <w:rPr>
                <w:b/>
                <w:sz w:val="20"/>
                <w:szCs w:val="20"/>
                <w:lang w:val="en-US"/>
              </w:rPr>
              <w:t>Ochapowace Ski Resort Inc., 594265 Saskatchewan Ltd., Ochapowace Band, Denton George v. His Majesty the King</w:t>
            </w:r>
          </w:p>
          <w:p w:rsidR="009043BE" w:rsidRPr="00E54B1C" w:rsidRDefault="009043BE" w:rsidP="009043BE">
            <w:pPr>
              <w:jc w:val="both"/>
              <w:rPr>
                <w:sz w:val="20"/>
              </w:rPr>
            </w:pPr>
            <w:r w:rsidRPr="00E54B1C">
              <w:rPr>
                <w:sz w:val="20"/>
              </w:rPr>
              <w:t>(Sask.) (Civil) (By Leave)</w:t>
            </w:r>
          </w:p>
        </w:tc>
      </w:tr>
      <w:tr w:rsidR="009043BE" w:rsidRPr="00E54B1C" w:rsidTr="009043BE">
        <w:tc>
          <w:tcPr>
            <w:tcW w:w="5000" w:type="pct"/>
            <w:gridSpan w:val="4"/>
          </w:tcPr>
          <w:p w:rsidR="009043BE" w:rsidRPr="00E54B1C" w:rsidRDefault="009043BE" w:rsidP="009043BE">
            <w:pPr>
              <w:jc w:val="both"/>
              <w:rPr>
                <w:sz w:val="20"/>
              </w:rPr>
            </w:pPr>
            <w:r w:rsidRPr="00E54B1C">
              <w:rPr>
                <w:sz w:val="20"/>
              </w:rPr>
              <w:t>Civil procedure — Time — Aboriginal law — Self-government — Treaty rights — Crown law — Honour of the Crown — Applicants who were found guilty of failing to file goods and services tax returns filing notice of appeal but not perfecting appeal — Courts below dismissing appeal for want of prosecution — Whether First Nations should be required to administer federal taxes — Whether the honour of the Crown extends to litigation.</w:t>
            </w:r>
          </w:p>
        </w:tc>
      </w:tr>
      <w:tr w:rsidR="009043BE" w:rsidRPr="00E54B1C" w:rsidTr="009043BE">
        <w:tc>
          <w:tcPr>
            <w:tcW w:w="5000" w:type="pct"/>
            <w:gridSpan w:val="4"/>
          </w:tcPr>
          <w:p w:rsidR="009043BE" w:rsidRPr="00E54B1C" w:rsidRDefault="009043BE" w:rsidP="009043BE">
            <w:pPr>
              <w:jc w:val="both"/>
              <w:rPr>
                <w:sz w:val="20"/>
              </w:rPr>
            </w:pPr>
          </w:p>
          <w:p w:rsidR="009043BE" w:rsidRPr="00E54B1C" w:rsidRDefault="009043BE" w:rsidP="009043BE">
            <w:pPr>
              <w:jc w:val="both"/>
              <w:rPr>
                <w:sz w:val="20"/>
              </w:rPr>
            </w:pPr>
            <w:r w:rsidRPr="00E54B1C">
              <w:rPr>
                <w:sz w:val="20"/>
              </w:rPr>
              <w:t xml:space="preserve">A ski resort was operated on the Ochapowace reserve. The operators of the resort, the Band and the Band’s chief refused to collect and remit the good and services tax (“GST”) from non-Indigenous patrons from 1991 to mid-1997, or to allow for an audit to be conducted. An information was laid against the applicants pursuant to the </w:t>
            </w:r>
            <w:r w:rsidRPr="00E54B1C">
              <w:rPr>
                <w:i/>
                <w:sz w:val="20"/>
              </w:rPr>
              <w:t>Excise Tax Act</w:t>
            </w:r>
            <w:r w:rsidRPr="00E54B1C">
              <w:rPr>
                <w:sz w:val="20"/>
              </w:rPr>
              <w:t xml:space="preserve">, R.S.C 1985, </w:t>
            </w:r>
            <w:proofErr w:type="gramStart"/>
            <w:r w:rsidRPr="00E54B1C">
              <w:rPr>
                <w:sz w:val="20"/>
              </w:rPr>
              <w:t>c</w:t>
            </w:r>
            <w:proofErr w:type="gramEnd"/>
            <w:r w:rsidRPr="00E54B1C">
              <w:rPr>
                <w:sz w:val="20"/>
              </w:rPr>
              <w:t>. E-15. The applicants advanced various defences at trial, but the trial judge rejected their arguments that the requirement to collect and remit tax was a breach of an Aboriginal or treaty right, or that the law recognized self-governance in a way that would exempt the applicants from collecting and remitting the tax for another government. In 2002, he found the Ochapowace Band and its chief guilty of failing to file GST returns. The applicants filed a notice of appeal. Fifteen years later, the Crown applied to dismiss the appeal for want of prosecution. The Court of Queen’s Bench granted the Crown’s application and dismissed the applicants’ appeal. The Court of Appeal allowed the applicants’ application for leave to appeal but dismissed their appeal.</w:t>
            </w:r>
          </w:p>
        </w:tc>
      </w:tr>
      <w:tr w:rsidR="009043BE" w:rsidRPr="00E54B1C" w:rsidTr="009043BE">
        <w:tc>
          <w:tcPr>
            <w:tcW w:w="5000" w:type="pct"/>
            <w:gridSpan w:val="4"/>
          </w:tcPr>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September 12, 2002</w:t>
            </w:r>
          </w:p>
          <w:p w:rsidR="009043BE" w:rsidRPr="00E54B1C" w:rsidRDefault="009043BE" w:rsidP="009043BE">
            <w:pPr>
              <w:jc w:val="both"/>
              <w:rPr>
                <w:sz w:val="20"/>
              </w:rPr>
            </w:pPr>
            <w:r w:rsidRPr="00E54B1C">
              <w:rPr>
                <w:sz w:val="20"/>
              </w:rPr>
              <w:t>Provincial Court of Saskatchewan</w:t>
            </w:r>
          </w:p>
          <w:p w:rsidR="009043BE" w:rsidRPr="00E54B1C" w:rsidRDefault="009043BE" w:rsidP="009043BE">
            <w:pPr>
              <w:jc w:val="both"/>
              <w:rPr>
                <w:sz w:val="20"/>
              </w:rPr>
            </w:pPr>
            <w:r w:rsidRPr="00E54B1C">
              <w:rPr>
                <w:sz w:val="20"/>
              </w:rPr>
              <w:t>(Rathgeber P.C.J.)</w:t>
            </w:r>
          </w:p>
          <w:p w:rsidR="009043BE" w:rsidRPr="00E54B1C" w:rsidRDefault="000631CF" w:rsidP="009043BE">
            <w:pPr>
              <w:jc w:val="both"/>
              <w:rPr>
                <w:sz w:val="20"/>
              </w:rPr>
            </w:pPr>
            <w:hyperlink r:id="rId36" w:history="1">
              <w:r w:rsidR="009043BE" w:rsidRPr="00E54B1C">
                <w:rPr>
                  <w:rStyle w:val="Hyperlink"/>
                  <w:sz w:val="20"/>
                </w:rPr>
                <w:t>2002 SKPC 84</w:t>
              </w:r>
            </w:hyperlink>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Ochapowace Band and Denton George found guilty of failing to file GST returns</w:t>
            </w:r>
          </w:p>
        </w:tc>
      </w:tr>
      <w:tr w:rsidR="009043BE" w:rsidRPr="00E54B1C" w:rsidTr="009043BE">
        <w:tc>
          <w:tcPr>
            <w:tcW w:w="2427" w:type="pct"/>
            <w:gridSpan w:val="2"/>
          </w:tcPr>
          <w:p w:rsidR="009043BE" w:rsidRPr="00E54B1C" w:rsidRDefault="009043BE" w:rsidP="009043BE">
            <w:pPr>
              <w:jc w:val="both"/>
              <w:rPr>
                <w:sz w:val="20"/>
              </w:rPr>
            </w:pPr>
            <w:r w:rsidRPr="00E54B1C">
              <w:rPr>
                <w:sz w:val="20"/>
              </w:rPr>
              <w:t>January 7, 2019</w:t>
            </w:r>
          </w:p>
          <w:p w:rsidR="009043BE" w:rsidRPr="00E54B1C" w:rsidRDefault="009043BE" w:rsidP="009043BE">
            <w:pPr>
              <w:jc w:val="both"/>
              <w:rPr>
                <w:sz w:val="20"/>
              </w:rPr>
            </w:pPr>
            <w:r w:rsidRPr="00E54B1C">
              <w:rPr>
                <w:sz w:val="20"/>
              </w:rPr>
              <w:t>Court of Queen’s Bench of Saskatchewan</w:t>
            </w:r>
          </w:p>
          <w:p w:rsidR="009043BE" w:rsidRPr="00E54B1C" w:rsidRDefault="009043BE" w:rsidP="009043BE">
            <w:pPr>
              <w:jc w:val="both"/>
              <w:rPr>
                <w:sz w:val="20"/>
              </w:rPr>
            </w:pPr>
            <w:r w:rsidRPr="00E54B1C">
              <w:rPr>
                <w:sz w:val="20"/>
              </w:rPr>
              <w:t>(Krogan J.)</w:t>
            </w:r>
          </w:p>
          <w:p w:rsidR="009043BE" w:rsidRPr="00E54B1C" w:rsidRDefault="000631CF" w:rsidP="009043BE">
            <w:pPr>
              <w:jc w:val="both"/>
              <w:rPr>
                <w:sz w:val="20"/>
              </w:rPr>
            </w:pPr>
            <w:hyperlink r:id="rId37" w:history="1">
              <w:r w:rsidR="009043BE" w:rsidRPr="00E54B1C">
                <w:rPr>
                  <w:rStyle w:val="Hyperlink"/>
                  <w:sz w:val="20"/>
                </w:rPr>
                <w:t>2019 SKQB 5</w:t>
              </w:r>
            </w:hyperlink>
            <w:r w:rsidR="009043BE" w:rsidRPr="00E54B1C">
              <w:rPr>
                <w:sz w:val="20"/>
              </w:rPr>
              <w:t xml:space="preserve"> </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Respondent’s application to dismiss appeal for want of prosecution granted</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May 12, 2022</w:t>
            </w:r>
          </w:p>
          <w:p w:rsidR="009043BE" w:rsidRPr="00E54B1C" w:rsidRDefault="009043BE" w:rsidP="009043BE">
            <w:pPr>
              <w:jc w:val="both"/>
              <w:rPr>
                <w:sz w:val="20"/>
              </w:rPr>
            </w:pPr>
            <w:r w:rsidRPr="00E54B1C">
              <w:rPr>
                <w:sz w:val="20"/>
              </w:rPr>
              <w:t>Court of Appeal for Saskatchewan</w:t>
            </w:r>
          </w:p>
          <w:p w:rsidR="009043BE" w:rsidRPr="00E54B1C" w:rsidRDefault="009043BE" w:rsidP="009043BE">
            <w:pPr>
              <w:jc w:val="both"/>
              <w:rPr>
                <w:sz w:val="20"/>
              </w:rPr>
            </w:pPr>
            <w:r w:rsidRPr="00E54B1C">
              <w:rPr>
                <w:sz w:val="20"/>
              </w:rPr>
              <w:t>(Richards C.J. and Schwann and Tholl JJ.A.)</w:t>
            </w:r>
          </w:p>
          <w:p w:rsidR="009043BE" w:rsidRPr="00E54B1C" w:rsidRDefault="000631CF" w:rsidP="009043BE">
            <w:pPr>
              <w:jc w:val="both"/>
              <w:rPr>
                <w:sz w:val="20"/>
              </w:rPr>
            </w:pPr>
            <w:hyperlink r:id="rId38" w:history="1">
              <w:r w:rsidR="009043BE" w:rsidRPr="00E54B1C">
                <w:rPr>
                  <w:rStyle w:val="Hyperlink"/>
                  <w:sz w:val="20"/>
                </w:rPr>
                <w:t>2022 SKCA 58</w:t>
              </w:r>
            </w:hyperlink>
            <w:r w:rsidR="009043BE" w:rsidRPr="00E54B1C">
              <w:rPr>
                <w:sz w:val="20"/>
              </w:rPr>
              <w:t xml:space="preserve">  (File number: CACR3222)</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 xml:space="preserve">Applicants’ application for leave to appeal granted; appeal dismissed </w:t>
            </w:r>
          </w:p>
        </w:tc>
      </w:tr>
      <w:tr w:rsidR="009043BE" w:rsidRPr="00E54B1C" w:rsidTr="009043BE">
        <w:tc>
          <w:tcPr>
            <w:tcW w:w="2427" w:type="pct"/>
            <w:gridSpan w:val="2"/>
          </w:tcPr>
          <w:p w:rsidR="009043BE" w:rsidRPr="00E54B1C" w:rsidRDefault="009043BE" w:rsidP="009043BE">
            <w:pPr>
              <w:jc w:val="both"/>
              <w:rPr>
                <w:sz w:val="20"/>
              </w:rPr>
            </w:pPr>
            <w:r w:rsidRPr="00E54B1C">
              <w:rPr>
                <w:sz w:val="20"/>
              </w:rPr>
              <w:t>August 11, 2022</w:t>
            </w:r>
          </w:p>
          <w:p w:rsidR="009043BE" w:rsidRPr="00E54B1C" w:rsidRDefault="009043BE" w:rsidP="009043BE">
            <w:pPr>
              <w:jc w:val="both"/>
              <w:rPr>
                <w:sz w:val="20"/>
              </w:rPr>
            </w:pPr>
            <w:r w:rsidRPr="00E54B1C">
              <w:rPr>
                <w:sz w:val="20"/>
              </w:rPr>
              <w:t>Supreme Court of Canada</w:t>
            </w: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Application for leave to appeal filed</w:t>
            </w:r>
          </w:p>
          <w:p w:rsidR="009043BE" w:rsidRPr="00E54B1C" w:rsidRDefault="009043BE" w:rsidP="009043BE">
            <w:pPr>
              <w:jc w:val="both"/>
              <w:rPr>
                <w:sz w:val="20"/>
              </w:rPr>
            </w:pPr>
          </w:p>
        </w:tc>
      </w:tr>
    </w:tbl>
    <w:p w:rsidR="009043BE" w:rsidRPr="00E54B1C" w:rsidRDefault="009043BE" w:rsidP="009043BE">
      <w:pPr>
        <w:jc w:val="both"/>
        <w:rPr>
          <w:sz w:val="20"/>
        </w:rPr>
      </w:pPr>
    </w:p>
    <w:p w:rsidR="00E54B1C" w:rsidRPr="00E54B1C" w:rsidRDefault="000631CF" w:rsidP="009043BE">
      <w:pPr>
        <w:jc w:val="both"/>
        <w:rPr>
          <w:sz w:val="20"/>
        </w:rPr>
      </w:pPr>
      <w:r>
        <w:rPr>
          <w:sz w:val="20"/>
        </w:rPr>
        <w:pict>
          <v:rect id="_x0000_i1037" style="width:2in;height:1pt" o:hrpct="0" o:hralign="center" o:hrstd="t" o:hrnoshade="t" o:hr="t" fillcolor="black [3213]" stroked="f"/>
        </w:pict>
      </w:r>
    </w:p>
    <w:p w:rsidR="00E54B1C" w:rsidRPr="00E54B1C" w:rsidRDefault="00E54B1C" w:rsidP="009043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lang w:val="fr-CA"/>
              </w:rPr>
            </w:pPr>
            <w:r w:rsidRPr="00E54B1C">
              <w:rPr>
                <w:rStyle w:val="SCCFileNumberChar"/>
                <w:sz w:val="20"/>
                <w:szCs w:val="20"/>
                <w:lang w:val="fr-CA"/>
              </w:rPr>
              <w:t>40308</w:t>
            </w:r>
          </w:p>
        </w:tc>
        <w:tc>
          <w:tcPr>
            <w:tcW w:w="4457" w:type="pct"/>
            <w:gridSpan w:val="3"/>
          </w:tcPr>
          <w:p w:rsidR="009043BE" w:rsidRPr="00E54B1C" w:rsidRDefault="009043BE" w:rsidP="009043BE">
            <w:pPr>
              <w:pStyle w:val="SCCLsocParty"/>
              <w:jc w:val="both"/>
              <w:rPr>
                <w:b/>
                <w:sz w:val="20"/>
                <w:szCs w:val="20"/>
              </w:rPr>
            </w:pPr>
            <w:r w:rsidRPr="00E54B1C">
              <w:rPr>
                <w:b/>
                <w:sz w:val="20"/>
                <w:szCs w:val="20"/>
              </w:rPr>
              <w:t>Ochapowace Ski Resort Inc., 594265 Saskatchewan Ltd., bande d’Ochapowace, Denton George c. Sa Majesté le Roi</w:t>
            </w:r>
          </w:p>
          <w:p w:rsidR="009043BE" w:rsidRPr="00E54B1C" w:rsidRDefault="009043BE" w:rsidP="00E54B1C">
            <w:pPr>
              <w:jc w:val="both"/>
              <w:rPr>
                <w:sz w:val="20"/>
                <w:lang w:val="fr-CA"/>
              </w:rPr>
            </w:pPr>
            <w:r w:rsidRPr="00E54B1C">
              <w:rPr>
                <w:sz w:val="20"/>
                <w:lang w:val="fr-CA"/>
              </w:rPr>
              <w:t>(Sask.) (</w:t>
            </w:r>
            <w:r w:rsidR="00E54B1C" w:rsidRPr="00E54B1C">
              <w:rPr>
                <w:sz w:val="20"/>
                <w:lang w:val="fr-CA"/>
              </w:rPr>
              <w:t>C</w:t>
            </w:r>
            <w:r w:rsidRPr="00E54B1C">
              <w:rPr>
                <w:sz w:val="20"/>
                <w:lang w:val="fr-CA"/>
              </w:rPr>
              <w:t>ivile) (</w:t>
            </w:r>
            <w:r w:rsidR="00E54B1C" w:rsidRPr="00E54B1C">
              <w:rPr>
                <w:sz w:val="20"/>
                <w:lang w:val="fr-CA"/>
              </w:rPr>
              <w:t>S</w:t>
            </w:r>
            <w:r w:rsidRPr="00E54B1C">
              <w:rPr>
                <w:sz w:val="20"/>
                <w:lang w:val="fr-CA"/>
              </w:rPr>
              <w:t>ur autorisation)</w:t>
            </w:r>
          </w:p>
        </w:tc>
      </w:tr>
      <w:tr w:rsidR="009043BE" w:rsidRPr="000631CF" w:rsidTr="009043BE">
        <w:tc>
          <w:tcPr>
            <w:tcW w:w="5000" w:type="pct"/>
            <w:gridSpan w:val="4"/>
          </w:tcPr>
          <w:p w:rsidR="009043BE" w:rsidRPr="00E54B1C" w:rsidRDefault="009043BE" w:rsidP="009043BE">
            <w:pPr>
              <w:jc w:val="both"/>
              <w:rPr>
                <w:sz w:val="20"/>
                <w:lang w:val="fr-CA"/>
              </w:rPr>
            </w:pPr>
            <w:r w:rsidRPr="00E54B1C">
              <w:rPr>
                <w:sz w:val="20"/>
                <w:lang w:val="fr-CA"/>
              </w:rPr>
              <w:t>Procédure civile — Délais — Droit des Autochtones — Autonomie gouvernementale — Droits issus de traités — Droit de la Couronne — Honneur de la Couronne — Des demandeurs qui ont été déclarés coupables d’avoir omis de produire des déclarations de la taxe sur les produits et services ont déposé un avis d’appel, mais n’ont pas mis l’appel en état — Les tribunaux d’instances inférieures ont rejeté l’appel pour défaut de poursuivre — Les Premières Nations devraient-elles être tenues d’administrer les taxes fédérales ? — L’honneur de la Couronne s’étend-il aux litiges ?</w:t>
            </w:r>
          </w:p>
        </w:tc>
      </w:tr>
      <w:tr w:rsidR="009043BE" w:rsidRPr="000631CF" w:rsidTr="009043BE">
        <w:tc>
          <w:tcPr>
            <w:tcW w:w="5000" w:type="pct"/>
            <w:gridSpan w:val="4"/>
          </w:tcPr>
          <w:p w:rsidR="009043BE" w:rsidRPr="00E54B1C" w:rsidRDefault="009043BE" w:rsidP="009043BE">
            <w:pPr>
              <w:jc w:val="both"/>
              <w:rPr>
                <w:sz w:val="20"/>
                <w:lang w:val="fr-CA"/>
              </w:rPr>
            </w:pPr>
          </w:p>
          <w:p w:rsidR="009043BE" w:rsidRPr="00E54B1C" w:rsidRDefault="009043BE" w:rsidP="009043BE">
            <w:pPr>
              <w:jc w:val="both"/>
              <w:rPr>
                <w:sz w:val="20"/>
                <w:lang w:val="fr-CA"/>
              </w:rPr>
            </w:pPr>
            <w:r w:rsidRPr="00E54B1C">
              <w:rPr>
                <w:sz w:val="20"/>
                <w:lang w:val="fr-CA"/>
              </w:rPr>
              <w:t xml:space="preserve">Une station de ski était exploitée sur une réserve d’Ochapowace. De 1991 jusqu’à la mi-1997, les exploitants de la station, la bande et le chef de la bande ont refusé de percevoir la taxe sur les produits et services (« TPS ») auprès des clients non autochtones et de la remettre, ou de permettre qu’une vérification soit menée. Une dénonciation a été déposée contre les demandeurs en vertu de la </w:t>
            </w:r>
            <w:r w:rsidRPr="00E54B1C">
              <w:rPr>
                <w:i/>
                <w:sz w:val="20"/>
                <w:lang w:val="fr-CA"/>
              </w:rPr>
              <w:t>Loi sur la taxe d’accise</w:t>
            </w:r>
            <w:r w:rsidRPr="00E54B1C">
              <w:rPr>
                <w:sz w:val="20"/>
                <w:lang w:val="fr-CA"/>
              </w:rPr>
              <w:t>, L.R.C. (1985), ch. E-15. Les demandeurs ont fait valoir divers moyens de défense lors du procès, mais le juge du procès a rejeté leurs arguments à savoir que l’obligation de percevoir et de remettre la taxe porte atteinte à un droit ancestral ou issu de traité, ou que la loi reconnaît l’autonomie gouvernementale de façon à soustraire les demandeurs de l’obligation de percevoir et de remettre la taxe pour un autre gouvernement. En 2002, il a déclaré la bande d’Ochapowace et son chef coupables d’avoir omis de produire des déclarations de la TPS. Les demandeurs ont présenté un avis d’appel. Quinze ans plus tard, la Couronne a présenté une demande visant le rejet de l’appel pour défaut de poursuivre. La Cour du Banc de la Reine a accueilli la demande de la Couronne et a rejeté l’appel des demandeurs. La Cour d’appel a accueilli la demande d’autorisation d’appel des demandeurs, mais a rejeté leur appel.</w:t>
            </w:r>
          </w:p>
        </w:tc>
      </w:tr>
      <w:tr w:rsidR="009043BE" w:rsidRPr="000631CF" w:rsidTr="009043BE">
        <w:tc>
          <w:tcPr>
            <w:tcW w:w="5000" w:type="pct"/>
            <w:gridSpan w:val="4"/>
          </w:tcPr>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12 septembre 2002</w:t>
            </w:r>
          </w:p>
          <w:p w:rsidR="009043BE" w:rsidRPr="00E54B1C" w:rsidRDefault="009043BE" w:rsidP="009043BE">
            <w:pPr>
              <w:jc w:val="both"/>
              <w:rPr>
                <w:sz w:val="20"/>
                <w:lang w:val="fr-CA"/>
              </w:rPr>
            </w:pPr>
            <w:r w:rsidRPr="00E54B1C">
              <w:rPr>
                <w:sz w:val="20"/>
                <w:lang w:val="fr-CA"/>
              </w:rPr>
              <w:t>Cour provinciale de la Saskatchewan</w:t>
            </w:r>
          </w:p>
          <w:p w:rsidR="009043BE" w:rsidRPr="00E54B1C" w:rsidRDefault="009043BE" w:rsidP="009043BE">
            <w:pPr>
              <w:jc w:val="both"/>
              <w:rPr>
                <w:sz w:val="20"/>
                <w:lang w:val="fr-CA"/>
              </w:rPr>
            </w:pPr>
            <w:r w:rsidRPr="00E54B1C">
              <w:rPr>
                <w:sz w:val="20"/>
                <w:lang w:val="fr-CA"/>
              </w:rPr>
              <w:t>(juge Rathgeber)</w:t>
            </w:r>
          </w:p>
          <w:p w:rsidR="009043BE" w:rsidRPr="00E54B1C" w:rsidRDefault="000631CF" w:rsidP="009043BE">
            <w:pPr>
              <w:jc w:val="both"/>
              <w:rPr>
                <w:sz w:val="20"/>
                <w:lang w:val="fr-CA"/>
              </w:rPr>
            </w:pPr>
            <w:hyperlink r:id="rId39" w:history="1">
              <w:r w:rsidR="009043BE" w:rsidRPr="00E54B1C">
                <w:rPr>
                  <w:rStyle w:val="Hyperlink"/>
                  <w:sz w:val="20"/>
                  <w:lang w:val="fr-CA"/>
                </w:rPr>
                <w:t>2002 SKPC 84</w:t>
              </w:r>
            </w:hyperlink>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La bande d’Ochapowace et Denton George sont déclarés coupables d’avoir omis de produire des déclarations de la TPS.</w:t>
            </w: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7 janvier 2019</w:t>
            </w:r>
          </w:p>
          <w:p w:rsidR="009043BE" w:rsidRPr="00E54B1C" w:rsidRDefault="009043BE" w:rsidP="009043BE">
            <w:pPr>
              <w:jc w:val="both"/>
              <w:rPr>
                <w:sz w:val="20"/>
                <w:lang w:val="fr-CA"/>
              </w:rPr>
            </w:pPr>
            <w:r w:rsidRPr="00E54B1C">
              <w:rPr>
                <w:sz w:val="20"/>
                <w:lang w:val="fr-CA"/>
              </w:rPr>
              <w:t>Cour du Banc de la Reine de la Saskatchewan</w:t>
            </w:r>
          </w:p>
          <w:p w:rsidR="009043BE" w:rsidRPr="00E54B1C" w:rsidRDefault="009043BE" w:rsidP="009043BE">
            <w:pPr>
              <w:jc w:val="both"/>
              <w:rPr>
                <w:sz w:val="20"/>
                <w:lang w:val="fr-CA"/>
              </w:rPr>
            </w:pPr>
            <w:r w:rsidRPr="00E54B1C">
              <w:rPr>
                <w:sz w:val="20"/>
                <w:lang w:val="fr-CA"/>
              </w:rPr>
              <w:t>(juge Krogan)</w:t>
            </w:r>
          </w:p>
          <w:p w:rsidR="009043BE" w:rsidRPr="00E54B1C" w:rsidRDefault="000631CF" w:rsidP="009043BE">
            <w:pPr>
              <w:jc w:val="both"/>
              <w:rPr>
                <w:sz w:val="20"/>
                <w:lang w:val="fr-CA"/>
              </w:rPr>
            </w:pPr>
            <w:hyperlink r:id="rId40" w:history="1">
              <w:r w:rsidR="009043BE" w:rsidRPr="00E54B1C">
                <w:rPr>
                  <w:rStyle w:val="Hyperlink"/>
                  <w:sz w:val="20"/>
                  <w:lang w:val="fr-CA"/>
                </w:rPr>
                <w:t>2019 SKQB 5</w:t>
              </w:r>
            </w:hyperlink>
            <w:r w:rsidR="009043BE" w:rsidRPr="00E54B1C">
              <w:rPr>
                <w:sz w:val="20"/>
                <w:lang w:val="fr-CA"/>
              </w:rPr>
              <w:t xml:space="preserve"> </w:t>
            </w:r>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La demande visant le rejet de l’appel pour défaut de poursuivre présentée par la partie intimée est accueillie.</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12 mai 2022</w:t>
            </w:r>
          </w:p>
          <w:p w:rsidR="009043BE" w:rsidRPr="00E54B1C" w:rsidRDefault="009043BE" w:rsidP="009043BE">
            <w:pPr>
              <w:jc w:val="both"/>
              <w:rPr>
                <w:sz w:val="20"/>
                <w:lang w:val="fr-CA"/>
              </w:rPr>
            </w:pPr>
            <w:r w:rsidRPr="00E54B1C">
              <w:rPr>
                <w:sz w:val="20"/>
                <w:lang w:val="fr-CA"/>
              </w:rPr>
              <w:t>Cour d’appel de la Saskatchewan</w:t>
            </w:r>
          </w:p>
          <w:p w:rsidR="009043BE" w:rsidRPr="00E54B1C" w:rsidRDefault="009043BE" w:rsidP="009043BE">
            <w:pPr>
              <w:jc w:val="both"/>
              <w:rPr>
                <w:sz w:val="20"/>
                <w:lang w:val="fr-CA"/>
              </w:rPr>
            </w:pPr>
            <w:r w:rsidRPr="00E54B1C">
              <w:rPr>
                <w:sz w:val="20"/>
                <w:lang w:val="fr-CA"/>
              </w:rPr>
              <w:t>(juge en chef Richards et juges Schwann et Tholl)</w:t>
            </w:r>
          </w:p>
          <w:p w:rsidR="009043BE" w:rsidRPr="00E54B1C" w:rsidRDefault="000631CF" w:rsidP="009043BE">
            <w:pPr>
              <w:jc w:val="both"/>
              <w:rPr>
                <w:sz w:val="20"/>
                <w:lang w:val="fr-CA"/>
              </w:rPr>
            </w:pPr>
            <w:hyperlink r:id="rId41" w:history="1">
              <w:r w:rsidR="009043BE" w:rsidRPr="00E54B1C">
                <w:rPr>
                  <w:rStyle w:val="Hyperlink"/>
                  <w:sz w:val="20"/>
                  <w:lang w:val="fr-CA"/>
                </w:rPr>
                <w:t>2022 SKCA 58</w:t>
              </w:r>
            </w:hyperlink>
            <w:r w:rsidR="009043BE" w:rsidRPr="00E54B1C">
              <w:rPr>
                <w:sz w:val="20"/>
                <w:lang w:val="fr-CA"/>
              </w:rPr>
              <w:t xml:space="preserve">  (N</w:t>
            </w:r>
            <w:r w:rsidR="009043BE" w:rsidRPr="00E54B1C">
              <w:rPr>
                <w:sz w:val="20"/>
                <w:vertAlign w:val="superscript"/>
                <w:lang w:val="fr-CA"/>
              </w:rPr>
              <w:t>o</w:t>
            </w:r>
            <w:r w:rsidR="009043BE" w:rsidRPr="00E54B1C">
              <w:rPr>
                <w:sz w:val="20"/>
                <w:lang w:val="fr-CA"/>
              </w:rPr>
              <w:t xml:space="preserve"> de dossier : CACR3222)</w:t>
            </w:r>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 xml:space="preserve">La demande d’autorisation d’appel des demandeurs est accueillie; l’appel est rejeté. </w:t>
            </w: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11 août 2022</w:t>
            </w:r>
          </w:p>
          <w:p w:rsidR="009043BE" w:rsidRPr="00E54B1C" w:rsidRDefault="009043BE" w:rsidP="009043BE">
            <w:pPr>
              <w:jc w:val="both"/>
              <w:rPr>
                <w:sz w:val="20"/>
                <w:lang w:val="fr-CA"/>
              </w:rPr>
            </w:pPr>
            <w:r w:rsidRPr="00E54B1C">
              <w:rPr>
                <w:sz w:val="20"/>
                <w:lang w:val="fr-CA"/>
              </w:rPr>
              <w:t>Cour suprême du Canada</w:t>
            </w: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La demande d’autorisation d’appel est présentée.</w:t>
            </w:r>
          </w:p>
          <w:p w:rsidR="009043BE" w:rsidRPr="00E54B1C" w:rsidRDefault="009043BE" w:rsidP="009043BE">
            <w:pPr>
              <w:jc w:val="both"/>
              <w:rPr>
                <w:sz w:val="20"/>
                <w:lang w:val="fr-CA"/>
              </w:rPr>
            </w:pPr>
          </w:p>
        </w:tc>
      </w:tr>
    </w:tbl>
    <w:p w:rsidR="009043BE" w:rsidRPr="00E54B1C" w:rsidRDefault="009043BE" w:rsidP="009043BE">
      <w:pPr>
        <w:jc w:val="both"/>
        <w:rPr>
          <w:sz w:val="20"/>
          <w:lang w:val="fr-CA"/>
        </w:rPr>
      </w:pPr>
    </w:p>
    <w:p w:rsidR="00E54B1C" w:rsidRPr="00E54B1C" w:rsidRDefault="000631CF" w:rsidP="009043BE">
      <w:pPr>
        <w:jc w:val="both"/>
        <w:rPr>
          <w:sz w:val="20"/>
          <w:lang w:val="fr-CA"/>
        </w:rPr>
      </w:pPr>
      <w:r>
        <w:rPr>
          <w:sz w:val="20"/>
        </w:rPr>
        <w:pict>
          <v:rect id="_x0000_i1038" style="width:2in;height:1pt" o:hrpct="0" o:hralign="center" o:hrstd="t" o:hrnoshade="t" o:hr="t" fillcolor="black [3213]" stroked="f"/>
        </w:pict>
      </w:r>
    </w:p>
    <w:p w:rsidR="009043BE" w:rsidRPr="00E54B1C" w:rsidRDefault="009043BE" w:rsidP="009043B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t>40328</w:t>
            </w:r>
          </w:p>
        </w:tc>
        <w:tc>
          <w:tcPr>
            <w:tcW w:w="4457" w:type="pct"/>
            <w:gridSpan w:val="3"/>
          </w:tcPr>
          <w:p w:rsidR="009043BE" w:rsidRPr="00E54B1C" w:rsidRDefault="009043BE" w:rsidP="009043BE">
            <w:pPr>
              <w:pStyle w:val="SCCLsocParty"/>
              <w:jc w:val="both"/>
              <w:rPr>
                <w:b/>
                <w:sz w:val="20"/>
                <w:szCs w:val="20"/>
                <w:lang w:val="en-US"/>
              </w:rPr>
            </w:pPr>
            <w:r w:rsidRPr="00E54B1C">
              <w:rPr>
                <w:b/>
                <w:sz w:val="20"/>
                <w:szCs w:val="20"/>
                <w:lang w:val="en-US"/>
              </w:rPr>
              <w:t>Jimmy Jing Xu v. Chung Quai Tran</w:t>
            </w:r>
          </w:p>
          <w:p w:rsidR="009043BE" w:rsidRPr="00E54B1C" w:rsidRDefault="009043BE" w:rsidP="009043BE">
            <w:pPr>
              <w:jc w:val="both"/>
              <w:rPr>
                <w:sz w:val="20"/>
              </w:rPr>
            </w:pPr>
            <w:r w:rsidRPr="00E54B1C">
              <w:rPr>
                <w:sz w:val="20"/>
              </w:rPr>
              <w:t>(Que.) (Civil) (By Leave)</w:t>
            </w:r>
          </w:p>
        </w:tc>
      </w:tr>
      <w:tr w:rsidR="009043BE" w:rsidRPr="00E54B1C" w:rsidTr="009043BE">
        <w:tc>
          <w:tcPr>
            <w:tcW w:w="5000" w:type="pct"/>
            <w:gridSpan w:val="4"/>
          </w:tcPr>
          <w:p w:rsidR="009043BE" w:rsidRPr="00E54B1C" w:rsidRDefault="009043BE" w:rsidP="009043BE">
            <w:pPr>
              <w:jc w:val="both"/>
              <w:rPr>
                <w:sz w:val="20"/>
              </w:rPr>
            </w:pPr>
            <w:r w:rsidRPr="00E54B1C">
              <w:rPr>
                <w:sz w:val="20"/>
              </w:rPr>
              <w:t>Leases — Natural justice — Language rights — Perjury — Bias — Respondent claiming unpaid rent and damages from applicant — Applicant counterclaiming for rent reduction and damages — Application judge ordering that lease be terminated and that applicant owes respondent net amount of $57,996.91 in damages, plus interest and costs — Court of Appeal dismissing applicant’s appeal — Whether Court of Appeal must respect language rights by ensuring non-French speaking applicant understands what other party says in French, and understands communications between judge and other party in French — Whether Court of Appeal can refuse to react to other party’s perjury committed at first instance — Whether Court of Appeal should still consider issue of bias even if raised only after first judge’s ruling</w:t>
            </w:r>
          </w:p>
        </w:tc>
      </w:tr>
      <w:tr w:rsidR="009043BE" w:rsidRPr="00E54B1C" w:rsidTr="009043BE">
        <w:tc>
          <w:tcPr>
            <w:tcW w:w="5000" w:type="pct"/>
            <w:gridSpan w:val="4"/>
          </w:tcPr>
          <w:p w:rsidR="009043BE" w:rsidRPr="00E54B1C" w:rsidRDefault="009043BE" w:rsidP="009043BE">
            <w:pPr>
              <w:jc w:val="both"/>
              <w:rPr>
                <w:sz w:val="20"/>
              </w:rPr>
            </w:pPr>
          </w:p>
          <w:p w:rsidR="009043BE" w:rsidRPr="00E54B1C" w:rsidRDefault="009043BE" w:rsidP="009043BE">
            <w:pPr>
              <w:jc w:val="both"/>
              <w:rPr>
                <w:sz w:val="20"/>
              </w:rPr>
            </w:pPr>
            <w:r w:rsidRPr="00E54B1C">
              <w:rPr>
                <w:sz w:val="20"/>
              </w:rPr>
              <w:t>The respondent, Chung Quai Tran, is the proprietor and landlord of a building in Montreal. The respondent claimed unpaid rent from the lessee, the applicant, Jimmy Jing Xu, as well as damages arising from Mr. Xu having vacated the premises one year before the end of the lease term. In response, Mr. Xu alleged that it was instead his company, 9120-0220 Québec Inc., that was the true lessee; as part of its materials filed in the judicial proceedings, the company acknowledged owing certain rental amounts to the respondent landlord, but sought a return of its deposit, a reduction in rent as a result of water damage that prevented full enjoyment of the premises, and damages in compensation.</w:t>
            </w:r>
          </w:p>
          <w:p w:rsidR="009043BE" w:rsidRPr="00E54B1C" w:rsidRDefault="009043BE" w:rsidP="009043BE">
            <w:pPr>
              <w:jc w:val="both"/>
              <w:rPr>
                <w:sz w:val="20"/>
              </w:rPr>
            </w:pPr>
          </w:p>
          <w:p w:rsidR="009043BE" w:rsidRPr="00E54B1C" w:rsidRDefault="009043BE" w:rsidP="009043BE">
            <w:pPr>
              <w:jc w:val="both"/>
              <w:rPr>
                <w:sz w:val="20"/>
              </w:rPr>
            </w:pPr>
            <w:r w:rsidRPr="00E54B1C">
              <w:rPr>
                <w:sz w:val="20"/>
              </w:rPr>
              <w:t>The Court of Quebec granted the respondent’s application for relief, ordered that the lease between the parties be terminated, and found that Mr. Xu owed the respondent $63,656.13. However, the court also granted Mr. Xu’s claim in part, and found that the respondent owed him $5,659.22, with the net result that Mr. Xu was ordered to pay the respondent $57,996.91 in damages, plus interest and legal costs. The Quebec Court of Appeal unanimously granted the respondent’s motion to dismiss an appeal by Mr. Xu.</w:t>
            </w:r>
          </w:p>
        </w:tc>
      </w:tr>
      <w:tr w:rsidR="009043BE" w:rsidRPr="00E54B1C" w:rsidTr="009043BE">
        <w:tc>
          <w:tcPr>
            <w:tcW w:w="5000" w:type="pct"/>
            <w:gridSpan w:val="4"/>
          </w:tcPr>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September 23, 2021</w:t>
            </w:r>
          </w:p>
          <w:p w:rsidR="009043BE" w:rsidRPr="00E54B1C" w:rsidRDefault="009043BE" w:rsidP="009043BE">
            <w:pPr>
              <w:jc w:val="both"/>
              <w:rPr>
                <w:sz w:val="20"/>
              </w:rPr>
            </w:pPr>
            <w:r w:rsidRPr="00E54B1C">
              <w:rPr>
                <w:sz w:val="20"/>
              </w:rPr>
              <w:t>Court of Quebec</w:t>
            </w:r>
          </w:p>
          <w:p w:rsidR="009043BE" w:rsidRPr="00E54B1C" w:rsidRDefault="009043BE" w:rsidP="009043BE">
            <w:pPr>
              <w:jc w:val="both"/>
              <w:rPr>
                <w:sz w:val="20"/>
              </w:rPr>
            </w:pPr>
            <w:r w:rsidRPr="00E54B1C">
              <w:rPr>
                <w:sz w:val="20"/>
              </w:rPr>
              <w:t>(Saucier J.)</w:t>
            </w:r>
          </w:p>
          <w:p w:rsidR="009043BE" w:rsidRPr="00E54B1C" w:rsidRDefault="009043BE" w:rsidP="009043BE">
            <w:pPr>
              <w:jc w:val="both"/>
              <w:rPr>
                <w:sz w:val="20"/>
                <w:lang w:val="fr-CA"/>
              </w:rPr>
            </w:pPr>
            <w:r w:rsidRPr="00E54B1C">
              <w:rPr>
                <w:sz w:val="20"/>
                <w:lang w:val="fr-CA"/>
              </w:rPr>
              <w:t xml:space="preserve">Neutral citation: </w:t>
            </w:r>
            <w:hyperlink r:id="rId42" w:history="1">
              <w:r w:rsidRPr="00E54B1C">
                <w:rPr>
                  <w:rStyle w:val="Hyperlink"/>
                  <w:sz w:val="20"/>
                  <w:lang w:val="fr-CA"/>
                </w:rPr>
                <w:t>2021 QCCQ 9506</w:t>
              </w:r>
            </w:hyperlink>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Application for termination of lease between parties — granted;</w:t>
            </w:r>
          </w:p>
          <w:p w:rsidR="009043BE" w:rsidRPr="00E54B1C" w:rsidRDefault="009043BE" w:rsidP="009043BE">
            <w:pPr>
              <w:jc w:val="both"/>
              <w:rPr>
                <w:sz w:val="20"/>
              </w:rPr>
            </w:pPr>
            <w:r w:rsidRPr="00E54B1C">
              <w:rPr>
                <w:sz w:val="20"/>
              </w:rPr>
              <w:t>Mr. Xu ordered to pay $57,996.91 in damages, plus interest and costs.</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June 14, 2022</w:t>
            </w:r>
          </w:p>
          <w:p w:rsidR="009043BE" w:rsidRPr="00E54B1C" w:rsidRDefault="009043BE" w:rsidP="009043BE">
            <w:pPr>
              <w:jc w:val="both"/>
              <w:rPr>
                <w:sz w:val="20"/>
              </w:rPr>
            </w:pPr>
            <w:r w:rsidRPr="00E54B1C">
              <w:rPr>
                <w:sz w:val="20"/>
              </w:rPr>
              <w:t>Court of Appeal of Quebec (Montréal)</w:t>
            </w:r>
          </w:p>
          <w:p w:rsidR="009043BE" w:rsidRPr="00E54B1C" w:rsidRDefault="009043BE" w:rsidP="009043BE">
            <w:pPr>
              <w:jc w:val="both"/>
              <w:rPr>
                <w:sz w:val="20"/>
                <w:lang w:val="fr-CA"/>
              </w:rPr>
            </w:pPr>
            <w:r w:rsidRPr="00E54B1C">
              <w:rPr>
                <w:sz w:val="20"/>
                <w:lang w:val="fr-CA"/>
              </w:rPr>
              <w:t>(Sansfaçon, Cournoyer and Baudouin JJ.A.)</w:t>
            </w:r>
          </w:p>
          <w:p w:rsidR="009043BE" w:rsidRPr="00E54B1C" w:rsidRDefault="009043BE" w:rsidP="009043BE">
            <w:pPr>
              <w:jc w:val="both"/>
              <w:rPr>
                <w:sz w:val="20"/>
                <w:lang w:val="fr-CA"/>
              </w:rPr>
            </w:pPr>
            <w:r w:rsidRPr="00E54B1C">
              <w:rPr>
                <w:sz w:val="20"/>
                <w:lang w:val="fr-CA"/>
              </w:rPr>
              <w:t xml:space="preserve">Neutral citation: </w:t>
            </w:r>
            <w:hyperlink r:id="rId43" w:anchor="document" w:history="1">
              <w:r w:rsidRPr="00E54B1C">
                <w:rPr>
                  <w:rStyle w:val="Hyperlink"/>
                  <w:sz w:val="20"/>
                  <w:lang w:val="fr-CA"/>
                </w:rPr>
                <w:t>2022 QCCA 857</w:t>
              </w:r>
            </w:hyperlink>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rPr>
            </w:pPr>
            <w:r w:rsidRPr="00E54B1C">
              <w:rPr>
                <w:sz w:val="20"/>
              </w:rPr>
              <w:t>Motion to dismiss appeal — granted;</w:t>
            </w:r>
          </w:p>
          <w:p w:rsidR="009043BE" w:rsidRPr="00E54B1C" w:rsidRDefault="009043BE" w:rsidP="009043BE">
            <w:pPr>
              <w:jc w:val="both"/>
              <w:rPr>
                <w:sz w:val="20"/>
              </w:rPr>
            </w:pPr>
            <w:r w:rsidRPr="00E54B1C">
              <w:rPr>
                <w:sz w:val="20"/>
              </w:rPr>
              <w:t>Mr. Xu’s appeal dismissed.</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August 11, 2022</w:t>
            </w:r>
          </w:p>
          <w:p w:rsidR="009043BE" w:rsidRPr="00E54B1C" w:rsidRDefault="009043BE" w:rsidP="009043BE">
            <w:pPr>
              <w:jc w:val="both"/>
              <w:rPr>
                <w:sz w:val="20"/>
              </w:rPr>
            </w:pPr>
            <w:r w:rsidRPr="00E54B1C">
              <w:rPr>
                <w:sz w:val="20"/>
              </w:rPr>
              <w:t>Supreme Court of Canada</w:t>
            </w: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Application for leave to appeal filed by Mr. Xu</w:t>
            </w:r>
          </w:p>
        </w:tc>
      </w:tr>
    </w:tbl>
    <w:p w:rsidR="009043BE" w:rsidRPr="00E54B1C" w:rsidRDefault="009043BE" w:rsidP="009043BE">
      <w:pPr>
        <w:jc w:val="both"/>
        <w:rPr>
          <w:sz w:val="20"/>
        </w:rPr>
      </w:pPr>
    </w:p>
    <w:p w:rsidR="00E54B1C" w:rsidRPr="00E54B1C" w:rsidRDefault="000631CF" w:rsidP="009043BE">
      <w:pPr>
        <w:jc w:val="both"/>
        <w:rPr>
          <w:sz w:val="20"/>
        </w:rPr>
      </w:pPr>
      <w:r>
        <w:rPr>
          <w:sz w:val="20"/>
        </w:rPr>
        <w:pict>
          <v:rect id="_x0000_i1039" style="width:2in;height:1pt" o:hrpct="0" o:hralign="center" o:hrstd="t" o:hrnoshade="t" o:hr="t" fillcolor="black [3213]" stroked="f"/>
        </w:pict>
      </w:r>
    </w:p>
    <w:p w:rsidR="00E54B1C" w:rsidRPr="00E54B1C" w:rsidRDefault="00E54B1C" w:rsidP="009043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0631CF" w:rsidTr="009043BE">
        <w:tc>
          <w:tcPr>
            <w:tcW w:w="543" w:type="pct"/>
          </w:tcPr>
          <w:p w:rsidR="009043BE" w:rsidRPr="00E54B1C" w:rsidRDefault="009043BE" w:rsidP="009043BE">
            <w:pPr>
              <w:jc w:val="both"/>
              <w:rPr>
                <w:sz w:val="20"/>
                <w:lang w:val="fr-CA"/>
              </w:rPr>
            </w:pPr>
            <w:r w:rsidRPr="00E54B1C">
              <w:rPr>
                <w:rStyle w:val="SCCFileNumberChar"/>
                <w:sz w:val="20"/>
                <w:szCs w:val="20"/>
                <w:lang w:val="fr-CA"/>
              </w:rPr>
              <w:t>40328</w:t>
            </w:r>
          </w:p>
        </w:tc>
        <w:tc>
          <w:tcPr>
            <w:tcW w:w="4457" w:type="pct"/>
            <w:gridSpan w:val="3"/>
          </w:tcPr>
          <w:p w:rsidR="009043BE" w:rsidRPr="00E54B1C" w:rsidRDefault="009043BE" w:rsidP="009043BE">
            <w:pPr>
              <w:pStyle w:val="SCCLsocParty"/>
              <w:jc w:val="both"/>
              <w:rPr>
                <w:b/>
                <w:sz w:val="20"/>
                <w:szCs w:val="20"/>
              </w:rPr>
            </w:pPr>
            <w:r w:rsidRPr="00E54B1C">
              <w:rPr>
                <w:b/>
                <w:sz w:val="20"/>
                <w:szCs w:val="20"/>
              </w:rPr>
              <w:t>Jimmy Jing Xu c. Chung Quai Tran</w:t>
            </w:r>
          </w:p>
          <w:p w:rsidR="009043BE" w:rsidRPr="00E54B1C" w:rsidRDefault="009043BE" w:rsidP="00E54B1C">
            <w:pPr>
              <w:jc w:val="both"/>
              <w:rPr>
                <w:sz w:val="20"/>
                <w:lang w:val="fr-CA"/>
              </w:rPr>
            </w:pPr>
            <w:r w:rsidRPr="00E54B1C">
              <w:rPr>
                <w:sz w:val="20"/>
                <w:lang w:val="fr-CA"/>
              </w:rPr>
              <w:t>(Qc) (</w:t>
            </w:r>
            <w:r w:rsidR="00E54B1C" w:rsidRPr="00E54B1C">
              <w:rPr>
                <w:sz w:val="20"/>
                <w:lang w:val="fr-CA"/>
              </w:rPr>
              <w:t>C</w:t>
            </w:r>
            <w:r w:rsidRPr="00E54B1C">
              <w:rPr>
                <w:sz w:val="20"/>
                <w:lang w:val="fr-CA"/>
              </w:rPr>
              <w:t>ivile) (</w:t>
            </w:r>
            <w:r w:rsidR="00E54B1C" w:rsidRPr="00E54B1C">
              <w:rPr>
                <w:sz w:val="20"/>
                <w:lang w:val="fr-CA"/>
              </w:rPr>
              <w:t>S</w:t>
            </w:r>
            <w:r w:rsidRPr="00E54B1C">
              <w:rPr>
                <w:sz w:val="20"/>
                <w:lang w:val="fr-CA"/>
              </w:rPr>
              <w:t>ur autorisation)</w:t>
            </w:r>
          </w:p>
        </w:tc>
      </w:tr>
      <w:tr w:rsidR="009043BE" w:rsidRPr="000631CF" w:rsidTr="009043BE">
        <w:tc>
          <w:tcPr>
            <w:tcW w:w="5000" w:type="pct"/>
            <w:gridSpan w:val="4"/>
          </w:tcPr>
          <w:p w:rsidR="009043BE" w:rsidRPr="00E54B1C" w:rsidRDefault="009043BE" w:rsidP="009043BE">
            <w:pPr>
              <w:jc w:val="both"/>
              <w:rPr>
                <w:sz w:val="20"/>
                <w:lang w:val="fr-CA"/>
              </w:rPr>
            </w:pPr>
            <w:r w:rsidRPr="00E54B1C">
              <w:rPr>
                <w:sz w:val="20"/>
                <w:lang w:val="fr-CA"/>
              </w:rPr>
              <w:t>Baux — Justice naturelle — Droits linguistiques — Parjure — Partialité — L’intimé réclame au demandeur des loyers impayés et des dommages-intérêts — Le demandeur a présenté une demande reconventionnelle pour une réduction du loyer et des dommages-intérêts — La juge saisie de la demande a ordonné que le bail soit résilié et que le demandeur verse à l’intimé la somme nette de 57 996,91 $ qu’il lui doit en fait de dommages-intérêts, plus les intérêts et les dépens — La Cour d’appel a rejeté l’appel du demandeur — La Cour d’appel est-elle tenue d’assurer le respect des droits linguistiques en veillant à ce que le demandeur qui ne parle pas français comprenne ce qui est dit en français par l’autre partie, ainsi que les communications en français entre la juge et l’autre partie  ? — La Cour d’appel peut-elle refuser de réagir au parjure commis par l’autre partie en première instance ? — La Cour d’appel devrait-elle tout de même examiner la question de partialité même si celle-ci n’a été soulevée qu’après le prononcé de la décision du juge en première instance ?</w:t>
            </w:r>
          </w:p>
        </w:tc>
      </w:tr>
      <w:tr w:rsidR="009043BE" w:rsidRPr="000631CF" w:rsidTr="009043BE">
        <w:tc>
          <w:tcPr>
            <w:tcW w:w="5000" w:type="pct"/>
            <w:gridSpan w:val="4"/>
          </w:tcPr>
          <w:p w:rsidR="009043BE" w:rsidRPr="00E54B1C" w:rsidRDefault="009043BE" w:rsidP="009043BE">
            <w:pPr>
              <w:jc w:val="both"/>
              <w:rPr>
                <w:sz w:val="20"/>
                <w:lang w:val="fr-CA"/>
              </w:rPr>
            </w:pPr>
          </w:p>
          <w:p w:rsidR="009043BE" w:rsidRPr="00E54B1C" w:rsidRDefault="009043BE" w:rsidP="009043BE">
            <w:pPr>
              <w:jc w:val="both"/>
              <w:rPr>
                <w:sz w:val="20"/>
                <w:lang w:val="fr-CA"/>
              </w:rPr>
            </w:pPr>
            <w:r w:rsidRPr="00E54B1C">
              <w:rPr>
                <w:sz w:val="20"/>
                <w:lang w:val="fr-CA"/>
              </w:rPr>
              <w:t>L’intimé, Chung Quai Tran, est le propriétaire et le locateur d’un immeuble à Montréal. L’intimé a réclamé au locataire, Jimmy Jing Xu, des loyers impayés, ainsi que des dommages-intérêt</w:t>
            </w:r>
            <w:r w:rsidRPr="00E54B1C">
              <w:rPr>
                <w:rFonts w:ascii="Arial" w:hAnsi="Arial" w:cs="Arial"/>
                <w:color w:val="000000"/>
                <w:sz w:val="20"/>
                <w:lang w:val="fr-CA"/>
              </w:rPr>
              <w:t xml:space="preserve"> </w:t>
            </w:r>
            <w:r w:rsidRPr="00E54B1C">
              <w:rPr>
                <w:sz w:val="20"/>
                <w:lang w:val="fr-CA"/>
              </w:rPr>
              <w:t xml:space="preserve">en raison du fait que M. Xu a quitté les lieux un an avant la fin du bail. Monsieur Xu a répliqué en alléguant que c’était plutôt sa société, 9120-0220 Québec Inc., qui en </w:t>
            </w:r>
            <w:proofErr w:type="gramStart"/>
            <w:r w:rsidRPr="00E54B1C">
              <w:rPr>
                <w:sz w:val="20"/>
                <w:lang w:val="fr-CA"/>
              </w:rPr>
              <w:t>était</w:t>
            </w:r>
            <w:proofErr w:type="gramEnd"/>
            <w:r w:rsidRPr="00E54B1C">
              <w:rPr>
                <w:sz w:val="20"/>
                <w:lang w:val="fr-CA"/>
              </w:rPr>
              <w:t xml:space="preserve"> réellement locataire;</w:t>
            </w:r>
            <w:r w:rsidRPr="00E54B1C">
              <w:rPr>
                <w:rFonts w:ascii="Arial" w:hAnsi="Arial" w:cs="Arial"/>
                <w:color w:val="000000"/>
                <w:sz w:val="20"/>
                <w:lang w:val="fr-CA"/>
              </w:rPr>
              <w:t xml:space="preserve"> </w:t>
            </w:r>
            <w:r w:rsidRPr="00E54B1C">
              <w:rPr>
                <w:sz w:val="20"/>
                <w:lang w:val="fr-CA"/>
              </w:rPr>
              <w:t>la société reconnaît, dans les documents déposés dans le cadre de l’instance judiciaire, devoir certains loyers au locateur intimé, mais a demandé le remboursement de son dépôt, une diminution de loyer en raison du fait qu’un dégât d’eau dans les lieux loués l’a privée de la pleine jouissance des lieux, ainsi que des dommages-intérêts à titre d’indemnisation.</w:t>
            </w:r>
          </w:p>
          <w:p w:rsidR="009043BE" w:rsidRPr="00E54B1C" w:rsidRDefault="009043BE" w:rsidP="009043BE">
            <w:pPr>
              <w:jc w:val="both"/>
              <w:rPr>
                <w:sz w:val="20"/>
                <w:lang w:val="fr-CA"/>
              </w:rPr>
            </w:pPr>
          </w:p>
          <w:p w:rsidR="009043BE" w:rsidRPr="00E54B1C" w:rsidRDefault="009043BE" w:rsidP="009043BE">
            <w:pPr>
              <w:jc w:val="both"/>
              <w:rPr>
                <w:sz w:val="20"/>
                <w:lang w:val="fr-CA"/>
              </w:rPr>
            </w:pPr>
            <w:r w:rsidRPr="00E54B1C">
              <w:rPr>
                <w:sz w:val="20"/>
                <w:lang w:val="fr-CA"/>
              </w:rPr>
              <w:t>La Cour du Québec a accueilli la demande de réparation de l’intimé, a ordonné que le bail entre les parties soit résilié, et a conclu que M. Xu devait la somme de 63 656,13 $ à l’intimé. Toutefois, la Cour du Québec a également partiellement accueilli la demande de M. Xu, et a conclu que l’intimé lui devait la somme de 5 659,22 $, de sorte qu’il a été ordonné à M. Xu de verser à l’intimé la somme nette de 57 996,91 $ à titre de dommages-intérêts, plus les intérêts et les frais de justice. La Cour d’appel du Québec a accueilli à l’unanimité la requête présentée par l’intimé visant le rejet de l’appel interjeté par M. Xu.</w:t>
            </w:r>
          </w:p>
        </w:tc>
      </w:tr>
      <w:tr w:rsidR="009043BE" w:rsidRPr="000631CF" w:rsidTr="009043BE">
        <w:tc>
          <w:tcPr>
            <w:tcW w:w="5000" w:type="pct"/>
            <w:gridSpan w:val="4"/>
          </w:tcPr>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23 septembre 2021</w:t>
            </w:r>
          </w:p>
          <w:p w:rsidR="009043BE" w:rsidRPr="00E54B1C" w:rsidRDefault="009043BE" w:rsidP="009043BE">
            <w:pPr>
              <w:jc w:val="both"/>
              <w:rPr>
                <w:sz w:val="20"/>
                <w:lang w:val="fr-CA"/>
              </w:rPr>
            </w:pPr>
            <w:r w:rsidRPr="00E54B1C">
              <w:rPr>
                <w:sz w:val="20"/>
                <w:lang w:val="fr-CA"/>
              </w:rPr>
              <w:t>Cour du Québec</w:t>
            </w:r>
          </w:p>
          <w:p w:rsidR="009043BE" w:rsidRPr="00E54B1C" w:rsidRDefault="009043BE" w:rsidP="009043BE">
            <w:pPr>
              <w:jc w:val="both"/>
              <w:rPr>
                <w:sz w:val="20"/>
                <w:lang w:val="fr-CA"/>
              </w:rPr>
            </w:pPr>
            <w:r w:rsidRPr="00E54B1C">
              <w:rPr>
                <w:sz w:val="20"/>
                <w:lang w:val="fr-CA"/>
              </w:rPr>
              <w:t>(juge Saucier)</w:t>
            </w:r>
          </w:p>
          <w:p w:rsidR="009043BE" w:rsidRPr="00E54B1C" w:rsidRDefault="009043BE" w:rsidP="009043BE">
            <w:pPr>
              <w:jc w:val="both"/>
              <w:rPr>
                <w:sz w:val="20"/>
                <w:lang w:val="fr-CA"/>
              </w:rPr>
            </w:pPr>
            <w:r w:rsidRPr="00E54B1C">
              <w:rPr>
                <w:sz w:val="20"/>
                <w:lang w:val="fr-CA"/>
              </w:rPr>
              <w:t xml:space="preserve">Référence neutre : </w:t>
            </w:r>
            <w:hyperlink r:id="rId44" w:history="1">
              <w:r w:rsidRPr="00E54B1C">
                <w:rPr>
                  <w:rStyle w:val="Hyperlink"/>
                  <w:sz w:val="20"/>
                  <w:lang w:val="fr-CA"/>
                </w:rPr>
                <w:t>2021 QCCQ 9506</w:t>
              </w:r>
            </w:hyperlink>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La demande de résiliation du bail entre les parties est accueillie;</w:t>
            </w:r>
          </w:p>
          <w:p w:rsidR="009043BE" w:rsidRPr="00E54B1C" w:rsidRDefault="009043BE" w:rsidP="009043BE">
            <w:pPr>
              <w:jc w:val="both"/>
              <w:rPr>
                <w:sz w:val="20"/>
                <w:lang w:val="fr-CA"/>
              </w:rPr>
            </w:pPr>
            <w:r w:rsidRPr="00E54B1C">
              <w:rPr>
                <w:sz w:val="20"/>
                <w:lang w:val="fr-CA"/>
              </w:rPr>
              <w:t>Il est ordonné à M. Xu de verser 57 996,91 $ à titre de dommages-intérêts, plus les intérêts et les dépens.</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14 juin 2022</w:t>
            </w:r>
          </w:p>
          <w:p w:rsidR="009043BE" w:rsidRPr="00E54B1C" w:rsidRDefault="009043BE" w:rsidP="009043BE">
            <w:pPr>
              <w:jc w:val="both"/>
              <w:rPr>
                <w:sz w:val="20"/>
                <w:lang w:val="fr-CA"/>
              </w:rPr>
            </w:pPr>
            <w:r w:rsidRPr="00E54B1C">
              <w:rPr>
                <w:sz w:val="20"/>
                <w:lang w:val="fr-CA"/>
              </w:rPr>
              <w:t>Cour d’appel du Québec (Montréal)</w:t>
            </w:r>
          </w:p>
          <w:p w:rsidR="009043BE" w:rsidRPr="00E54B1C" w:rsidRDefault="009043BE" w:rsidP="009043BE">
            <w:pPr>
              <w:jc w:val="both"/>
              <w:rPr>
                <w:sz w:val="20"/>
                <w:lang w:val="fr-CA"/>
              </w:rPr>
            </w:pPr>
            <w:r w:rsidRPr="00E54B1C">
              <w:rPr>
                <w:sz w:val="20"/>
                <w:lang w:val="fr-CA"/>
              </w:rPr>
              <w:t>(juges Sansfaçon, Cournoyer et Baudouin)</w:t>
            </w:r>
          </w:p>
          <w:p w:rsidR="009043BE" w:rsidRPr="00E54B1C" w:rsidRDefault="009043BE" w:rsidP="009043BE">
            <w:pPr>
              <w:jc w:val="both"/>
              <w:rPr>
                <w:sz w:val="20"/>
                <w:lang w:val="fr-CA"/>
              </w:rPr>
            </w:pPr>
            <w:r w:rsidRPr="00E54B1C">
              <w:rPr>
                <w:sz w:val="20"/>
                <w:lang w:val="fr-CA"/>
              </w:rPr>
              <w:t xml:space="preserve">Référence neutre : </w:t>
            </w:r>
            <w:hyperlink r:id="rId45" w:anchor="document" w:history="1">
              <w:r w:rsidRPr="00E54B1C">
                <w:rPr>
                  <w:rStyle w:val="Hyperlink"/>
                  <w:sz w:val="20"/>
                  <w:lang w:val="fr-CA"/>
                </w:rPr>
                <w:t>2022 QCCA 857</w:t>
              </w:r>
            </w:hyperlink>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La requête en rejet de l’appel est accueillie;</w:t>
            </w:r>
          </w:p>
          <w:p w:rsidR="009043BE" w:rsidRPr="00E54B1C" w:rsidRDefault="009043BE" w:rsidP="009043BE">
            <w:pPr>
              <w:jc w:val="both"/>
              <w:rPr>
                <w:sz w:val="20"/>
                <w:lang w:val="fr-CA"/>
              </w:rPr>
            </w:pPr>
            <w:r w:rsidRPr="00E54B1C">
              <w:rPr>
                <w:sz w:val="20"/>
                <w:lang w:val="fr-CA"/>
              </w:rPr>
              <w:t>l’appel de M. Xu est rejeté.</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11 août 2022</w:t>
            </w:r>
          </w:p>
          <w:p w:rsidR="009043BE" w:rsidRPr="00E54B1C" w:rsidRDefault="009043BE" w:rsidP="009043BE">
            <w:pPr>
              <w:jc w:val="both"/>
              <w:rPr>
                <w:sz w:val="20"/>
                <w:lang w:val="fr-CA"/>
              </w:rPr>
            </w:pPr>
            <w:r w:rsidRPr="00E54B1C">
              <w:rPr>
                <w:sz w:val="20"/>
                <w:lang w:val="fr-CA"/>
              </w:rPr>
              <w:t>Cour suprême du Canada</w:t>
            </w: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La demande d’autorisation d’appel est présentée par M. Xu.</w:t>
            </w:r>
          </w:p>
        </w:tc>
      </w:tr>
    </w:tbl>
    <w:p w:rsidR="009043BE" w:rsidRPr="00E54B1C" w:rsidRDefault="009043BE" w:rsidP="009043BE">
      <w:pPr>
        <w:jc w:val="both"/>
        <w:rPr>
          <w:sz w:val="20"/>
          <w:lang w:val="fr-CA"/>
        </w:rPr>
      </w:pPr>
    </w:p>
    <w:p w:rsidR="00E54B1C" w:rsidRPr="00E54B1C" w:rsidRDefault="000631CF" w:rsidP="009043BE">
      <w:pPr>
        <w:jc w:val="both"/>
        <w:rPr>
          <w:sz w:val="20"/>
          <w:lang w:val="fr-CA"/>
        </w:rPr>
      </w:pPr>
      <w:r>
        <w:rPr>
          <w:sz w:val="20"/>
        </w:rPr>
        <w:pict>
          <v:rect id="_x0000_i1040" style="width:2in;height:1pt" o:hrpct="0" o:hralign="center" o:hrstd="t" o:hrnoshade="t" o:hr="t" fillcolor="black [3213]" stroked="f"/>
        </w:pict>
      </w:r>
    </w:p>
    <w:p w:rsidR="00E54B1C" w:rsidRPr="00E54B1C" w:rsidRDefault="00E54B1C" w:rsidP="009043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t>40384</w:t>
            </w:r>
          </w:p>
        </w:tc>
        <w:tc>
          <w:tcPr>
            <w:tcW w:w="4457" w:type="pct"/>
            <w:gridSpan w:val="3"/>
          </w:tcPr>
          <w:p w:rsidR="009043BE" w:rsidRPr="00E54B1C" w:rsidRDefault="009043BE" w:rsidP="009043BE">
            <w:pPr>
              <w:pStyle w:val="SCCLsocParty"/>
              <w:jc w:val="both"/>
              <w:rPr>
                <w:b/>
                <w:sz w:val="20"/>
                <w:szCs w:val="20"/>
                <w:lang w:val="en-US"/>
              </w:rPr>
            </w:pPr>
            <w:r w:rsidRPr="00E54B1C">
              <w:rPr>
                <w:b/>
                <w:sz w:val="20"/>
                <w:szCs w:val="20"/>
                <w:lang w:val="en-US"/>
              </w:rPr>
              <w:t>His Majesty the King v. Robert Major</w:t>
            </w:r>
          </w:p>
          <w:p w:rsidR="009043BE" w:rsidRPr="00E54B1C" w:rsidRDefault="009043BE" w:rsidP="009043BE">
            <w:pPr>
              <w:jc w:val="both"/>
              <w:rPr>
                <w:sz w:val="20"/>
              </w:rPr>
            </w:pPr>
            <w:r w:rsidRPr="00E54B1C">
              <w:rPr>
                <w:sz w:val="20"/>
              </w:rPr>
              <w:t>(Sask.) (Criminal) (By Leave)</w:t>
            </w:r>
          </w:p>
        </w:tc>
      </w:tr>
      <w:tr w:rsidR="009043BE" w:rsidRPr="00E54B1C" w:rsidTr="009043BE">
        <w:tc>
          <w:tcPr>
            <w:tcW w:w="5000" w:type="pct"/>
            <w:gridSpan w:val="4"/>
          </w:tcPr>
          <w:p w:rsidR="009043BE" w:rsidRPr="00E54B1C" w:rsidRDefault="009043BE" w:rsidP="009043BE">
            <w:pPr>
              <w:jc w:val="both"/>
              <w:rPr>
                <w:sz w:val="20"/>
              </w:rPr>
            </w:pPr>
            <w:r w:rsidRPr="00E54B1C">
              <w:rPr>
                <w:sz w:val="20"/>
              </w:rPr>
              <w:t>Criminal law — Evidence — Admissibility — Whether data from motor vehicle event data recorder is sufficiently reliable to be admitted as real evidence</w:t>
            </w:r>
          </w:p>
        </w:tc>
      </w:tr>
      <w:tr w:rsidR="009043BE" w:rsidRPr="00E54B1C" w:rsidTr="009043BE">
        <w:tc>
          <w:tcPr>
            <w:tcW w:w="5000" w:type="pct"/>
            <w:gridSpan w:val="4"/>
          </w:tcPr>
          <w:p w:rsidR="009043BE" w:rsidRPr="00E54B1C" w:rsidRDefault="009043BE" w:rsidP="009043BE">
            <w:pPr>
              <w:jc w:val="both"/>
              <w:rPr>
                <w:sz w:val="20"/>
              </w:rPr>
            </w:pPr>
          </w:p>
          <w:p w:rsidR="009043BE" w:rsidRPr="00E54B1C" w:rsidRDefault="009043BE" w:rsidP="009043BE">
            <w:pPr>
              <w:jc w:val="both"/>
              <w:rPr>
                <w:sz w:val="20"/>
              </w:rPr>
            </w:pPr>
            <w:r w:rsidRPr="00E54B1C">
              <w:rPr>
                <w:sz w:val="20"/>
              </w:rPr>
              <w:t>The respondent drove his pickup truck at high speed into an intersection where it collided with a semi-truck to whom the respondent was required to yield. The collision killed three of his six passengers and injured the three others; none of them were wearing seatbelts. An experienced RCMP accident reconstructionist extracted relevant information about the vehicle’s speed and brake application in the seconds preceding the collision from the pickup truck’s event data recorder (“EDR”). The reconstructionist had the technical skills and tools to extract this information but was not familiar with the underlying function of the EDR or the software tools he used to complete the extraction. The data he extracted appeared to show that the respondent was travelling more than 50 km/h over the speed limit until he applied the brakes 1.2 seconds before the collision. The applicant Crown sought to lead this data at the respondent’s trial. The trial judge admitted the data. The respondent was found guilty of dangerous driving and criminal negligence. The Court of Appeal allowed the respondent’s appeal and ordered a new trial.</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December 31, 2018</w:t>
            </w:r>
          </w:p>
          <w:p w:rsidR="009043BE" w:rsidRPr="00E54B1C" w:rsidRDefault="009043BE" w:rsidP="009043BE">
            <w:pPr>
              <w:jc w:val="both"/>
              <w:rPr>
                <w:sz w:val="20"/>
              </w:rPr>
            </w:pPr>
            <w:r w:rsidRPr="00E54B1C">
              <w:rPr>
                <w:sz w:val="20"/>
              </w:rPr>
              <w:t>Court of Queen’s Bench of Saskatchewan</w:t>
            </w:r>
          </w:p>
          <w:p w:rsidR="009043BE" w:rsidRPr="00E54B1C" w:rsidRDefault="009043BE" w:rsidP="009043BE">
            <w:pPr>
              <w:jc w:val="both"/>
              <w:rPr>
                <w:sz w:val="20"/>
              </w:rPr>
            </w:pPr>
            <w:r w:rsidRPr="00E54B1C">
              <w:rPr>
                <w:sz w:val="20"/>
              </w:rPr>
              <w:t>(Dovell J.)</w:t>
            </w:r>
          </w:p>
          <w:p w:rsidR="009043BE" w:rsidRPr="00E54B1C" w:rsidRDefault="009043BE" w:rsidP="009043BE">
            <w:pPr>
              <w:jc w:val="both"/>
              <w:rPr>
                <w:sz w:val="20"/>
              </w:rPr>
            </w:pPr>
            <w:r w:rsidRPr="00E54B1C">
              <w:rPr>
                <w:sz w:val="20"/>
              </w:rPr>
              <w:t>Unreported</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 xml:space="preserve">EDR data admitted by trial judge. Jury returns guilty verdict on all counts. Dangerous driving counts stayed pursuant to </w:t>
            </w:r>
            <w:r w:rsidRPr="00E54B1C">
              <w:rPr>
                <w:i/>
                <w:sz w:val="20"/>
              </w:rPr>
              <w:t>Kienapple</w:t>
            </w:r>
            <w:r w:rsidRPr="00E54B1C">
              <w:rPr>
                <w:sz w:val="20"/>
              </w:rPr>
              <w:t xml:space="preserve"> and convictions entered on criminal negligence counts.</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July 20, 2022</w:t>
            </w:r>
          </w:p>
          <w:p w:rsidR="009043BE" w:rsidRPr="00E54B1C" w:rsidRDefault="009043BE" w:rsidP="009043BE">
            <w:pPr>
              <w:jc w:val="both"/>
              <w:rPr>
                <w:sz w:val="20"/>
              </w:rPr>
            </w:pPr>
            <w:r w:rsidRPr="00E54B1C">
              <w:rPr>
                <w:sz w:val="20"/>
              </w:rPr>
              <w:t>Court of Appeal for Saskatchewan</w:t>
            </w:r>
          </w:p>
          <w:p w:rsidR="009043BE" w:rsidRPr="00E54B1C" w:rsidRDefault="009043BE" w:rsidP="009043BE">
            <w:pPr>
              <w:jc w:val="both"/>
              <w:rPr>
                <w:sz w:val="20"/>
              </w:rPr>
            </w:pPr>
            <w:r w:rsidRPr="00E54B1C">
              <w:rPr>
                <w:sz w:val="20"/>
              </w:rPr>
              <w:t>(Tholl, Schwann, and Leurer JJ.A.)</w:t>
            </w:r>
          </w:p>
          <w:p w:rsidR="009043BE" w:rsidRPr="00E54B1C" w:rsidRDefault="000631CF" w:rsidP="009043BE">
            <w:pPr>
              <w:jc w:val="both"/>
              <w:rPr>
                <w:rStyle w:val="Hyperlink"/>
                <w:color w:val="auto"/>
                <w:sz w:val="20"/>
                <w:u w:val="none"/>
              </w:rPr>
            </w:pPr>
            <w:hyperlink r:id="rId46" w:history="1">
              <w:r w:rsidR="009043BE" w:rsidRPr="00E54B1C">
                <w:rPr>
                  <w:rStyle w:val="Hyperlink"/>
                  <w:sz w:val="20"/>
                </w:rPr>
                <w:t>2022 SKCA 80</w:t>
              </w:r>
            </w:hyperlink>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Appeal allowed in relation to evidentiary ruling and matter remitted for new trial.</w:t>
            </w:r>
          </w:p>
        </w:tc>
      </w:tr>
      <w:tr w:rsidR="009043BE" w:rsidRPr="00E54B1C" w:rsidTr="009043BE">
        <w:tc>
          <w:tcPr>
            <w:tcW w:w="2427" w:type="pct"/>
            <w:gridSpan w:val="2"/>
          </w:tcPr>
          <w:p w:rsidR="009043BE" w:rsidRPr="00E54B1C" w:rsidRDefault="009043BE" w:rsidP="009043BE">
            <w:pPr>
              <w:jc w:val="both"/>
              <w:rPr>
                <w:sz w:val="20"/>
              </w:rPr>
            </w:pPr>
            <w:r w:rsidRPr="00E54B1C">
              <w:rPr>
                <w:sz w:val="20"/>
              </w:rPr>
              <w:t>September 29, 2022</w:t>
            </w:r>
          </w:p>
          <w:p w:rsidR="009043BE" w:rsidRPr="00E54B1C" w:rsidRDefault="009043BE" w:rsidP="009043BE">
            <w:pPr>
              <w:jc w:val="both"/>
              <w:rPr>
                <w:sz w:val="20"/>
              </w:rPr>
            </w:pPr>
            <w:r w:rsidRPr="00E54B1C">
              <w:rPr>
                <w:sz w:val="20"/>
              </w:rPr>
              <w:t>Supreme Court of Canada</w:t>
            </w: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Application for leave to appeal filed.</w:t>
            </w:r>
          </w:p>
          <w:p w:rsidR="009043BE" w:rsidRPr="00E54B1C" w:rsidRDefault="009043BE" w:rsidP="009043BE">
            <w:pPr>
              <w:jc w:val="both"/>
              <w:rPr>
                <w:sz w:val="20"/>
              </w:rPr>
            </w:pPr>
          </w:p>
        </w:tc>
      </w:tr>
    </w:tbl>
    <w:p w:rsidR="009043BE" w:rsidRPr="00E54B1C" w:rsidRDefault="009043BE" w:rsidP="009043BE">
      <w:pPr>
        <w:jc w:val="both"/>
        <w:rPr>
          <w:sz w:val="20"/>
        </w:rPr>
      </w:pPr>
    </w:p>
    <w:p w:rsidR="00E54B1C" w:rsidRPr="00E54B1C" w:rsidRDefault="000631CF" w:rsidP="009043BE">
      <w:pPr>
        <w:jc w:val="both"/>
        <w:rPr>
          <w:sz w:val="20"/>
        </w:rPr>
      </w:pPr>
      <w:r>
        <w:rPr>
          <w:sz w:val="20"/>
        </w:rPr>
        <w:pict>
          <v:rect id="_x0000_i1041" style="width:2in;height:1pt" o:hrpct="0" o:hralign="center" o:hrstd="t" o:hrnoshade="t" o:hr="t" fillcolor="black [3213]" stroked="f"/>
        </w:pict>
      </w:r>
    </w:p>
    <w:p w:rsidR="00E54B1C" w:rsidRPr="00E54B1C" w:rsidRDefault="00E54B1C" w:rsidP="009043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lang w:val="fr-CA"/>
              </w:rPr>
            </w:pPr>
            <w:r w:rsidRPr="00E54B1C">
              <w:rPr>
                <w:rStyle w:val="SCCFileNumberChar"/>
                <w:sz w:val="20"/>
                <w:szCs w:val="20"/>
                <w:lang w:val="fr-CA"/>
              </w:rPr>
              <w:t>40384</w:t>
            </w:r>
          </w:p>
        </w:tc>
        <w:tc>
          <w:tcPr>
            <w:tcW w:w="4457" w:type="pct"/>
            <w:gridSpan w:val="3"/>
          </w:tcPr>
          <w:p w:rsidR="009043BE" w:rsidRPr="00E54B1C" w:rsidRDefault="009043BE" w:rsidP="009043BE">
            <w:pPr>
              <w:pStyle w:val="SCCLsocParty"/>
              <w:jc w:val="both"/>
              <w:rPr>
                <w:b/>
                <w:sz w:val="20"/>
                <w:szCs w:val="20"/>
              </w:rPr>
            </w:pPr>
            <w:r w:rsidRPr="00E54B1C">
              <w:rPr>
                <w:b/>
                <w:sz w:val="20"/>
                <w:szCs w:val="20"/>
              </w:rPr>
              <w:t>Sa Majesté le Roi c. Robert Major</w:t>
            </w:r>
          </w:p>
          <w:p w:rsidR="009043BE" w:rsidRPr="00E54B1C" w:rsidRDefault="009043BE" w:rsidP="009043BE">
            <w:pPr>
              <w:jc w:val="both"/>
              <w:rPr>
                <w:sz w:val="20"/>
                <w:lang w:val="fr-CA"/>
              </w:rPr>
            </w:pPr>
            <w:r w:rsidRPr="00E54B1C">
              <w:rPr>
                <w:sz w:val="20"/>
                <w:lang w:val="fr-CA"/>
              </w:rPr>
              <w:t>(Sask.) (Criminelle) (Sur autorisation)</w:t>
            </w:r>
          </w:p>
        </w:tc>
      </w:tr>
      <w:tr w:rsidR="009043BE" w:rsidRPr="000631CF" w:rsidTr="009043BE">
        <w:tc>
          <w:tcPr>
            <w:tcW w:w="5000" w:type="pct"/>
            <w:gridSpan w:val="4"/>
          </w:tcPr>
          <w:p w:rsidR="009043BE" w:rsidRPr="00E54B1C" w:rsidRDefault="009043BE" w:rsidP="009043BE">
            <w:pPr>
              <w:jc w:val="both"/>
              <w:rPr>
                <w:sz w:val="20"/>
                <w:lang w:val="fr-CA"/>
              </w:rPr>
            </w:pPr>
            <w:r w:rsidRPr="00E54B1C">
              <w:rPr>
                <w:sz w:val="20"/>
                <w:lang w:val="fr-CA"/>
              </w:rPr>
              <w:t xml:space="preserve">Droit criminel — Preuve — Admissibilité — Les données contenues dans l’enregistreur de données routières du véhicule motorisé sont-elles suffisamment fiables pour être admises à titre de preuve matérielle? </w:t>
            </w:r>
          </w:p>
        </w:tc>
      </w:tr>
      <w:tr w:rsidR="009043BE" w:rsidRPr="000631CF" w:rsidTr="009043BE">
        <w:tc>
          <w:tcPr>
            <w:tcW w:w="5000" w:type="pct"/>
            <w:gridSpan w:val="4"/>
          </w:tcPr>
          <w:p w:rsidR="009043BE" w:rsidRPr="00E54B1C" w:rsidRDefault="009043BE" w:rsidP="009043BE">
            <w:pPr>
              <w:jc w:val="both"/>
              <w:rPr>
                <w:sz w:val="20"/>
                <w:lang w:val="fr-CA"/>
              </w:rPr>
            </w:pPr>
          </w:p>
          <w:p w:rsidR="009043BE" w:rsidRPr="00E54B1C" w:rsidRDefault="009043BE" w:rsidP="009043BE">
            <w:pPr>
              <w:jc w:val="both"/>
              <w:rPr>
                <w:sz w:val="20"/>
                <w:lang w:val="fr-CA"/>
              </w:rPr>
            </w:pPr>
            <w:r w:rsidRPr="00E54B1C">
              <w:rPr>
                <w:sz w:val="20"/>
                <w:lang w:val="fr-CA"/>
              </w:rPr>
              <w:t xml:space="preserve">L’intimé a conduit sa camionnette à grande vitesse dans une intersection où elle est entrée en collision avec une semi-remorque à laquelle l’intimé était tenu de céder le passage. Trois des six passagers de ce dernier ont succombé à l’accident et les trois autres ont subi des blessures; aucun d’entre eux ne portait la ceinture de sécurité. L’information relative à la vitesse du véhicule et à l’application des freins dans les secondes précédant la collision a pu être extraite à partir de l’enregistreur de données routières (« EDR ») de la camionnette par un reconstitutionniste d’accidents expérimenté de la GRC. Ce dernier possédait les compétences techniques et les outils nécessaires pour extraire l’information, mais le fonctionnement sous-jacent de l’EDR et les programmes informatiques qu’il avait utilisés pour l’extraction ne lui étaient pas familiers. Les données extraites semblaient indiquer que l’intimé conduisait à plus de 50 km/h au-dessus de la vitesse maximale permise jusqu’au moment où, 1,2 seconde avant la collision, il avait appuyé sur les freins. Le ministère public a voulu mettre en preuve ces données au procès de l’intimé. La juge du procès les a admises. L’intimé a été déclaré coupable de conduite dangereuse et de négligence criminelle. La Cour d’appel a accueilli l’appel interjeté par l’intimé et ordonné la tenue d’un nouveau procès. </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31 décembre 2018</w:t>
            </w:r>
          </w:p>
          <w:p w:rsidR="009043BE" w:rsidRPr="00E54B1C" w:rsidRDefault="009043BE" w:rsidP="009043BE">
            <w:pPr>
              <w:jc w:val="both"/>
              <w:rPr>
                <w:sz w:val="20"/>
                <w:lang w:val="fr-CA"/>
              </w:rPr>
            </w:pPr>
            <w:r w:rsidRPr="00E54B1C">
              <w:rPr>
                <w:sz w:val="20"/>
                <w:lang w:val="fr-CA"/>
              </w:rPr>
              <w:t>Cour du Banc de la Reine de la Saskatchewan</w:t>
            </w:r>
          </w:p>
          <w:p w:rsidR="009043BE" w:rsidRPr="00E54B1C" w:rsidRDefault="009043BE" w:rsidP="009043BE">
            <w:pPr>
              <w:jc w:val="both"/>
              <w:rPr>
                <w:sz w:val="20"/>
                <w:lang w:val="fr-CA"/>
              </w:rPr>
            </w:pPr>
            <w:r w:rsidRPr="00E54B1C">
              <w:rPr>
                <w:sz w:val="20"/>
                <w:lang w:val="fr-CA"/>
              </w:rPr>
              <w:t>(Juge Dovell)</w:t>
            </w:r>
          </w:p>
          <w:p w:rsidR="009043BE" w:rsidRPr="00E54B1C" w:rsidRDefault="009043BE" w:rsidP="009043BE">
            <w:pPr>
              <w:jc w:val="both"/>
              <w:rPr>
                <w:sz w:val="20"/>
                <w:lang w:val="fr-CA"/>
              </w:rPr>
            </w:pPr>
            <w:r w:rsidRPr="00E54B1C">
              <w:rPr>
                <w:sz w:val="20"/>
                <w:lang w:val="fr-CA"/>
              </w:rPr>
              <w:t>Non publié</w:t>
            </w:r>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 xml:space="preserve">Données d’EDR admises en preuve par la juge du procès. Verdict de culpabilité à l’égard de tous les chefs d’accusation. Arrêt des procédures quant aux chefs de conduite dangereuse en application de l’arrêt </w:t>
            </w:r>
            <w:r w:rsidRPr="00E54B1C">
              <w:rPr>
                <w:i/>
                <w:sz w:val="20"/>
                <w:lang w:val="fr-CA"/>
              </w:rPr>
              <w:t>Kienapple</w:t>
            </w:r>
            <w:r w:rsidRPr="00E54B1C">
              <w:rPr>
                <w:sz w:val="20"/>
                <w:lang w:val="fr-CA"/>
              </w:rPr>
              <w:t xml:space="preserve"> et déclarations de culpabilité quant aux chefs de négligence criminelle.</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20 juillet 2022</w:t>
            </w:r>
          </w:p>
          <w:p w:rsidR="009043BE" w:rsidRPr="00E54B1C" w:rsidRDefault="009043BE" w:rsidP="009043BE">
            <w:pPr>
              <w:jc w:val="both"/>
              <w:rPr>
                <w:sz w:val="20"/>
                <w:lang w:val="fr-CA"/>
              </w:rPr>
            </w:pPr>
            <w:r w:rsidRPr="00E54B1C">
              <w:rPr>
                <w:sz w:val="20"/>
                <w:lang w:val="fr-CA"/>
              </w:rPr>
              <w:t>Cour d’appel de la Saskatchewan</w:t>
            </w:r>
          </w:p>
          <w:p w:rsidR="009043BE" w:rsidRPr="00E54B1C" w:rsidRDefault="009043BE" w:rsidP="009043BE">
            <w:pPr>
              <w:jc w:val="both"/>
              <w:rPr>
                <w:sz w:val="20"/>
                <w:lang w:val="fr-CA"/>
              </w:rPr>
            </w:pPr>
            <w:r w:rsidRPr="00E54B1C">
              <w:rPr>
                <w:sz w:val="20"/>
                <w:lang w:val="fr-CA"/>
              </w:rPr>
              <w:t>(Juges Tholl, Schwann et Leurer)</w:t>
            </w:r>
          </w:p>
          <w:p w:rsidR="009043BE" w:rsidRPr="00E54B1C" w:rsidRDefault="000631CF" w:rsidP="009043BE">
            <w:pPr>
              <w:jc w:val="both"/>
              <w:rPr>
                <w:rStyle w:val="Hyperlink"/>
                <w:color w:val="auto"/>
                <w:sz w:val="20"/>
                <w:u w:val="none"/>
                <w:lang w:val="fr-CA"/>
              </w:rPr>
            </w:pPr>
            <w:hyperlink r:id="rId47" w:history="1">
              <w:r w:rsidR="009043BE" w:rsidRPr="00E54B1C">
                <w:rPr>
                  <w:rStyle w:val="Hyperlink"/>
                  <w:sz w:val="20"/>
                  <w:lang w:val="fr-CA"/>
                </w:rPr>
                <w:t>2022 SKCA 80</w:t>
              </w:r>
            </w:hyperlink>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Appel accueilli relativement à la décision statuant sur l’admissibilité de la preuve et affaire renvoyée pour la tenue d’un nouveau procès.</w:t>
            </w:r>
          </w:p>
        </w:tc>
      </w:tr>
      <w:tr w:rsidR="009043BE" w:rsidRPr="00E54B1C" w:rsidTr="009043BE">
        <w:tc>
          <w:tcPr>
            <w:tcW w:w="2427" w:type="pct"/>
            <w:gridSpan w:val="2"/>
          </w:tcPr>
          <w:p w:rsidR="009043BE" w:rsidRPr="00E54B1C" w:rsidRDefault="009043BE" w:rsidP="009043BE">
            <w:pPr>
              <w:jc w:val="both"/>
              <w:rPr>
                <w:sz w:val="20"/>
                <w:lang w:val="fr-CA"/>
              </w:rPr>
            </w:pPr>
            <w:r w:rsidRPr="00E54B1C">
              <w:rPr>
                <w:sz w:val="20"/>
                <w:lang w:val="fr-CA"/>
              </w:rPr>
              <w:t>29 septembre 2022</w:t>
            </w:r>
          </w:p>
          <w:p w:rsidR="009043BE" w:rsidRPr="00E54B1C" w:rsidRDefault="009043BE" w:rsidP="009043BE">
            <w:pPr>
              <w:jc w:val="both"/>
              <w:rPr>
                <w:sz w:val="20"/>
                <w:lang w:val="fr-CA"/>
              </w:rPr>
            </w:pPr>
            <w:r w:rsidRPr="00E54B1C">
              <w:rPr>
                <w:sz w:val="20"/>
                <w:lang w:val="fr-CA"/>
              </w:rPr>
              <w:t>Cour suprême du Canada</w:t>
            </w: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Demande d’autorisation d’appel déposée.</w:t>
            </w:r>
          </w:p>
          <w:p w:rsidR="009043BE" w:rsidRPr="00E54B1C" w:rsidRDefault="009043BE" w:rsidP="009043BE">
            <w:pPr>
              <w:jc w:val="both"/>
              <w:rPr>
                <w:sz w:val="20"/>
                <w:lang w:val="fr-CA"/>
              </w:rPr>
            </w:pPr>
          </w:p>
        </w:tc>
      </w:tr>
    </w:tbl>
    <w:p w:rsidR="009043BE" w:rsidRPr="00E54B1C" w:rsidRDefault="009043BE" w:rsidP="009043BE">
      <w:pPr>
        <w:jc w:val="both"/>
        <w:rPr>
          <w:sz w:val="20"/>
          <w:lang w:val="fr-CA"/>
        </w:rPr>
      </w:pPr>
    </w:p>
    <w:p w:rsidR="00E54B1C" w:rsidRPr="00E54B1C" w:rsidRDefault="000631CF" w:rsidP="009043BE">
      <w:pPr>
        <w:jc w:val="both"/>
        <w:rPr>
          <w:sz w:val="20"/>
          <w:lang w:val="fr-CA"/>
        </w:rPr>
      </w:pPr>
      <w:r>
        <w:rPr>
          <w:sz w:val="20"/>
        </w:rPr>
        <w:pict>
          <v:rect id="_x0000_i1042" style="width:2in;height:1pt" o:hrpct="0" o:hralign="center" o:hrstd="t" o:hrnoshade="t" o:hr="t" fillcolor="black [3213]" stroked="f"/>
        </w:pict>
      </w:r>
    </w:p>
    <w:p w:rsidR="00E54B1C" w:rsidRPr="00E54B1C" w:rsidRDefault="00E54B1C" w:rsidP="009043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t>40307</w:t>
            </w:r>
          </w:p>
        </w:tc>
        <w:tc>
          <w:tcPr>
            <w:tcW w:w="4457" w:type="pct"/>
            <w:gridSpan w:val="3"/>
          </w:tcPr>
          <w:p w:rsidR="009043BE" w:rsidRPr="00E54B1C" w:rsidRDefault="009043BE" w:rsidP="009043BE">
            <w:pPr>
              <w:pStyle w:val="SCCLsocParty"/>
              <w:jc w:val="both"/>
              <w:rPr>
                <w:b/>
                <w:sz w:val="20"/>
                <w:szCs w:val="20"/>
                <w:lang w:val="en-US"/>
              </w:rPr>
            </w:pPr>
            <w:r w:rsidRPr="00E54B1C">
              <w:rPr>
                <w:b/>
                <w:sz w:val="20"/>
                <w:szCs w:val="20"/>
                <w:lang w:val="en-US"/>
              </w:rPr>
              <w:t>Attorney General of Canada v. National Police Federation</w:t>
            </w:r>
          </w:p>
          <w:p w:rsidR="009043BE" w:rsidRPr="00E54B1C" w:rsidRDefault="009043BE" w:rsidP="00E54B1C">
            <w:pPr>
              <w:jc w:val="both"/>
              <w:rPr>
                <w:sz w:val="20"/>
              </w:rPr>
            </w:pPr>
            <w:r w:rsidRPr="00E54B1C">
              <w:rPr>
                <w:sz w:val="20"/>
              </w:rPr>
              <w:t>(F</w:t>
            </w:r>
            <w:r w:rsidR="00E54B1C" w:rsidRPr="00E54B1C">
              <w:rPr>
                <w:sz w:val="20"/>
              </w:rPr>
              <w:t>.C</w:t>
            </w:r>
            <w:r w:rsidRPr="00E54B1C">
              <w:rPr>
                <w:sz w:val="20"/>
              </w:rPr>
              <w:t>.) (Civil) (By Leave)</w:t>
            </w:r>
          </w:p>
        </w:tc>
      </w:tr>
      <w:tr w:rsidR="009043BE" w:rsidRPr="00E54B1C" w:rsidTr="009043BE">
        <w:tc>
          <w:tcPr>
            <w:tcW w:w="5000" w:type="pct"/>
            <w:gridSpan w:val="4"/>
          </w:tcPr>
          <w:p w:rsidR="009043BE" w:rsidRPr="00E54B1C" w:rsidRDefault="009043BE" w:rsidP="009043BE">
            <w:pPr>
              <w:jc w:val="both"/>
              <w:rPr>
                <w:sz w:val="20"/>
              </w:rPr>
            </w:pPr>
            <w:r w:rsidRPr="00E54B1C">
              <w:rPr>
                <w:iCs/>
                <w:color w:val="000000"/>
                <w:sz w:val="20"/>
              </w:rPr>
              <w:t xml:space="preserve">Labour relations </w:t>
            </w:r>
            <w:r w:rsidRPr="00E54B1C">
              <w:rPr>
                <w:sz w:val="20"/>
              </w:rPr>
              <w:t>—</w:t>
            </w:r>
            <w:r w:rsidRPr="00E54B1C">
              <w:rPr>
                <w:iCs/>
                <w:color w:val="000000"/>
                <w:sz w:val="20"/>
              </w:rPr>
              <w:t xml:space="preserve"> Certification </w:t>
            </w:r>
            <w:r w:rsidRPr="00E54B1C">
              <w:rPr>
                <w:sz w:val="20"/>
              </w:rPr>
              <w:t>—</w:t>
            </w:r>
            <w:r w:rsidRPr="00E54B1C">
              <w:rPr>
                <w:iCs/>
                <w:color w:val="000000"/>
                <w:sz w:val="20"/>
              </w:rPr>
              <w:t xml:space="preserve"> </w:t>
            </w:r>
            <w:r w:rsidRPr="00E54B1C">
              <w:rPr>
                <w:sz w:val="20"/>
              </w:rPr>
              <w:t xml:space="preserve">Legislation — Interpretation — </w:t>
            </w:r>
            <w:r w:rsidRPr="00E54B1C">
              <w:rPr>
                <w:iCs/>
                <w:color w:val="000000"/>
                <w:sz w:val="20"/>
              </w:rPr>
              <w:t xml:space="preserve">Maintenance of conditions of employment </w:t>
            </w:r>
            <w:r w:rsidRPr="00E54B1C">
              <w:rPr>
                <w:sz w:val="20"/>
              </w:rPr>
              <w:t xml:space="preserve">— Whether labour boards must apply the test set out in </w:t>
            </w:r>
            <w:r w:rsidRPr="00E54B1C">
              <w:rPr>
                <w:i/>
                <w:sz w:val="20"/>
              </w:rPr>
              <w:t>Wal-Mart</w:t>
            </w:r>
            <w:r w:rsidRPr="00E54B1C">
              <w:rPr>
                <w:sz w:val="20"/>
              </w:rPr>
              <w:t xml:space="preserve"> and, if so, whether an employer must communicate changes to terms and conditions of employment before the freeze period begins — </w:t>
            </w:r>
            <w:r w:rsidRPr="00E54B1C">
              <w:rPr>
                <w:rStyle w:val="sccappellantforindexchar"/>
                <w:i/>
                <w:color w:val="000000"/>
                <w:sz w:val="20"/>
              </w:rPr>
              <w:t>United Food and Commercial Workers, Local 503</w:t>
            </w:r>
            <w:r w:rsidRPr="00E54B1C">
              <w:rPr>
                <w:i/>
                <w:iCs/>
                <w:color w:val="000000"/>
                <w:sz w:val="20"/>
              </w:rPr>
              <w:t xml:space="preserve"> v.</w:t>
            </w:r>
            <w:r w:rsidRPr="00E54B1C">
              <w:rPr>
                <w:bCs/>
                <w:color w:val="000000"/>
                <w:sz w:val="20"/>
              </w:rPr>
              <w:t xml:space="preserve"> </w:t>
            </w:r>
            <w:r w:rsidRPr="00E54B1C">
              <w:rPr>
                <w:rStyle w:val="sccrespondentforindexchar"/>
                <w:i/>
                <w:color w:val="000000"/>
                <w:sz w:val="20"/>
              </w:rPr>
              <w:t>Wal</w:t>
            </w:r>
            <w:r w:rsidRPr="00E54B1C">
              <w:rPr>
                <w:rStyle w:val="sccrespondentforindexchar"/>
                <w:i/>
                <w:color w:val="000000"/>
                <w:sz w:val="20"/>
              </w:rPr>
              <w:noBreakHyphen/>
              <w:t>Mart Canada Corp</w:t>
            </w:r>
            <w:r w:rsidRPr="00E54B1C">
              <w:rPr>
                <w:rStyle w:val="sccrespondentforindexchar"/>
                <w:color w:val="000000"/>
                <w:sz w:val="20"/>
              </w:rPr>
              <w:t>.</w:t>
            </w:r>
            <w:r w:rsidRPr="00E54B1C">
              <w:rPr>
                <w:rStyle w:val="citationcar"/>
                <w:bCs/>
                <w:iCs/>
                <w:color w:val="000000"/>
                <w:sz w:val="20"/>
              </w:rPr>
              <w:t>,</w:t>
            </w:r>
            <w:r w:rsidRPr="00E54B1C">
              <w:rPr>
                <w:color w:val="000000"/>
                <w:sz w:val="20"/>
              </w:rPr>
              <w:t xml:space="preserve"> 2014 SCC 45, [2014] 2 S.C.R. 323 </w:t>
            </w:r>
            <w:r w:rsidRPr="00E54B1C">
              <w:rPr>
                <w:sz w:val="20"/>
              </w:rPr>
              <w:t>—</w:t>
            </w:r>
            <w:r w:rsidRPr="00E54B1C">
              <w:rPr>
                <w:color w:val="000000"/>
                <w:sz w:val="20"/>
              </w:rPr>
              <w:t xml:space="preserve"> </w:t>
            </w:r>
            <w:hyperlink r:id="rId48" w:history="1">
              <w:r w:rsidRPr="00E54B1C">
                <w:rPr>
                  <w:i/>
                  <w:iCs/>
                  <w:sz w:val="20"/>
                </w:rPr>
                <w:t>Federal Public Sector Labour Relations Act</w:t>
              </w:r>
              <w:r w:rsidRPr="00E54B1C">
                <w:rPr>
                  <w:iCs/>
                  <w:sz w:val="20"/>
                </w:rPr>
                <w:t>,</w:t>
              </w:r>
            </w:hyperlink>
            <w:hyperlink r:id="rId49" w:history="1">
              <w:r w:rsidRPr="00E54B1C">
                <w:rPr>
                  <w:sz w:val="20"/>
                </w:rPr>
                <w:t xml:space="preserve"> S.C. 2003, c. 22, s. 2, s. 56</w:t>
              </w:r>
            </w:hyperlink>
            <w:r w:rsidRPr="00E54B1C">
              <w:rPr>
                <w:color w:val="000000"/>
                <w:sz w:val="20"/>
              </w:rPr>
              <w:t>.</w:t>
            </w:r>
          </w:p>
          <w:p w:rsidR="009043BE" w:rsidRPr="00E54B1C" w:rsidRDefault="009043BE" w:rsidP="009043BE">
            <w:pPr>
              <w:jc w:val="both"/>
              <w:rPr>
                <w:sz w:val="20"/>
              </w:rPr>
            </w:pPr>
          </w:p>
        </w:tc>
      </w:tr>
      <w:tr w:rsidR="009043BE" w:rsidRPr="00E54B1C" w:rsidTr="009043BE">
        <w:tc>
          <w:tcPr>
            <w:tcW w:w="5000" w:type="pct"/>
            <w:gridSpan w:val="4"/>
          </w:tcPr>
          <w:p w:rsidR="009043BE" w:rsidRPr="00E54B1C" w:rsidRDefault="009043BE" w:rsidP="009043BE">
            <w:pPr>
              <w:jc w:val="both"/>
              <w:rPr>
                <w:sz w:val="20"/>
              </w:rPr>
            </w:pPr>
            <w:r w:rsidRPr="00E54B1C">
              <w:rPr>
                <w:sz w:val="20"/>
              </w:rPr>
              <w:t xml:space="preserve">On April 18, 2017, the respondent applied for certification as the bargaining agent for all Royal Canadian Mounted Police regular members and reservists. The application triggered s. 56 of the </w:t>
            </w:r>
            <w:hyperlink r:id="rId50" w:history="1">
              <w:r w:rsidRPr="00E54B1C">
                <w:rPr>
                  <w:i/>
                  <w:iCs/>
                  <w:sz w:val="20"/>
                </w:rPr>
                <w:t>Federal Public Sector Labour Relations Act</w:t>
              </w:r>
              <w:r w:rsidRPr="00E54B1C">
                <w:rPr>
                  <w:iCs/>
                  <w:sz w:val="20"/>
                </w:rPr>
                <w:t>,</w:t>
              </w:r>
            </w:hyperlink>
            <w:hyperlink r:id="rId51" w:history="1">
              <w:r w:rsidRPr="00E54B1C">
                <w:rPr>
                  <w:sz w:val="20"/>
                </w:rPr>
                <w:t xml:space="preserve"> S.C. 2003, c. 22, s. 2 (the </w:t>
              </w:r>
              <w:r w:rsidRPr="00E54B1C">
                <w:rPr>
                  <w:i/>
                  <w:sz w:val="20"/>
                </w:rPr>
                <w:t>Act</w:t>
              </w:r>
              <w:r w:rsidRPr="00E54B1C">
                <w:rPr>
                  <w:sz w:val="20"/>
                </w:rPr>
                <w:t xml:space="preserve">), </w:t>
              </w:r>
            </w:hyperlink>
            <w:r w:rsidRPr="00E54B1C">
              <w:rPr>
                <w:color w:val="000000"/>
                <w:sz w:val="20"/>
              </w:rPr>
              <w:t xml:space="preserve">which imposes a freeze preventing an employer from unilaterally altering the terms and conditions of employment following the filing of an application for certification. </w:t>
            </w:r>
            <w:r w:rsidRPr="00E54B1C">
              <w:rPr>
                <w:sz w:val="20"/>
              </w:rPr>
              <w:t xml:space="preserve">On a date contested by the parties, a Committee of the RCMP decided that certain individuals seeking promotion within the RCMP should be required to complete leadership courses. On November 20, 2017, the RCMP implemented changes to its promotion policy. On February 15, 2018, the respondent filed an unfair labour practice complaint with the Federal Public Sector Labour Relations and Employment Board, arguing that the changes to the promotion policy contravened s. 56 of the </w:t>
            </w:r>
            <w:r w:rsidRPr="00E54B1C">
              <w:rPr>
                <w:i/>
                <w:sz w:val="20"/>
              </w:rPr>
              <w:t>Act</w:t>
            </w:r>
            <w:r w:rsidRPr="00E54B1C">
              <w:rPr>
                <w:sz w:val="20"/>
              </w:rPr>
              <w:t xml:space="preserve">. Among other things, the RCMP argued that prior to April 2017, the wheels had been in motion to make the changes to the promotion policy, and that the changes were consistent with its normal management practices and would have occurred had there been no petition for certification. It submitted that the changes met the new test confirmed by the Court in </w:t>
            </w:r>
            <w:r w:rsidRPr="00E54B1C">
              <w:rPr>
                <w:rStyle w:val="sccappellantforindexchar"/>
                <w:i/>
                <w:color w:val="000000"/>
                <w:sz w:val="20"/>
              </w:rPr>
              <w:t>United Food and Commercial Workers, Local 503</w:t>
            </w:r>
            <w:r w:rsidRPr="00E54B1C">
              <w:rPr>
                <w:i/>
                <w:iCs/>
                <w:color w:val="000000"/>
                <w:sz w:val="20"/>
              </w:rPr>
              <w:t xml:space="preserve"> v.</w:t>
            </w:r>
            <w:r w:rsidRPr="00E54B1C">
              <w:rPr>
                <w:bCs/>
                <w:color w:val="000000"/>
                <w:sz w:val="20"/>
              </w:rPr>
              <w:t xml:space="preserve"> </w:t>
            </w:r>
            <w:r w:rsidRPr="00E54B1C">
              <w:rPr>
                <w:rStyle w:val="sccrespondentforindexchar"/>
                <w:i/>
                <w:color w:val="000000"/>
                <w:sz w:val="20"/>
              </w:rPr>
              <w:t>Wal</w:t>
            </w:r>
            <w:r w:rsidRPr="00E54B1C">
              <w:rPr>
                <w:rStyle w:val="sccrespondentforindexchar"/>
                <w:i/>
                <w:color w:val="000000"/>
                <w:sz w:val="20"/>
              </w:rPr>
              <w:noBreakHyphen/>
              <w:t>Mart Canada Corp</w:t>
            </w:r>
            <w:r w:rsidRPr="00E54B1C">
              <w:rPr>
                <w:rStyle w:val="sccrespondentforindexchar"/>
                <w:color w:val="000000"/>
                <w:sz w:val="20"/>
              </w:rPr>
              <w:t>.</w:t>
            </w:r>
            <w:r w:rsidRPr="00E54B1C">
              <w:rPr>
                <w:rStyle w:val="citationcar"/>
                <w:bCs/>
                <w:iCs/>
                <w:color w:val="000000"/>
                <w:sz w:val="20"/>
              </w:rPr>
              <w:t>,</w:t>
            </w:r>
            <w:r w:rsidRPr="00E54B1C">
              <w:rPr>
                <w:color w:val="000000"/>
                <w:sz w:val="20"/>
              </w:rPr>
              <w:t xml:space="preserve"> 2014 SCC 45, [2014] 2 S.C.R. 323</w:t>
            </w:r>
            <w:r w:rsidRPr="00E54B1C">
              <w:rPr>
                <w:sz w:val="20"/>
              </w:rPr>
              <w:t>.</w:t>
            </w:r>
          </w:p>
        </w:tc>
      </w:tr>
      <w:tr w:rsidR="009043BE" w:rsidRPr="00E54B1C" w:rsidTr="009043BE">
        <w:tc>
          <w:tcPr>
            <w:tcW w:w="5000" w:type="pct"/>
            <w:gridSpan w:val="4"/>
          </w:tcPr>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April 28, 2020</w:t>
            </w:r>
          </w:p>
          <w:p w:rsidR="009043BE" w:rsidRPr="00E54B1C" w:rsidRDefault="009043BE" w:rsidP="009043BE">
            <w:pPr>
              <w:jc w:val="both"/>
              <w:rPr>
                <w:sz w:val="20"/>
              </w:rPr>
            </w:pPr>
            <w:r w:rsidRPr="00E54B1C">
              <w:rPr>
                <w:sz w:val="20"/>
              </w:rPr>
              <w:t>Federal Public Sector Labour Relations and Employment Board</w:t>
            </w:r>
          </w:p>
          <w:p w:rsidR="009043BE" w:rsidRPr="00E54B1C" w:rsidRDefault="009043BE" w:rsidP="009043BE">
            <w:pPr>
              <w:jc w:val="both"/>
              <w:rPr>
                <w:sz w:val="20"/>
              </w:rPr>
            </w:pPr>
            <w:r w:rsidRPr="00E54B1C">
              <w:rPr>
                <w:sz w:val="20"/>
              </w:rPr>
              <w:t>(Rosenberg Nancy)</w:t>
            </w:r>
          </w:p>
          <w:bookmarkStart w:id="1" w:name="citation"/>
          <w:p w:rsidR="009043BE" w:rsidRPr="00E54B1C" w:rsidRDefault="009043BE" w:rsidP="009043BE">
            <w:pPr>
              <w:spacing w:after="240"/>
              <w:jc w:val="both"/>
              <w:rPr>
                <w:color w:val="000000"/>
                <w:sz w:val="20"/>
              </w:rPr>
            </w:pPr>
            <w:r w:rsidRPr="00E54B1C">
              <w:rPr>
                <w:bCs/>
                <w:color w:val="000000"/>
                <w:sz w:val="20"/>
              </w:rPr>
              <w:fldChar w:fldCharType="begin"/>
            </w:r>
            <w:r w:rsidRPr="00E54B1C">
              <w:rPr>
                <w:bCs/>
                <w:color w:val="000000"/>
                <w:sz w:val="20"/>
              </w:rPr>
              <w:instrText>HYPERLINK "C:\\Users\\stencelj\\Documents\\Leave applications\\NATIONAL POLICE FEDERATION"</w:instrText>
            </w:r>
            <w:r w:rsidRPr="00E54B1C">
              <w:rPr>
                <w:bCs/>
                <w:color w:val="000000"/>
                <w:sz w:val="20"/>
              </w:rPr>
              <w:fldChar w:fldCharType="separate"/>
            </w:r>
            <w:r w:rsidRPr="00E54B1C">
              <w:rPr>
                <w:rStyle w:val="Hyperlink"/>
                <w:bCs/>
                <w:sz w:val="20"/>
              </w:rPr>
              <w:t>2020 FPSLREB</w:t>
            </w:r>
            <w:bookmarkEnd w:id="1"/>
            <w:r w:rsidRPr="00E54B1C">
              <w:rPr>
                <w:rStyle w:val="Hyperlink"/>
                <w:bCs/>
                <w:sz w:val="20"/>
              </w:rPr>
              <w:t> 44</w:t>
            </w:r>
            <w:r w:rsidRPr="00E54B1C">
              <w:rPr>
                <w:bCs/>
                <w:color w:val="000000"/>
                <w:sz w:val="20"/>
              </w:rPr>
              <w:fldChar w:fldCharType="end"/>
            </w: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 xml:space="preserve">Employer’s changes to promotion policy during freeze period held to violate s. 56 of the </w:t>
            </w:r>
            <w:r w:rsidRPr="00E54B1C">
              <w:rPr>
                <w:i/>
                <w:sz w:val="20"/>
              </w:rPr>
              <w:t>Act</w:t>
            </w:r>
            <w:r w:rsidRPr="00E54B1C">
              <w:rPr>
                <w:sz w:val="20"/>
              </w:rPr>
              <w:t>.</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May 13, 2022</w:t>
            </w:r>
          </w:p>
          <w:p w:rsidR="009043BE" w:rsidRPr="00E54B1C" w:rsidRDefault="009043BE" w:rsidP="009043BE">
            <w:pPr>
              <w:jc w:val="both"/>
              <w:rPr>
                <w:sz w:val="20"/>
              </w:rPr>
            </w:pPr>
            <w:r w:rsidRPr="00E54B1C">
              <w:rPr>
                <w:sz w:val="20"/>
              </w:rPr>
              <w:t>Federal Court of Appeal</w:t>
            </w:r>
          </w:p>
          <w:p w:rsidR="009043BE" w:rsidRPr="00E54B1C" w:rsidRDefault="009043BE" w:rsidP="009043BE">
            <w:pPr>
              <w:jc w:val="both"/>
              <w:rPr>
                <w:sz w:val="20"/>
              </w:rPr>
            </w:pPr>
            <w:r w:rsidRPr="00E54B1C">
              <w:rPr>
                <w:sz w:val="20"/>
              </w:rPr>
              <w:t>(Stratas, Webb and Gleason JJ.A.)</w:t>
            </w:r>
          </w:p>
          <w:p w:rsidR="009043BE" w:rsidRPr="00E54B1C" w:rsidRDefault="000631CF" w:rsidP="009043BE">
            <w:pPr>
              <w:jc w:val="both"/>
              <w:rPr>
                <w:sz w:val="20"/>
              </w:rPr>
            </w:pPr>
            <w:hyperlink r:id="rId52" w:history="1">
              <w:r w:rsidR="009043BE" w:rsidRPr="00E54B1C">
                <w:rPr>
                  <w:rStyle w:val="Hyperlink"/>
                  <w:bCs/>
                  <w:sz w:val="20"/>
                </w:rPr>
                <w:t>2022 FCA 80</w:t>
              </w:r>
            </w:hyperlink>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Application for judicial review dismissed.</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August 11, 2022</w:t>
            </w:r>
          </w:p>
          <w:p w:rsidR="009043BE" w:rsidRPr="00E54B1C" w:rsidRDefault="009043BE" w:rsidP="009043BE">
            <w:pPr>
              <w:jc w:val="both"/>
              <w:rPr>
                <w:sz w:val="20"/>
              </w:rPr>
            </w:pPr>
            <w:r w:rsidRPr="00E54B1C">
              <w:rPr>
                <w:sz w:val="20"/>
              </w:rPr>
              <w:t>Supreme Court of Canada</w:t>
            </w: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Application for leave to appeal filed.</w:t>
            </w:r>
          </w:p>
          <w:p w:rsidR="009043BE" w:rsidRPr="00E54B1C" w:rsidRDefault="009043BE" w:rsidP="009043BE">
            <w:pPr>
              <w:jc w:val="both"/>
              <w:rPr>
                <w:sz w:val="20"/>
              </w:rPr>
            </w:pPr>
          </w:p>
        </w:tc>
      </w:tr>
    </w:tbl>
    <w:p w:rsidR="009043BE" w:rsidRPr="00E54B1C" w:rsidRDefault="009043BE" w:rsidP="009043BE">
      <w:pPr>
        <w:jc w:val="both"/>
        <w:rPr>
          <w:sz w:val="20"/>
        </w:rPr>
      </w:pPr>
    </w:p>
    <w:p w:rsidR="00E54B1C" w:rsidRPr="00E54B1C" w:rsidRDefault="000631CF" w:rsidP="009043BE">
      <w:pPr>
        <w:jc w:val="both"/>
        <w:rPr>
          <w:sz w:val="20"/>
        </w:rPr>
      </w:pPr>
      <w:r>
        <w:rPr>
          <w:sz w:val="20"/>
        </w:rPr>
        <w:pict>
          <v:rect id="_x0000_i1043" style="width:2in;height:1pt" o:hrpct="0" o:hralign="center" o:hrstd="t" o:hrnoshade="t" o:hr="t" fillcolor="black [3213]" stroked="f"/>
        </w:pict>
      </w:r>
    </w:p>
    <w:p w:rsidR="00E54B1C" w:rsidRPr="00E54B1C" w:rsidRDefault="00E54B1C" w:rsidP="009043BE">
      <w:pPr>
        <w:jc w:val="both"/>
        <w:rPr>
          <w:sz w:val="20"/>
        </w:rPr>
      </w:pPr>
    </w:p>
    <w:tbl>
      <w:tblPr>
        <w:tblW w:w="4922" w:type="pct"/>
        <w:tblLayout w:type="fixed"/>
        <w:tblCellMar>
          <w:left w:w="0" w:type="dxa"/>
          <w:bottom w:w="99" w:type="dxa"/>
          <w:right w:w="0" w:type="dxa"/>
        </w:tblCellMar>
        <w:tblLook w:val="04A0" w:firstRow="1" w:lastRow="0" w:firstColumn="1" w:lastColumn="0" w:noHBand="0" w:noVBand="1"/>
      </w:tblPr>
      <w:tblGrid>
        <w:gridCol w:w="1007"/>
        <w:gridCol w:w="3492"/>
        <w:gridCol w:w="451"/>
        <w:gridCol w:w="4264"/>
      </w:tblGrid>
      <w:tr w:rsidR="009043BE" w:rsidRPr="000631CF" w:rsidTr="009043BE">
        <w:tc>
          <w:tcPr>
            <w:tcW w:w="546" w:type="pct"/>
          </w:tcPr>
          <w:p w:rsidR="009043BE" w:rsidRPr="00E54B1C" w:rsidRDefault="009043BE" w:rsidP="009043BE">
            <w:pPr>
              <w:jc w:val="both"/>
              <w:rPr>
                <w:sz w:val="20"/>
                <w:lang w:val="fr-CA"/>
              </w:rPr>
            </w:pPr>
            <w:r w:rsidRPr="00E54B1C">
              <w:rPr>
                <w:rStyle w:val="SCCFileNumberChar"/>
                <w:sz w:val="20"/>
                <w:szCs w:val="20"/>
                <w:lang w:val="fr-CA"/>
              </w:rPr>
              <w:t>40307</w:t>
            </w:r>
          </w:p>
        </w:tc>
        <w:tc>
          <w:tcPr>
            <w:tcW w:w="4454" w:type="pct"/>
            <w:gridSpan w:val="3"/>
          </w:tcPr>
          <w:p w:rsidR="009043BE" w:rsidRPr="00E54B1C" w:rsidRDefault="009043BE" w:rsidP="009043BE">
            <w:pPr>
              <w:pStyle w:val="SCCLsocParty"/>
              <w:jc w:val="both"/>
              <w:rPr>
                <w:b/>
                <w:sz w:val="20"/>
                <w:szCs w:val="20"/>
              </w:rPr>
            </w:pPr>
            <w:r w:rsidRPr="00E54B1C">
              <w:rPr>
                <w:b/>
                <w:sz w:val="20"/>
                <w:szCs w:val="20"/>
              </w:rPr>
              <w:t>Procureur général du Canada c. Fédération de la police nationale</w:t>
            </w:r>
          </w:p>
          <w:p w:rsidR="009043BE" w:rsidRPr="00E54B1C" w:rsidRDefault="009043BE" w:rsidP="00E54B1C">
            <w:pPr>
              <w:jc w:val="both"/>
              <w:rPr>
                <w:sz w:val="20"/>
                <w:lang w:val="fr-CA"/>
              </w:rPr>
            </w:pPr>
            <w:r w:rsidRPr="00E54B1C">
              <w:rPr>
                <w:sz w:val="20"/>
                <w:lang w:val="fr-CA"/>
              </w:rPr>
              <w:t>(</w:t>
            </w:r>
            <w:r w:rsidR="00E54B1C" w:rsidRPr="00E54B1C">
              <w:rPr>
                <w:sz w:val="20"/>
                <w:lang w:val="fr-CA"/>
              </w:rPr>
              <w:t>C.F</w:t>
            </w:r>
            <w:r w:rsidRPr="00E54B1C">
              <w:rPr>
                <w:sz w:val="20"/>
                <w:lang w:val="fr-CA"/>
              </w:rPr>
              <w:t>.) (Civile) (Sur autorisation)</w:t>
            </w:r>
          </w:p>
        </w:tc>
      </w:tr>
      <w:tr w:rsidR="009043BE" w:rsidRPr="000631CF" w:rsidTr="009043BE">
        <w:tc>
          <w:tcPr>
            <w:tcW w:w="5000" w:type="pct"/>
            <w:gridSpan w:val="4"/>
          </w:tcPr>
          <w:p w:rsidR="009043BE" w:rsidRPr="00E54B1C" w:rsidRDefault="009043BE" w:rsidP="009043BE">
            <w:pPr>
              <w:jc w:val="both"/>
              <w:rPr>
                <w:sz w:val="20"/>
                <w:lang w:val="fr-CA"/>
              </w:rPr>
            </w:pPr>
            <w:r w:rsidRPr="00E54B1C">
              <w:rPr>
                <w:iCs/>
                <w:color w:val="000000"/>
                <w:sz w:val="20"/>
                <w:lang w:val="fr-CA"/>
              </w:rPr>
              <w:t xml:space="preserve">Relations du travail </w:t>
            </w:r>
            <w:r w:rsidRPr="00E54B1C">
              <w:rPr>
                <w:sz w:val="20"/>
                <w:lang w:val="fr-CA"/>
              </w:rPr>
              <w:t>—</w:t>
            </w:r>
            <w:r w:rsidRPr="00E54B1C">
              <w:rPr>
                <w:iCs/>
                <w:color w:val="000000"/>
                <w:sz w:val="20"/>
                <w:lang w:val="fr-CA"/>
              </w:rPr>
              <w:t xml:space="preserve"> Accréditation </w:t>
            </w:r>
            <w:r w:rsidRPr="00E54B1C">
              <w:rPr>
                <w:sz w:val="20"/>
                <w:lang w:val="fr-CA"/>
              </w:rPr>
              <w:t>—</w:t>
            </w:r>
            <w:r w:rsidRPr="00E54B1C">
              <w:rPr>
                <w:iCs/>
                <w:color w:val="000000"/>
                <w:sz w:val="20"/>
                <w:lang w:val="fr-CA"/>
              </w:rPr>
              <w:t xml:space="preserve"> </w:t>
            </w:r>
            <w:r w:rsidRPr="00E54B1C">
              <w:rPr>
                <w:sz w:val="20"/>
                <w:lang w:val="fr-CA"/>
              </w:rPr>
              <w:t xml:space="preserve">Législation — Interprétation — </w:t>
            </w:r>
            <w:r w:rsidRPr="00E54B1C">
              <w:rPr>
                <w:iCs/>
                <w:color w:val="000000"/>
                <w:sz w:val="20"/>
                <w:lang w:val="fr-CA"/>
              </w:rPr>
              <w:t xml:space="preserve">Maintien des conditions d’emploi </w:t>
            </w:r>
            <w:r w:rsidRPr="00E54B1C">
              <w:rPr>
                <w:sz w:val="20"/>
                <w:lang w:val="fr-CA"/>
              </w:rPr>
              <w:t xml:space="preserve">— Les commissions des relations de travail doivent-elles appliquer le critère établi dans l’arrêt </w:t>
            </w:r>
            <w:r w:rsidRPr="00E54B1C">
              <w:rPr>
                <w:i/>
                <w:sz w:val="20"/>
                <w:lang w:val="fr-CA"/>
              </w:rPr>
              <w:t xml:space="preserve">Wal-Mart </w:t>
            </w:r>
            <w:r w:rsidRPr="00E54B1C">
              <w:rPr>
                <w:sz w:val="20"/>
                <w:lang w:val="fr-CA"/>
              </w:rPr>
              <w:t xml:space="preserve">et, le cas échéant, l’employeur est-il tenu de communiquer toute modification apportée aux conditions d’emploi avant que ne débute une période de gel? — </w:t>
            </w:r>
            <w:r w:rsidRPr="00E54B1C">
              <w:rPr>
                <w:rStyle w:val="sccappellantforindexchar"/>
                <w:i/>
                <w:color w:val="000000"/>
                <w:sz w:val="20"/>
                <w:lang w:val="fr-CA"/>
              </w:rPr>
              <w:t>Travailleurs et travailleuses unis de l’alimentation et du commerce, section locale 503</w:t>
            </w:r>
            <w:r w:rsidRPr="00E54B1C">
              <w:rPr>
                <w:i/>
                <w:iCs/>
                <w:color w:val="000000"/>
                <w:sz w:val="20"/>
                <w:lang w:val="fr-CA"/>
              </w:rPr>
              <w:t xml:space="preserve"> c. Compagnie </w:t>
            </w:r>
            <w:r w:rsidRPr="00E54B1C">
              <w:rPr>
                <w:rStyle w:val="sccrespondentforindexchar"/>
                <w:i/>
                <w:color w:val="000000"/>
                <w:sz w:val="20"/>
                <w:lang w:val="fr-CA"/>
              </w:rPr>
              <w:t>Wal</w:t>
            </w:r>
            <w:r w:rsidRPr="00E54B1C">
              <w:rPr>
                <w:rStyle w:val="sccrespondentforindexchar"/>
                <w:i/>
                <w:color w:val="000000"/>
                <w:sz w:val="20"/>
                <w:lang w:val="fr-CA"/>
              </w:rPr>
              <w:noBreakHyphen/>
              <w:t>Mart du Canada</w:t>
            </w:r>
            <w:r w:rsidRPr="00E54B1C">
              <w:rPr>
                <w:rStyle w:val="citationcar"/>
                <w:bCs/>
                <w:iCs/>
                <w:color w:val="000000"/>
                <w:sz w:val="20"/>
                <w:lang w:val="fr-CA"/>
              </w:rPr>
              <w:t>,</w:t>
            </w:r>
            <w:r w:rsidRPr="00E54B1C">
              <w:rPr>
                <w:color w:val="000000"/>
                <w:sz w:val="20"/>
                <w:lang w:val="fr-CA"/>
              </w:rPr>
              <w:t xml:space="preserve"> 2014 CSC 45, [2014] 2 R.C.S. 323 </w:t>
            </w:r>
            <w:r w:rsidRPr="00E54B1C">
              <w:rPr>
                <w:sz w:val="20"/>
                <w:lang w:val="fr-CA"/>
              </w:rPr>
              <w:t>—</w:t>
            </w:r>
            <w:r w:rsidRPr="00E54B1C">
              <w:rPr>
                <w:color w:val="000000"/>
                <w:sz w:val="20"/>
                <w:lang w:val="fr-CA"/>
              </w:rPr>
              <w:t xml:space="preserve"> </w:t>
            </w:r>
            <w:hyperlink r:id="rId53" w:history="1">
              <w:r w:rsidRPr="00E54B1C">
                <w:rPr>
                  <w:i/>
                  <w:iCs/>
                  <w:sz w:val="20"/>
                  <w:lang w:val="fr-CA"/>
                </w:rPr>
                <w:t>Loi sur les relations de travail dans le secteur public fédéral</w:t>
              </w:r>
              <w:r w:rsidRPr="00E54B1C">
                <w:rPr>
                  <w:iCs/>
                  <w:sz w:val="20"/>
                  <w:lang w:val="fr-CA"/>
                </w:rPr>
                <w:t>,</w:t>
              </w:r>
            </w:hyperlink>
            <w:hyperlink r:id="rId54" w:history="1">
              <w:r w:rsidRPr="00E54B1C">
                <w:rPr>
                  <w:sz w:val="20"/>
                  <w:lang w:val="fr-CA"/>
                </w:rPr>
                <w:t xml:space="preserve"> L.C. 2003, c. 22, art. 2, art. 56</w:t>
              </w:r>
            </w:hyperlink>
            <w:r w:rsidRPr="00E54B1C">
              <w:rPr>
                <w:color w:val="000000"/>
                <w:sz w:val="20"/>
                <w:lang w:val="fr-CA"/>
              </w:rPr>
              <w:t>.</w:t>
            </w:r>
          </w:p>
          <w:p w:rsidR="009043BE" w:rsidRPr="00E54B1C" w:rsidRDefault="009043BE" w:rsidP="009043BE">
            <w:pPr>
              <w:jc w:val="both"/>
              <w:rPr>
                <w:sz w:val="20"/>
                <w:lang w:val="fr-CA"/>
              </w:rPr>
            </w:pPr>
          </w:p>
        </w:tc>
      </w:tr>
      <w:tr w:rsidR="009043BE" w:rsidRPr="000631CF" w:rsidTr="009043BE">
        <w:tc>
          <w:tcPr>
            <w:tcW w:w="5000" w:type="pct"/>
            <w:gridSpan w:val="4"/>
          </w:tcPr>
          <w:p w:rsidR="009043BE" w:rsidRPr="00E54B1C" w:rsidRDefault="009043BE" w:rsidP="009043BE">
            <w:pPr>
              <w:jc w:val="both"/>
              <w:rPr>
                <w:sz w:val="20"/>
                <w:lang w:val="fr-CA"/>
              </w:rPr>
            </w:pPr>
            <w:r w:rsidRPr="00E54B1C">
              <w:rPr>
                <w:sz w:val="20"/>
                <w:lang w:val="fr-CA"/>
              </w:rPr>
              <w:t xml:space="preserve">Le 18 avril 2017, l’intimée a présenté une demande d’accréditation comme agent négociateur pour l’ensemble des membres réguliers et des réservistes de la Gendarmerie royale du Canada. Cette demande a déclenché l’application de l’art. 56 de la </w:t>
            </w:r>
            <w:r w:rsidRPr="00E54B1C">
              <w:rPr>
                <w:i/>
                <w:sz w:val="20"/>
                <w:lang w:val="fr-CA"/>
              </w:rPr>
              <w:t>Loi sur les relations de travail dans le secteur public fédéral</w:t>
            </w:r>
            <w:r w:rsidRPr="00E54B1C">
              <w:rPr>
                <w:sz w:val="20"/>
                <w:lang w:val="fr-CA"/>
              </w:rPr>
              <w:t>, L.C. 2003, c. 22, art. 2 (la Loi), lequel impose le gel des conditions de travail et empêche l’employeur de les modifier unilatéralement après le dépôt de la demande. À une date faisant l’objet d’une contestation entre les parties, un comité de la GRC a décidé que certaines personnes cherchant à obtenir une promotion au sein de la GRC devaient être tenues de réussir diverses formations en leadership</w:t>
            </w:r>
            <w:r w:rsidRPr="00E54B1C">
              <w:rPr>
                <w:color w:val="000000"/>
                <w:sz w:val="20"/>
                <w:lang w:val="fr-CA"/>
              </w:rPr>
              <w:t xml:space="preserve">. </w:t>
            </w:r>
            <w:r w:rsidRPr="00E54B1C">
              <w:rPr>
                <w:sz w:val="20"/>
                <w:lang w:val="fr-CA"/>
              </w:rPr>
              <w:t xml:space="preserve">Le 20 novembre 2017, la GRC a mis en vigueur les modifications à sa politique sur les promotions. Le 15 février 2018, l’intimée a déposé une plainte pour pratique déloyale auprès de la Commission des relations de travail et de l’emploi dans le secteur public fédéral, dans laquelle elle prétendait que les modifications apportées à la politique sur les promotions contrevenaient à l’art. 56 de la Loi. La GRC a fait valoir, entre autres, que les mécanismes mis en place pour apporter les modifications à sa politique sur les promotions avaient été mis en branle avant avril 2017 et que les modifications en cause étaient conformes aux pratiques habituelles de gestion et auraient eu lieu même en l’absence d’une demande d’accréditation. Elle a soutenu que les modifications respectaient le nouveau critère confirmé par la Cour dans l’arrêt </w:t>
            </w:r>
            <w:r w:rsidRPr="00E54B1C">
              <w:rPr>
                <w:rStyle w:val="sccappellantforindexchar"/>
                <w:i/>
                <w:color w:val="000000"/>
                <w:sz w:val="20"/>
                <w:lang w:val="fr-CA"/>
              </w:rPr>
              <w:t>Travailleurs et travailleuses unis de l’alimentation et du commerce, section locale 503</w:t>
            </w:r>
            <w:r w:rsidRPr="00E54B1C">
              <w:rPr>
                <w:i/>
                <w:iCs/>
                <w:color w:val="000000"/>
                <w:sz w:val="20"/>
                <w:lang w:val="fr-CA"/>
              </w:rPr>
              <w:t xml:space="preserve"> c. Compagnie </w:t>
            </w:r>
            <w:r w:rsidRPr="00E54B1C">
              <w:rPr>
                <w:rStyle w:val="sccrespondentforindexchar"/>
                <w:i/>
                <w:color w:val="000000"/>
                <w:sz w:val="20"/>
                <w:lang w:val="fr-CA"/>
              </w:rPr>
              <w:t>Wal</w:t>
            </w:r>
            <w:r w:rsidRPr="00E54B1C">
              <w:rPr>
                <w:rStyle w:val="sccrespondentforindexchar"/>
                <w:i/>
                <w:color w:val="000000"/>
                <w:sz w:val="20"/>
                <w:lang w:val="fr-CA"/>
              </w:rPr>
              <w:noBreakHyphen/>
              <w:t>Mart du Canada</w:t>
            </w:r>
            <w:r w:rsidRPr="00E54B1C">
              <w:rPr>
                <w:rStyle w:val="citationcar"/>
                <w:bCs/>
                <w:iCs/>
                <w:color w:val="000000"/>
                <w:sz w:val="20"/>
                <w:lang w:val="fr-CA"/>
              </w:rPr>
              <w:t>,</w:t>
            </w:r>
            <w:r w:rsidRPr="00E54B1C">
              <w:rPr>
                <w:color w:val="000000"/>
                <w:sz w:val="20"/>
                <w:lang w:val="fr-CA"/>
              </w:rPr>
              <w:t xml:space="preserve"> 2014 CSC 45, [2014] 2 R.C.S. 323</w:t>
            </w:r>
            <w:r w:rsidRPr="00E54B1C">
              <w:rPr>
                <w:sz w:val="20"/>
                <w:lang w:val="fr-CA"/>
              </w:rPr>
              <w:t>.</w:t>
            </w:r>
          </w:p>
        </w:tc>
      </w:tr>
      <w:tr w:rsidR="009043BE" w:rsidRPr="000631CF" w:rsidTr="009043BE">
        <w:tc>
          <w:tcPr>
            <w:tcW w:w="5000" w:type="pct"/>
            <w:gridSpan w:val="4"/>
          </w:tcPr>
          <w:p w:rsidR="009043BE" w:rsidRPr="00E54B1C" w:rsidRDefault="009043BE" w:rsidP="009043BE">
            <w:pPr>
              <w:jc w:val="both"/>
              <w:rPr>
                <w:sz w:val="20"/>
                <w:lang w:val="fr-CA"/>
              </w:rPr>
            </w:pPr>
          </w:p>
        </w:tc>
      </w:tr>
      <w:tr w:rsidR="009043BE" w:rsidRPr="000631CF" w:rsidTr="009043BE">
        <w:tc>
          <w:tcPr>
            <w:tcW w:w="2441" w:type="pct"/>
            <w:gridSpan w:val="2"/>
          </w:tcPr>
          <w:p w:rsidR="009043BE" w:rsidRPr="00E54B1C" w:rsidRDefault="009043BE" w:rsidP="009043BE">
            <w:pPr>
              <w:jc w:val="both"/>
              <w:rPr>
                <w:sz w:val="20"/>
                <w:lang w:val="fr-CA"/>
              </w:rPr>
            </w:pPr>
            <w:r w:rsidRPr="00E54B1C">
              <w:rPr>
                <w:sz w:val="20"/>
                <w:lang w:val="fr-CA"/>
              </w:rPr>
              <w:t>28 avril 2020</w:t>
            </w:r>
          </w:p>
          <w:p w:rsidR="009043BE" w:rsidRPr="00E54B1C" w:rsidRDefault="009043BE" w:rsidP="009043BE">
            <w:pPr>
              <w:jc w:val="both"/>
              <w:rPr>
                <w:sz w:val="20"/>
                <w:lang w:val="fr-CA"/>
              </w:rPr>
            </w:pPr>
            <w:r w:rsidRPr="00E54B1C">
              <w:rPr>
                <w:sz w:val="20"/>
                <w:lang w:val="fr-CA"/>
              </w:rPr>
              <w:t>Commission des relations de travail et de l’emploi dans le secteur public fédéral</w:t>
            </w:r>
          </w:p>
          <w:p w:rsidR="009043BE" w:rsidRPr="00E54B1C" w:rsidRDefault="009043BE" w:rsidP="009043BE">
            <w:pPr>
              <w:jc w:val="both"/>
              <w:rPr>
                <w:sz w:val="20"/>
                <w:lang w:val="fr-CA"/>
              </w:rPr>
            </w:pPr>
            <w:r w:rsidRPr="00E54B1C">
              <w:rPr>
                <w:sz w:val="20"/>
                <w:lang w:val="fr-CA"/>
              </w:rPr>
              <w:t>(Nancy Rosenberg)</w:t>
            </w:r>
          </w:p>
          <w:p w:rsidR="009043BE" w:rsidRPr="00E54B1C" w:rsidRDefault="000631CF" w:rsidP="009043BE">
            <w:pPr>
              <w:spacing w:after="240"/>
              <w:jc w:val="both"/>
              <w:rPr>
                <w:color w:val="000000"/>
                <w:sz w:val="20"/>
                <w:lang w:val="fr-CA"/>
              </w:rPr>
            </w:pPr>
            <w:hyperlink r:id="rId55" w:history="1">
              <w:r w:rsidR="009043BE" w:rsidRPr="00E54B1C">
                <w:rPr>
                  <w:rStyle w:val="Hyperlink"/>
                  <w:bCs/>
                  <w:sz w:val="20"/>
                </w:rPr>
                <w:t>2020 CRTESPF 44</w:t>
              </w:r>
            </w:hyperlink>
          </w:p>
        </w:tc>
        <w:tc>
          <w:tcPr>
            <w:tcW w:w="245" w:type="pct"/>
          </w:tcPr>
          <w:p w:rsidR="009043BE" w:rsidRPr="00E54B1C" w:rsidRDefault="009043BE" w:rsidP="009043BE">
            <w:pPr>
              <w:jc w:val="both"/>
              <w:rPr>
                <w:sz w:val="20"/>
                <w:lang w:val="fr-CA"/>
              </w:rPr>
            </w:pPr>
          </w:p>
        </w:tc>
        <w:tc>
          <w:tcPr>
            <w:tcW w:w="2314" w:type="pct"/>
          </w:tcPr>
          <w:p w:rsidR="009043BE" w:rsidRPr="00E54B1C" w:rsidRDefault="009043BE" w:rsidP="009043BE">
            <w:pPr>
              <w:jc w:val="both"/>
              <w:rPr>
                <w:sz w:val="20"/>
                <w:lang w:val="fr-CA"/>
              </w:rPr>
            </w:pPr>
            <w:r w:rsidRPr="00E54B1C">
              <w:rPr>
                <w:sz w:val="20"/>
                <w:lang w:val="fr-CA"/>
              </w:rPr>
              <w:t>Conclusion selon laquelle les modifications apportées par l’employeur à sa politique sur les promotions enfreignaient l’art. 56 de la Loi.</w:t>
            </w:r>
          </w:p>
          <w:p w:rsidR="009043BE" w:rsidRPr="00E54B1C" w:rsidRDefault="009043BE" w:rsidP="009043BE">
            <w:pPr>
              <w:jc w:val="both"/>
              <w:rPr>
                <w:sz w:val="20"/>
                <w:lang w:val="fr-CA"/>
              </w:rPr>
            </w:pPr>
          </w:p>
        </w:tc>
      </w:tr>
      <w:tr w:rsidR="009043BE" w:rsidRPr="000631CF" w:rsidTr="009043BE">
        <w:tc>
          <w:tcPr>
            <w:tcW w:w="2441" w:type="pct"/>
            <w:gridSpan w:val="2"/>
          </w:tcPr>
          <w:p w:rsidR="009043BE" w:rsidRPr="00E54B1C" w:rsidRDefault="009043BE" w:rsidP="009043BE">
            <w:pPr>
              <w:jc w:val="both"/>
              <w:rPr>
                <w:sz w:val="20"/>
                <w:lang w:val="fr-CA"/>
              </w:rPr>
            </w:pPr>
            <w:r w:rsidRPr="00E54B1C">
              <w:rPr>
                <w:sz w:val="20"/>
                <w:lang w:val="fr-CA"/>
              </w:rPr>
              <w:t>13 mai 2022</w:t>
            </w:r>
          </w:p>
          <w:p w:rsidR="009043BE" w:rsidRPr="00E54B1C" w:rsidRDefault="009043BE" w:rsidP="009043BE">
            <w:pPr>
              <w:jc w:val="both"/>
              <w:rPr>
                <w:sz w:val="20"/>
                <w:lang w:val="fr-CA"/>
              </w:rPr>
            </w:pPr>
            <w:r w:rsidRPr="00E54B1C">
              <w:rPr>
                <w:sz w:val="20"/>
                <w:lang w:val="fr-CA"/>
              </w:rPr>
              <w:t>Cour d’appel fédérale</w:t>
            </w:r>
          </w:p>
          <w:p w:rsidR="009043BE" w:rsidRPr="00E54B1C" w:rsidRDefault="009043BE" w:rsidP="009043BE">
            <w:pPr>
              <w:jc w:val="both"/>
              <w:rPr>
                <w:sz w:val="20"/>
                <w:lang w:val="fr-CA"/>
              </w:rPr>
            </w:pPr>
            <w:r w:rsidRPr="00E54B1C">
              <w:rPr>
                <w:sz w:val="20"/>
                <w:lang w:val="fr-CA"/>
              </w:rPr>
              <w:t>(Juges Stratas, Webb et Gleason)</w:t>
            </w:r>
          </w:p>
          <w:p w:rsidR="009043BE" w:rsidRPr="00E54B1C" w:rsidRDefault="000631CF" w:rsidP="009043BE">
            <w:pPr>
              <w:jc w:val="both"/>
              <w:rPr>
                <w:sz w:val="20"/>
                <w:lang w:val="fr-CA"/>
              </w:rPr>
            </w:pPr>
            <w:hyperlink r:id="rId56" w:history="1">
              <w:r w:rsidR="009043BE" w:rsidRPr="00E54B1C">
                <w:rPr>
                  <w:rStyle w:val="Hyperlink"/>
                  <w:bCs/>
                  <w:sz w:val="20"/>
                </w:rPr>
                <w:t>2022 CAF 80</w:t>
              </w:r>
            </w:hyperlink>
          </w:p>
          <w:p w:rsidR="009043BE" w:rsidRPr="00E54B1C" w:rsidRDefault="009043BE" w:rsidP="009043BE">
            <w:pPr>
              <w:jc w:val="both"/>
              <w:rPr>
                <w:sz w:val="20"/>
                <w:lang w:val="fr-CA"/>
              </w:rPr>
            </w:pPr>
          </w:p>
        </w:tc>
        <w:tc>
          <w:tcPr>
            <w:tcW w:w="245" w:type="pct"/>
          </w:tcPr>
          <w:p w:rsidR="009043BE" w:rsidRPr="00E54B1C" w:rsidRDefault="009043BE" w:rsidP="009043BE">
            <w:pPr>
              <w:jc w:val="both"/>
              <w:rPr>
                <w:sz w:val="20"/>
                <w:lang w:val="fr-CA"/>
              </w:rPr>
            </w:pPr>
          </w:p>
        </w:tc>
        <w:tc>
          <w:tcPr>
            <w:tcW w:w="2314" w:type="pct"/>
          </w:tcPr>
          <w:p w:rsidR="009043BE" w:rsidRPr="00E54B1C" w:rsidRDefault="009043BE" w:rsidP="009043BE">
            <w:pPr>
              <w:jc w:val="both"/>
              <w:rPr>
                <w:sz w:val="20"/>
                <w:lang w:val="fr-CA"/>
              </w:rPr>
            </w:pPr>
            <w:r w:rsidRPr="00E54B1C">
              <w:rPr>
                <w:sz w:val="20"/>
                <w:lang w:val="fr-CA"/>
              </w:rPr>
              <w:t>Demande de contrôle judiciaire rejetée.</w:t>
            </w:r>
          </w:p>
          <w:p w:rsidR="009043BE" w:rsidRPr="00E54B1C" w:rsidRDefault="009043BE" w:rsidP="009043BE">
            <w:pPr>
              <w:jc w:val="both"/>
              <w:rPr>
                <w:sz w:val="20"/>
                <w:lang w:val="fr-CA"/>
              </w:rPr>
            </w:pPr>
          </w:p>
        </w:tc>
      </w:tr>
      <w:tr w:rsidR="009043BE" w:rsidRPr="00E54B1C" w:rsidTr="009043BE">
        <w:tc>
          <w:tcPr>
            <w:tcW w:w="2441" w:type="pct"/>
            <w:gridSpan w:val="2"/>
          </w:tcPr>
          <w:p w:rsidR="009043BE" w:rsidRPr="00E54B1C" w:rsidRDefault="009043BE" w:rsidP="009043BE">
            <w:pPr>
              <w:jc w:val="both"/>
              <w:rPr>
                <w:sz w:val="20"/>
                <w:lang w:val="fr-CA"/>
              </w:rPr>
            </w:pPr>
            <w:r w:rsidRPr="00E54B1C">
              <w:rPr>
                <w:sz w:val="20"/>
                <w:lang w:val="fr-CA"/>
              </w:rPr>
              <w:t>11 août 2022</w:t>
            </w:r>
          </w:p>
          <w:p w:rsidR="009043BE" w:rsidRPr="00E54B1C" w:rsidRDefault="009043BE" w:rsidP="009043BE">
            <w:pPr>
              <w:jc w:val="both"/>
              <w:rPr>
                <w:sz w:val="20"/>
                <w:lang w:val="fr-CA"/>
              </w:rPr>
            </w:pPr>
            <w:r w:rsidRPr="00E54B1C">
              <w:rPr>
                <w:sz w:val="20"/>
                <w:lang w:val="fr-CA"/>
              </w:rPr>
              <w:t>Cour suprême du Canada</w:t>
            </w:r>
          </w:p>
        </w:tc>
        <w:tc>
          <w:tcPr>
            <w:tcW w:w="245" w:type="pct"/>
          </w:tcPr>
          <w:p w:rsidR="009043BE" w:rsidRPr="00E54B1C" w:rsidRDefault="009043BE" w:rsidP="009043BE">
            <w:pPr>
              <w:jc w:val="both"/>
              <w:rPr>
                <w:sz w:val="20"/>
                <w:lang w:val="fr-CA"/>
              </w:rPr>
            </w:pPr>
          </w:p>
        </w:tc>
        <w:tc>
          <w:tcPr>
            <w:tcW w:w="2314" w:type="pct"/>
          </w:tcPr>
          <w:p w:rsidR="009043BE" w:rsidRPr="00E54B1C" w:rsidRDefault="009043BE" w:rsidP="009043BE">
            <w:pPr>
              <w:jc w:val="both"/>
              <w:rPr>
                <w:sz w:val="20"/>
                <w:lang w:val="fr-CA"/>
              </w:rPr>
            </w:pPr>
            <w:r w:rsidRPr="00E54B1C">
              <w:rPr>
                <w:sz w:val="20"/>
                <w:lang w:val="fr-CA"/>
              </w:rPr>
              <w:t>Demande d’autorisation d’appel déposée.</w:t>
            </w:r>
          </w:p>
          <w:p w:rsidR="009043BE" w:rsidRPr="00E54B1C" w:rsidRDefault="009043BE" w:rsidP="009043BE">
            <w:pPr>
              <w:jc w:val="both"/>
              <w:rPr>
                <w:sz w:val="20"/>
                <w:lang w:val="fr-CA"/>
              </w:rPr>
            </w:pPr>
          </w:p>
        </w:tc>
      </w:tr>
    </w:tbl>
    <w:p w:rsidR="009043BE" w:rsidRPr="00E54B1C" w:rsidRDefault="009043BE" w:rsidP="009043BE">
      <w:pPr>
        <w:jc w:val="both"/>
        <w:rPr>
          <w:sz w:val="20"/>
          <w:lang w:val="fr-CA"/>
        </w:rPr>
      </w:pPr>
    </w:p>
    <w:p w:rsidR="00E54B1C" w:rsidRPr="00E54B1C" w:rsidRDefault="000631CF" w:rsidP="009043BE">
      <w:pPr>
        <w:jc w:val="both"/>
        <w:rPr>
          <w:sz w:val="20"/>
          <w:lang w:val="fr-CA"/>
        </w:rPr>
      </w:pPr>
      <w:r>
        <w:rPr>
          <w:sz w:val="20"/>
        </w:rPr>
        <w:pict>
          <v:rect id="_x0000_i1044" style="width:2in;height:1pt" o:hrpct="0" o:hralign="center" o:hrstd="t" o:hrnoshade="t" o:hr="t" fillcolor="black [3213]" stroked="f"/>
        </w:pict>
      </w:r>
    </w:p>
    <w:p w:rsidR="00E54B1C" w:rsidRPr="00E54B1C" w:rsidRDefault="00E54B1C" w:rsidP="009043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t>40315</w:t>
            </w:r>
          </w:p>
        </w:tc>
        <w:tc>
          <w:tcPr>
            <w:tcW w:w="4457" w:type="pct"/>
          </w:tcPr>
          <w:p w:rsidR="009043BE" w:rsidRPr="00E54B1C" w:rsidRDefault="009043BE" w:rsidP="009043BE">
            <w:pPr>
              <w:pStyle w:val="SCCLsocParty"/>
              <w:jc w:val="both"/>
              <w:rPr>
                <w:b/>
                <w:sz w:val="20"/>
                <w:szCs w:val="20"/>
                <w:lang w:val="en-US"/>
              </w:rPr>
            </w:pPr>
            <w:r w:rsidRPr="00E54B1C">
              <w:rPr>
                <w:b/>
                <w:sz w:val="20"/>
                <w:szCs w:val="20"/>
                <w:lang w:val="en-US"/>
              </w:rPr>
              <w:t>Alex Aiden Fitzgerald Furney, also known as Alex Furney, Maryam Furney, Hassan Hashemi v. 2257573 Ontario Inc.</w:t>
            </w:r>
          </w:p>
          <w:p w:rsidR="009043BE" w:rsidRPr="00E54B1C" w:rsidRDefault="009043BE" w:rsidP="009043BE">
            <w:pPr>
              <w:jc w:val="both"/>
              <w:rPr>
                <w:sz w:val="20"/>
              </w:rPr>
            </w:pPr>
            <w:r w:rsidRPr="00E54B1C">
              <w:rPr>
                <w:sz w:val="20"/>
              </w:rPr>
              <w:t>(Ont.) (Civil) (By Leave)</w:t>
            </w:r>
          </w:p>
        </w:tc>
      </w:tr>
      <w:tr w:rsidR="009043BE" w:rsidRPr="00E54B1C" w:rsidTr="009043BE">
        <w:tc>
          <w:tcPr>
            <w:tcW w:w="5000" w:type="pct"/>
            <w:gridSpan w:val="2"/>
          </w:tcPr>
          <w:p w:rsidR="009043BE" w:rsidRPr="00E54B1C" w:rsidRDefault="009043BE" w:rsidP="009043BE">
            <w:pPr>
              <w:jc w:val="both"/>
              <w:rPr>
                <w:sz w:val="20"/>
              </w:rPr>
            </w:pPr>
            <w:r w:rsidRPr="00E54B1C">
              <w:rPr>
                <w:sz w:val="20"/>
              </w:rPr>
              <w:t xml:space="preserve">Civil Procedure — Pre-trial motion for summary judgment — </w:t>
            </w:r>
            <w:r w:rsidRPr="00E54B1C">
              <w:rPr>
                <w:color w:val="000000"/>
                <w:sz w:val="20"/>
              </w:rPr>
              <w:t xml:space="preserve">Respondent sued the applicants for defaulting under the mortgage agreements and on their guarantees </w:t>
            </w:r>
            <w:r w:rsidRPr="00E54B1C">
              <w:rPr>
                <w:sz w:val="20"/>
              </w:rPr>
              <w:t xml:space="preserve">— Respondent’s motion for summary judgment granted — Appeals dismissed — Whether this application for leave involves an important question of law that has resulted in conflicting decisions by various appellate courts in this country, namely: whether the Supreme Court of Canada should reconsider its decision in </w:t>
            </w:r>
            <w:r w:rsidRPr="00E54B1C">
              <w:rPr>
                <w:i/>
                <w:sz w:val="20"/>
              </w:rPr>
              <w:t>Transport North American Express Inc.</w:t>
            </w:r>
            <w:r w:rsidRPr="00E54B1C">
              <w:rPr>
                <w:sz w:val="20"/>
              </w:rPr>
              <w:t xml:space="preserve"> v. </w:t>
            </w:r>
            <w:r w:rsidRPr="00E54B1C">
              <w:rPr>
                <w:i/>
                <w:sz w:val="20"/>
              </w:rPr>
              <w:t xml:space="preserve">New Solutions Financial Corp, </w:t>
            </w:r>
            <w:r w:rsidRPr="00E54B1C">
              <w:rPr>
                <w:sz w:val="20"/>
              </w:rPr>
              <w:t>2004 SCC 7?</w:t>
            </w:r>
          </w:p>
          <w:p w:rsidR="009043BE" w:rsidRPr="00E54B1C" w:rsidRDefault="009043BE" w:rsidP="009043BE">
            <w:pPr>
              <w:jc w:val="both"/>
              <w:rPr>
                <w:sz w:val="20"/>
              </w:rPr>
            </w:pPr>
          </w:p>
        </w:tc>
      </w:tr>
      <w:tr w:rsidR="009043BE" w:rsidRPr="00E54B1C" w:rsidTr="009043BE">
        <w:tc>
          <w:tcPr>
            <w:tcW w:w="5000" w:type="pct"/>
            <w:gridSpan w:val="2"/>
          </w:tcPr>
          <w:p w:rsidR="009043BE" w:rsidRPr="00E54B1C" w:rsidRDefault="009043BE" w:rsidP="009043BE">
            <w:pPr>
              <w:jc w:val="both"/>
              <w:rPr>
                <w:sz w:val="20"/>
              </w:rPr>
            </w:pPr>
            <w:r w:rsidRPr="00E54B1C">
              <w:rPr>
                <w:color w:val="000000"/>
                <w:sz w:val="20"/>
              </w:rPr>
              <w:t>The applicants defaulted under several mortgages and guarantees. The respondent’s motion for summary judgement was granted. The Court of Appeal dismissed the applicants’ request for an adjournment and dismissed the appeals.</w:t>
            </w:r>
          </w:p>
        </w:tc>
      </w:tr>
      <w:tr w:rsidR="009043BE" w:rsidRPr="00E54B1C" w:rsidTr="009043BE">
        <w:tc>
          <w:tcPr>
            <w:tcW w:w="5000" w:type="pct"/>
            <w:gridSpan w:val="2"/>
          </w:tcPr>
          <w:p w:rsidR="009043BE" w:rsidRPr="00E54B1C" w:rsidRDefault="009043BE" w:rsidP="009043BE">
            <w:pPr>
              <w:jc w:val="both"/>
              <w:rPr>
                <w:sz w:val="20"/>
              </w:rPr>
            </w:pPr>
          </w:p>
        </w:tc>
      </w:tr>
      <w:tr w:rsidR="009043BE" w:rsidRPr="00E54B1C" w:rsidTr="009043BE">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9043BE" w:rsidRPr="00E54B1C" w:rsidTr="009043BE">
              <w:tc>
                <w:tcPr>
                  <w:tcW w:w="2367" w:type="pct"/>
                </w:tcPr>
                <w:p w:rsidR="009043BE" w:rsidRPr="00E54B1C" w:rsidRDefault="009043BE" w:rsidP="009043BE">
                  <w:pPr>
                    <w:jc w:val="both"/>
                    <w:rPr>
                      <w:sz w:val="20"/>
                    </w:rPr>
                  </w:pPr>
                  <w:r w:rsidRPr="00E54B1C">
                    <w:rPr>
                      <w:sz w:val="20"/>
                    </w:rPr>
                    <w:t>October 14, 2020</w:t>
                  </w:r>
                </w:p>
                <w:p w:rsidR="009043BE" w:rsidRPr="00E54B1C" w:rsidRDefault="009043BE" w:rsidP="009043BE">
                  <w:pPr>
                    <w:jc w:val="both"/>
                    <w:rPr>
                      <w:sz w:val="20"/>
                    </w:rPr>
                  </w:pPr>
                  <w:r w:rsidRPr="00E54B1C">
                    <w:rPr>
                      <w:sz w:val="20"/>
                    </w:rPr>
                    <w:t>Ontario Superior Court of Justice</w:t>
                  </w:r>
                </w:p>
                <w:p w:rsidR="009043BE" w:rsidRPr="00E54B1C" w:rsidRDefault="009043BE" w:rsidP="009043BE">
                  <w:pPr>
                    <w:jc w:val="both"/>
                    <w:rPr>
                      <w:sz w:val="20"/>
                    </w:rPr>
                  </w:pPr>
                  <w:r w:rsidRPr="00E54B1C">
                    <w:rPr>
                      <w:sz w:val="20"/>
                    </w:rPr>
                    <w:t>(Turnbull J.)</w:t>
                  </w:r>
                </w:p>
                <w:p w:rsidR="009043BE" w:rsidRPr="00E54B1C" w:rsidRDefault="000631CF" w:rsidP="009043BE">
                  <w:pPr>
                    <w:jc w:val="both"/>
                    <w:rPr>
                      <w:sz w:val="20"/>
                    </w:rPr>
                  </w:pPr>
                  <w:hyperlink r:id="rId57" w:history="1">
                    <w:r w:rsidR="009043BE" w:rsidRPr="00E54B1C">
                      <w:rPr>
                        <w:rStyle w:val="Hyperlink"/>
                        <w:sz w:val="20"/>
                      </w:rPr>
                      <w:t>2020 ONSC 6002</w:t>
                    </w:r>
                  </w:hyperlink>
                </w:p>
                <w:p w:rsidR="009043BE" w:rsidRPr="00E54B1C" w:rsidRDefault="009043BE" w:rsidP="009043BE">
                  <w:pPr>
                    <w:jc w:val="both"/>
                    <w:rPr>
                      <w:sz w:val="20"/>
                    </w:rPr>
                  </w:pPr>
                </w:p>
              </w:tc>
              <w:tc>
                <w:tcPr>
                  <w:tcW w:w="267" w:type="pct"/>
                </w:tcPr>
                <w:p w:rsidR="009043BE" w:rsidRPr="00E54B1C" w:rsidRDefault="009043BE" w:rsidP="009043BE">
                  <w:pPr>
                    <w:jc w:val="both"/>
                    <w:rPr>
                      <w:sz w:val="20"/>
                    </w:rPr>
                  </w:pPr>
                </w:p>
              </w:tc>
              <w:tc>
                <w:tcPr>
                  <w:tcW w:w="2366" w:type="pct"/>
                </w:tcPr>
                <w:p w:rsidR="009043BE" w:rsidRPr="00E54B1C" w:rsidRDefault="009043BE" w:rsidP="009043BE">
                  <w:pPr>
                    <w:jc w:val="both"/>
                    <w:rPr>
                      <w:sz w:val="20"/>
                    </w:rPr>
                  </w:pPr>
                  <w:r w:rsidRPr="00E54B1C">
                    <w:rPr>
                      <w:sz w:val="20"/>
                    </w:rPr>
                    <w:t>Motion for summary judgment granted</w:t>
                  </w:r>
                </w:p>
                <w:p w:rsidR="009043BE" w:rsidRPr="00E54B1C" w:rsidRDefault="009043BE" w:rsidP="009043BE">
                  <w:pPr>
                    <w:jc w:val="both"/>
                    <w:rPr>
                      <w:sz w:val="20"/>
                    </w:rPr>
                  </w:pPr>
                </w:p>
              </w:tc>
            </w:tr>
            <w:tr w:rsidR="009043BE" w:rsidRPr="00E54B1C" w:rsidTr="009043BE">
              <w:tc>
                <w:tcPr>
                  <w:tcW w:w="2367" w:type="pct"/>
                </w:tcPr>
                <w:p w:rsidR="009043BE" w:rsidRPr="00E54B1C" w:rsidRDefault="009043BE" w:rsidP="009043BE">
                  <w:pPr>
                    <w:jc w:val="both"/>
                    <w:rPr>
                      <w:sz w:val="20"/>
                    </w:rPr>
                  </w:pPr>
                  <w:r w:rsidRPr="00E54B1C">
                    <w:rPr>
                      <w:sz w:val="20"/>
                    </w:rPr>
                    <w:t>June 30, 2022</w:t>
                  </w:r>
                </w:p>
                <w:p w:rsidR="009043BE" w:rsidRPr="00E54B1C" w:rsidRDefault="009043BE" w:rsidP="009043BE">
                  <w:pPr>
                    <w:jc w:val="both"/>
                    <w:rPr>
                      <w:sz w:val="20"/>
                    </w:rPr>
                  </w:pPr>
                  <w:r w:rsidRPr="00E54B1C">
                    <w:rPr>
                      <w:sz w:val="20"/>
                    </w:rPr>
                    <w:t>Court of Appeal for Ontario</w:t>
                  </w:r>
                </w:p>
                <w:p w:rsidR="009043BE" w:rsidRPr="00E54B1C" w:rsidRDefault="009043BE" w:rsidP="009043BE">
                  <w:pPr>
                    <w:jc w:val="both"/>
                    <w:rPr>
                      <w:sz w:val="20"/>
                    </w:rPr>
                  </w:pPr>
                  <w:r w:rsidRPr="00E54B1C">
                    <w:rPr>
                      <w:sz w:val="20"/>
                    </w:rPr>
                    <w:t>(Brown, Roberts, Paciocco JJ.A.)</w:t>
                  </w:r>
                </w:p>
                <w:p w:rsidR="009043BE" w:rsidRPr="00E54B1C" w:rsidRDefault="009043BE" w:rsidP="009043BE">
                  <w:pPr>
                    <w:jc w:val="both"/>
                    <w:rPr>
                      <w:sz w:val="20"/>
                    </w:rPr>
                  </w:pPr>
                  <w:r w:rsidRPr="00E54B1C">
                    <w:rPr>
                      <w:sz w:val="20"/>
                    </w:rPr>
                    <w:t xml:space="preserve">C68734; </w:t>
                  </w:r>
                  <w:hyperlink r:id="rId58" w:history="1">
                    <w:r w:rsidRPr="00E54B1C">
                      <w:rPr>
                        <w:rStyle w:val="Hyperlink"/>
                        <w:sz w:val="20"/>
                      </w:rPr>
                      <w:t>2022 ONCA 505</w:t>
                    </w:r>
                  </w:hyperlink>
                </w:p>
                <w:p w:rsidR="009043BE" w:rsidRPr="00E54B1C" w:rsidRDefault="009043BE" w:rsidP="009043BE">
                  <w:pPr>
                    <w:jc w:val="both"/>
                    <w:rPr>
                      <w:sz w:val="20"/>
                    </w:rPr>
                  </w:pPr>
                </w:p>
              </w:tc>
              <w:tc>
                <w:tcPr>
                  <w:tcW w:w="267" w:type="pct"/>
                </w:tcPr>
                <w:p w:rsidR="009043BE" w:rsidRPr="00E54B1C" w:rsidRDefault="009043BE" w:rsidP="009043BE">
                  <w:pPr>
                    <w:jc w:val="both"/>
                    <w:rPr>
                      <w:sz w:val="20"/>
                    </w:rPr>
                  </w:pPr>
                </w:p>
              </w:tc>
              <w:tc>
                <w:tcPr>
                  <w:tcW w:w="2366" w:type="pct"/>
                </w:tcPr>
                <w:p w:rsidR="009043BE" w:rsidRPr="00E54B1C" w:rsidRDefault="009043BE" w:rsidP="009043BE">
                  <w:pPr>
                    <w:jc w:val="both"/>
                    <w:rPr>
                      <w:sz w:val="20"/>
                    </w:rPr>
                  </w:pPr>
                  <w:r w:rsidRPr="00E54B1C">
                    <w:rPr>
                      <w:sz w:val="20"/>
                    </w:rPr>
                    <w:t>Appeals dismissed</w:t>
                  </w:r>
                </w:p>
                <w:p w:rsidR="009043BE" w:rsidRPr="00E54B1C" w:rsidRDefault="009043BE" w:rsidP="009043BE">
                  <w:pPr>
                    <w:jc w:val="both"/>
                    <w:rPr>
                      <w:sz w:val="20"/>
                    </w:rPr>
                  </w:pPr>
                </w:p>
              </w:tc>
            </w:tr>
            <w:tr w:rsidR="009043BE" w:rsidRPr="00E54B1C" w:rsidTr="009043BE">
              <w:tc>
                <w:tcPr>
                  <w:tcW w:w="2367" w:type="pct"/>
                </w:tcPr>
                <w:p w:rsidR="009043BE" w:rsidRPr="00E54B1C" w:rsidRDefault="009043BE" w:rsidP="009043BE">
                  <w:pPr>
                    <w:jc w:val="both"/>
                    <w:rPr>
                      <w:sz w:val="20"/>
                    </w:rPr>
                  </w:pPr>
                  <w:r w:rsidRPr="00E54B1C">
                    <w:rPr>
                      <w:sz w:val="20"/>
                    </w:rPr>
                    <w:t>July 29, 2022</w:t>
                  </w:r>
                </w:p>
                <w:p w:rsidR="009043BE" w:rsidRPr="00E54B1C" w:rsidRDefault="009043BE" w:rsidP="00E54B1C">
                  <w:pPr>
                    <w:jc w:val="both"/>
                    <w:rPr>
                      <w:sz w:val="20"/>
                    </w:rPr>
                  </w:pPr>
                  <w:r w:rsidRPr="00E54B1C">
                    <w:rPr>
                      <w:sz w:val="20"/>
                    </w:rPr>
                    <w:t>Supreme Court of Canada</w:t>
                  </w:r>
                </w:p>
              </w:tc>
              <w:tc>
                <w:tcPr>
                  <w:tcW w:w="267" w:type="pct"/>
                </w:tcPr>
                <w:p w:rsidR="009043BE" w:rsidRPr="00E54B1C" w:rsidRDefault="009043BE" w:rsidP="009043BE">
                  <w:pPr>
                    <w:jc w:val="both"/>
                    <w:rPr>
                      <w:sz w:val="20"/>
                    </w:rPr>
                  </w:pPr>
                </w:p>
              </w:tc>
              <w:tc>
                <w:tcPr>
                  <w:tcW w:w="2366" w:type="pct"/>
                </w:tcPr>
                <w:p w:rsidR="009043BE" w:rsidRPr="00E54B1C" w:rsidRDefault="009043BE" w:rsidP="009043BE">
                  <w:pPr>
                    <w:jc w:val="both"/>
                    <w:rPr>
                      <w:sz w:val="20"/>
                    </w:rPr>
                  </w:pPr>
                  <w:r w:rsidRPr="00E54B1C">
                    <w:rPr>
                      <w:sz w:val="20"/>
                    </w:rPr>
                    <w:t>Application for leave to appeal filed</w:t>
                  </w:r>
                </w:p>
                <w:p w:rsidR="009043BE" w:rsidRPr="00E54B1C" w:rsidRDefault="009043BE" w:rsidP="009043BE">
                  <w:pPr>
                    <w:jc w:val="both"/>
                    <w:rPr>
                      <w:sz w:val="20"/>
                    </w:rPr>
                  </w:pPr>
                </w:p>
              </w:tc>
            </w:tr>
          </w:tbl>
          <w:p w:rsidR="009043BE" w:rsidRPr="00E54B1C" w:rsidRDefault="009043BE" w:rsidP="009043BE">
            <w:pPr>
              <w:jc w:val="both"/>
              <w:rPr>
                <w:sz w:val="20"/>
              </w:rPr>
            </w:pPr>
          </w:p>
        </w:tc>
      </w:tr>
    </w:tbl>
    <w:p w:rsidR="009043BE" w:rsidRPr="00E54B1C" w:rsidRDefault="009043BE" w:rsidP="009043BE">
      <w:pPr>
        <w:jc w:val="both"/>
        <w:rPr>
          <w:sz w:val="20"/>
        </w:rPr>
      </w:pPr>
    </w:p>
    <w:p w:rsidR="00E54B1C" w:rsidRPr="00E54B1C" w:rsidRDefault="000631CF" w:rsidP="009043BE">
      <w:pPr>
        <w:jc w:val="both"/>
        <w:rPr>
          <w:sz w:val="20"/>
        </w:rPr>
      </w:pPr>
      <w:r>
        <w:rPr>
          <w:sz w:val="20"/>
        </w:rPr>
        <w:pict>
          <v:rect id="_x0000_i1045" style="width:2in;height:1pt" o:hrpct="0" o:hralign="center" o:hrstd="t" o:hrnoshade="t" o:hr="t" fillcolor="black [3213]" stroked="f"/>
        </w:pict>
      </w:r>
    </w:p>
    <w:p w:rsidR="00E54B1C" w:rsidRPr="00E54B1C" w:rsidRDefault="00E54B1C" w:rsidP="009043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9043BE" w:rsidRPr="000631CF" w:rsidTr="009043BE">
        <w:tc>
          <w:tcPr>
            <w:tcW w:w="543" w:type="pct"/>
          </w:tcPr>
          <w:p w:rsidR="009043BE" w:rsidRPr="00E54B1C" w:rsidRDefault="009043BE" w:rsidP="009043BE">
            <w:pPr>
              <w:jc w:val="both"/>
              <w:rPr>
                <w:sz w:val="20"/>
                <w:lang w:val="fr-CA"/>
              </w:rPr>
            </w:pPr>
            <w:r w:rsidRPr="00E54B1C">
              <w:rPr>
                <w:rStyle w:val="SCCFileNumberChar"/>
                <w:sz w:val="20"/>
                <w:szCs w:val="20"/>
                <w:lang w:val="fr-CA"/>
              </w:rPr>
              <w:t>40315</w:t>
            </w:r>
          </w:p>
        </w:tc>
        <w:tc>
          <w:tcPr>
            <w:tcW w:w="4457" w:type="pct"/>
          </w:tcPr>
          <w:p w:rsidR="009043BE" w:rsidRPr="00E54B1C" w:rsidRDefault="009043BE" w:rsidP="009043BE">
            <w:pPr>
              <w:pStyle w:val="SCCLsocParty"/>
              <w:jc w:val="both"/>
              <w:rPr>
                <w:b/>
                <w:sz w:val="20"/>
                <w:szCs w:val="20"/>
              </w:rPr>
            </w:pPr>
            <w:r w:rsidRPr="00E54B1C">
              <w:rPr>
                <w:b/>
                <w:sz w:val="20"/>
                <w:szCs w:val="20"/>
              </w:rPr>
              <w:t>Alex Aiden Fitzgerald Furney, aussi connu sous le nom d’Alex Furney, Maryam Furney, Hassan Hashemi c. 2257573 Ontario Inc.</w:t>
            </w:r>
          </w:p>
          <w:p w:rsidR="009043BE" w:rsidRPr="00E54B1C" w:rsidRDefault="009043BE" w:rsidP="009043BE">
            <w:pPr>
              <w:jc w:val="both"/>
              <w:rPr>
                <w:sz w:val="20"/>
                <w:lang w:val="fr-CA"/>
              </w:rPr>
            </w:pPr>
            <w:r w:rsidRPr="00E54B1C">
              <w:rPr>
                <w:sz w:val="20"/>
                <w:lang w:val="fr-CA"/>
              </w:rPr>
              <w:t>(Ont.) (Civile) (Sur autorisation)</w:t>
            </w:r>
          </w:p>
        </w:tc>
      </w:tr>
      <w:tr w:rsidR="009043BE" w:rsidRPr="000631CF" w:rsidTr="009043BE">
        <w:tc>
          <w:tcPr>
            <w:tcW w:w="5000" w:type="pct"/>
            <w:gridSpan w:val="2"/>
          </w:tcPr>
          <w:p w:rsidR="009043BE" w:rsidRPr="00E54B1C" w:rsidRDefault="009043BE" w:rsidP="009043BE">
            <w:pPr>
              <w:jc w:val="both"/>
              <w:rPr>
                <w:sz w:val="20"/>
                <w:lang w:val="fr-CA"/>
              </w:rPr>
            </w:pPr>
            <w:r w:rsidRPr="00E54B1C">
              <w:rPr>
                <w:sz w:val="20"/>
                <w:lang w:val="fr-CA"/>
              </w:rPr>
              <w:t>Procédure civile — Motion en jugement sommaire avant la tenue du procès — Intimée engageant des poursuites contre les demandeurs pour défaut relativement à des engagements hypothécaires et à leurs garanties</w:t>
            </w:r>
            <w:r w:rsidRPr="00E54B1C">
              <w:rPr>
                <w:color w:val="000000"/>
                <w:sz w:val="20"/>
                <w:lang w:val="fr-CA"/>
              </w:rPr>
              <w:t xml:space="preserve"> </w:t>
            </w:r>
            <w:r w:rsidRPr="00E54B1C">
              <w:rPr>
                <w:sz w:val="20"/>
                <w:lang w:val="fr-CA"/>
              </w:rPr>
              <w:t xml:space="preserve">— Motion en jugement sommaire de l’intimée accueillie — Appels rejetés — La demande d’autorisation d’appel soulève-t-elle une question de droit importante ayant amené diverses juridictions d’appel au Canada à rendre des décisions contradictoires, ou, plus précisément, la Cour suprême du Canada devrait-elle réexaminer la décision qu’elle a rendue dans l’arrêt </w:t>
            </w:r>
            <w:r w:rsidRPr="00E54B1C">
              <w:rPr>
                <w:i/>
                <w:sz w:val="20"/>
                <w:lang w:val="fr-CA"/>
              </w:rPr>
              <w:t>Transport North American Express Inc. c. New Solutions Financial Corp.</w:t>
            </w:r>
            <w:r w:rsidRPr="00E54B1C">
              <w:rPr>
                <w:sz w:val="20"/>
                <w:lang w:val="fr-CA"/>
              </w:rPr>
              <w:t>, 2004 CSC 7?</w:t>
            </w:r>
          </w:p>
          <w:p w:rsidR="009043BE" w:rsidRPr="00E54B1C" w:rsidRDefault="009043BE" w:rsidP="009043BE">
            <w:pPr>
              <w:jc w:val="both"/>
              <w:rPr>
                <w:sz w:val="20"/>
                <w:lang w:val="fr-CA"/>
              </w:rPr>
            </w:pPr>
          </w:p>
        </w:tc>
      </w:tr>
      <w:tr w:rsidR="009043BE" w:rsidRPr="000631CF" w:rsidTr="009043BE">
        <w:tc>
          <w:tcPr>
            <w:tcW w:w="5000" w:type="pct"/>
            <w:gridSpan w:val="2"/>
          </w:tcPr>
          <w:p w:rsidR="009043BE" w:rsidRPr="00E54B1C" w:rsidRDefault="009043BE" w:rsidP="009043BE">
            <w:pPr>
              <w:jc w:val="both"/>
              <w:rPr>
                <w:sz w:val="20"/>
                <w:lang w:val="fr-CA"/>
              </w:rPr>
            </w:pPr>
            <w:r w:rsidRPr="00E54B1C">
              <w:rPr>
                <w:color w:val="000000"/>
                <w:sz w:val="20"/>
                <w:lang w:val="fr-CA"/>
              </w:rPr>
              <w:t>Les demandeurs ont été en défaut relativement à plusieurs hypothèques et garanties. L’intimée a présenté avec succès une motion en jugement sommaire. La Cour d’appel a rejeté la demande d’ajournement des demandeurs ainsi que leurs appels.</w:t>
            </w:r>
          </w:p>
        </w:tc>
      </w:tr>
      <w:tr w:rsidR="009043BE" w:rsidRPr="000631CF" w:rsidTr="009043BE">
        <w:tc>
          <w:tcPr>
            <w:tcW w:w="5000" w:type="pct"/>
            <w:gridSpan w:val="2"/>
          </w:tcPr>
          <w:p w:rsidR="009043BE" w:rsidRPr="00E54B1C" w:rsidRDefault="009043BE" w:rsidP="009043BE">
            <w:pPr>
              <w:jc w:val="both"/>
              <w:rPr>
                <w:sz w:val="20"/>
                <w:lang w:val="fr-CA"/>
              </w:rPr>
            </w:pPr>
          </w:p>
        </w:tc>
      </w:tr>
      <w:tr w:rsidR="009043BE" w:rsidRPr="00E54B1C" w:rsidTr="009043BE">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9043BE" w:rsidRPr="000631CF" w:rsidTr="009043BE">
              <w:tc>
                <w:tcPr>
                  <w:tcW w:w="2367" w:type="pct"/>
                </w:tcPr>
                <w:p w:rsidR="009043BE" w:rsidRPr="00E54B1C" w:rsidRDefault="009043BE" w:rsidP="009043BE">
                  <w:pPr>
                    <w:jc w:val="both"/>
                    <w:rPr>
                      <w:sz w:val="20"/>
                      <w:lang w:val="fr-CA"/>
                    </w:rPr>
                  </w:pPr>
                  <w:r w:rsidRPr="00E54B1C">
                    <w:rPr>
                      <w:sz w:val="20"/>
                      <w:lang w:val="fr-CA"/>
                    </w:rPr>
                    <w:t>14 octobre 2020</w:t>
                  </w:r>
                </w:p>
                <w:p w:rsidR="009043BE" w:rsidRPr="00E54B1C" w:rsidRDefault="009043BE" w:rsidP="009043BE">
                  <w:pPr>
                    <w:jc w:val="both"/>
                    <w:rPr>
                      <w:sz w:val="20"/>
                      <w:lang w:val="fr-CA"/>
                    </w:rPr>
                  </w:pPr>
                  <w:r w:rsidRPr="00E54B1C">
                    <w:rPr>
                      <w:sz w:val="20"/>
                      <w:lang w:val="fr-CA"/>
                    </w:rPr>
                    <w:t>Cour supérieure de justice de l’Ontario</w:t>
                  </w:r>
                </w:p>
                <w:p w:rsidR="009043BE" w:rsidRPr="00E54B1C" w:rsidRDefault="009043BE" w:rsidP="009043BE">
                  <w:pPr>
                    <w:jc w:val="both"/>
                    <w:rPr>
                      <w:sz w:val="20"/>
                      <w:lang w:val="fr-CA"/>
                    </w:rPr>
                  </w:pPr>
                  <w:r w:rsidRPr="00E54B1C">
                    <w:rPr>
                      <w:sz w:val="20"/>
                      <w:lang w:val="fr-CA"/>
                    </w:rPr>
                    <w:t>(Juge Turnbull)</w:t>
                  </w:r>
                </w:p>
                <w:p w:rsidR="009043BE" w:rsidRPr="00E54B1C" w:rsidRDefault="000631CF" w:rsidP="009043BE">
                  <w:pPr>
                    <w:jc w:val="both"/>
                    <w:rPr>
                      <w:sz w:val="20"/>
                      <w:lang w:val="fr-CA"/>
                    </w:rPr>
                  </w:pPr>
                  <w:hyperlink r:id="rId59" w:history="1">
                    <w:r w:rsidR="009043BE" w:rsidRPr="00E54B1C">
                      <w:rPr>
                        <w:rStyle w:val="Hyperlink"/>
                        <w:sz w:val="20"/>
                        <w:lang w:val="fr-CA"/>
                      </w:rPr>
                      <w:t>2020 ONSC 6002</w:t>
                    </w:r>
                  </w:hyperlink>
                </w:p>
                <w:p w:rsidR="009043BE" w:rsidRPr="00E54B1C" w:rsidRDefault="009043BE" w:rsidP="009043BE">
                  <w:pPr>
                    <w:jc w:val="both"/>
                    <w:rPr>
                      <w:sz w:val="20"/>
                      <w:lang w:val="fr-CA"/>
                    </w:rPr>
                  </w:pPr>
                </w:p>
              </w:tc>
              <w:tc>
                <w:tcPr>
                  <w:tcW w:w="267" w:type="pct"/>
                </w:tcPr>
                <w:p w:rsidR="009043BE" w:rsidRPr="00E54B1C" w:rsidRDefault="009043BE" w:rsidP="009043BE">
                  <w:pPr>
                    <w:jc w:val="both"/>
                    <w:rPr>
                      <w:sz w:val="20"/>
                      <w:lang w:val="fr-CA"/>
                    </w:rPr>
                  </w:pPr>
                </w:p>
              </w:tc>
              <w:tc>
                <w:tcPr>
                  <w:tcW w:w="2366" w:type="pct"/>
                </w:tcPr>
                <w:p w:rsidR="009043BE" w:rsidRPr="00E54B1C" w:rsidRDefault="009043BE" w:rsidP="009043BE">
                  <w:pPr>
                    <w:jc w:val="both"/>
                    <w:rPr>
                      <w:sz w:val="20"/>
                      <w:lang w:val="fr-CA"/>
                    </w:rPr>
                  </w:pPr>
                  <w:r w:rsidRPr="00E54B1C">
                    <w:rPr>
                      <w:sz w:val="20"/>
                      <w:lang w:val="fr-CA"/>
                    </w:rPr>
                    <w:t xml:space="preserve">Motion en jugement sommaire accueillie. </w:t>
                  </w:r>
                </w:p>
                <w:p w:rsidR="009043BE" w:rsidRPr="00E54B1C" w:rsidRDefault="009043BE" w:rsidP="009043BE">
                  <w:pPr>
                    <w:jc w:val="both"/>
                    <w:rPr>
                      <w:sz w:val="20"/>
                      <w:lang w:val="fr-CA"/>
                    </w:rPr>
                  </w:pPr>
                </w:p>
              </w:tc>
            </w:tr>
            <w:tr w:rsidR="009043BE" w:rsidRPr="00E54B1C" w:rsidTr="009043BE">
              <w:tc>
                <w:tcPr>
                  <w:tcW w:w="2367" w:type="pct"/>
                </w:tcPr>
                <w:p w:rsidR="009043BE" w:rsidRPr="00E54B1C" w:rsidRDefault="009043BE" w:rsidP="009043BE">
                  <w:pPr>
                    <w:jc w:val="both"/>
                    <w:rPr>
                      <w:sz w:val="20"/>
                      <w:lang w:val="fr-CA"/>
                    </w:rPr>
                  </w:pPr>
                  <w:r w:rsidRPr="00E54B1C">
                    <w:rPr>
                      <w:sz w:val="20"/>
                      <w:lang w:val="fr-CA"/>
                    </w:rPr>
                    <w:t>30 juin 2022</w:t>
                  </w:r>
                </w:p>
                <w:p w:rsidR="009043BE" w:rsidRPr="00E54B1C" w:rsidRDefault="009043BE" w:rsidP="009043BE">
                  <w:pPr>
                    <w:jc w:val="both"/>
                    <w:rPr>
                      <w:sz w:val="20"/>
                      <w:lang w:val="fr-CA"/>
                    </w:rPr>
                  </w:pPr>
                  <w:r w:rsidRPr="00E54B1C">
                    <w:rPr>
                      <w:sz w:val="20"/>
                      <w:lang w:val="fr-CA"/>
                    </w:rPr>
                    <w:t>Cour d’appel de l’Ontario</w:t>
                  </w:r>
                </w:p>
                <w:p w:rsidR="009043BE" w:rsidRPr="00E54B1C" w:rsidRDefault="009043BE" w:rsidP="009043BE">
                  <w:pPr>
                    <w:jc w:val="both"/>
                    <w:rPr>
                      <w:sz w:val="20"/>
                      <w:lang w:val="fr-CA"/>
                    </w:rPr>
                  </w:pPr>
                  <w:r w:rsidRPr="00E54B1C">
                    <w:rPr>
                      <w:sz w:val="20"/>
                      <w:lang w:val="fr-CA"/>
                    </w:rPr>
                    <w:t>(Juges Brown, Roberts et Paciocco)</w:t>
                  </w:r>
                </w:p>
                <w:p w:rsidR="009043BE" w:rsidRPr="00E54B1C" w:rsidRDefault="009043BE" w:rsidP="009043BE">
                  <w:pPr>
                    <w:jc w:val="both"/>
                    <w:rPr>
                      <w:sz w:val="20"/>
                      <w:lang w:val="fr-CA"/>
                    </w:rPr>
                  </w:pPr>
                  <w:r w:rsidRPr="00E54B1C">
                    <w:rPr>
                      <w:sz w:val="20"/>
                      <w:lang w:val="fr-CA"/>
                    </w:rPr>
                    <w:t xml:space="preserve">C68734; </w:t>
                  </w:r>
                  <w:hyperlink r:id="rId60" w:history="1">
                    <w:r w:rsidRPr="00E54B1C">
                      <w:rPr>
                        <w:rStyle w:val="Hyperlink"/>
                        <w:sz w:val="20"/>
                        <w:lang w:val="fr-CA"/>
                      </w:rPr>
                      <w:t>2022 ONCA 505</w:t>
                    </w:r>
                  </w:hyperlink>
                </w:p>
                <w:p w:rsidR="009043BE" w:rsidRPr="00E54B1C" w:rsidRDefault="009043BE" w:rsidP="009043BE">
                  <w:pPr>
                    <w:jc w:val="both"/>
                    <w:rPr>
                      <w:sz w:val="20"/>
                      <w:lang w:val="fr-CA"/>
                    </w:rPr>
                  </w:pPr>
                </w:p>
              </w:tc>
              <w:tc>
                <w:tcPr>
                  <w:tcW w:w="267" w:type="pct"/>
                </w:tcPr>
                <w:p w:rsidR="009043BE" w:rsidRPr="00E54B1C" w:rsidRDefault="009043BE" w:rsidP="009043BE">
                  <w:pPr>
                    <w:jc w:val="both"/>
                    <w:rPr>
                      <w:sz w:val="20"/>
                      <w:lang w:val="fr-CA"/>
                    </w:rPr>
                  </w:pPr>
                </w:p>
              </w:tc>
              <w:tc>
                <w:tcPr>
                  <w:tcW w:w="2366" w:type="pct"/>
                </w:tcPr>
                <w:p w:rsidR="009043BE" w:rsidRPr="00E54B1C" w:rsidRDefault="009043BE" w:rsidP="009043BE">
                  <w:pPr>
                    <w:jc w:val="both"/>
                    <w:rPr>
                      <w:sz w:val="20"/>
                      <w:lang w:val="fr-CA"/>
                    </w:rPr>
                  </w:pPr>
                  <w:r w:rsidRPr="00E54B1C">
                    <w:rPr>
                      <w:sz w:val="20"/>
                      <w:lang w:val="fr-CA"/>
                    </w:rPr>
                    <w:t>Appels rejetés.</w:t>
                  </w:r>
                </w:p>
                <w:p w:rsidR="009043BE" w:rsidRPr="00E54B1C" w:rsidRDefault="009043BE" w:rsidP="009043BE">
                  <w:pPr>
                    <w:jc w:val="both"/>
                    <w:rPr>
                      <w:sz w:val="20"/>
                      <w:lang w:val="fr-CA"/>
                    </w:rPr>
                  </w:pPr>
                </w:p>
              </w:tc>
            </w:tr>
            <w:tr w:rsidR="009043BE" w:rsidRPr="00E54B1C" w:rsidTr="009043BE">
              <w:tc>
                <w:tcPr>
                  <w:tcW w:w="2367" w:type="pct"/>
                </w:tcPr>
                <w:p w:rsidR="009043BE" w:rsidRPr="00E54B1C" w:rsidRDefault="009043BE" w:rsidP="009043BE">
                  <w:pPr>
                    <w:jc w:val="both"/>
                    <w:rPr>
                      <w:sz w:val="20"/>
                      <w:lang w:val="fr-CA"/>
                    </w:rPr>
                  </w:pPr>
                  <w:r w:rsidRPr="00E54B1C">
                    <w:rPr>
                      <w:sz w:val="20"/>
                      <w:lang w:val="fr-CA"/>
                    </w:rPr>
                    <w:t>29 juillet 2022</w:t>
                  </w:r>
                </w:p>
                <w:p w:rsidR="009043BE" w:rsidRPr="00E54B1C" w:rsidRDefault="009043BE" w:rsidP="00E54B1C">
                  <w:pPr>
                    <w:jc w:val="both"/>
                    <w:rPr>
                      <w:sz w:val="20"/>
                      <w:lang w:val="fr-CA"/>
                    </w:rPr>
                  </w:pPr>
                  <w:r w:rsidRPr="00E54B1C">
                    <w:rPr>
                      <w:sz w:val="20"/>
                      <w:lang w:val="fr-CA"/>
                    </w:rPr>
                    <w:t>Cour suprême du Canada</w:t>
                  </w:r>
                </w:p>
              </w:tc>
              <w:tc>
                <w:tcPr>
                  <w:tcW w:w="267" w:type="pct"/>
                </w:tcPr>
                <w:p w:rsidR="009043BE" w:rsidRPr="00E54B1C" w:rsidRDefault="009043BE" w:rsidP="009043BE">
                  <w:pPr>
                    <w:jc w:val="both"/>
                    <w:rPr>
                      <w:sz w:val="20"/>
                      <w:lang w:val="fr-CA"/>
                    </w:rPr>
                  </w:pPr>
                </w:p>
              </w:tc>
              <w:tc>
                <w:tcPr>
                  <w:tcW w:w="2366" w:type="pct"/>
                </w:tcPr>
                <w:p w:rsidR="009043BE" w:rsidRPr="00E54B1C" w:rsidRDefault="009043BE" w:rsidP="009043BE">
                  <w:pPr>
                    <w:jc w:val="both"/>
                    <w:rPr>
                      <w:sz w:val="20"/>
                      <w:lang w:val="fr-CA"/>
                    </w:rPr>
                  </w:pPr>
                  <w:r w:rsidRPr="00E54B1C">
                    <w:rPr>
                      <w:sz w:val="20"/>
                      <w:lang w:val="fr-CA"/>
                    </w:rPr>
                    <w:t xml:space="preserve">Demande d’autorisation d’appel déposée. </w:t>
                  </w:r>
                </w:p>
                <w:p w:rsidR="009043BE" w:rsidRPr="00E54B1C" w:rsidRDefault="009043BE" w:rsidP="009043BE">
                  <w:pPr>
                    <w:jc w:val="both"/>
                    <w:rPr>
                      <w:sz w:val="20"/>
                      <w:lang w:val="fr-CA"/>
                    </w:rPr>
                  </w:pPr>
                </w:p>
              </w:tc>
            </w:tr>
          </w:tbl>
          <w:p w:rsidR="009043BE" w:rsidRPr="00E54B1C" w:rsidRDefault="009043BE" w:rsidP="009043BE">
            <w:pPr>
              <w:jc w:val="both"/>
              <w:rPr>
                <w:sz w:val="20"/>
                <w:lang w:val="fr-CA"/>
              </w:rPr>
            </w:pPr>
          </w:p>
        </w:tc>
      </w:tr>
    </w:tbl>
    <w:p w:rsidR="009043BE" w:rsidRPr="00E54B1C" w:rsidRDefault="009043BE" w:rsidP="009043BE">
      <w:pPr>
        <w:jc w:val="both"/>
        <w:rPr>
          <w:sz w:val="20"/>
          <w:lang w:val="fr-CA"/>
        </w:rPr>
      </w:pPr>
    </w:p>
    <w:p w:rsidR="00E54B1C" w:rsidRPr="00E54B1C" w:rsidRDefault="000631CF" w:rsidP="009043BE">
      <w:pPr>
        <w:jc w:val="both"/>
        <w:rPr>
          <w:sz w:val="20"/>
          <w:lang w:val="fr-CA"/>
        </w:rPr>
      </w:pPr>
      <w:r>
        <w:rPr>
          <w:sz w:val="20"/>
        </w:rPr>
        <w:pict>
          <v:rect id="_x0000_i1046" style="width:2in;height:1pt" o:hrpct="0" o:hralign="center" o:hrstd="t" o:hrnoshade="t" o:hr="t" fillcolor="black [3213]" stroked="f"/>
        </w:pict>
      </w:r>
    </w:p>
    <w:p w:rsidR="009043BE" w:rsidRPr="00E54B1C" w:rsidRDefault="009043BE" w:rsidP="009043B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t>40335</w:t>
            </w:r>
          </w:p>
        </w:tc>
        <w:tc>
          <w:tcPr>
            <w:tcW w:w="4457" w:type="pct"/>
            <w:gridSpan w:val="3"/>
          </w:tcPr>
          <w:p w:rsidR="009043BE" w:rsidRPr="00E54B1C" w:rsidRDefault="009043BE" w:rsidP="009043BE">
            <w:pPr>
              <w:pStyle w:val="SCCLsocParty"/>
              <w:jc w:val="both"/>
              <w:rPr>
                <w:b/>
                <w:sz w:val="20"/>
                <w:szCs w:val="20"/>
                <w:lang w:val="en-US"/>
              </w:rPr>
            </w:pPr>
            <w:r w:rsidRPr="00E54B1C">
              <w:rPr>
                <w:b/>
                <w:sz w:val="20"/>
                <w:szCs w:val="20"/>
                <w:lang w:val="en-US"/>
              </w:rPr>
              <w:t>Anthony Pullano v. Steven Hinder, Magna International Inc., Stronach Consulting Corp.</w:t>
            </w:r>
          </w:p>
          <w:p w:rsidR="009043BE" w:rsidRPr="00E54B1C" w:rsidRDefault="00E54B1C" w:rsidP="009043BE">
            <w:pPr>
              <w:jc w:val="both"/>
              <w:rPr>
                <w:sz w:val="20"/>
              </w:rPr>
            </w:pPr>
            <w:r w:rsidRPr="00E54B1C">
              <w:rPr>
                <w:sz w:val="20"/>
              </w:rPr>
              <w:t>(Ont.) (Civil) (By Leave)</w:t>
            </w:r>
          </w:p>
        </w:tc>
      </w:tr>
      <w:tr w:rsidR="009043BE" w:rsidRPr="00E54B1C" w:rsidTr="009043BE">
        <w:tc>
          <w:tcPr>
            <w:tcW w:w="5000" w:type="pct"/>
            <w:gridSpan w:val="4"/>
          </w:tcPr>
          <w:p w:rsidR="009043BE" w:rsidRPr="00E54B1C" w:rsidRDefault="009043BE" w:rsidP="009043BE">
            <w:pPr>
              <w:jc w:val="both"/>
              <w:rPr>
                <w:sz w:val="20"/>
              </w:rPr>
            </w:pPr>
            <w:r w:rsidRPr="00E54B1C">
              <w:rPr>
                <w:sz w:val="20"/>
              </w:rPr>
              <w:t xml:space="preserve">Torts — Intentional torts — Battery — Costs — </w:t>
            </w:r>
            <w:r w:rsidRPr="00E54B1C">
              <w:rPr>
                <w:color w:val="000000"/>
                <w:sz w:val="20"/>
              </w:rPr>
              <w:t>Whether lower courts misunderstood the nature of battery and erred by not awarding nominal damages to the plaintiff and by awarding costs to the defendants?</w:t>
            </w:r>
          </w:p>
        </w:tc>
      </w:tr>
      <w:tr w:rsidR="009043BE" w:rsidRPr="00E54B1C" w:rsidTr="009043BE">
        <w:tc>
          <w:tcPr>
            <w:tcW w:w="5000" w:type="pct"/>
            <w:gridSpan w:val="4"/>
          </w:tcPr>
          <w:p w:rsidR="009043BE" w:rsidRPr="00E54B1C" w:rsidRDefault="009043BE" w:rsidP="009043BE">
            <w:pPr>
              <w:jc w:val="both"/>
              <w:rPr>
                <w:sz w:val="20"/>
              </w:rPr>
            </w:pPr>
          </w:p>
        </w:tc>
      </w:tr>
      <w:tr w:rsidR="009043BE" w:rsidRPr="00E54B1C" w:rsidTr="009043BE">
        <w:tc>
          <w:tcPr>
            <w:tcW w:w="5000" w:type="pct"/>
            <w:gridSpan w:val="4"/>
          </w:tcPr>
          <w:p w:rsidR="009043BE" w:rsidRPr="00E54B1C" w:rsidRDefault="009043BE" w:rsidP="009043BE">
            <w:pPr>
              <w:jc w:val="both"/>
              <w:rPr>
                <w:sz w:val="20"/>
              </w:rPr>
            </w:pPr>
            <w:r w:rsidRPr="00E54B1C">
              <w:rPr>
                <w:color w:val="000000"/>
                <w:sz w:val="20"/>
              </w:rPr>
              <w:t xml:space="preserve">A civil jury found that Mr. Hinder punched Mr. Pullano but no injury was caused. The jury found no entitlement to </w:t>
            </w:r>
            <w:proofErr w:type="gramStart"/>
            <w:r w:rsidRPr="00E54B1C">
              <w:rPr>
                <w:color w:val="000000"/>
                <w:sz w:val="20"/>
              </w:rPr>
              <w:t>aggravated</w:t>
            </w:r>
            <w:proofErr w:type="gramEnd"/>
            <w:r w:rsidRPr="00E54B1C">
              <w:rPr>
                <w:color w:val="000000"/>
                <w:sz w:val="20"/>
              </w:rPr>
              <w:t xml:space="preserve"> or punitive damages. Mr. Pullano asked the trial judge to award nominal damages for battery and to find </w:t>
            </w:r>
            <w:r w:rsidRPr="00E54B1C">
              <w:rPr>
                <w:sz w:val="20"/>
              </w:rPr>
              <w:t xml:space="preserve">Magna International Inc. and Stronach Consulting Corp. </w:t>
            </w:r>
            <w:r w:rsidRPr="00E54B1C">
              <w:rPr>
                <w:color w:val="000000"/>
                <w:sz w:val="20"/>
              </w:rPr>
              <w:t xml:space="preserve">vicariously liable. The trial judge declined to award nominal damages. The Court of Appeal dismissed an appeal from the decision denying nominal damages and in respect to costs. </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April 15, 2019</w:t>
            </w:r>
          </w:p>
          <w:p w:rsidR="009043BE" w:rsidRPr="00E54B1C" w:rsidRDefault="009043BE" w:rsidP="009043BE">
            <w:pPr>
              <w:jc w:val="both"/>
              <w:rPr>
                <w:sz w:val="20"/>
              </w:rPr>
            </w:pPr>
            <w:r w:rsidRPr="00E54B1C">
              <w:rPr>
                <w:sz w:val="20"/>
              </w:rPr>
              <w:t>Ontario Superior Court of Justice</w:t>
            </w:r>
          </w:p>
          <w:p w:rsidR="009043BE" w:rsidRPr="00E54B1C" w:rsidRDefault="009043BE" w:rsidP="009043BE">
            <w:pPr>
              <w:jc w:val="both"/>
              <w:rPr>
                <w:sz w:val="20"/>
              </w:rPr>
            </w:pPr>
            <w:r w:rsidRPr="00E54B1C">
              <w:rPr>
                <w:sz w:val="20"/>
              </w:rPr>
              <w:t xml:space="preserve">(McCarthy J.)(Unreported) </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pStyle w:val="mainparagraph"/>
              <w:widowControl w:val="0"/>
              <w:spacing w:before="0" w:beforeAutospacing="0" w:after="0" w:afterAutospacing="0"/>
              <w:jc w:val="both"/>
              <w:rPr>
                <w:color w:val="000000"/>
                <w:sz w:val="20"/>
                <w:szCs w:val="20"/>
              </w:rPr>
            </w:pPr>
            <w:r w:rsidRPr="00E54B1C">
              <w:rPr>
                <w:sz w:val="20"/>
                <w:szCs w:val="20"/>
              </w:rPr>
              <w:t xml:space="preserve">Jury verdict that </w:t>
            </w:r>
            <w:r w:rsidRPr="00E54B1C">
              <w:rPr>
                <w:color w:val="000000"/>
                <w:sz w:val="20"/>
                <w:szCs w:val="20"/>
              </w:rPr>
              <w:t>Steven Hinder punched Anthony Pullano; punch caused no physical, emotional or psychological injury; no conduct gave rise to aggravated or punitive damages: Jury award of $50,000 on counter-claim for defamation</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April 15, 2019</w:t>
            </w:r>
          </w:p>
          <w:p w:rsidR="009043BE" w:rsidRPr="00E54B1C" w:rsidRDefault="009043BE" w:rsidP="009043BE">
            <w:pPr>
              <w:jc w:val="both"/>
              <w:rPr>
                <w:sz w:val="20"/>
              </w:rPr>
            </w:pPr>
            <w:r w:rsidRPr="00E54B1C">
              <w:rPr>
                <w:sz w:val="20"/>
              </w:rPr>
              <w:t>Ontario Superior Court of Justice</w:t>
            </w:r>
          </w:p>
          <w:p w:rsidR="009043BE" w:rsidRPr="00E54B1C" w:rsidRDefault="009043BE" w:rsidP="009043BE">
            <w:pPr>
              <w:jc w:val="both"/>
              <w:rPr>
                <w:sz w:val="20"/>
              </w:rPr>
            </w:pPr>
            <w:r w:rsidRPr="00E54B1C">
              <w:rPr>
                <w:sz w:val="20"/>
              </w:rPr>
              <w:t>(McCarthy J.)</w:t>
            </w:r>
          </w:p>
          <w:p w:rsidR="009043BE" w:rsidRPr="00E54B1C" w:rsidRDefault="000631CF" w:rsidP="009043BE">
            <w:pPr>
              <w:jc w:val="both"/>
              <w:rPr>
                <w:sz w:val="20"/>
              </w:rPr>
            </w:pPr>
            <w:hyperlink r:id="rId61" w:history="1">
              <w:r w:rsidR="009043BE" w:rsidRPr="00E54B1C">
                <w:rPr>
                  <w:rStyle w:val="Hyperlink"/>
                  <w:sz w:val="20"/>
                </w:rPr>
                <w:t>2019 ONSC 2362</w:t>
              </w:r>
            </w:hyperlink>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pStyle w:val="mainparagraph"/>
              <w:widowControl w:val="0"/>
              <w:spacing w:before="0" w:beforeAutospacing="0" w:after="0" w:afterAutospacing="0"/>
              <w:jc w:val="both"/>
              <w:rPr>
                <w:sz w:val="20"/>
                <w:szCs w:val="20"/>
              </w:rPr>
            </w:pPr>
            <w:r w:rsidRPr="00E54B1C">
              <w:rPr>
                <w:sz w:val="20"/>
                <w:szCs w:val="20"/>
              </w:rPr>
              <w:t>Claim for nominal damages dismissed</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May 26, 2022</w:t>
            </w:r>
          </w:p>
          <w:p w:rsidR="009043BE" w:rsidRPr="00E54B1C" w:rsidRDefault="009043BE" w:rsidP="009043BE">
            <w:pPr>
              <w:jc w:val="both"/>
              <w:rPr>
                <w:sz w:val="20"/>
              </w:rPr>
            </w:pPr>
            <w:r w:rsidRPr="00E54B1C">
              <w:rPr>
                <w:sz w:val="20"/>
              </w:rPr>
              <w:t>Court of Appeal for Ontario</w:t>
            </w:r>
          </w:p>
          <w:p w:rsidR="009043BE" w:rsidRPr="00E54B1C" w:rsidRDefault="009043BE" w:rsidP="009043BE">
            <w:pPr>
              <w:jc w:val="both"/>
              <w:rPr>
                <w:sz w:val="20"/>
              </w:rPr>
            </w:pPr>
            <w:r w:rsidRPr="00E54B1C">
              <w:rPr>
                <w:sz w:val="20"/>
              </w:rPr>
              <w:t>(Benotto, Zarnett and Copeland JJ.A.)</w:t>
            </w:r>
          </w:p>
          <w:p w:rsidR="009043BE" w:rsidRPr="00E54B1C" w:rsidRDefault="000631CF" w:rsidP="009043BE">
            <w:pPr>
              <w:jc w:val="both"/>
              <w:rPr>
                <w:sz w:val="20"/>
              </w:rPr>
            </w:pPr>
            <w:hyperlink r:id="rId62" w:history="1">
              <w:r w:rsidR="009043BE" w:rsidRPr="00E54B1C">
                <w:rPr>
                  <w:rStyle w:val="Hyperlink"/>
                  <w:sz w:val="20"/>
                </w:rPr>
                <w:t>2022 ONCA 418</w:t>
              </w:r>
            </w:hyperlink>
            <w:r w:rsidR="009043BE" w:rsidRPr="00E54B1C">
              <w:rPr>
                <w:sz w:val="20"/>
              </w:rPr>
              <w:t>; C69763</w:t>
            </w:r>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Appeal dismissed</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August 25, 2022</w:t>
            </w:r>
          </w:p>
          <w:p w:rsidR="009043BE" w:rsidRPr="00E54B1C" w:rsidRDefault="009043BE" w:rsidP="009043BE">
            <w:pPr>
              <w:jc w:val="both"/>
              <w:rPr>
                <w:sz w:val="20"/>
              </w:rPr>
            </w:pPr>
            <w:r w:rsidRPr="00E54B1C">
              <w:rPr>
                <w:sz w:val="20"/>
              </w:rPr>
              <w:t>Supreme Court of Canada</w:t>
            </w: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Application for leave to appeal filed</w:t>
            </w:r>
          </w:p>
          <w:p w:rsidR="009043BE" w:rsidRPr="00E54B1C" w:rsidRDefault="009043BE" w:rsidP="009043BE">
            <w:pPr>
              <w:jc w:val="both"/>
              <w:rPr>
                <w:sz w:val="20"/>
              </w:rPr>
            </w:pPr>
          </w:p>
        </w:tc>
      </w:tr>
    </w:tbl>
    <w:p w:rsidR="009043BE" w:rsidRPr="00E54B1C" w:rsidRDefault="009043BE" w:rsidP="009043BE">
      <w:pPr>
        <w:jc w:val="both"/>
        <w:rPr>
          <w:sz w:val="20"/>
        </w:rPr>
      </w:pPr>
    </w:p>
    <w:p w:rsidR="00E54B1C" w:rsidRPr="00E54B1C" w:rsidRDefault="000631CF" w:rsidP="009043BE">
      <w:pPr>
        <w:jc w:val="both"/>
        <w:rPr>
          <w:sz w:val="20"/>
        </w:rPr>
      </w:pPr>
      <w:r>
        <w:rPr>
          <w:sz w:val="20"/>
        </w:rPr>
        <w:pict>
          <v:rect id="_x0000_i1047" style="width:2in;height:1pt" o:hrpct="0" o:hralign="center" o:hrstd="t" o:hrnoshade="t" o:hr="t" fillcolor="black [3213]" stroked="f"/>
        </w:pict>
      </w:r>
    </w:p>
    <w:p w:rsidR="00E54B1C" w:rsidRPr="00E54B1C" w:rsidRDefault="00E54B1C" w:rsidP="009043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lang w:val="fr-CA"/>
              </w:rPr>
            </w:pPr>
            <w:r w:rsidRPr="00E54B1C">
              <w:rPr>
                <w:rStyle w:val="SCCFileNumberChar"/>
                <w:sz w:val="20"/>
                <w:szCs w:val="20"/>
                <w:lang w:val="fr-CA"/>
              </w:rPr>
              <w:t>40335</w:t>
            </w:r>
          </w:p>
        </w:tc>
        <w:tc>
          <w:tcPr>
            <w:tcW w:w="4457" w:type="pct"/>
            <w:gridSpan w:val="3"/>
          </w:tcPr>
          <w:p w:rsidR="009043BE" w:rsidRPr="00E54B1C" w:rsidRDefault="009043BE" w:rsidP="009043BE">
            <w:pPr>
              <w:pStyle w:val="SCCLsocParty"/>
              <w:jc w:val="both"/>
              <w:rPr>
                <w:b/>
                <w:sz w:val="20"/>
                <w:szCs w:val="20"/>
                <w:lang w:val="en-US"/>
              </w:rPr>
            </w:pPr>
            <w:r w:rsidRPr="00E54B1C">
              <w:rPr>
                <w:b/>
                <w:sz w:val="20"/>
                <w:szCs w:val="20"/>
                <w:lang w:val="en-US"/>
              </w:rPr>
              <w:t>Anthony Pullano c. Steven Hinder, Magna International Inc., Stronach Consulting Corp.</w:t>
            </w:r>
          </w:p>
          <w:p w:rsidR="009043BE" w:rsidRPr="00E54B1C" w:rsidRDefault="009043BE" w:rsidP="009043BE">
            <w:pPr>
              <w:jc w:val="both"/>
              <w:rPr>
                <w:sz w:val="20"/>
                <w:lang w:val="fr-CA"/>
              </w:rPr>
            </w:pPr>
            <w:r w:rsidRPr="00E54B1C">
              <w:rPr>
                <w:sz w:val="20"/>
                <w:lang w:val="fr-CA"/>
              </w:rPr>
              <w:t>(On</w:t>
            </w:r>
            <w:r w:rsidR="00E54B1C" w:rsidRPr="00E54B1C">
              <w:rPr>
                <w:sz w:val="20"/>
                <w:lang w:val="fr-CA"/>
              </w:rPr>
              <w:t>t.) (Civile) (Sur autorisation)</w:t>
            </w:r>
          </w:p>
        </w:tc>
      </w:tr>
      <w:tr w:rsidR="009043BE" w:rsidRPr="000631CF" w:rsidTr="009043BE">
        <w:tc>
          <w:tcPr>
            <w:tcW w:w="5000" w:type="pct"/>
            <w:gridSpan w:val="4"/>
          </w:tcPr>
          <w:p w:rsidR="009043BE" w:rsidRPr="00E54B1C" w:rsidRDefault="009043BE" w:rsidP="009043BE">
            <w:pPr>
              <w:jc w:val="both"/>
              <w:rPr>
                <w:sz w:val="20"/>
                <w:lang w:val="fr-CA"/>
              </w:rPr>
            </w:pPr>
            <w:r w:rsidRPr="00E54B1C">
              <w:rPr>
                <w:sz w:val="20"/>
                <w:lang w:val="fr-CA"/>
              </w:rPr>
              <w:t xml:space="preserve">Responsabilité délictuelle — Délits intentionnels — Délit de batterie — Dépens — </w:t>
            </w:r>
            <w:r w:rsidRPr="00E54B1C">
              <w:rPr>
                <w:color w:val="000000"/>
                <w:sz w:val="20"/>
                <w:lang w:val="fr-CA"/>
              </w:rPr>
              <w:t>Les juridictions inférieures ont-elles mal compris la nature du délit de batterie et fait erreur en refusant d’accorder au plaignant des dommages-intérêts symboliques et en adjugeant les dépens en faveur des défendeurs?</w:t>
            </w:r>
          </w:p>
        </w:tc>
      </w:tr>
      <w:tr w:rsidR="009043BE" w:rsidRPr="000631CF" w:rsidTr="009043BE">
        <w:tc>
          <w:tcPr>
            <w:tcW w:w="5000" w:type="pct"/>
            <w:gridSpan w:val="4"/>
          </w:tcPr>
          <w:p w:rsidR="009043BE" w:rsidRPr="00E54B1C" w:rsidRDefault="009043BE" w:rsidP="009043BE">
            <w:pPr>
              <w:jc w:val="both"/>
              <w:rPr>
                <w:sz w:val="20"/>
                <w:lang w:val="fr-CA"/>
              </w:rPr>
            </w:pPr>
          </w:p>
        </w:tc>
      </w:tr>
      <w:tr w:rsidR="009043BE" w:rsidRPr="000631CF" w:rsidTr="009043BE">
        <w:tc>
          <w:tcPr>
            <w:tcW w:w="5000" w:type="pct"/>
            <w:gridSpan w:val="4"/>
          </w:tcPr>
          <w:p w:rsidR="009043BE" w:rsidRPr="00E54B1C" w:rsidRDefault="009043BE" w:rsidP="009043BE">
            <w:pPr>
              <w:jc w:val="both"/>
              <w:rPr>
                <w:sz w:val="20"/>
                <w:lang w:val="fr-CA"/>
              </w:rPr>
            </w:pPr>
            <w:r w:rsidRPr="00E54B1C">
              <w:rPr>
                <w:color w:val="000000"/>
                <w:sz w:val="20"/>
                <w:lang w:val="fr-CA"/>
              </w:rPr>
              <w:t xml:space="preserve">Un jury au civil a conclu que M. Hinder avait donné un coup de poing à M. Pullano, mais que ce coup de poing n’avait causé aucune blessure. Il a aussi conclu qu’il n’existait aucun motif justifiant d’accorder des dommages-intérêts punitifs ou majorés. M. Pullano a demandé au juge du procès de lui accorder des dommages-intérêts symboliques, en raison du délit de batterie, et de déclarer </w:t>
            </w:r>
            <w:r w:rsidRPr="00E54B1C">
              <w:rPr>
                <w:sz w:val="20"/>
                <w:lang w:val="fr-CA"/>
              </w:rPr>
              <w:t>Magna International Inc. et Stronach Consulting Corp. responsables du fait d’autrui</w:t>
            </w:r>
            <w:r w:rsidRPr="00E54B1C">
              <w:rPr>
                <w:color w:val="000000"/>
                <w:sz w:val="20"/>
                <w:lang w:val="fr-CA"/>
              </w:rPr>
              <w:t xml:space="preserve">. Le juge du procès a refusé d’accorder des dommages-intérêts symboliques. La Cour d’appel a rejeté l’appel interjeté à l’encontre de la décision relative aux dommages-intérêts symboliques et à l’adjudication des dépens. </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15 avril 2019</w:t>
            </w:r>
          </w:p>
          <w:p w:rsidR="009043BE" w:rsidRPr="00E54B1C" w:rsidRDefault="009043BE" w:rsidP="009043BE">
            <w:pPr>
              <w:jc w:val="both"/>
              <w:rPr>
                <w:sz w:val="20"/>
                <w:lang w:val="fr-CA"/>
              </w:rPr>
            </w:pPr>
            <w:r w:rsidRPr="00E54B1C">
              <w:rPr>
                <w:sz w:val="20"/>
                <w:lang w:val="fr-CA"/>
              </w:rPr>
              <w:t>Cour supérieure de justice de l’Ontario</w:t>
            </w:r>
          </w:p>
          <w:p w:rsidR="009043BE" w:rsidRPr="00E54B1C" w:rsidRDefault="009043BE" w:rsidP="009043BE">
            <w:pPr>
              <w:jc w:val="both"/>
              <w:rPr>
                <w:sz w:val="20"/>
                <w:lang w:val="fr-CA"/>
              </w:rPr>
            </w:pPr>
            <w:r w:rsidRPr="00E54B1C">
              <w:rPr>
                <w:sz w:val="20"/>
                <w:lang w:val="fr-CA"/>
              </w:rPr>
              <w:t>(Juge McCarthy)</w:t>
            </w:r>
          </w:p>
          <w:p w:rsidR="009043BE" w:rsidRPr="00E54B1C" w:rsidRDefault="009043BE" w:rsidP="009043BE">
            <w:pPr>
              <w:jc w:val="both"/>
              <w:rPr>
                <w:sz w:val="20"/>
                <w:lang w:val="fr-CA"/>
              </w:rPr>
            </w:pPr>
            <w:r w:rsidRPr="00E54B1C">
              <w:rPr>
                <w:sz w:val="20"/>
                <w:lang w:val="fr-CA"/>
              </w:rPr>
              <w:t xml:space="preserve">(Non publié) </w:t>
            </w:r>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pStyle w:val="mainparagraph"/>
              <w:widowControl w:val="0"/>
              <w:spacing w:before="0" w:beforeAutospacing="0" w:after="0" w:afterAutospacing="0"/>
              <w:jc w:val="both"/>
              <w:rPr>
                <w:color w:val="000000"/>
                <w:sz w:val="20"/>
                <w:szCs w:val="20"/>
                <w:lang w:val="fr-CA"/>
              </w:rPr>
            </w:pPr>
            <w:r w:rsidRPr="00E54B1C">
              <w:rPr>
                <w:sz w:val="20"/>
                <w:szCs w:val="20"/>
                <w:lang w:val="fr-CA"/>
              </w:rPr>
              <w:t xml:space="preserve">Verdict : </w:t>
            </w:r>
            <w:r w:rsidRPr="00E54B1C">
              <w:rPr>
                <w:color w:val="000000"/>
                <w:sz w:val="20"/>
                <w:szCs w:val="20"/>
                <w:lang w:val="fr-CA"/>
              </w:rPr>
              <w:t xml:space="preserve">Steven Hinder a donné un coup de poing à Anthony Pullano; le coup de poing n’a causé aucune blessure physique, émotionnelle ou psychologique; absence de conduite justifiant des dommages-intérêts punitifs ou majorés; octroi par le jury de 50 000 $ sur demande reconventionnelle en diffamation. </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15 avril 2019</w:t>
            </w:r>
          </w:p>
          <w:p w:rsidR="009043BE" w:rsidRPr="00E54B1C" w:rsidRDefault="009043BE" w:rsidP="009043BE">
            <w:pPr>
              <w:jc w:val="both"/>
              <w:rPr>
                <w:sz w:val="20"/>
                <w:lang w:val="fr-CA"/>
              </w:rPr>
            </w:pPr>
            <w:r w:rsidRPr="00E54B1C">
              <w:rPr>
                <w:sz w:val="20"/>
                <w:lang w:val="fr-CA"/>
              </w:rPr>
              <w:t>Cour supérieure de justice de l’Ontario</w:t>
            </w:r>
          </w:p>
          <w:p w:rsidR="009043BE" w:rsidRPr="00E54B1C" w:rsidRDefault="009043BE" w:rsidP="009043BE">
            <w:pPr>
              <w:jc w:val="both"/>
              <w:rPr>
                <w:sz w:val="20"/>
                <w:lang w:val="fr-CA"/>
              </w:rPr>
            </w:pPr>
            <w:r w:rsidRPr="00E54B1C">
              <w:rPr>
                <w:sz w:val="20"/>
                <w:lang w:val="fr-CA"/>
              </w:rPr>
              <w:t>(Juge McCarthy)</w:t>
            </w:r>
          </w:p>
          <w:p w:rsidR="009043BE" w:rsidRPr="00E54B1C" w:rsidRDefault="000631CF" w:rsidP="009043BE">
            <w:pPr>
              <w:jc w:val="both"/>
              <w:rPr>
                <w:sz w:val="20"/>
                <w:lang w:val="fr-CA"/>
              </w:rPr>
            </w:pPr>
            <w:hyperlink r:id="rId63" w:history="1">
              <w:r w:rsidR="009043BE" w:rsidRPr="00E54B1C">
                <w:rPr>
                  <w:rStyle w:val="Hyperlink"/>
                  <w:sz w:val="20"/>
                  <w:lang w:val="fr-CA"/>
                </w:rPr>
                <w:t>2019 ONSC 2362</w:t>
              </w:r>
            </w:hyperlink>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pStyle w:val="mainparagraph"/>
              <w:widowControl w:val="0"/>
              <w:spacing w:before="0" w:beforeAutospacing="0" w:after="0" w:afterAutospacing="0"/>
              <w:jc w:val="both"/>
              <w:rPr>
                <w:sz w:val="20"/>
                <w:szCs w:val="20"/>
                <w:lang w:val="fr-CA"/>
              </w:rPr>
            </w:pPr>
            <w:r w:rsidRPr="00E54B1C">
              <w:rPr>
                <w:sz w:val="20"/>
                <w:szCs w:val="20"/>
                <w:lang w:val="fr-CA"/>
              </w:rPr>
              <w:t xml:space="preserve">Rejet de la demande de dommages-intérêts symboliques. </w:t>
            </w:r>
          </w:p>
          <w:p w:rsidR="009043BE" w:rsidRPr="00E54B1C" w:rsidRDefault="009043BE" w:rsidP="009043BE">
            <w:pPr>
              <w:jc w:val="both"/>
              <w:rPr>
                <w:sz w:val="20"/>
                <w:lang w:val="fr-CA"/>
              </w:rPr>
            </w:pPr>
          </w:p>
        </w:tc>
      </w:tr>
      <w:tr w:rsidR="009043BE" w:rsidRPr="00E54B1C" w:rsidTr="009043BE">
        <w:tc>
          <w:tcPr>
            <w:tcW w:w="2427" w:type="pct"/>
            <w:gridSpan w:val="2"/>
          </w:tcPr>
          <w:p w:rsidR="009043BE" w:rsidRPr="00E54B1C" w:rsidRDefault="009043BE" w:rsidP="009043BE">
            <w:pPr>
              <w:jc w:val="both"/>
              <w:rPr>
                <w:sz w:val="20"/>
                <w:lang w:val="fr-CA"/>
              </w:rPr>
            </w:pPr>
            <w:r w:rsidRPr="00E54B1C">
              <w:rPr>
                <w:sz w:val="20"/>
                <w:lang w:val="fr-CA"/>
              </w:rPr>
              <w:t>26 mai 2022</w:t>
            </w:r>
          </w:p>
          <w:p w:rsidR="009043BE" w:rsidRPr="00E54B1C" w:rsidRDefault="009043BE" w:rsidP="009043BE">
            <w:pPr>
              <w:jc w:val="both"/>
              <w:rPr>
                <w:sz w:val="20"/>
                <w:lang w:val="fr-CA"/>
              </w:rPr>
            </w:pPr>
            <w:r w:rsidRPr="00E54B1C">
              <w:rPr>
                <w:sz w:val="20"/>
                <w:lang w:val="fr-CA"/>
              </w:rPr>
              <w:t>Cour d’appel de l’Ontario</w:t>
            </w:r>
          </w:p>
          <w:p w:rsidR="009043BE" w:rsidRPr="00E54B1C" w:rsidRDefault="009043BE" w:rsidP="009043BE">
            <w:pPr>
              <w:jc w:val="both"/>
              <w:rPr>
                <w:sz w:val="20"/>
                <w:lang w:val="fr-CA"/>
              </w:rPr>
            </w:pPr>
            <w:r w:rsidRPr="00E54B1C">
              <w:rPr>
                <w:sz w:val="20"/>
                <w:lang w:val="fr-CA"/>
              </w:rPr>
              <w:t>(Juges Benotto, Zarnett et Copeland)</w:t>
            </w:r>
          </w:p>
          <w:p w:rsidR="009043BE" w:rsidRPr="00E54B1C" w:rsidRDefault="000631CF" w:rsidP="009043BE">
            <w:pPr>
              <w:jc w:val="both"/>
              <w:rPr>
                <w:sz w:val="20"/>
                <w:lang w:val="fr-CA"/>
              </w:rPr>
            </w:pPr>
            <w:hyperlink r:id="rId64" w:history="1">
              <w:r w:rsidR="009043BE" w:rsidRPr="00E54B1C">
                <w:rPr>
                  <w:rStyle w:val="Hyperlink"/>
                  <w:sz w:val="20"/>
                  <w:lang w:val="fr-CA"/>
                </w:rPr>
                <w:t>2022 ONCA 418</w:t>
              </w:r>
            </w:hyperlink>
            <w:r w:rsidR="009043BE" w:rsidRPr="00E54B1C">
              <w:rPr>
                <w:sz w:val="20"/>
                <w:lang w:val="fr-CA"/>
              </w:rPr>
              <w:t>; C69763</w:t>
            </w:r>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 xml:space="preserve">Appel rejeté. </w:t>
            </w:r>
          </w:p>
          <w:p w:rsidR="009043BE" w:rsidRPr="00E54B1C" w:rsidRDefault="009043BE" w:rsidP="009043BE">
            <w:pPr>
              <w:jc w:val="both"/>
              <w:rPr>
                <w:sz w:val="20"/>
                <w:lang w:val="fr-CA"/>
              </w:rPr>
            </w:pPr>
          </w:p>
        </w:tc>
      </w:tr>
      <w:tr w:rsidR="009043BE" w:rsidRPr="00E54B1C" w:rsidTr="009043BE">
        <w:tc>
          <w:tcPr>
            <w:tcW w:w="2427" w:type="pct"/>
            <w:gridSpan w:val="2"/>
          </w:tcPr>
          <w:p w:rsidR="009043BE" w:rsidRPr="00E54B1C" w:rsidRDefault="009043BE" w:rsidP="009043BE">
            <w:pPr>
              <w:jc w:val="both"/>
              <w:rPr>
                <w:sz w:val="20"/>
                <w:lang w:val="fr-CA"/>
              </w:rPr>
            </w:pPr>
            <w:r w:rsidRPr="00E54B1C">
              <w:rPr>
                <w:sz w:val="20"/>
                <w:lang w:val="fr-CA"/>
              </w:rPr>
              <w:t>25 août 2022</w:t>
            </w:r>
          </w:p>
          <w:p w:rsidR="009043BE" w:rsidRPr="00E54B1C" w:rsidRDefault="009043BE" w:rsidP="009043BE">
            <w:pPr>
              <w:jc w:val="both"/>
              <w:rPr>
                <w:sz w:val="20"/>
                <w:lang w:val="fr-CA"/>
              </w:rPr>
            </w:pPr>
            <w:r w:rsidRPr="00E54B1C">
              <w:rPr>
                <w:sz w:val="20"/>
                <w:lang w:val="fr-CA"/>
              </w:rPr>
              <w:t>Cour suprême du Canada</w:t>
            </w: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Demande d’autorisation d’appel déposée.</w:t>
            </w:r>
          </w:p>
          <w:p w:rsidR="009043BE" w:rsidRPr="00E54B1C" w:rsidRDefault="009043BE" w:rsidP="009043BE">
            <w:pPr>
              <w:jc w:val="both"/>
              <w:rPr>
                <w:sz w:val="20"/>
                <w:lang w:val="fr-CA"/>
              </w:rPr>
            </w:pPr>
          </w:p>
        </w:tc>
      </w:tr>
    </w:tbl>
    <w:p w:rsidR="009043BE" w:rsidRPr="00E54B1C" w:rsidRDefault="009043BE" w:rsidP="009043BE">
      <w:pPr>
        <w:jc w:val="both"/>
        <w:rPr>
          <w:sz w:val="20"/>
          <w:lang w:val="fr-CA"/>
        </w:rPr>
      </w:pPr>
    </w:p>
    <w:p w:rsidR="00E54B1C" w:rsidRPr="00E54B1C" w:rsidRDefault="000631CF" w:rsidP="009043BE">
      <w:pPr>
        <w:jc w:val="both"/>
        <w:rPr>
          <w:sz w:val="20"/>
          <w:lang w:val="fr-CA"/>
        </w:rPr>
      </w:pPr>
      <w:r>
        <w:rPr>
          <w:sz w:val="20"/>
        </w:rPr>
        <w:pict>
          <v:rect id="_x0000_i1048" style="width:2in;height:1pt" o:hrpct="0" o:hralign="center" o:hrstd="t" o:hrnoshade="t" o:hr="t" fillcolor="black [3213]" stroked="f"/>
        </w:pict>
      </w:r>
    </w:p>
    <w:p w:rsidR="009043BE" w:rsidRPr="00E54B1C" w:rsidRDefault="009043BE" w:rsidP="009043B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rPr>
            </w:pPr>
            <w:r w:rsidRPr="00E54B1C">
              <w:rPr>
                <w:rStyle w:val="SCCFileNumberChar"/>
                <w:sz w:val="20"/>
                <w:szCs w:val="20"/>
              </w:rPr>
              <w:t>40512</w:t>
            </w:r>
          </w:p>
        </w:tc>
        <w:tc>
          <w:tcPr>
            <w:tcW w:w="4457" w:type="pct"/>
            <w:gridSpan w:val="3"/>
          </w:tcPr>
          <w:p w:rsidR="009043BE" w:rsidRPr="00E54B1C" w:rsidRDefault="009043BE" w:rsidP="009043BE">
            <w:pPr>
              <w:pStyle w:val="SCCLsocParty"/>
              <w:jc w:val="both"/>
              <w:rPr>
                <w:b/>
                <w:sz w:val="20"/>
                <w:szCs w:val="20"/>
                <w:lang w:val="en-US"/>
              </w:rPr>
            </w:pPr>
            <w:r w:rsidRPr="00E54B1C">
              <w:rPr>
                <w:b/>
                <w:sz w:val="20"/>
                <w:szCs w:val="20"/>
                <w:lang w:val="en-US"/>
              </w:rPr>
              <w:t>Gaurav Tewari v. Jennifer Mathers McHenry, Jessica Donen, Mathers McHenry &amp; Co.</w:t>
            </w:r>
          </w:p>
          <w:p w:rsidR="009043BE" w:rsidRPr="00E54B1C" w:rsidRDefault="009043BE" w:rsidP="009043BE">
            <w:pPr>
              <w:jc w:val="both"/>
              <w:rPr>
                <w:sz w:val="20"/>
              </w:rPr>
            </w:pPr>
            <w:r w:rsidRPr="00E54B1C">
              <w:rPr>
                <w:sz w:val="20"/>
              </w:rPr>
              <w:t>(Ont.) (Civil) (By Leave)</w:t>
            </w:r>
          </w:p>
        </w:tc>
      </w:tr>
      <w:tr w:rsidR="009043BE" w:rsidRPr="00E54B1C" w:rsidTr="009043BE">
        <w:tc>
          <w:tcPr>
            <w:tcW w:w="5000" w:type="pct"/>
            <w:gridSpan w:val="4"/>
          </w:tcPr>
          <w:p w:rsidR="009043BE" w:rsidRPr="00E54B1C" w:rsidRDefault="009043BE" w:rsidP="009043BE">
            <w:pPr>
              <w:jc w:val="both"/>
              <w:rPr>
                <w:sz w:val="20"/>
              </w:rPr>
            </w:pPr>
            <w:r w:rsidRPr="00E54B1C">
              <w:rPr>
                <w:sz w:val="20"/>
              </w:rPr>
              <w:t xml:space="preserve">Civil procedure — Commencement of proceedings — Applicant’s employment terminated — Applicant suing former employer for wrongful dismissal, and employer’s legal counsel for negligence and professional malpractice — Courts below striking statement of claim against legal counsel for failure to disclose reasonable cause of action — Whether doctrine of absolute privilege can shield lawyers from liability for unprofessional conduct and various actionable wrongs — Whether courts erred by finding claim did not advance any proper and arguable ground of appeal and appeared on its face to be frivolous or vexatious or an abuse of court process — Whether courts below erred in failing to consider novel cause of action of whether lawyers’ professional or fiduciary duty extends to self-represented opposing parties in litigation — </w:t>
            </w:r>
            <w:r w:rsidRPr="00E54B1C">
              <w:rPr>
                <w:i/>
                <w:sz w:val="20"/>
              </w:rPr>
              <w:t>Rules of Civil Procedure</w:t>
            </w:r>
            <w:r w:rsidRPr="00E54B1C">
              <w:rPr>
                <w:sz w:val="20"/>
              </w:rPr>
              <w:t>, R.R.O. 1990, Reg. 194, r. 21.01, 25.11.</w:t>
            </w:r>
          </w:p>
        </w:tc>
      </w:tr>
      <w:tr w:rsidR="009043BE" w:rsidRPr="00E54B1C" w:rsidTr="009043BE">
        <w:tc>
          <w:tcPr>
            <w:tcW w:w="5000" w:type="pct"/>
            <w:gridSpan w:val="4"/>
          </w:tcPr>
          <w:p w:rsidR="009043BE" w:rsidRPr="00E54B1C" w:rsidRDefault="009043BE" w:rsidP="009043BE">
            <w:pPr>
              <w:jc w:val="both"/>
              <w:rPr>
                <w:sz w:val="20"/>
              </w:rPr>
            </w:pPr>
          </w:p>
        </w:tc>
      </w:tr>
      <w:tr w:rsidR="009043BE" w:rsidRPr="00E54B1C" w:rsidTr="009043BE">
        <w:tc>
          <w:tcPr>
            <w:tcW w:w="5000" w:type="pct"/>
            <w:gridSpan w:val="4"/>
          </w:tcPr>
          <w:p w:rsidR="009043BE" w:rsidRPr="00E54B1C" w:rsidRDefault="009043BE" w:rsidP="009043BE">
            <w:pPr>
              <w:jc w:val="both"/>
              <w:rPr>
                <w:sz w:val="20"/>
              </w:rPr>
            </w:pPr>
            <w:r w:rsidRPr="00E54B1C">
              <w:rPr>
                <w:sz w:val="20"/>
              </w:rPr>
              <w:t xml:space="preserve">The applicant, Gaurav Tewari, was dismissed by his employer. As part of a number of legal proceedings he commenced for wrongful dismissal, Mr. Tewari applied to the Ontario Labour Relations Board (“OLRB”) for relief. Mr. Tewari then attempted to sue the collective respondents, Jennifer Mathers McHenry, Jessica Donen and Mathers McHenry &amp; Co., who had acted as legal counsel for the former employer in the judicial proceedings and before the OLRB. The respondents brought a motion to strike out Mr. Tewari’s statement of claim, for failure to disclose a reasonable cause of action, or alternatively to dismiss it as frivolous or vexatious or an abuse of process, pursuant to r. 21.01 or r. 25.11 of Ontario’s </w:t>
            </w:r>
            <w:r w:rsidRPr="00E54B1C">
              <w:rPr>
                <w:i/>
                <w:sz w:val="20"/>
              </w:rPr>
              <w:t>Rules of Civil Procedure</w:t>
            </w:r>
            <w:r w:rsidRPr="00E54B1C">
              <w:rPr>
                <w:sz w:val="20"/>
              </w:rPr>
              <w:t>.</w:t>
            </w:r>
          </w:p>
          <w:p w:rsidR="009043BE" w:rsidRPr="00E54B1C" w:rsidRDefault="009043BE" w:rsidP="009043BE">
            <w:pPr>
              <w:jc w:val="both"/>
              <w:rPr>
                <w:sz w:val="20"/>
              </w:rPr>
            </w:pPr>
          </w:p>
          <w:p w:rsidR="009043BE" w:rsidRPr="00E54B1C" w:rsidRDefault="009043BE" w:rsidP="009043BE">
            <w:pPr>
              <w:jc w:val="both"/>
              <w:rPr>
                <w:sz w:val="20"/>
              </w:rPr>
            </w:pPr>
            <w:r w:rsidRPr="00E54B1C">
              <w:rPr>
                <w:sz w:val="20"/>
              </w:rPr>
              <w:t>The Ontario Superior Court of Justice struck Mr. Tewari’s claim against the respondents, without leave to amend. The Ontario Court of Appeal unanimously dismissed Mr. Tewari’s appeal.</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June 23, 2021</w:t>
            </w:r>
          </w:p>
          <w:p w:rsidR="009043BE" w:rsidRPr="00E54B1C" w:rsidRDefault="009043BE" w:rsidP="009043BE">
            <w:pPr>
              <w:jc w:val="both"/>
              <w:rPr>
                <w:sz w:val="20"/>
              </w:rPr>
            </w:pPr>
            <w:r w:rsidRPr="00E54B1C">
              <w:rPr>
                <w:sz w:val="20"/>
              </w:rPr>
              <w:t>Ontario Superior Court of Justice</w:t>
            </w:r>
          </w:p>
          <w:p w:rsidR="009043BE" w:rsidRPr="00E54B1C" w:rsidRDefault="009043BE" w:rsidP="009043BE">
            <w:pPr>
              <w:jc w:val="both"/>
              <w:rPr>
                <w:sz w:val="20"/>
              </w:rPr>
            </w:pPr>
            <w:r w:rsidRPr="00E54B1C">
              <w:rPr>
                <w:sz w:val="20"/>
              </w:rPr>
              <w:t>(Verner J.)</w:t>
            </w:r>
          </w:p>
          <w:p w:rsidR="009043BE" w:rsidRPr="00E54B1C" w:rsidRDefault="009043BE" w:rsidP="009043BE">
            <w:pPr>
              <w:jc w:val="both"/>
              <w:rPr>
                <w:sz w:val="20"/>
              </w:rPr>
            </w:pPr>
            <w:r w:rsidRPr="00E54B1C">
              <w:rPr>
                <w:sz w:val="20"/>
              </w:rPr>
              <w:t xml:space="preserve">Neutral citation: </w:t>
            </w:r>
            <w:hyperlink r:id="rId65" w:history="1">
              <w:r w:rsidRPr="00E54B1C">
                <w:rPr>
                  <w:rStyle w:val="Hyperlink"/>
                  <w:sz w:val="20"/>
                </w:rPr>
                <w:t>2021 ONSC 4523</w:t>
              </w:r>
            </w:hyperlink>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Respondents’ motion to strike out Mr. Tewari’s statement of claim — granted;</w:t>
            </w:r>
          </w:p>
          <w:p w:rsidR="009043BE" w:rsidRPr="00E54B1C" w:rsidRDefault="009043BE" w:rsidP="009043BE">
            <w:pPr>
              <w:jc w:val="both"/>
              <w:rPr>
                <w:sz w:val="20"/>
              </w:rPr>
            </w:pPr>
            <w:r w:rsidRPr="00E54B1C">
              <w:rPr>
                <w:sz w:val="20"/>
              </w:rPr>
              <w:t>Mr. Tewari’s statement of claim — struck out without leave to amend</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April 27, 2022</w:t>
            </w:r>
          </w:p>
          <w:p w:rsidR="009043BE" w:rsidRPr="00E54B1C" w:rsidRDefault="009043BE" w:rsidP="009043BE">
            <w:pPr>
              <w:jc w:val="both"/>
              <w:rPr>
                <w:sz w:val="20"/>
              </w:rPr>
            </w:pPr>
            <w:r w:rsidRPr="00E54B1C">
              <w:rPr>
                <w:sz w:val="20"/>
              </w:rPr>
              <w:t>Court of Appeal for Ontario</w:t>
            </w:r>
          </w:p>
          <w:p w:rsidR="009043BE" w:rsidRPr="00E54B1C" w:rsidRDefault="009043BE" w:rsidP="009043BE">
            <w:pPr>
              <w:jc w:val="both"/>
              <w:rPr>
                <w:sz w:val="20"/>
              </w:rPr>
            </w:pPr>
            <w:r w:rsidRPr="00E54B1C">
              <w:rPr>
                <w:sz w:val="20"/>
              </w:rPr>
              <w:t>(Fairburn A.C.J.O.; Sossin and Pepall JJ.A.)</w:t>
            </w:r>
          </w:p>
          <w:p w:rsidR="009043BE" w:rsidRPr="00E54B1C" w:rsidRDefault="009043BE" w:rsidP="009043BE">
            <w:pPr>
              <w:jc w:val="both"/>
              <w:rPr>
                <w:sz w:val="20"/>
              </w:rPr>
            </w:pPr>
            <w:r w:rsidRPr="00E54B1C">
              <w:rPr>
                <w:sz w:val="20"/>
              </w:rPr>
              <w:t xml:space="preserve">Neutral citation: </w:t>
            </w:r>
            <w:hyperlink r:id="rId66" w:history="1">
              <w:r w:rsidRPr="00E54B1C">
                <w:rPr>
                  <w:rStyle w:val="Hyperlink"/>
                  <w:sz w:val="20"/>
                </w:rPr>
                <w:t>2022 ONCA 335</w:t>
              </w:r>
            </w:hyperlink>
          </w:p>
          <w:p w:rsidR="009043BE" w:rsidRPr="00E54B1C" w:rsidRDefault="009043BE" w:rsidP="009043BE">
            <w:pPr>
              <w:jc w:val="both"/>
              <w:rPr>
                <w:sz w:val="20"/>
              </w:rPr>
            </w:pP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Mr. Tewari’s appeal — dismissed</w:t>
            </w:r>
          </w:p>
          <w:p w:rsidR="009043BE" w:rsidRPr="00E54B1C" w:rsidRDefault="009043BE" w:rsidP="009043BE">
            <w:pPr>
              <w:jc w:val="both"/>
              <w:rPr>
                <w:sz w:val="20"/>
              </w:rPr>
            </w:pPr>
          </w:p>
        </w:tc>
      </w:tr>
      <w:tr w:rsidR="009043BE" w:rsidRPr="00E54B1C" w:rsidTr="009043BE">
        <w:tc>
          <w:tcPr>
            <w:tcW w:w="2427" w:type="pct"/>
            <w:gridSpan w:val="2"/>
          </w:tcPr>
          <w:p w:rsidR="009043BE" w:rsidRPr="00E54B1C" w:rsidRDefault="009043BE" w:rsidP="009043BE">
            <w:pPr>
              <w:jc w:val="both"/>
              <w:rPr>
                <w:sz w:val="20"/>
              </w:rPr>
            </w:pPr>
            <w:r w:rsidRPr="00E54B1C">
              <w:rPr>
                <w:sz w:val="20"/>
              </w:rPr>
              <w:t>May 5, 2022</w:t>
            </w:r>
          </w:p>
          <w:p w:rsidR="009043BE" w:rsidRPr="00E54B1C" w:rsidRDefault="009043BE" w:rsidP="009043BE">
            <w:pPr>
              <w:jc w:val="both"/>
              <w:rPr>
                <w:sz w:val="20"/>
              </w:rPr>
            </w:pPr>
            <w:r w:rsidRPr="00E54B1C">
              <w:rPr>
                <w:sz w:val="20"/>
              </w:rPr>
              <w:t>Supreme Court of Canada</w:t>
            </w:r>
          </w:p>
        </w:tc>
        <w:tc>
          <w:tcPr>
            <w:tcW w:w="243" w:type="pct"/>
          </w:tcPr>
          <w:p w:rsidR="009043BE" w:rsidRPr="00E54B1C" w:rsidRDefault="009043BE" w:rsidP="009043BE">
            <w:pPr>
              <w:jc w:val="both"/>
              <w:rPr>
                <w:sz w:val="20"/>
              </w:rPr>
            </w:pPr>
          </w:p>
        </w:tc>
        <w:tc>
          <w:tcPr>
            <w:tcW w:w="2330" w:type="pct"/>
          </w:tcPr>
          <w:p w:rsidR="009043BE" w:rsidRPr="00E54B1C" w:rsidRDefault="009043BE" w:rsidP="009043BE">
            <w:pPr>
              <w:jc w:val="both"/>
              <w:rPr>
                <w:sz w:val="20"/>
              </w:rPr>
            </w:pPr>
            <w:r w:rsidRPr="00E54B1C">
              <w:rPr>
                <w:sz w:val="20"/>
              </w:rPr>
              <w:t>Application for leave to appeal filed by Mr. Tewari</w:t>
            </w:r>
          </w:p>
        </w:tc>
      </w:tr>
    </w:tbl>
    <w:p w:rsidR="009043BE" w:rsidRPr="00E54B1C" w:rsidRDefault="009043BE" w:rsidP="009043BE">
      <w:pPr>
        <w:jc w:val="both"/>
        <w:rPr>
          <w:sz w:val="20"/>
        </w:rPr>
      </w:pPr>
    </w:p>
    <w:p w:rsidR="00E54B1C" w:rsidRPr="00E54B1C" w:rsidRDefault="000631CF" w:rsidP="009043BE">
      <w:pPr>
        <w:jc w:val="both"/>
        <w:rPr>
          <w:sz w:val="20"/>
        </w:rPr>
      </w:pPr>
      <w:r>
        <w:rPr>
          <w:sz w:val="20"/>
        </w:rPr>
        <w:pict>
          <v:rect id="_x0000_i1049" style="width:2in;height:1pt" o:hrpct="0" o:hralign="center" o:hrstd="t" o:hrnoshade="t" o:hr="t" fillcolor="black [3213]" stroked="f"/>
        </w:pict>
      </w:r>
    </w:p>
    <w:p w:rsidR="00E54B1C" w:rsidRPr="00E54B1C" w:rsidRDefault="00E54B1C" w:rsidP="009043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43BE" w:rsidRPr="00E54B1C" w:rsidTr="009043BE">
        <w:tc>
          <w:tcPr>
            <w:tcW w:w="543" w:type="pct"/>
          </w:tcPr>
          <w:p w:rsidR="009043BE" w:rsidRPr="00E54B1C" w:rsidRDefault="009043BE" w:rsidP="009043BE">
            <w:pPr>
              <w:jc w:val="both"/>
              <w:rPr>
                <w:sz w:val="20"/>
                <w:lang w:val="fr-CA"/>
              </w:rPr>
            </w:pPr>
            <w:r w:rsidRPr="00E54B1C">
              <w:rPr>
                <w:rStyle w:val="SCCFileNumberChar"/>
                <w:sz w:val="20"/>
                <w:szCs w:val="20"/>
                <w:lang w:val="fr-CA"/>
              </w:rPr>
              <w:t xml:space="preserve">40512 </w:t>
            </w:r>
          </w:p>
        </w:tc>
        <w:tc>
          <w:tcPr>
            <w:tcW w:w="4457" w:type="pct"/>
            <w:gridSpan w:val="3"/>
          </w:tcPr>
          <w:p w:rsidR="009043BE" w:rsidRPr="00E54B1C" w:rsidRDefault="009043BE" w:rsidP="009043BE">
            <w:pPr>
              <w:pStyle w:val="SCCLsocParty"/>
              <w:jc w:val="both"/>
              <w:rPr>
                <w:b/>
                <w:sz w:val="20"/>
                <w:szCs w:val="20"/>
                <w:lang w:val="en-US"/>
              </w:rPr>
            </w:pPr>
            <w:r w:rsidRPr="00E54B1C">
              <w:rPr>
                <w:b/>
                <w:sz w:val="20"/>
                <w:szCs w:val="20"/>
                <w:lang w:val="en-US"/>
              </w:rPr>
              <w:t>Gaurav Tewari c. Jennifer Mathers McHenry, Jessi</w:t>
            </w:r>
            <w:r w:rsidR="00E54B1C" w:rsidRPr="00E54B1C">
              <w:rPr>
                <w:b/>
                <w:sz w:val="20"/>
                <w:szCs w:val="20"/>
                <w:lang w:val="en-US"/>
              </w:rPr>
              <w:t>ca Donen, Mathers McHenry &amp; Co.</w:t>
            </w:r>
          </w:p>
          <w:p w:rsidR="009043BE" w:rsidRPr="00E54B1C" w:rsidRDefault="009043BE" w:rsidP="009043BE">
            <w:pPr>
              <w:jc w:val="both"/>
              <w:rPr>
                <w:sz w:val="20"/>
                <w:lang w:val="fr-CA"/>
              </w:rPr>
            </w:pPr>
            <w:r w:rsidRPr="00E54B1C">
              <w:rPr>
                <w:sz w:val="20"/>
                <w:lang w:val="fr-CA"/>
              </w:rPr>
              <w:t xml:space="preserve">(Ont.) (Civile) (Sur autorisation) </w:t>
            </w:r>
          </w:p>
        </w:tc>
      </w:tr>
      <w:tr w:rsidR="009043BE" w:rsidRPr="000631CF" w:rsidTr="009043BE">
        <w:tc>
          <w:tcPr>
            <w:tcW w:w="5000" w:type="pct"/>
            <w:gridSpan w:val="4"/>
          </w:tcPr>
          <w:p w:rsidR="009043BE" w:rsidRPr="00E54B1C" w:rsidRDefault="009043BE" w:rsidP="009043BE">
            <w:pPr>
              <w:jc w:val="both"/>
              <w:rPr>
                <w:sz w:val="20"/>
                <w:lang w:val="fr-CA"/>
              </w:rPr>
            </w:pPr>
            <w:r w:rsidRPr="00E54B1C">
              <w:rPr>
                <w:sz w:val="20"/>
                <w:lang w:val="fr-CA"/>
              </w:rPr>
              <w:t xml:space="preserve">Procédure civile — Introduction d’instance — Demandeur congédié — Demandeur poursuivant son ancien employeur pour congédiement injustifié ainsi que les avocates de ce dernier pour négligence et faute professionnelle — Juridictions inférieures radiant la déclaration du demandeur à l’endroit des avocates parce que ne révélant aucune cause d’action fondée — La doctrine de l’immunité absolue permet-elle aux avocates d’échapper à toute responsabilité pour conduite non professionnelle et fautes diverses susceptibles d’action? — Les juridictions inférieures ont-elles fait erreur en concluant que la demande ne faisait valoir aucun moyen d’appel valable et défendable et qu’il s’agissait à première vue d’une action frivole ou vexatoire, ou constituant autrement un recours abusif? — Les juridictions inférieures ont-elles fait erreur en omettant d’examiner la nouvelle cause d’action qui consiste à savoir si le devoir professionnel ou fiduciaire des avocats s’étend aux parties adverses non représentées dans le cadre d’un litige? — </w:t>
            </w:r>
            <w:r w:rsidRPr="00E54B1C">
              <w:rPr>
                <w:i/>
                <w:sz w:val="20"/>
                <w:lang w:val="fr-CA"/>
              </w:rPr>
              <w:t>Règles de procédure civile</w:t>
            </w:r>
            <w:r w:rsidRPr="00E54B1C">
              <w:rPr>
                <w:sz w:val="20"/>
                <w:lang w:val="fr-CA"/>
              </w:rPr>
              <w:t xml:space="preserve">, R.R.O. 1990, Règl. 194, art. 21.01, 25.11. </w:t>
            </w:r>
          </w:p>
        </w:tc>
      </w:tr>
      <w:tr w:rsidR="009043BE" w:rsidRPr="000631CF" w:rsidTr="009043BE">
        <w:tc>
          <w:tcPr>
            <w:tcW w:w="5000" w:type="pct"/>
            <w:gridSpan w:val="4"/>
          </w:tcPr>
          <w:p w:rsidR="009043BE" w:rsidRPr="00E54B1C" w:rsidRDefault="009043BE" w:rsidP="009043BE">
            <w:pPr>
              <w:jc w:val="both"/>
              <w:rPr>
                <w:sz w:val="20"/>
                <w:lang w:val="fr-CA"/>
              </w:rPr>
            </w:pPr>
          </w:p>
        </w:tc>
      </w:tr>
      <w:tr w:rsidR="009043BE" w:rsidRPr="000631CF" w:rsidTr="009043BE">
        <w:tc>
          <w:tcPr>
            <w:tcW w:w="5000" w:type="pct"/>
            <w:gridSpan w:val="4"/>
          </w:tcPr>
          <w:p w:rsidR="009043BE" w:rsidRPr="00E54B1C" w:rsidRDefault="009043BE" w:rsidP="009043BE">
            <w:pPr>
              <w:jc w:val="both"/>
              <w:rPr>
                <w:sz w:val="20"/>
                <w:lang w:val="fr-CA"/>
              </w:rPr>
            </w:pPr>
            <w:r w:rsidRPr="00E54B1C">
              <w:rPr>
                <w:sz w:val="20"/>
                <w:lang w:val="fr-CA"/>
              </w:rPr>
              <w:t xml:space="preserve">Le demandeur, Gaurav Tewari, a été congédié par son employeur. Dans le cadre des instances qu’il a introduites pour congédiement injustifié, M. Tewari s’est adressé à la Commission des relations de travail de l’Ontario (« CRTO ») afin d’obtenir réparation. Il a ensuite tenté de poursuivre collectivement les intimées, Jennifer Mathers McHenry, Jessica Donen et Mathers McHenry &amp; Co., qui avaient représenté son ancien employeur lors de l’instance devant la CRTO. Les intimées ont présenté une motion en vue de faire radier la déclaration de M. Tewari au motif qu’elle ne révélait aucune cause d’action fondée, ou, subsidiairement, pour qu’elle soit rejetée en tant qu’action frivole ou vexatoire, ou constituant autrement un recours abusif, au titre des </w:t>
            </w:r>
            <w:proofErr w:type="gramStart"/>
            <w:r w:rsidRPr="00E54B1C">
              <w:rPr>
                <w:sz w:val="20"/>
                <w:lang w:val="fr-CA"/>
              </w:rPr>
              <w:t>art</w:t>
            </w:r>
            <w:proofErr w:type="gramEnd"/>
            <w:r w:rsidRPr="00E54B1C">
              <w:rPr>
                <w:sz w:val="20"/>
                <w:lang w:val="fr-CA"/>
              </w:rPr>
              <w:t>. 21.01 ou 25.11 des</w:t>
            </w:r>
            <w:r w:rsidRPr="00E54B1C">
              <w:rPr>
                <w:i/>
                <w:sz w:val="20"/>
                <w:lang w:val="fr-CA"/>
              </w:rPr>
              <w:t xml:space="preserve"> Règles de procédure civile </w:t>
            </w:r>
            <w:r w:rsidRPr="00E54B1C">
              <w:rPr>
                <w:sz w:val="20"/>
                <w:lang w:val="fr-CA"/>
              </w:rPr>
              <w:t xml:space="preserve">de l’Ontario. </w:t>
            </w:r>
          </w:p>
          <w:p w:rsidR="009043BE" w:rsidRPr="00E54B1C" w:rsidRDefault="009043BE" w:rsidP="009043BE">
            <w:pPr>
              <w:jc w:val="both"/>
              <w:rPr>
                <w:sz w:val="20"/>
                <w:lang w:val="fr-CA"/>
              </w:rPr>
            </w:pPr>
          </w:p>
          <w:p w:rsidR="009043BE" w:rsidRPr="00E54B1C" w:rsidRDefault="009043BE" w:rsidP="009043BE">
            <w:pPr>
              <w:jc w:val="both"/>
              <w:rPr>
                <w:sz w:val="20"/>
                <w:lang w:val="fr-CA"/>
              </w:rPr>
            </w:pPr>
            <w:r w:rsidRPr="00E54B1C">
              <w:rPr>
                <w:sz w:val="20"/>
                <w:lang w:val="fr-CA"/>
              </w:rPr>
              <w:t xml:space="preserve">La Cour supérieure de justice de l’Ontario a radié la déclaration de M. Tewari visant les intimées, sans autorisation de la modifier. La Cour d’appel de l’Ontario a rejeté l’appel de M. Tewari à l’unanimité. </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23 juin 2021</w:t>
            </w:r>
          </w:p>
          <w:p w:rsidR="009043BE" w:rsidRPr="00E54B1C" w:rsidRDefault="009043BE" w:rsidP="009043BE">
            <w:pPr>
              <w:jc w:val="both"/>
              <w:rPr>
                <w:sz w:val="20"/>
                <w:lang w:val="fr-CA"/>
              </w:rPr>
            </w:pPr>
            <w:r w:rsidRPr="00E54B1C">
              <w:rPr>
                <w:sz w:val="20"/>
                <w:lang w:val="fr-CA"/>
              </w:rPr>
              <w:t>Cour supérieure de justice de l’Ontario</w:t>
            </w:r>
          </w:p>
          <w:p w:rsidR="009043BE" w:rsidRPr="00E54B1C" w:rsidRDefault="009043BE" w:rsidP="009043BE">
            <w:pPr>
              <w:jc w:val="both"/>
              <w:rPr>
                <w:sz w:val="20"/>
                <w:lang w:val="fr-CA"/>
              </w:rPr>
            </w:pPr>
            <w:r w:rsidRPr="00E54B1C">
              <w:rPr>
                <w:sz w:val="20"/>
                <w:lang w:val="fr-CA"/>
              </w:rPr>
              <w:t>(Juge Verner)</w:t>
            </w:r>
          </w:p>
          <w:p w:rsidR="009043BE" w:rsidRPr="00E54B1C" w:rsidRDefault="009043BE" w:rsidP="009043BE">
            <w:pPr>
              <w:jc w:val="both"/>
              <w:rPr>
                <w:sz w:val="20"/>
                <w:lang w:val="fr-CA"/>
              </w:rPr>
            </w:pPr>
            <w:r w:rsidRPr="00E54B1C">
              <w:rPr>
                <w:sz w:val="20"/>
                <w:lang w:val="fr-CA"/>
              </w:rPr>
              <w:t xml:space="preserve">Référence neutre : </w:t>
            </w:r>
            <w:hyperlink r:id="rId67" w:history="1">
              <w:r w:rsidRPr="00E54B1C">
                <w:rPr>
                  <w:rStyle w:val="Hyperlink"/>
                  <w:sz w:val="20"/>
                  <w:lang w:val="fr-CA"/>
                </w:rPr>
                <w:t>2021 ONSC 4523</w:t>
              </w:r>
            </w:hyperlink>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 xml:space="preserve">Motion des intimées visant à faire radier la déclaration de M. Tewari — accueillie : déclaration radiée, sans autorisation de modification. </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27 avril 2022</w:t>
            </w:r>
          </w:p>
          <w:p w:rsidR="009043BE" w:rsidRPr="00E54B1C" w:rsidRDefault="009043BE" w:rsidP="009043BE">
            <w:pPr>
              <w:jc w:val="both"/>
              <w:rPr>
                <w:sz w:val="20"/>
                <w:lang w:val="fr-CA"/>
              </w:rPr>
            </w:pPr>
            <w:r w:rsidRPr="00E54B1C">
              <w:rPr>
                <w:sz w:val="20"/>
                <w:lang w:val="fr-CA"/>
              </w:rPr>
              <w:t>Cour d’appel de l’Ontario</w:t>
            </w:r>
          </w:p>
          <w:p w:rsidR="009043BE" w:rsidRPr="00E54B1C" w:rsidRDefault="009043BE" w:rsidP="009043BE">
            <w:pPr>
              <w:jc w:val="both"/>
              <w:rPr>
                <w:sz w:val="20"/>
                <w:lang w:val="fr-CA"/>
              </w:rPr>
            </w:pPr>
            <w:r w:rsidRPr="00E54B1C">
              <w:rPr>
                <w:sz w:val="20"/>
                <w:lang w:val="fr-CA"/>
              </w:rPr>
              <w:t>(Juge en chef adjointe Fairburn; juges Sossin et Pepall)</w:t>
            </w:r>
          </w:p>
          <w:p w:rsidR="009043BE" w:rsidRPr="00E54B1C" w:rsidRDefault="009043BE" w:rsidP="009043BE">
            <w:pPr>
              <w:jc w:val="both"/>
              <w:rPr>
                <w:sz w:val="20"/>
                <w:lang w:val="fr-CA"/>
              </w:rPr>
            </w:pPr>
            <w:r w:rsidRPr="00E54B1C">
              <w:rPr>
                <w:sz w:val="20"/>
                <w:lang w:val="fr-CA"/>
              </w:rPr>
              <w:t xml:space="preserve">Référence neutre : </w:t>
            </w:r>
            <w:hyperlink r:id="rId68" w:history="1">
              <w:r w:rsidRPr="00E54B1C">
                <w:rPr>
                  <w:rStyle w:val="Hyperlink"/>
                  <w:sz w:val="20"/>
                  <w:lang w:val="fr-CA"/>
                </w:rPr>
                <w:t>2022 ONCA 335</w:t>
              </w:r>
            </w:hyperlink>
          </w:p>
          <w:p w:rsidR="009043BE" w:rsidRPr="00E54B1C" w:rsidRDefault="009043BE" w:rsidP="009043BE">
            <w:pPr>
              <w:jc w:val="both"/>
              <w:rPr>
                <w:sz w:val="20"/>
                <w:lang w:val="fr-CA"/>
              </w:rPr>
            </w:pP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 xml:space="preserve">Appel de M. Tewari — rejeté. </w:t>
            </w:r>
          </w:p>
          <w:p w:rsidR="009043BE" w:rsidRPr="00E54B1C" w:rsidRDefault="009043BE" w:rsidP="009043BE">
            <w:pPr>
              <w:jc w:val="both"/>
              <w:rPr>
                <w:sz w:val="20"/>
                <w:lang w:val="fr-CA"/>
              </w:rPr>
            </w:pPr>
          </w:p>
        </w:tc>
      </w:tr>
      <w:tr w:rsidR="009043BE" w:rsidRPr="000631CF" w:rsidTr="009043BE">
        <w:tc>
          <w:tcPr>
            <w:tcW w:w="2427" w:type="pct"/>
            <w:gridSpan w:val="2"/>
          </w:tcPr>
          <w:p w:rsidR="009043BE" w:rsidRPr="00E54B1C" w:rsidRDefault="009043BE" w:rsidP="009043BE">
            <w:pPr>
              <w:jc w:val="both"/>
              <w:rPr>
                <w:sz w:val="20"/>
                <w:lang w:val="fr-CA"/>
              </w:rPr>
            </w:pPr>
            <w:r w:rsidRPr="00E54B1C">
              <w:rPr>
                <w:sz w:val="20"/>
                <w:lang w:val="fr-CA"/>
              </w:rPr>
              <w:t>5 mai 2022</w:t>
            </w:r>
          </w:p>
          <w:p w:rsidR="009043BE" w:rsidRPr="00E54B1C" w:rsidRDefault="009043BE" w:rsidP="009043BE">
            <w:pPr>
              <w:jc w:val="both"/>
              <w:rPr>
                <w:sz w:val="20"/>
                <w:lang w:val="fr-CA"/>
              </w:rPr>
            </w:pPr>
            <w:r w:rsidRPr="00E54B1C">
              <w:rPr>
                <w:sz w:val="20"/>
                <w:lang w:val="fr-CA"/>
              </w:rPr>
              <w:t>Cour suprême du Canada</w:t>
            </w:r>
          </w:p>
        </w:tc>
        <w:tc>
          <w:tcPr>
            <w:tcW w:w="243" w:type="pct"/>
          </w:tcPr>
          <w:p w:rsidR="009043BE" w:rsidRPr="00E54B1C" w:rsidRDefault="009043BE" w:rsidP="009043BE">
            <w:pPr>
              <w:jc w:val="both"/>
              <w:rPr>
                <w:sz w:val="20"/>
                <w:lang w:val="fr-CA"/>
              </w:rPr>
            </w:pPr>
          </w:p>
        </w:tc>
        <w:tc>
          <w:tcPr>
            <w:tcW w:w="2330" w:type="pct"/>
          </w:tcPr>
          <w:p w:rsidR="009043BE" w:rsidRPr="00E54B1C" w:rsidRDefault="009043BE" w:rsidP="009043BE">
            <w:pPr>
              <w:jc w:val="both"/>
              <w:rPr>
                <w:sz w:val="20"/>
                <w:lang w:val="fr-CA"/>
              </w:rPr>
            </w:pPr>
            <w:r w:rsidRPr="00E54B1C">
              <w:rPr>
                <w:sz w:val="20"/>
                <w:lang w:val="fr-CA"/>
              </w:rPr>
              <w:t xml:space="preserve">Demande d’autorisation d’appel déposée par M. Tewari. </w:t>
            </w:r>
          </w:p>
        </w:tc>
      </w:tr>
    </w:tbl>
    <w:p w:rsidR="0074008A" w:rsidRPr="00E54B1C" w:rsidRDefault="0074008A" w:rsidP="005B2C50">
      <w:pPr>
        <w:widowControl w:val="0"/>
        <w:jc w:val="both"/>
        <w:rPr>
          <w:sz w:val="20"/>
          <w:lang w:val="fr-CA"/>
        </w:rPr>
      </w:pPr>
    </w:p>
    <w:p w:rsidR="004D21AC" w:rsidRPr="00E54B1C" w:rsidRDefault="000631CF" w:rsidP="00792D8C">
      <w:pPr>
        <w:widowControl w:val="0"/>
        <w:jc w:val="both"/>
        <w:rPr>
          <w:sz w:val="20"/>
        </w:rPr>
      </w:pPr>
      <w:r>
        <w:rPr>
          <w:sz w:val="20"/>
        </w:rPr>
        <w:pict>
          <v:rect id="_x0000_i1050" style="width:2in;height:1pt" o:hrpct="0" o:hralign="center" o:hrstd="t" o:hrnoshade="t" o:hr="t" fillcolor="black [3213]" stroked="f"/>
        </w:pict>
      </w:r>
    </w:p>
    <w:p w:rsidR="00311655" w:rsidRPr="00E54B1C" w:rsidRDefault="00311655" w:rsidP="00350651">
      <w:pPr>
        <w:ind w:left="142" w:hanging="142"/>
        <w:jc w:val="both"/>
        <w:rPr>
          <w:sz w:val="20"/>
        </w:rPr>
      </w:pPr>
    </w:p>
    <w:p w:rsidR="008F2F11" w:rsidRPr="00E54B1C" w:rsidRDefault="008F2F11" w:rsidP="00350651">
      <w:pPr>
        <w:ind w:left="142" w:hanging="142"/>
        <w:jc w:val="both"/>
        <w:rPr>
          <w:sz w:val="20"/>
        </w:rPr>
      </w:pPr>
    </w:p>
    <w:p w:rsidR="008F2F11" w:rsidRPr="00E54B1C" w:rsidRDefault="008F2F11" w:rsidP="00350651">
      <w:pPr>
        <w:ind w:left="142" w:hanging="142"/>
        <w:jc w:val="both"/>
        <w:rPr>
          <w:sz w:val="20"/>
        </w:rPr>
      </w:pPr>
    </w:p>
    <w:p w:rsidR="00D3344A" w:rsidRPr="00E54B1C" w:rsidRDefault="00D3344A" w:rsidP="00D3344A">
      <w:pPr>
        <w:widowControl w:val="0"/>
        <w:outlineLvl w:val="0"/>
        <w:rPr>
          <w:sz w:val="20"/>
        </w:rPr>
      </w:pPr>
      <w:r w:rsidRPr="00E54B1C">
        <w:rPr>
          <w:sz w:val="20"/>
        </w:rPr>
        <w:t xml:space="preserve">Supreme Court of Canada / Cour suprême du </w:t>
      </w:r>
      <w:proofErr w:type="gramStart"/>
      <w:r w:rsidRPr="00E54B1C">
        <w:rPr>
          <w:sz w:val="20"/>
        </w:rPr>
        <w:t>Canad</w:t>
      </w:r>
      <w:r w:rsidR="00EE289F" w:rsidRPr="00E54B1C">
        <w:rPr>
          <w:sz w:val="20"/>
        </w:rPr>
        <w:t>a</w:t>
      </w:r>
      <w:r w:rsidRPr="00E54B1C">
        <w:rPr>
          <w:sz w:val="20"/>
        </w:rPr>
        <w:t xml:space="preserve"> :</w:t>
      </w:r>
      <w:proofErr w:type="gramEnd"/>
    </w:p>
    <w:p w:rsidR="00D3344A" w:rsidRPr="00E54B1C" w:rsidRDefault="000631CF" w:rsidP="00D3344A">
      <w:pPr>
        <w:widowControl w:val="0"/>
        <w:outlineLvl w:val="0"/>
        <w:rPr>
          <w:sz w:val="20"/>
          <w:u w:val="single"/>
        </w:rPr>
      </w:pPr>
      <w:hyperlink r:id="rId69" w:history="1">
        <w:r w:rsidR="009B7391" w:rsidRPr="00E54B1C">
          <w:rPr>
            <w:rStyle w:val="Hyperlink"/>
            <w:sz w:val="20"/>
          </w:rPr>
          <w:t>comments-commentaires@scc-csc.ca</w:t>
        </w:r>
      </w:hyperlink>
    </w:p>
    <w:p w:rsidR="00D3344A" w:rsidRPr="00E54B1C" w:rsidRDefault="0065588C" w:rsidP="00D3344A">
      <w:pPr>
        <w:widowControl w:val="0"/>
        <w:outlineLvl w:val="0"/>
        <w:rPr>
          <w:sz w:val="20"/>
        </w:rPr>
      </w:pPr>
      <w:r w:rsidRPr="00E54B1C">
        <w:rPr>
          <w:sz w:val="20"/>
        </w:rPr>
        <w:t>613-</w:t>
      </w:r>
      <w:r w:rsidR="00D3344A" w:rsidRPr="00E54B1C">
        <w:rPr>
          <w:sz w:val="20"/>
        </w:rPr>
        <w:t>995-4330</w:t>
      </w:r>
    </w:p>
    <w:p w:rsidR="00497B5E" w:rsidRPr="00E54B1C" w:rsidRDefault="00497B5E" w:rsidP="00497B5E">
      <w:pPr>
        <w:widowControl w:val="0"/>
        <w:rPr>
          <w:sz w:val="20"/>
        </w:rPr>
      </w:pPr>
    </w:p>
    <w:p w:rsidR="00F6251B" w:rsidRPr="007607A2" w:rsidRDefault="003F43E6" w:rsidP="00F6251B">
      <w:pPr>
        <w:pStyle w:val="Footer"/>
        <w:jc w:val="center"/>
        <w:rPr>
          <w:sz w:val="20"/>
        </w:rPr>
      </w:pPr>
      <w:r w:rsidRPr="00E54B1C">
        <w:rPr>
          <w:sz w:val="20"/>
        </w:rPr>
        <w:t>- 30 -</w:t>
      </w:r>
    </w:p>
    <w:sectPr w:rsidR="00F6251B" w:rsidRPr="007607A2" w:rsidSect="00E62F93">
      <w:headerReference w:type="even" r:id="rId70"/>
      <w:headerReference w:type="default" r:id="rId71"/>
      <w:footerReference w:type="even" r:id="rId72"/>
      <w:footerReference w:type="default" r:id="rId73"/>
      <w:headerReference w:type="first" r:id="rId74"/>
      <w:footerReference w:type="first" r:id="rId7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BE" w:rsidRDefault="009043BE" w:rsidP="0034178A">
      <w:r>
        <w:separator/>
      </w:r>
    </w:p>
  </w:endnote>
  <w:endnote w:type="continuationSeparator" w:id="0">
    <w:p w:rsidR="009043BE" w:rsidRDefault="009043B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E" w:rsidRDefault="00904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E" w:rsidRPr="009F77F0" w:rsidRDefault="009043B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E" w:rsidRDefault="00904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BE" w:rsidRDefault="009043BE" w:rsidP="0034178A">
      <w:r>
        <w:separator/>
      </w:r>
    </w:p>
  </w:footnote>
  <w:footnote w:type="continuationSeparator" w:id="0">
    <w:p w:rsidR="009043BE" w:rsidRDefault="009043B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E" w:rsidRDefault="00904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E" w:rsidRDefault="00904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E" w:rsidRDefault="00904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6414D"/>
    <w:multiLevelType w:val="hybridMultilevel"/>
    <w:tmpl w:val="B2F02814"/>
    <w:lvl w:ilvl="0" w:tplc="C0EA848E">
      <w:start w:val="1"/>
      <w:numFmt w:val="decimal"/>
      <w:lvlText w:val="%1."/>
      <w:lvlJc w:val="left"/>
      <w:pPr>
        <w:ind w:left="720" w:hanging="360"/>
      </w:pPr>
      <w:rPr>
        <w:rFonts w:eastAsiaTheme="maj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E4ECF"/>
    <w:multiLevelType w:val="hybridMultilevel"/>
    <w:tmpl w:val="B2F02814"/>
    <w:lvl w:ilvl="0" w:tplc="C0EA848E">
      <w:start w:val="1"/>
      <w:numFmt w:val="decimal"/>
      <w:lvlText w:val="%1."/>
      <w:lvlJc w:val="left"/>
      <w:pPr>
        <w:ind w:left="720" w:hanging="360"/>
      </w:pPr>
      <w:rPr>
        <w:rFonts w:eastAsiaTheme="maj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8"/>
  </w:num>
  <w:num w:numId="3">
    <w:abstractNumId w:val="30"/>
  </w:num>
  <w:num w:numId="4">
    <w:abstractNumId w:val="12"/>
  </w:num>
  <w:num w:numId="5">
    <w:abstractNumId w:val="9"/>
  </w:num>
  <w:num w:numId="6">
    <w:abstractNumId w:val="25"/>
  </w:num>
  <w:num w:numId="7">
    <w:abstractNumId w:val="22"/>
  </w:num>
  <w:num w:numId="8">
    <w:abstractNumId w:val="28"/>
  </w:num>
  <w:num w:numId="9">
    <w:abstractNumId w:val="2"/>
  </w:num>
  <w:num w:numId="10">
    <w:abstractNumId w:val="6"/>
  </w:num>
  <w:num w:numId="11">
    <w:abstractNumId w:val="0"/>
  </w:num>
  <w:num w:numId="12">
    <w:abstractNumId w:val="24"/>
  </w:num>
  <w:num w:numId="13">
    <w:abstractNumId w:val="1"/>
  </w:num>
  <w:num w:numId="14">
    <w:abstractNumId w:val="11"/>
  </w:num>
  <w:num w:numId="15">
    <w:abstractNumId w:val="4"/>
  </w:num>
  <w:num w:numId="16">
    <w:abstractNumId w:val="7"/>
  </w:num>
  <w:num w:numId="17">
    <w:abstractNumId w:val="29"/>
  </w:num>
  <w:num w:numId="18">
    <w:abstractNumId w:val="16"/>
  </w:num>
  <w:num w:numId="19">
    <w:abstractNumId w:val="10"/>
  </w:num>
  <w:num w:numId="20">
    <w:abstractNumId w:val="20"/>
  </w:num>
  <w:num w:numId="21">
    <w:abstractNumId w:val="5"/>
  </w:num>
  <w:num w:numId="22">
    <w:abstractNumId w:val="26"/>
  </w:num>
  <w:num w:numId="23">
    <w:abstractNumId w:val="19"/>
  </w:num>
  <w:num w:numId="24">
    <w:abstractNumId w:val="14"/>
  </w:num>
  <w:num w:numId="25">
    <w:abstractNumId w:val="17"/>
  </w:num>
  <w:num w:numId="26">
    <w:abstractNumId w:val="23"/>
  </w:num>
  <w:num w:numId="27">
    <w:abstractNumId w:val="13"/>
  </w:num>
  <w:num w:numId="28">
    <w:abstractNumId w:val="3"/>
  </w:num>
  <w:num w:numId="29">
    <w:abstractNumId w:val="15"/>
  </w:num>
  <w:num w:numId="30">
    <w:abstractNumId w:val="21"/>
  </w:num>
  <w:num w:numId="3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44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C6F"/>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1CF"/>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5DAA"/>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A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67CD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247"/>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3BE"/>
    <w:rsid w:val="00904674"/>
    <w:rsid w:val="00904BC9"/>
    <w:rsid w:val="009056C1"/>
    <w:rsid w:val="009056CA"/>
    <w:rsid w:val="009057C5"/>
    <w:rsid w:val="00905F4A"/>
    <w:rsid w:val="009062BB"/>
    <w:rsid w:val="0090688C"/>
    <w:rsid w:val="0090766E"/>
    <w:rsid w:val="0091038B"/>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2CA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2CF0"/>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4006F"/>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4B1C"/>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4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character" w:customStyle="1" w:styleId="sccappellantforindexchar">
    <w:name w:val="sccappellantforindexchar"/>
    <w:basedOn w:val="DefaultParagraphFont"/>
    <w:rsid w:val="009043BE"/>
  </w:style>
  <w:style w:type="character" w:customStyle="1" w:styleId="sccrespondentforindexchar">
    <w:name w:val="sccrespondentforindexchar"/>
    <w:basedOn w:val="DefaultParagraphFont"/>
    <w:rsid w:val="0090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1723811">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308" TargetMode="External"/><Relationship Id="rId18" Type="http://schemas.openxmlformats.org/officeDocument/2006/relationships/hyperlink" Target="https://www.scc-csc.ca/case-dossier/info/sum-som-eng.aspx?cas=40335" TargetMode="External"/><Relationship Id="rId26" Type="http://schemas.openxmlformats.org/officeDocument/2006/relationships/hyperlink" Target="https://www.canlii.org/en/ab/abqb/doc/2019/2019abqb943/2019abqb943.html?resultIndex=1" TargetMode="External"/><Relationship Id="rId39" Type="http://schemas.openxmlformats.org/officeDocument/2006/relationships/hyperlink" Target="https://www.canlii.org/en/sk/skpc/doc/2002/2002skpc84/2002skpc84.html" TargetMode="External"/><Relationship Id="rId21" Type="http://schemas.openxmlformats.org/officeDocument/2006/relationships/hyperlink" Target="https://www.canlii.org/en/nb/nbca/doc/2022/2022nbca14/2022nbca14.html" TargetMode="External"/><Relationship Id="rId34" Type="http://schemas.openxmlformats.org/officeDocument/2006/relationships/hyperlink" Target="https://www.canlii.org/en/bc/bcsc/doc/2021/2021bcsc745/2021bcsc745.html?resultIndex=1" TargetMode="External"/><Relationship Id="rId42" Type="http://schemas.openxmlformats.org/officeDocument/2006/relationships/hyperlink" Target="https://www.canlii.org/fr/qc/qccq/doc/2021/2021qccq9506/2021qccq9506.html" TargetMode="External"/><Relationship Id="rId47" Type="http://schemas.openxmlformats.org/officeDocument/2006/relationships/hyperlink" Target="https://www.canlii.org/en/sk/skca/doc/2022/2022skca80/2022skca80.html?autocompleteStr=2022%20SKCA%2080&amp;autocompletePos=1" TargetMode="External"/><Relationship Id="rId50" Type="http://schemas.openxmlformats.org/officeDocument/2006/relationships/hyperlink" Target="https://www.canlii.org/en/ca/laws/stat/sc-2003-c-22-s-2/latest/sc-2003-c-22-s-2.html" TargetMode="External"/><Relationship Id="rId55" Type="http://schemas.openxmlformats.org/officeDocument/2006/relationships/hyperlink" Target="https://www.canlii.org/fr/ca/crtefp/doc/2020/2020crtespf44/2020crtespf44.html?autocompleteStr=2020%20CRTESPF%2044&amp;autocompletePos=1" TargetMode="External"/><Relationship Id="rId63" Type="http://schemas.openxmlformats.org/officeDocument/2006/relationships/hyperlink" Target="https://www.canlii.org/en/on/onsc/doc/2019/2019onsc2362/2019onsc2362.html?resultIndex=1" TargetMode="External"/><Relationship Id="rId68" Type="http://schemas.openxmlformats.org/officeDocument/2006/relationships/hyperlink" Target="https://www.canlii.org/en/on/onca/doc/2022/2022onca335/2022onca335.html?autocompleteStr=2022%20ONCA%20335&amp;autocompletePos=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40307" TargetMode="External"/><Relationship Id="rId29" Type="http://schemas.openxmlformats.org/officeDocument/2006/relationships/hyperlink" Target="https://www.canlii.org/en/ca/fca/doc/2022/2022fca14/2022fca14.pdf" TargetMode="External"/><Relationship Id="rId11" Type="http://schemas.openxmlformats.org/officeDocument/2006/relationships/hyperlink" Target="https://www.scc-csc.ca/case-dossier/info/sum-som-eng.aspx?cas=40266" TargetMode="External"/><Relationship Id="rId24" Type="http://schemas.openxmlformats.org/officeDocument/2006/relationships/hyperlink" Target="https://www.canlii.org/en/ab/abqb/doc/2019/2019abqb943/2019abqb943.html?resultIndex=1" TargetMode="External"/><Relationship Id="rId32" Type="http://schemas.openxmlformats.org/officeDocument/2006/relationships/hyperlink" Target="https://www.canlii.org/en/bc/bcsc/doc/2021/2021bcsc745/2021bcsc745.html?resultIndex=1" TargetMode="External"/><Relationship Id="rId37" Type="http://schemas.openxmlformats.org/officeDocument/2006/relationships/hyperlink" Target="https://www.canlii.org/en/sk/skqb/doc/2019/2019skqb5/2019skqb5.html" TargetMode="External"/><Relationship Id="rId40" Type="http://schemas.openxmlformats.org/officeDocument/2006/relationships/hyperlink" Target="https://www.canlii.org/en/sk/skqb/doc/2019/2019skqb5/2019skqb5.html" TargetMode="External"/><Relationship Id="rId45" Type="http://schemas.openxmlformats.org/officeDocument/2006/relationships/hyperlink" Target="https://www.canlii.org/en/qc/qcca/doc/2022/2022qcca857/2022qcca857.html?resultIndex=3" TargetMode="External"/><Relationship Id="rId53" Type="http://schemas.openxmlformats.org/officeDocument/2006/relationships/hyperlink" Target="https://www.canlii.org/en/ca/laws/stat/sc-2003-c-22-s-2/latest/sc-2003-c-22-s-2.html" TargetMode="External"/><Relationship Id="rId58" Type="http://schemas.openxmlformats.org/officeDocument/2006/relationships/hyperlink" Target="https://canlii.ca/t/jq2s6" TargetMode="External"/><Relationship Id="rId66" Type="http://schemas.openxmlformats.org/officeDocument/2006/relationships/hyperlink" Target="https://www.canlii.org/en/on/onca/doc/2022/2022onca335/2022onca335.html?autocompleteStr=2022%20ONCA%20335&amp;autocompletePos=1"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40384" TargetMode="External"/><Relationship Id="rId23" Type="http://schemas.openxmlformats.org/officeDocument/2006/relationships/hyperlink" Target="https://www.canlii.org/fr/nb/nbca/doc/2022/2022nbca14/2022nbca14.html" TargetMode="External"/><Relationship Id="rId28" Type="http://schemas.openxmlformats.org/officeDocument/2006/relationships/hyperlink" Target="https://www.canlii.org/en/ca/fct/doc/2018/2018fc530/2018fc530.pdf" TargetMode="External"/><Relationship Id="rId36" Type="http://schemas.openxmlformats.org/officeDocument/2006/relationships/hyperlink" Target="https://www.canlii.org/en/sk/skpc/doc/2002/2002skpc84/2002skpc84.html" TargetMode="External"/><Relationship Id="rId49" Type="http://schemas.openxmlformats.org/officeDocument/2006/relationships/hyperlink" Target="https://www.canlii.org/en/ca/laws/stat/sc-2003-c-22-s-2/latest/sc-2003-c-22-s-2.html" TargetMode="External"/><Relationship Id="rId57" Type="http://schemas.openxmlformats.org/officeDocument/2006/relationships/hyperlink" Target="https://canlii.ca/t/jb35v" TargetMode="External"/><Relationship Id="rId61" Type="http://schemas.openxmlformats.org/officeDocument/2006/relationships/hyperlink" Target="https://www.canlii.org/en/on/onsc/doc/2019/2019onsc2362/2019onsc2362.html?resultIndex=1" TargetMode="External"/><Relationship Id="rId10" Type="http://schemas.openxmlformats.org/officeDocument/2006/relationships/hyperlink" Target="https://www.scc-csc.ca/case-dossier/info/sum-som-fra.aspx?cas=40114" TargetMode="External"/><Relationship Id="rId19" Type="http://schemas.openxmlformats.org/officeDocument/2006/relationships/hyperlink" Target="https://www.scc-csc.ca/case-dossier/info/sum-som-eng.aspx?cas=40512" TargetMode="External"/><Relationship Id="rId31" Type="http://schemas.openxmlformats.org/officeDocument/2006/relationships/hyperlink" Target="https://www.canlii.org/fr/ca/caf/doc/2022/2022caf14/2022caf14.pdf" TargetMode="External"/><Relationship Id="rId44" Type="http://schemas.openxmlformats.org/officeDocument/2006/relationships/hyperlink" Target="https://www.canlii.org/fr/qc/qccq/doc/2021/2021qccq9506/2021qccq9506.html" TargetMode="External"/><Relationship Id="rId52" Type="http://schemas.openxmlformats.org/officeDocument/2006/relationships/hyperlink" Target="https://www.canlii.org/en/ca/fca/doc/2022/2022fca80/2022fca80.html" TargetMode="External"/><Relationship Id="rId60" Type="http://schemas.openxmlformats.org/officeDocument/2006/relationships/hyperlink" Target="https://canlii.ca/t/jq2s6" TargetMode="External"/><Relationship Id="rId65" Type="http://schemas.openxmlformats.org/officeDocument/2006/relationships/hyperlink" Target="https://www.canlii.org/en/on/onsc/doc/2021/2021onsc4523/2021onsc4523.html?resultIndex=7"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355" TargetMode="External"/><Relationship Id="rId14" Type="http://schemas.openxmlformats.org/officeDocument/2006/relationships/hyperlink" Target="https://www.scc-csc.ca/case-dossier/info/sum-som-eng.aspx?cas=40328" TargetMode="External"/><Relationship Id="rId22" Type="http://schemas.openxmlformats.org/officeDocument/2006/relationships/hyperlink" Target="https://www.canlii.org/fr/nb/nbbr/doc/2021/2021nbbr107/2021nbbr107.html" TargetMode="External"/><Relationship Id="rId27" Type="http://schemas.openxmlformats.org/officeDocument/2006/relationships/hyperlink" Target="https://www.canlii.org/en/ab/abca/doc/2022/2022abca48/2022abca48.html?resultIndex=1" TargetMode="External"/><Relationship Id="rId30" Type="http://schemas.openxmlformats.org/officeDocument/2006/relationships/hyperlink" Target="https://www.canlii.org/fr/ca/cfpi/doc/2018/2018cf530/2018cf530.pdf" TargetMode="External"/><Relationship Id="rId35" Type="http://schemas.openxmlformats.org/officeDocument/2006/relationships/hyperlink" Target="https://www.canlii.org/en/bc/bcca/doc/2022/2022bcca170/2022bcca170.html?resultIndex=1" TargetMode="External"/><Relationship Id="rId43" Type="http://schemas.openxmlformats.org/officeDocument/2006/relationships/hyperlink" Target="https://www.canlii.org/en/qc/qcca/doc/2022/2022qcca857/2022qcca857.html?resultIndex=3" TargetMode="External"/><Relationship Id="rId48" Type="http://schemas.openxmlformats.org/officeDocument/2006/relationships/hyperlink" Target="https://www.canlii.org/en/ca/laws/stat/sc-2003-c-22-s-2/latest/sc-2003-c-22-s-2.html" TargetMode="External"/><Relationship Id="rId56" Type="http://schemas.openxmlformats.org/officeDocument/2006/relationships/hyperlink" Target="https://www.canlii.org/en/ca/fca/doc/2022/2022fca80/2022fca80.html" TargetMode="External"/><Relationship Id="rId64" Type="http://schemas.openxmlformats.org/officeDocument/2006/relationships/hyperlink" Target="https://www.canlii.org/en/on/onca/doc/2022/2022onca418/2022onca418.html?resultIndex=1" TargetMode="External"/><Relationship Id="rId69" Type="http://schemas.openxmlformats.org/officeDocument/2006/relationships/hyperlink" Target="mailto:comments-commentaires@scc-csc.ca" TargetMode="External"/><Relationship Id="rId77" Type="http://schemas.openxmlformats.org/officeDocument/2006/relationships/theme" Target="theme/theme1.xml"/><Relationship Id="rId8" Type="http://schemas.openxmlformats.org/officeDocument/2006/relationships/hyperlink" Target="https://www.scc-csc.ca/case-dossier/info/sum-som-eng.aspx?cas=40241" TargetMode="External"/><Relationship Id="rId51" Type="http://schemas.openxmlformats.org/officeDocument/2006/relationships/hyperlink" Target="https://www.canlii.org/en/ca/laws/stat/sc-2003-c-22-s-2/latest/sc-2003-c-22-s-2.htm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scc-csc.ca/case-dossier/info/sum-som-eng.aspx?cas=40238" TargetMode="External"/><Relationship Id="rId17" Type="http://schemas.openxmlformats.org/officeDocument/2006/relationships/hyperlink" Target="https://www.scc-csc.ca/case-dossier/info/sum-som-eng.aspx?cas=40315" TargetMode="External"/><Relationship Id="rId25" Type="http://schemas.openxmlformats.org/officeDocument/2006/relationships/hyperlink" Target="https://www.canlii.org/en/ab/abca/doc/2022/2022abca48/2022abca48.html?resultIndex=1" TargetMode="External"/><Relationship Id="rId33" Type="http://schemas.openxmlformats.org/officeDocument/2006/relationships/hyperlink" Target="https://www.canlii.org/en/bc/bcca/doc/2022/2022bcca170/2022bcca170.html?resultIndex=1" TargetMode="External"/><Relationship Id="rId38" Type="http://schemas.openxmlformats.org/officeDocument/2006/relationships/hyperlink" Target="https://www.canlii.org/en/sk/skca/doc/2022/2022skca58/2022skca58.html" TargetMode="External"/><Relationship Id="rId46" Type="http://schemas.openxmlformats.org/officeDocument/2006/relationships/hyperlink" Target="https://www.canlii.org/en/sk/skca/doc/2022/2022skca80/2022skca80.html?autocompleteStr=2022%20SKCA%2080&amp;autocompletePos=1" TargetMode="External"/><Relationship Id="rId59" Type="http://schemas.openxmlformats.org/officeDocument/2006/relationships/hyperlink" Target="https://canlii.ca/t/jb35v" TargetMode="External"/><Relationship Id="rId67" Type="http://schemas.openxmlformats.org/officeDocument/2006/relationships/hyperlink" Target="https://www.canlii.org/en/on/onsc/doc/2021/2021onsc4523/2021onsc4523.html?resultIndex=7" TargetMode="External"/><Relationship Id="rId20" Type="http://schemas.openxmlformats.org/officeDocument/2006/relationships/hyperlink" Target="https://www.canlii.org/en/nb/nbqb/doc/2021/2021nbqb107/2021nbqb107.html" TargetMode="External"/><Relationship Id="rId41" Type="http://schemas.openxmlformats.org/officeDocument/2006/relationships/hyperlink" Target="https://www.canlii.org/en/sk/skca/doc/2022/2022skca58/2022skca58.html" TargetMode="External"/><Relationship Id="rId54" Type="http://schemas.openxmlformats.org/officeDocument/2006/relationships/hyperlink" Target="https://www.canlii.org/en/ca/laws/stat/sc-2003-c-22-s-2/latest/sc-2003-c-22-s-2.html" TargetMode="External"/><Relationship Id="rId62" Type="http://schemas.openxmlformats.org/officeDocument/2006/relationships/hyperlink" Target="https://www.canlii.org/en/on/onca/doc/2022/2022onca418/2022onca418.html?resultIndex=1"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B5EB-182D-40D7-BB11-26A2C46B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10426</Words>
  <Characters>59432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69719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2023-03-02T20:28:00Z</dcterms:modified>
</cp:coreProperties>
</file>