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760DF" w:rsidRDefault="002A192B" w:rsidP="00346405">
      <w:pPr>
        <w:pStyle w:val="Header"/>
        <w:jc w:val="center"/>
        <w:rPr>
          <w:b/>
          <w:sz w:val="32"/>
        </w:rPr>
      </w:pPr>
      <w:r w:rsidRPr="00D760DF">
        <w:rPr>
          <w:b/>
          <w:sz w:val="32"/>
        </w:rPr>
        <w:t>Supreme Court of Canada / Cour suprême du Canada</w:t>
      </w:r>
    </w:p>
    <w:p w:rsidR="002A192B" w:rsidRPr="00D760DF" w:rsidRDefault="002A192B" w:rsidP="00346405">
      <w:pPr>
        <w:widowControl w:val="0"/>
        <w:rPr>
          <w:i/>
        </w:rPr>
      </w:pPr>
    </w:p>
    <w:p w:rsidR="002A192B" w:rsidRPr="00D760DF" w:rsidRDefault="002A192B" w:rsidP="00346405">
      <w:pPr>
        <w:widowControl w:val="0"/>
        <w:rPr>
          <w:i/>
        </w:rPr>
      </w:pPr>
    </w:p>
    <w:p w:rsidR="001C4415" w:rsidRPr="00D760DF" w:rsidRDefault="001C4415" w:rsidP="00346405">
      <w:pPr>
        <w:widowControl w:val="0"/>
        <w:rPr>
          <w:i/>
          <w:sz w:val="20"/>
        </w:rPr>
      </w:pPr>
      <w:r w:rsidRPr="00D760DF">
        <w:rPr>
          <w:i/>
          <w:sz w:val="20"/>
        </w:rPr>
        <w:t>(</w:t>
      </w:r>
      <w:r w:rsidR="003C50BF" w:rsidRPr="00D760DF">
        <w:rPr>
          <w:i/>
          <w:sz w:val="20"/>
        </w:rPr>
        <w:t>Le</w:t>
      </w:r>
      <w:r w:rsidRPr="00D760DF">
        <w:rPr>
          <w:i/>
          <w:sz w:val="20"/>
        </w:rPr>
        <w:t xml:space="preserve"> français suit)</w:t>
      </w:r>
    </w:p>
    <w:p w:rsidR="001C4415" w:rsidRPr="00D760DF" w:rsidRDefault="001C4415" w:rsidP="00346405">
      <w:pPr>
        <w:widowControl w:val="0"/>
      </w:pPr>
    </w:p>
    <w:p w:rsidR="001C4415" w:rsidRPr="00D760DF" w:rsidRDefault="000347C1" w:rsidP="00346405">
      <w:pPr>
        <w:widowControl w:val="0"/>
        <w:jc w:val="center"/>
        <w:rPr>
          <w:b/>
        </w:rPr>
      </w:pPr>
      <w:r w:rsidRPr="00D760DF">
        <w:fldChar w:fldCharType="begin"/>
      </w:r>
      <w:r w:rsidR="00FA7412" w:rsidRPr="00D760DF">
        <w:instrText xml:space="preserve"> SEQ CHAPTER \h \r 1</w:instrText>
      </w:r>
      <w:r w:rsidRPr="00D760DF">
        <w:fldChar w:fldCharType="end"/>
      </w:r>
      <w:r w:rsidR="00455BB9" w:rsidRPr="00D760DF">
        <w:rPr>
          <w:b/>
        </w:rPr>
        <w:t>JUDGMENT</w:t>
      </w:r>
      <w:r w:rsidR="00FA7412" w:rsidRPr="00D760DF">
        <w:rPr>
          <w:b/>
        </w:rPr>
        <w:t xml:space="preserve"> TO BE RENDERED IN APPEA</w:t>
      </w:r>
      <w:r w:rsidR="00CC2799" w:rsidRPr="00D760DF">
        <w:rPr>
          <w:b/>
        </w:rPr>
        <w:t>L</w:t>
      </w:r>
    </w:p>
    <w:p w:rsidR="005A7C1B" w:rsidRPr="00D760DF" w:rsidRDefault="005A7C1B" w:rsidP="00346405">
      <w:pPr>
        <w:widowControl w:val="0"/>
      </w:pPr>
    </w:p>
    <w:p w:rsidR="00EC79B0" w:rsidRPr="00D760DF" w:rsidRDefault="00C13CC9" w:rsidP="00346405">
      <w:pPr>
        <w:widowControl w:val="0"/>
      </w:pPr>
      <w:r w:rsidRPr="00D760DF">
        <w:rPr>
          <w:b/>
        </w:rPr>
        <w:t>April</w:t>
      </w:r>
      <w:r w:rsidR="00C86395" w:rsidRPr="00D760DF">
        <w:rPr>
          <w:b/>
        </w:rPr>
        <w:t xml:space="preserve"> </w:t>
      </w:r>
      <w:r w:rsidRPr="00D760DF">
        <w:rPr>
          <w:b/>
        </w:rPr>
        <w:t>5</w:t>
      </w:r>
      <w:r w:rsidR="00EC79B0" w:rsidRPr="00D760DF">
        <w:rPr>
          <w:b/>
        </w:rPr>
        <w:t>, 2</w:t>
      </w:r>
      <w:r w:rsidR="00E6600C" w:rsidRPr="00D760DF">
        <w:rPr>
          <w:b/>
        </w:rPr>
        <w:t>0</w:t>
      </w:r>
      <w:r w:rsidR="009544E9" w:rsidRPr="00D760DF">
        <w:rPr>
          <w:b/>
        </w:rPr>
        <w:t>2</w:t>
      </w:r>
      <w:r w:rsidR="005C0628" w:rsidRPr="00D760DF">
        <w:rPr>
          <w:b/>
        </w:rPr>
        <w:t>3</w:t>
      </w:r>
    </w:p>
    <w:p w:rsidR="00EC79B0" w:rsidRPr="00D760DF" w:rsidRDefault="00EC79B0" w:rsidP="00346405">
      <w:pPr>
        <w:widowControl w:val="0"/>
        <w:rPr>
          <w:b/>
        </w:rPr>
      </w:pPr>
      <w:r w:rsidRPr="00D760DF">
        <w:rPr>
          <w:b/>
        </w:rPr>
        <w:t>For immediate release</w:t>
      </w:r>
    </w:p>
    <w:p w:rsidR="00EC79B0" w:rsidRPr="00D760DF" w:rsidRDefault="00EC79B0" w:rsidP="00346405">
      <w:pPr>
        <w:widowControl w:val="0"/>
      </w:pPr>
    </w:p>
    <w:p w:rsidR="00EC79B0" w:rsidRPr="00D760DF" w:rsidRDefault="00EC79B0" w:rsidP="00346405">
      <w:pPr>
        <w:widowControl w:val="0"/>
        <w:rPr>
          <w:lang w:val="fr-CA"/>
        </w:rPr>
      </w:pPr>
      <w:r w:rsidRPr="00D760DF">
        <w:rPr>
          <w:b/>
        </w:rPr>
        <w:t>OTTAWA</w:t>
      </w:r>
      <w:r w:rsidRPr="00D760DF">
        <w:t xml:space="preserve"> – The Supreme Court of Canad</w:t>
      </w:r>
      <w:r w:rsidR="00455BB9" w:rsidRPr="00D760DF">
        <w:t>a announced today that judgment</w:t>
      </w:r>
      <w:r w:rsidRPr="00D760DF">
        <w:t xml:space="preserve"> in the following appeal will be delivered at 9:45 a.m. E</w:t>
      </w:r>
      <w:r w:rsidR="001D312F" w:rsidRPr="00D760DF">
        <w:t>D</w:t>
      </w:r>
      <w:r w:rsidR="00DC6C1E" w:rsidRPr="00D760DF">
        <w:t>T</w:t>
      </w:r>
      <w:r w:rsidR="00D74667" w:rsidRPr="00D760DF">
        <w:t xml:space="preserve"> on</w:t>
      </w:r>
      <w:r w:rsidR="00DC6C1E" w:rsidRPr="00D760DF">
        <w:t xml:space="preserve"> </w:t>
      </w:r>
      <w:r w:rsidR="001D312F" w:rsidRPr="00D760DF">
        <w:t>Thursday</w:t>
      </w:r>
      <w:r w:rsidR="000A7900" w:rsidRPr="00D760DF">
        <w:t xml:space="preserve">, </w:t>
      </w:r>
      <w:r w:rsidR="00C13CC9" w:rsidRPr="00D760DF">
        <w:t>April</w:t>
      </w:r>
      <w:r w:rsidR="004E605A" w:rsidRPr="00D760DF">
        <w:t xml:space="preserve"> </w:t>
      </w:r>
      <w:r w:rsidR="00C13CC9" w:rsidRPr="00D760DF">
        <w:t>1</w:t>
      </w:r>
      <w:r w:rsidR="001D312F" w:rsidRPr="00D760DF">
        <w:t>3</w:t>
      </w:r>
      <w:r w:rsidR="00E63199" w:rsidRPr="00D760DF">
        <w:t>, 2</w:t>
      </w:r>
      <w:r w:rsidR="0086609D" w:rsidRPr="00D760DF">
        <w:t>0</w:t>
      </w:r>
      <w:r w:rsidR="009544E9" w:rsidRPr="00D760DF">
        <w:t>2</w:t>
      </w:r>
      <w:r w:rsidR="005C0628" w:rsidRPr="00D760DF">
        <w:t>3</w:t>
      </w:r>
      <w:r w:rsidR="00455BB9" w:rsidRPr="00D760DF">
        <w:t xml:space="preserve">. </w:t>
      </w:r>
      <w:r w:rsidR="00455BB9" w:rsidRPr="00D760DF">
        <w:rPr>
          <w:lang w:val="fr-CA"/>
        </w:rPr>
        <w:t>This</w:t>
      </w:r>
      <w:r w:rsidRPr="00D760DF">
        <w:rPr>
          <w:lang w:val="fr-CA"/>
        </w:rPr>
        <w:t xml:space="preserve"> list is subject to change.</w:t>
      </w:r>
    </w:p>
    <w:p w:rsidR="001F76DD" w:rsidRPr="00D760DF" w:rsidRDefault="001F76DD" w:rsidP="00346405">
      <w:pPr>
        <w:widowControl w:val="0"/>
        <w:rPr>
          <w:szCs w:val="24"/>
          <w:lang w:val="fr-CA"/>
        </w:rPr>
      </w:pPr>
    </w:p>
    <w:p w:rsidR="001C4415" w:rsidRPr="00D760DF" w:rsidRDefault="001C4415" w:rsidP="00346405">
      <w:pPr>
        <w:widowControl w:val="0"/>
        <w:rPr>
          <w:lang w:val="fr-CA"/>
        </w:rPr>
      </w:pPr>
    </w:p>
    <w:p w:rsidR="001335A1" w:rsidRPr="00D760DF" w:rsidRDefault="001335A1" w:rsidP="00346405">
      <w:pPr>
        <w:widowControl w:val="0"/>
        <w:jc w:val="center"/>
        <w:rPr>
          <w:b/>
          <w:lang w:val="fr-CA"/>
        </w:rPr>
      </w:pPr>
      <w:r w:rsidRPr="00D760DF">
        <w:rPr>
          <w:b/>
          <w:lang w:val="fr-CA"/>
        </w:rPr>
        <w:t>PROCHAIN JUGEMENT</w:t>
      </w:r>
      <w:r w:rsidR="00455BB9" w:rsidRPr="00D760DF">
        <w:rPr>
          <w:b/>
          <w:lang w:val="fr-CA"/>
        </w:rPr>
        <w:t xml:space="preserve"> SUR APPEL</w:t>
      </w:r>
    </w:p>
    <w:p w:rsidR="001335A1" w:rsidRPr="00D760DF" w:rsidRDefault="001335A1" w:rsidP="00346405">
      <w:pPr>
        <w:widowControl w:val="0"/>
        <w:rPr>
          <w:lang w:val="fr-CA"/>
        </w:rPr>
      </w:pPr>
    </w:p>
    <w:p w:rsidR="00EC79B0" w:rsidRPr="00D760DF" w:rsidRDefault="00EC79B0" w:rsidP="00346405">
      <w:pPr>
        <w:widowControl w:val="0"/>
        <w:rPr>
          <w:lang w:val="fr-CA"/>
        </w:rPr>
      </w:pPr>
      <w:r w:rsidRPr="00D760DF">
        <w:rPr>
          <w:b/>
          <w:lang w:val="fr-CA"/>
        </w:rPr>
        <w:t xml:space="preserve">Le </w:t>
      </w:r>
      <w:r w:rsidR="00C13CC9" w:rsidRPr="00D760DF">
        <w:rPr>
          <w:b/>
          <w:lang w:val="fr-CA"/>
        </w:rPr>
        <w:t>5</w:t>
      </w:r>
      <w:r w:rsidR="00FA5450" w:rsidRPr="00D760DF">
        <w:rPr>
          <w:b/>
          <w:lang w:val="fr-CA"/>
        </w:rPr>
        <w:t xml:space="preserve"> </w:t>
      </w:r>
      <w:r w:rsidR="00DA73D5" w:rsidRPr="00D760DF">
        <w:rPr>
          <w:b/>
          <w:lang w:val="fr-CA"/>
        </w:rPr>
        <w:t>a</w:t>
      </w:r>
      <w:r w:rsidR="00C13CC9" w:rsidRPr="00D760DF">
        <w:rPr>
          <w:b/>
          <w:lang w:val="fr-CA"/>
        </w:rPr>
        <w:t xml:space="preserve">vril </w:t>
      </w:r>
      <w:r w:rsidR="0086609D" w:rsidRPr="00D760DF">
        <w:rPr>
          <w:b/>
          <w:lang w:val="fr-CA"/>
        </w:rPr>
        <w:t>20</w:t>
      </w:r>
      <w:r w:rsidR="009544E9" w:rsidRPr="00D760DF">
        <w:rPr>
          <w:b/>
          <w:lang w:val="fr-CA"/>
        </w:rPr>
        <w:t>2</w:t>
      </w:r>
      <w:r w:rsidR="005C0628" w:rsidRPr="00D760DF">
        <w:rPr>
          <w:b/>
          <w:lang w:val="fr-CA"/>
        </w:rPr>
        <w:t>3</w:t>
      </w:r>
    </w:p>
    <w:p w:rsidR="00EC79B0" w:rsidRPr="00D760DF" w:rsidRDefault="00EC79B0" w:rsidP="00346405">
      <w:pPr>
        <w:widowControl w:val="0"/>
        <w:rPr>
          <w:b/>
          <w:lang w:val="fr-CA"/>
        </w:rPr>
      </w:pPr>
      <w:r w:rsidRPr="00D760DF">
        <w:rPr>
          <w:b/>
          <w:lang w:val="fr-CA"/>
        </w:rPr>
        <w:t>Pour diffusion immédiate</w:t>
      </w:r>
    </w:p>
    <w:p w:rsidR="00EC79B0" w:rsidRPr="00D760DF" w:rsidRDefault="00EC79B0" w:rsidP="00346405">
      <w:pPr>
        <w:widowControl w:val="0"/>
        <w:rPr>
          <w:lang w:val="fr-CA"/>
        </w:rPr>
      </w:pPr>
    </w:p>
    <w:p w:rsidR="00EC79B0" w:rsidRPr="00D760DF" w:rsidRDefault="00EC79B0" w:rsidP="00346405">
      <w:pPr>
        <w:widowControl w:val="0"/>
        <w:rPr>
          <w:lang w:val="fr-CA"/>
        </w:rPr>
      </w:pPr>
      <w:r w:rsidRPr="00D760DF">
        <w:rPr>
          <w:b/>
          <w:lang w:val="fr-CA"/>
        </w:rPr>
        <w:t>OTTAWA</w:t>
      </w:r>
      <w:r w:rsidRPr="00D760DF">
        <w:rPr>
          <w:lang w:val="fr-CA"/>
        </w:rPr>
        <w:t xml:space="preserve"> – La Cour suprême du Canada annonce que jugement ser</w:t>
      </w:r>
      <w:r w:rsidR="00204750" w:rsidRPr="00D760DF">
        <w:rPr>
          <w:lang w:val="fr-CA"/>
        </w:rPr>
        <w:t>a</w:t>
      </w:r>
      <w:r w:rsidRPr="00D760DF">
        <w:rPr>
          <w:lang w:val="fr-CA"/>
        </w:rPr>
        <w:t xml:space="preserve"> rendu dans </w:t>
      </w:r>
      <w:r w:rsidR="001F1643" w:rsidRPr="00D760DF">
        <w:rPr>
          <w:lang w:val="fr-CA"/>
        </w:rPr>
        <w:t>l</w:t>
      </w:r>
      <w:r w:rsidR="00204750" w:rsidRPr="00D760DF">
        <w:rPr>
          <w:lang w:val="fr-CA"/>
        </w:rPr>
        <w:t>’</w:t>
      </w:r>
      <w:r w:rsidR="001F1643" w:rsidRPr="00D760DF">
        <w:rPr>
          <w:lang w:val="fr-CA"/>
        </w:rPr>
        <w:t xml:space="preserve">appel </w:t>
      </w:r>
      <w:r w:rsidRPr="00D760DF">
        <w:rPr>
          <w:lang w:val="fr-CA"/>
        </w:rPr>
        <w:t xml:space="preserve">suivant le </w:t>
      </w:r>
      <w:r w:rsidR="001D312F" w:rsidRPr="00D760DF">
        <w:rPr>
          <w:lang w:val="fr-CA"/>
        </w:rPr>
        <w:t>jeudi</w:t>
      </w:r>
      <w:r w:rsidR="007C1648" w:rsidRPr="00D760DF">
        <w:rPr>
          <w:lang w:val="fr-CA"/>
        </w:rPr>
        <w:t xml:space="preserve"> </w:t>
      </w:r>
      <w:r w:rsidR="00C13CC9" w:rsidRPr="00D760DF">
        <w:rPr>
          <w:lang w:val="fr-CA"/>
        </w:rPr>
        <w:t>1</w:t>
      </w:r>
      <w:r w:rsidR="001D312F" w:rsidRPr="00D760DF">
        <w:rPr>
          <w:lang w:val="fr-CA"/>
        </w:rPr>
        <w:t>3</w:t>
      </w:r>
      <w:r w:rsidR="00F62251" w:rsidRPr="00D760DF">
        <w:rPr>
          <w:lang w:val="fr-CA"/>
        </w:rPr>
        <w:t xml:space="preserve"> </w:t>
      </w:r>
      <w:r w:rsidR="00DA73D5" w:rsidRPr="00D760DF">
        <w:rPr>
          <w:lang w:val="fr-CA"/>
        </w:rPr>
        <w:t>a</w:t>
      </w:r>
      <w:r w:rsidR="00C13CC9" w:rsidRPr="00D760DF">
        <w:rPr>
          <w:lang w:val="fr-CA"/>
        </w:rPr>
        <w:t>v</w:t>
      </w:r>
      <w:r w:rsidR="00DA73D5" w:rsidRPr="00D760DF">
        <w:rPr>
          <w:lang w:val="fr-CA"/>
        </w:rPr>
        <w:t>r</w:t>
      </w:r>
      <w:r w:rsidR="00C13CC9" w:rsidRPr="00D760DF">
        <w:rPr>
          <w:lang w:val="fr-CA"/>
        </w:rPr>
        <w:t>il</w:t>
      </w:r>
      <w:r w:rsidR="00282563" w:rsidRPr="00D760DF">
        <w:rPr>
          <w:lang w:val="fr-CA"/>
        </w:rPr>
        <w:t xml:space="preserve"> </w:t>
      </w:r>
      <w:r w:rsidRPr="00D760DF">
        <w:rPr>
          <w:lang w:val="fr-CA"/>
        </w:rPr>
        <w:t>20</w:t>
      </w:r>
      <w:r w:rsidR="009544E9" w:rsidRPr="00D760DF">
        <w:rPr>
          <w:lang w:val="fr-CA"/>
        </w:rPr>
        <w:t>2</w:t>
      </w:r>
      <w:r w:rsidR="005C0628" w:rsidRPr="00D760DF">
        <w:rPr>
          <w:lang w:val="fr-CA"/>
        </w:rPr>
        <w:t>3</w:t>
      </w:r>
      <w:r w:rsidRPr="00D760DF">
        <w:rPr>
          <w:lang w:val="fr-CA"/>
        </w:rPr>
        <w:t>, à 9 h 45 H</w:t>
      </w:r>
      <w:r w:rsidR="001D312F" w:rsidRPr="00D760DF">
        <w:rPr>
          <w:lang w:val="fr-CA"/>
        </w:rPr>
        <w:t>A</w:t>
      </w:r>
      <w:r w:rsidRPr="00D760DF">
        <w:rPr>
          <w:lang w:val="fr-CA"/>
        </w:rPr>
        <w:t>E. Cette liste est sujette à modifications.</w:t>
      </w:r>
    </w:p>
    <w:p w:rsidR="001F76DD" w:rsidRPr="00D760DF" w:rsidRDefault="001F76DD" w:rsidP="00346405">
      <w:pPr>
        <w:widowControl w:val="0"/>
        <w:jc w:val="both"/>
        <w:rPr>
          <w:szCs w:val="24"/>
          <w:lang w:val="fr-CA"/>
        </w:rPr>
      </w:pPr>
    </w:p>
    <w:p w:rsidR="00EF4622" w:rsidRPr="00D760DF" w:rsidRDefault="00D760DF" w:rsidP="00346405">
      <w:pPr>
        <w:widowControl w:val="0"/>
        <w:jc w:val="both"/>
        <w:rPr>
          <w:szCs w:val="24"/>
          <w:lang w:val="fr-CA"/>
        </w:rPr>
      </w:pPr>
      <w:r w:rsidRPr="00D760DF">
        <w:rPr>
          <w:sz w:val="20"/>
        </w:rPr>
        <w:pict>
          <v:rect id="_x0000_i1025" style="width:2in;height:1pt" o:hrpct="0" o:hralign="center" o:hrstd="t" o:hrnoshade="t" o:hr="t" fillcolor="black [3213]" stroked="f"/>
        </w:pict>
      </w:r>
    </w:p>
    <w:p w:rsidR="001335A1" w:rsidRPr="00D760DF" w:rsidRDefault="001335A1" w:rsidP="00346405">
      <w:pPr>
        <w:widowControl w:val="0"/>
        <w:rPr>
          <w:szCs w:val="24"/>
          <w:lang w:val="fr-CA"/>
        </w:rPr>
      </w:pPr>
    </w:p>
    <w:p w:rsidR="00DA73D5" w:rsidRPr="00D760DF" w:rsidRDefault="00D760DF" w:rsidP="00DA73D5">
      <w:pPr>
        <w:jc w:val="both"/>
        <w:rPr>
          <w:szCs w:val="24"/>
          <w:lang w:val="fr-CA"/>
        </w:rPr>
      </w:pPr>
      <w:r w:rsidRPr="00D760DF">
        <w:rPr>
          <w:i/>
          <w:szCs w:val="24"/>
          <w:lang w:val="fr-CA"/>
        </w:rPr>
        <w:t>Sa Majesté le Roi c. Pascal Breault</w:t>
      </w:r>
      <w:r w:rsidR="00DA73D5" w:rsidRPr="00D760DF">
        <w:rPr>
          <w:i/>
          <w:szCs w:val="24"/>
          <w:lang w:val="fr-CA"/>
        </w:rPr>
        <w:t xml:space="preserve"> </w:t>
      </w:r>
      <w:r w:rsidR="00DA73D5" w:rsidRPr="00D760DF">
        <w:rPr>
          <w:szCs w:val="24"/>
          <w:lang w:val="fr-CA"/>
        </w:rPr>
        <w:t>(</w:t>
      </w:r>
      <w:r w:rsidRPr="00D760DF">
        <w:rPr>
          <w:szCs w:val="24"/>
          <w:lang w:val="fr-CA"/>
        </w:rPr>
        <w:t>Qc</w:t>
      </w:r>
      <w:r w:rsidR="00DA73D5" w:rsidRPr="00D760DF">
        <w:rPr>
          <w:szCs w:val="24"/>
          <w:lang w:val="fr-CA"/>
        </w:rPr>
        <w:t>) (</w:t>
      </w:r>
      <w:hyperlink r:id="rId7" w:history="1">
        <w:r w:rsidR="001D312F" w:rsidRPr="00D760DF">
          <w:rPr>
            <w:rStyle w:val="Hyperlink"/>
            <w:szCs w:val="24"/>
            <w:lang w:val="fr-CA"/>
          </w:rPr>
          <w:t>39</w:t>
        </w:r>
        <w:r w:rsidRPr="00D760DF">
          <w:rPr>
            <w:rStyle w:val="Hyperlink"/>
            <w:szCs w:val="24"/>
            <w:lang w:val="fr-CA"/>
          </w:rPr>
          <w:t>680</w:t>
        </w:r>
      </w:hyperlink>
      <w:r w:rsidR="00DA73D5" w:rsidRPr="00D760DF">
        <w:rPr>
          <w:szCs w:val="24"/>
          <w:lang w:val="fr-CA"/>
        </w:rPr>
        <w:t>)</w:t>
      </w:r>
    </w:p>
    <w:p w:rsidR="000E38C2" w:rsidRPr="00D760DF" w:rsidRDefault="000E38C2" w:rsidP="00346405">
      <w:pPr>
        <w:jc w:val="both"/>
        <w:rPr>
          <w:sz w:val="20"/>
          <w:lang w:val="fr-CA"/>
        </w:rPr>
      </w:pPr>
    </w:p>
    <w:p w:rsidR="00D760DF" w:rsidRPr="00D760DF" w:rsidRDefault="00D760DF" w:rsidP="00346405">
      <w:pPr>
        <w:jc w:val="both"/>
        <w:rPr>
          <w:sz w:val="20"/>
          <w:lang w:val="fr-CA"/>
        </w:rPr>
      </w:pPr>
    </w:p>
    <w:p w:rsidR="00D760DF" w:rsidRPr="00D760DF" w:rsidRDefault="00D760DF" w:rsidP="00D760DF">
      <w:pPr>
        <w:pStyle w:val="SCCLsocParty"/>
        <w:rPr>
          <w:b/>
          <w:sz w:val="20"/>
          <w:szCs w:val="20"/>
          <w:lang w:val="en-CA"/>
        </w:rPr>
      </w:pPr>
      <w:r w:rsidRPr="00D760DF">
        <w:rPr>
          <w:rStyle w:val="SCCFileNumberChar"/>
          <w:i w:val="0"/>
          <w:sz w:val="20"/>
          <w:szCs w:val="20"/>
        </w:rPr>
        <w:t>39680</w:t>
      </w:r>
      <w:r w:rsidRPr="00D760DF">
        <w:rPr>
          <w:rStyle w:val="SCCFileNumberChar"/>
          <w:i w:val="0"/>
          <w:sz w:val="20"/>
          <w:szCs w:val="20"/>
        </w:rPr>
        <w:tab/>
      </w:r>
      <w:r w:rsidRPr="00D760DF">
        <w:rPr>
          <w:b/>
          <w:sz w:val="20"/>
          <w:szCs w:val="20"/>
          <w:lang w:val="en-CA"/>
        </w:rPr>
        <w:t>H</w:t>
      </w:r>
      <w:r w:rsidRPr="00D760DF">
        <w:rPr>
          <w:b/>
          <w:sz w:val="20"/>
          <w:szCs w:val="20"/>
          <w:lang w:val="en-CA"/>
        </w:rPr>
        <w:t>is</w:t>
      </w:r>
      <w:r w:rsidRPr="00D760DF">
        <w:rPr>
          <w:b/>
          <w:sz w:val="20"/>
          <w:szCs w:val="20"/>
          <w:lang w:val="en-CA"/>
        </w:rPr>
        <w:t xml:space="preserve"> Majesty the </w:t>
      </w:r>
      <w:r w:rsidRPr="00D760DF">
        <w:rPr>
          <w:b/>
          <w:sz w:val="20"/>
          <w:szCs w:val="20"/>
          <w:lang w:val="en-CA"/>
        </w:rPr>
        <w:t>King</w:t>
      </w:r>
      <w:r w:rsidRPr="00D760DF">
        <w:rPr>
          <w:b/>
          <w:sz w:val="20"/>
          <w:szCs w:val="20"/>
          <w:lang w:val="en-CA"/>
        </w:rPr>
        <w:t xml:space="preserve"> v. Pascal Breault</w:t>
      </w:r>
    </w:p>
    <w:p w:rsidR="00D760DF" w:rsidRPr="00D760DF" w:rsidRDefault="00D760DF" w:rsidP="00D760DF">
      <w:pPr>
        <w:ind w:left="360" w:firstLine="360"/>
        <w:jc w:val="both"/>
        <w:rPr>
          <w:sz w:val="20"/>
          <w:lang w:val="fr-CA"/>
        </w:rPr>
      </w:pPr>
      <w:r w:rsidRPr="00D760DF">
        <w:rPr>
          <w:sz w:val="20"/>
          <w:lang w:val="en-CA"/>
        </w:rPr>
        <w:t>(Que.) (Criminal) (By Leave)</w:t>
      </w:r>
    </w:p>
    <w:p w:rsidR="00D760DF" w:rsidRPr="00D760DF" w:rsidRDefault="00D760DF" w:rsidP="00D760DF">
      <w:pPr>
        <w:jc w:val="both"/>
        <w:rPr>
          <w:sz w:val="20"/>
          <w:lang w:val="en-CA"/>
        </w:rPr>
      </w:pPr>
    </w:p>
    <w:p w:rsidR="00D760DF" w:rsidRPr="00D760DF" w:rsidRDefault="00D760DF" w:rsidP="00D760DF">
      <w:pPr>
        <w:jc w:val="both"/>
        <w:rPr>
          <w:sz w:val="20"/>
        </w:rPr>
      </w:pPr>
      <w:r w:rsidRPr="00D760DF">
        <w:rPr>
          <w:sz w:val="20"/>
          <w:lang w:val="en-CA"/>
        </w:rPr>
        <w:t xml:space="preserve">Criminal law — Failure or refusal to provide breath sample in approved screening device — Criterion of immediacy under s. 254(2) of </w:t>
      </w:r>
      <w:r w:rsidRPr="00D760DF">
        <w:rPr>
          <w:i/>
          <w:sz w:val="20"/>
          <w:lang w:val="en-CA"/>
        </w:rPr>
        <w:t>Criminal Code</w:t>
      </w:r>
      <w:r w:rsidRPr="00D760DF">
        <w:rPr>
          <w:sz w:val="20"/>
          <w:lang w:val="en-CA"/>
        </w:rPr>
        <w:t xml:space="preserve"> — Whether Quebec Court of Appeal erred in law in interpreting standard of immediacy of s. 254(2)(</w:t>
      </w:r>
      <w:r w:rsidRPr="00D760DF">
        <w:rPr>
          <w:i/>
          <w:sz w:val="20"/>
          <w:lang w:val="en-CA"/>
        </w:rPr>
        <w:t>b</w:t>
      </w:r>
      <w:r w:rsidRPr="00D760DF">
        <w:rPr>
          <w:sz w:val="20"/>
          <w:lang w:val="en-CA"/>
        </w:rPr>
        <w:t>)</w:t>
      </w:r>
      <w:r w:rsidRPr="00D760DF">
        <w:rPr>
          <w:i/>
          <w:sz w:val="20"/>
          <w:lang w:val="en-CA"/>
        </w:rPr>
        <w:t xml:space="preserve"> </w:t>
      </w:r>
      <w:r w:rsidRPr="00D760DF">
        <w:rPr>
          <w:sz w:val="20"/>
          <w:lang w:val="en-CA"/>
        </w:rPr>
        <w:t>(now 320.27(1)(</w:t>
      </w:r>
      <w:r w:rsidRPr="00D760DF">
        <w:rPr>
          <w:i/>
          <w:sz w:val="20"/>
          <w:lang w:val="en-CA"/>
        </w:rPr>
        <w:t>b</w:t>
      </w:r>
      <w:r w:rsidRPr="00D760DF">
        <w:rPr>
          <w:sz w:val="20"/>
          <w:lang w:val="en-CA"/>
        </w:rPr>
        <w:t xml:space="preserve">)) of </w:t>
      </w:r>
      <w:r w:rsidRPr="00D760DF">
        <w:rPr>
          <w:i/>
          <w:sz w:val="20"/>
          <w:lang w:val="en-CA"/>
        </w:rPr>
        <w:t xml:space="preserve">Criminal Code </w:t>
      </w:r>
      <w:r w:rsidRPr="00D760DF">
        <w:rPr>
          <w:sz w:val="20"/>
          <w:lang w:val="en-CA"/>
        </w:rPr>
        <w:t xml:space="preserve">as meaning that validity of police officer’s demand depends on possibility of officer having “immediate access” to approved screening device — </w:t>
      </w:r>
      <w:r w:rsidRPr="00D760DF">
        <w:rPr>
          <w:i/>
          <w:sz w:val="20"/>
          <w:lang w:val="en-CA"/>
        </w:rPr>
        <w:t>Criminal Code</w:t>
      </w:r>
      <w:r w:rsidRPr="00D760DF">
        <w:rPr>
          <w:sz w:val="20"/>
          <w:lang w:val="en-CA"/>
        </w:rPr>
        <w:t>, R.S.C. 1985, c. C</w:t>
      </w:r>
      <w:r w:rsidRPr="00D760DF">
        <w:rPr>
          <w:sz w:val="20"/>
          <w:lang w:val="en-CA"/>
        </w:rPr>
        <w:noBreakHyphen/>
        <w:t>46, s. 254(2)(b) (now 320.27(1)(b)).</w:t>
      </w:r>
    </w:p>
    <w:p w:rsidR="00D760DF" w:rsidRPr="00D760DF" w:rsidRDefault="00D760DF" w:rsidP="00346405">
      <w:pPr>
        <w:jc w:val="both"/>
        <w:rPr>
          <w:sz w:val="20"/>
        </w:rPr>
      </w:pPr>
    </w:p>
    <w:p w:rsidR="00D760DF" w:rsidRPr="00D760DF" w:rsidRDefault="00D760DF" w:rsidP="00D760DF">
      <w:pPr>
        <w:jc w:val="both"/>
        <w:rPr>
          <w:sz w:val="20"/>
          <w:lang w:val="en-CA"/>
        </w:rPr>
      </w:pPr>
      <w:r w:rsidRPr="00D760DF">
        <w:rPr>
          <w:sz w:val="20"/>
          <w:lang w:val="en-CA"/>
        </w:rPr>
        <w:t xml:space="preserve">The respondent, Mr. Breault, refused a number of times to provide a breath sample to a peace officer who demanded that he do so at a time when an approved screening device was not in the officer’s possession. The Municipal Court found Mr. Breault guilty of failing to comply with a demand made to him by a peace officer, thereby committing the offence provided for in ss. 254(5) and 255(1) of the </w:t>
      </w:r>
      <w:r w:rsidRPr="00D760DF">
        <w:rPr>
          <w:i/>
          <w:sz w:val="20"/>
          <w:lang w:val="en-CA"/>
        </w:rPr>
        <w:t>Criminal Code</w:t>
      </w:r>
      <w:r w:rsidRPr="00D760DF">
        <w:rPr>
          <w:sz w:val="20"/>
          <w:lang w:val="en-CA"/>
        </w:rPr>
        <w:t>. In its view, the validity of the demand did not depend on a device being at the scene at the time when the demand was made. The Court of Appeal instead held that, because of the requirement that a breath sample be provided “forthwith”, a delay greater than is necessary to properly operate the device or obtain a reliable test in light of the facts noted by the police officer cannot be justified. The demand was therefore invalid, and the refusal that followed did not constitute a criminal offence.</w:t>
      </w:r>
    </w:p>
    <w:p w:rsidR="00D760DF" w:rsidRPr="00D760DF" w:rsidRDefault="00D760DF" w:rsidP="00346405">
      <w:pPr>
        <w:jc w:val="both"/>
        <w:rPr>
          <w:sz w:val="20"/>
          <w:lang w:val="en-CA"/>
        </w:rPr>
      </w:pPr>
    </w:p>
    <w:p w:rsidR="00D760DF" w:rsidRPr="00D760DF" w:rsidRDefault="00D760DF" w:rsidP="00346405">
      <w:pPr>
        <w:jc w:val="both"/>
        <w:rPr>
          <w:sz w:val="20"/>
          <w:lang w:val="en-CA"/>
        </w:rPr>
      </w:pPr>
      <w:r w:rsidRPr="00D760DF">
        <w:rPr>
          <w:sz w:val="20"/>
        </w:rPr>
        <w:pict>
          <v:rect id="_x0000_i1028" style="width:2in;height:1pt" o:hrpct="0" o:hralign="center" o:hrstd="t" o:hrnoshade="t" o:hr="t" fillcolor="black [3213]" stroked="f"/>
        </w:pict>
      </w:r>
    </w:p>
    <w:p w:rsidR="00D760DF" w:rsidRPr="00D760DF" w:rsidRDefault="00D760DF" w:rsidP="00346405">
      <w:pPr>
        <w:jc w:val="both"/>
        <w:rPr>
          <w:sz w:val="20"/>
          <w:lang w:val="en-CA"/>
        </w:rPr>
      </w:pPr>
    </w:p>
    <w:p w:rsidR="00D760DF" w:rsidRPr="00D760DF" w:rsidRDefault="00D760DF" w:rsidP="00D760DF">
      <w:pPr>
        <w:pStyle w:val="SCCLsocParty"/>
        <w:rPr>
          <w:b/>
          <w:sz w:val="20"/>
          <w:szCs w:val="20"/>
        </w:rPr>
      </w:pPr>
      <w:r w:rsidRPr="00D760DF">
        <w:rPr>
          <w:rStyle w:val="SCCFileNumberChar"/>
          <w:i w:val="0"/>
          <w:sz w:val="20"/>
          <w:szCs w:val="20"/>
          <w:lang w:val="fr-CA"/>
        </w:rPr>
        <w:t>39680</w:t>
      </w:r>
      <w:r w:rsidRPr="00D760DF">
        <w:rPr>
          <w:rStyle w:val="SCCFileNumberChar"/>
          <w:i w:val="0"/>
          <w:sz w:val="20"/>
          <w:szCs w:val="20"/>
          <w:lang w:val="fr-CA"/>
        </w:rPr>
        <w:tab/>
      </w:r>
      <w:r w:rsidRPr="00D760DF">
        <w:rPr>
          <w:b/>
          <w:sz w:val="20"/>
          <w:szCs w:val="20"/>
        </w:rPr>
        <w:t>Sa Majesté le Roi c. Pascal Breault</w:t>
      </w:r>
    </w:p>
    <w:p w:rsidR="00D760DF" w:rsidRPr="00D760DF" w:rsidRDefault="00D760DF" w:rsidP="00D760DF">
      <w:pPr>
        <w:ind w:left="360" w:firstLine="360"/>
        <w:jc w:val="both"/>
        <w:rPr>
          <w:sz w:val="20"/>
          <w:lang w:val="fr-CA"/>
        </w:rPr>
      </w:pPr>
      <w:r w:rsidRPr="00D760DF">
        <w:rPr>
          <w:sz w:val="20"/>
          <w:lang w:val="fr-CA"/>
        </w:rPr>
        <w:t>(Qc) (Criminelle) (Autorisation)</w:t>
      </w:r>
    </w:p>
    <w:p w:rsidR="00D760DF" w:rsidRPr="00D760DF" w:rsidRDefault="00D760DF" w:rsidP="00346405">
      <w:pPr>
        <w:jc w:val="both"/>
        <w:rPr>
          <w:sz w:val="20"/>
          <w:lang w:val="fr-CA"/>
        </w:rPr>
      </w:pPr>
    </w:p>
    <w:p w:rsidR="00D760DF" w:rsidRPr="00D760DF" w:rsidRDefault="00D760DF" w:rsidP="00D760DF">
      <w:pPr>
        <w:jc w:val="both"/>
        <w:rPr>
          <w:sz w:val="20"/>
          <w:lang w:val="fr-CA"/>
        </w:rPr>
      </w:pPr>
      <w:r w:rsidRPr="00D760DF">
        <w:rPr>
          <w:sz w:val="20"/>
          <w:lang w:val="fr-CA"/>
        </w:rPr>
        <w:t xml:space="preserve">Droit criminel — Défaut ou refus de fournir un échantillon d’haleine dans un appareil de détection approuvé — Critère d’immédiateté en vertu du par. 254(2) du </w:t>
      </w:r>
      <w:r w:rsidRPr="00D760DF">
        <w:rPr>
          <w:i/>
          <w:sz w:val="20"/>
          <w:lang w:val="fr-CA"/>
        </w:rPr>
        <w:t>Code criminel</w:t>
      </w:r>
      <w:r w:rsidRPr="00D760DF">
        <w:rPr>
          <w:sz w:val="20"/>
          <w:lang w:val="fr-CA"/>
        </w:rPr>
        <w:t xml:space="preserve"> — La Cour d’appel du Québec a</w:t>
      </w:r>
      <w:r w:rsidRPr="00D760DF">
        <w:rPr>
          <w:sz w:val="20"/>
          <w:lang w:val="fr-CA"/>
        </w:rPr>
        <w:noBreakHyphen/>
        <w:t>t</w:t>
      </w:r>
      <w:r w:rsidRPr="00D760DF">
        <w:rPr>
          <w:sz w:val="20"/>
          <w:lang w:val="fr-CA"/>
        </w:rPr>
        <w:noBreakHyphen/>
        <w:t>elle erré en droit en interprétant la norme d’immédiateté de l’al. 254(2)b)</w:t>
      </w:r>
      <w:r w:rsidRPr="00D760DF">
        <w:rPr>
          <w:i/>
          <w:sz w:val="20"/>
          <w:lang w:val="fr-CA"/>
        </w:rPr>
        <w:t xml:space="preserve"> </w:t>
      </w:r>
      <w:r w:rsidRPr="00D760DF">
        <w:rPr>
          <w:sz w:val="20"/>
          <w:lang w:val="fr-CA"/>
        </w:rPr>
        <w:t>(maintenant à 320.27(1</w:t>
      </w:r>
      <w:proofErr w:type="gramStart"/>
      <w:r w:rsidRPr="00D760DF">
        <w:rPr>
          <w:sz w:val="20"/>
          <w:lang w:val="fr-CA"/>
        </w:rPr>
        <w:t>)b</w:t>
      </w:r>
      <w:proofErr w:type="gramEnd"/>
      <w:r w:rsidRPr="00D760DF">
        <w:rPr>
          <w:sz w:val="20"/>
          <w:lang w:val="fr-CA"/>
        </w:rPr>
        <w:t xml:space="preserve">)) du </w:t>
      </w:r>
      <w:r w:rsidRPr="00D760DF">
        <w:rPr>
          <w:i/>
          <w:sz w:val="20"/>
          <w:lang w:val="fr-CA"/>
        </w:rPr>
        <w:t xml:space="preserve">Code criminel </w:t>
      </w:r>
      <w:r w:rsidRPr="00D760DF">
        <w:rPr>
          <w:sz w:val="20"/>
          <w:lang w:val="fr-CA"/>
        </w:rPr>
        <w:t xml:space="preserve">comme signifiant que la validité de l’ordre policier dépend de la possibilité pour ce dernier d’avoir « accès immédiatement » à un appareil de détection approuvé? — </w:t>
      </w:r>
      <w:r w:rsidRPr="00D760DF">
        <w:rPr>
          <w:i/>
          <w:sz w:val="20"/>
          <w:lang w:val="fr-CA"/>
        </w:rPr>
        <w:t>Code criminel</w:t>
      </w:r>
      <w:r w:rsidRPr="00D760DF">
        <w:rPr>
          <w:sz w:val="20"/>
          <w:lang w:val="fr-CA"/>
        </w:rPr>
        <w:t>, L.R.C. 1985, c. C</w:t>
      </w:r>
      <w:r w:rsidRPr="00D760DF">
        <w:rPr>
          <w:sz w:val="20"/>
          <w:lang w:val="fr-CA"/>
        </w:rPr>
        <w:noBreakHyphen/>
        <w:t>46, art. 254(2)b) (maintenant 320.27(1</w:t>
      </w:r>
      <w:proofErr w:type="gramStart"/>
      <w:r w:rsidRPr="00D760DF">
        <w:rPr>
          <w:sz w:val="20"/>
          <w:lang w:val="fr-CA"/>
        </w:rPr>
        <w:t>)b</w:t>
      </w:r>
      <w:proofErr w:type="gramEnd"/>
      <w:r w:rsidRPr="00D760DF">
        <w:rPr>
          <w:sz w:val="20"/>
          <w:lang w:val="fr-CA"/>
        </w:rPr>
        <w:t>)).</w:t>
      </w:r>
    </w:p>
    <w:p w:rsidR="00D760DF" w:rsidRPr="00D760DF" w:rsidRDefault="00D760DF" w:rsidP="00346405">
      <w:pPr>
        <w:jc w:val="both"/>
        <w:rPr>
          <w:sz w:val="20"/>
          <w:lang w:val="fr-CA"/>
        </w:rPr>
      </w:pPr>
    </w:p>
    <w:p w:rsidR="00D760DF" w:rsidRPr="00D760DF" w:rsidRDefault="00D760DF" w:rsidP="00D760DF">
      <w:pPr>
        <w:jc w:val="both"/>
        <w:rPr>
          <w:sz w:val="20"/>
          <w:lang w:val="fr-CA"/>
        </w:rPr>
      </w:pPr>
      <w:r w:rsidRPr="00D760DF">
        <w:rPr>
          <w:sz w:val="20"/>
          <w:lang w:val="fr-CA"/>
        </w:rPr>
        <w:t xml:space="preserve">L’intimé, M. Breault, refuse à plusieurs reprises de fournir un échantillon d’haleine à un agent de la paix qui lui ordonne de le faire, alors qu’il n’est pas en possession d’un appareil de détection approuvé. La Cour municipale déclare M. Breault coupable d’avoir fait défaut d’obtempérer à un ordre que lui avait donné un agent de la paix, commettant ainsi l’infraction prévue </w:t>
      </w:r>
      <w:proofErr w:type="gramStart"/>
      <w:r w:rsidRPr="00D760DF">
        <w:rPr>
          <w:sz w:val="20"/>
          <w:lang w:val="fr-CA"/>
        </w:rPr>
        <w:t>aux art</w:t>
      </w:r>
      <w:proofErr w:type="gramEnd"/>
      <w:r w:rsidRPr="00D760DF">
        <w:rPr>
          <w:sz w:val="20"/>
          <w:lang w:val="fr-CA"/>
        </w:rPr>
        <w:t xml:space="preserve">. 254(5) et 255(1) du </w:t>
      </w:r>
      <w:r w:rsidRPr="00D760DF">
        <w:rPr>
          <w:i/>
          <w:sz w:val="20"/>
          <w:lang w:val="fr-CA"/>
        </w:rPr>
        <w:t>Code criminel</w:t>
      </w:r>
      <w:r w:rsidRPr="00D760DF">
        <w:rPr>
          <w:sz w:val="20"/>
          <w:lang w:val="fr-CA"/>
        </w:rPr>
        <w:t>. Elle est d’avis que la validité de l’ordre ne dépend aucunement de la présence d’un appareil sur place au moment où la demande est formulée. La Cour d’appel conclut plutôt qu’en raison de l’exigence de fournir « immédiatement » un échantillon d’haleine, un délai supérieur au délai nécessaire pour opérer adéquatement l’appareil ou pour obtenir un test fiable selon les faits constatés par le policier ne peut être justifié. L’ordre était donc invalide et le refus qui a suivi ne constituait pas une infraction criminelle.</w:t>
      </w:r>
    </w:p>
    <w:p w:rsidR="00DA73D5" w:rsidRPr="00D760DF" w:rsidRDefault="00DA73D5" w:rsidP="00346405">
      <w:pPr>
        <w:jc w:val="both"/>
        <w:rPr>
          <w:sz w:val="20"/>
          <w:lang w:val="fr-CA"/>
        </w:rPr>
      </w:pPr>
    </w:p>
    <w:p w:rsidR="00DA73D5" w:rsidRPr="00D760DF" w:rsidRDefault="00D760DF" w:rsidP="00346405">
      <w:pPr>
        <w:jc w:val="both"/>
        <w:rPr>
          <w:sz w:val="20"/>
          <w:lang w:val="fr-CA"/>
        </w:rPr>
      </w:pPr>
      <w:r w:rsidRPr="00D760DF">
        <w:rPr>
          <w:sz w:val="20"/>
        </w:rPr>
        <w:pict>
          <v:rect id="_x0000_i1027" style="width:2in;height:1pt" o:hrpct="0" o:hralign="center" o:hrstd="t" o:hrnoshade="t" o:hr="t" fillcolor="black [3213]" stroked="f"/>
        </w:pict>
      </w:r>
    </w:p>
    <w:p w:rsidR="00E92006" w:rsidRPr="00D760DF" w:rsidRDefault="00E92006" w:rsidP="00346405">
      <w:pPr>
        <w:jc w:val="both"/>
        <w:rPr>
          <w:sz w:val="20"/>
          <w:lang w:val="fr-CA"/>
        </w:rPr>
      </w:pPr>
    </w:p>
    <w:p w:rsidR="00F401B9" w:rsidRPr="00D760DF" w:rsidRDefault="00F401B9" w:rsidP="00346405">
      <w:pPr>
        <w:jc w:val="both"/>
        <w:rPr>
          <w:sz w:val="20"/>
          <w:lang w:val="fr-CA"/>
        </w:rPr>
      </w:pPr>
    </w:p>
    <w:p w:rsidR="00072A63" w:rsidRPr="00D760DF" w:rsidRDefault="00072A63" w:rsidP="00346405">
      <w:pPr>
        <w:jc w:val="both"/>
        <w:rPr>
          <w:sz w:val="20"/>
          <w:lang w:val="fr-CA"/>
        </w:rPr>
      </w:pPr>
    </w:p>
    <w:p w:rsidR="001C4415" w:rsidRPr="00D760DF" w:rsidRDefault="001C4415" w:rsidP="00346405">
      <w:pPr>
        <w:widowControl w:val="0"/>
        <w:outlineLvl w:val="0"/>
      </w:pPr>
      <w:r w:rsidRPr="00D760DF">
        <w:t xml:space="preserve">Supreme Court of Canada / Cour suprême du </w:t>
      </w:r>
      <w:proofErr w:type="gramStart"/>
      <w:r w:rsidRPr="00D760DF">
        <w:t>Canada :</w:t>
      </w:r>
      <w:proofErr w:type="gramEnd"/>
      <w:r w:rsidRPr="00D760DF">
        <w:t xml:space="preserve"> </w:t>
      </w:r>
    </w:p>
    <w:p w:rsidR="001C4415" w:rsidRPr="00D760DF" w:rsidRDefault="00D760DF" w:rsidP="00346405">
      <w:pPr>
        <w:widowControl w:val="0"/>
        <w:outlineLvl w:val="0"/>
      </w:pPr>
      <w:hyperlink r:id="rId8" w:history="1">
        <w:r w:rsidR="001C4415" w:rsidRPr="00D760DF">
          <w:rPr>
            <w:rStyle w:val="Hyperlink"/>
          </w:rPr>
          <w:t>comments-commentaires@scc-csc.ca</w:t>
        </w:r>
      </w:hyperlink>
    </w:p>
    <w:p w:rsidR="001C4415" w:rsidRPr="00D760DF" w:rsidRDefault="001C4415" w:rsidP="00346405">
      <w:pPr>
        <w:widowControl w:val="0"/>
        <w:outlineLvl w:val="0"/>
      </w:pPr>
      <w:r w:rsidRPr="00D760DF">
        <w:t>(613) 995-4330</w:t>
      </w:r>
    </w:p>
    <w:p w:rsidR="001C4415" w:rsidRPr="00D760DF" w:rsidRDefault="001C4415" w:rsidP="00346405">
      <w:pPr>
        <w:widowControl w:val="0"/>
        <w:rPr>
          <w:sz w:val="20"/>
        </w:rPr>
      </w:pPr>
    </w:p>
    <w:p w:rsidR="0036476C" w:rsidRPr="00A8502B" w:rsidRDefault="001C4415" w:rsidP="00346405">
      <w:pPr>
        <w:pStyle w:val="Footer"/>
        <w:jc w:val="center"/>
        <w:rPr>
          <w:lang w:val="fr-CA"/>
        </w:rPr>
      </w:pPr>
      <w:r w:rsidRPr="00D760DF">
        <w:rPr>
          <w:lang w:val="fr-CA"/>
        </w:rPr>
        <w:t xml:space="preserve">- 30 </w:t>
      </w:r>
      <w:r w:rsidR="003C1B6E" w:rsidRPr="00D760DF">
        <w:rPr>
          <w:lang w:val="fr-CA"/>
        </w:rPr>
        <w:t>-</w:t>
      </w:r>
      <w:bookmarkStart w:id="0" w:name="_GoBack"/>
      <w:bookmarkEnd w:id="0"/>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760DF"/>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68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2023-03-29T13:21:00Z</dcterms:modified>
</cp:coreProperties>
</file>